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BF38A2" w14:textId="77777777" w:rsidR="00EF66FD" w:rsidRPr="006A763A" w:rsidRDefault="00EF66FD" w:rsidP="00EF66FD">
      <w:pPr>
        <w:rPr>
          <w:rFonts w:ascii="TUOS Blake" w:hAnsi="TUOS Blake"/>
          <w:sz w:val="24"/>
          <w:szCs w:val="24"/>
        </w:rPr>
      </w:pPr>
    </w:p>
    <w:p w14:paraId="09819287" w14:textId="77777777" w:rsidR="00EF66FD" w:rsidRPr="006A763A" w:rsidRDefault="00EF66FD" w:rsidP="00EF66FD">
      <w:pPr>
        <w:rPr>
          <w:rFonts w:ascii="TUOS Blake" w:hAnsi="TUOS Blake"/>
          <w:b/>
          <w:sz w:val="24"/>
          <w:szCs w:val="24"/>
        </w:rPr>
      </w:pPr>
    </w:p>
    <w:p w14:paraId="5316DACD" w14:textId="1175007C" w:rsidR="00F75892" w:rsidRDefault="00EF66FD" w:rsidP="002B01B3">
      <w:pPr>
        <w:rPr>
          <w:b/>
          <w:sz w:val="32"/>
          <w:szCs w:val="32"/>
        </w:rPr>
      </w:pPr>
      <w:r>
        <w:rPr>
          <w:b/>
          <w:noProof/>
          <w:sz w:val="32"/>
          <w:szCs w:val="32"/>
          <w:lang w:eastAsia="en-GB"/>
        </w:rPr>
        <w:drawing>
          <wp:inline distT="0" distB="0" distL="0" distR="0" wp14:anchorId="50A05602" wp14:editId="376A54F1">
            <wp:extent cx="6165851" cy="246634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uoslogo_key_cmyk_med.jpg"/>
                    <pic:cNvPicPr/>
                  </pic:nvPicPr>
                  <pic:blipFill>
                    <a:blip r:embed="rId9">
                      <a:extLst>
                        <a:ext uri="{28A0092B-C50C-407E-A947-70E740481C1C}">
                          <a14:useLocalDpi xmlns:a14="http://schemas.microsoft.com/office/drawing/2010/main" val="0"/>
                        </a:ext>
                      </a:extLst>
                    </a:blip>
                    <a:stretch>
                      <a:fillRect/>
                    </a:stretch>
                  </pic:blipFill>
                  <pic:spPr>
                    <a:xfrm>
                      <a:off x="0" y="0"/>
                      <a:ext cx="6168938" cy="2467575"/>
                    </a:xfrm>
                    <a:prstGeom prst="rect">
                      <a:avLst/>
                    </a:prstGeom>
                  </pic:spPr>
                </pic:pic>
              </a:graphicData>
            </a:graphic>
          </wp:inline>
        </w:drawing>
      </w:r>
    </w:p>
    <w:p w14:paraId="758D546C" w14:textId="77777777" w:rsidR="00C722E9" w:rsidRDefault="00C722E9" w:rsidP="00EF66FD">
      <w:pPr>
        <w:jc w:val="center"/>
        <w:rPr>
          <w:b/>
          <w:sz w:val="36"/>
          <w:szCs w:val="36"/>
        </w:rPr>
      </w:pPr>
    </w:p>
    <w:p w14:paraId="35A7921A" w14:textId="77777777" w:rsidR="00EF66FD" w:rsidRDefault="00EF66FD" w:rsidP="00EF66FD">
      <w:pPr>
        <w:jc w:val="center"/>
        <w:rPr>
          <w:b/>
          <w:sz w:val="36"/>
          <w:szCs w:val="36"/>
        </w:rPr>
      </w:pPr>
      <w:r w:rsidRPr="00EF66FD">
        <w:rPr>
          <w:b/>
          <w:sz w:val="36"/>
          <w:szCs w:val="36"/>
        </w:rPr>
        <w:t>The constitution and implementation of the English Baccalaureate: implications for educational equality.</w:t>
      </w:r>
    </w:p>
    <w:p w14:paraId="5190BEAD" w14:textId="77777777" w:rsidR="00C92969" w:rsidRPr="00C92969" w:rsidRDefault="00C92969" w:rsidP="00EF66FD">
      <w:pPr>
        <w:jc w:val="center"/>
        <w:rPr>
          <w:b/>
          <w:sz w:val="36"/>
          <w:szCs w:val="36"/>
        </w:rPr>
      </w:pPr>
    </w:p>
    <w:p w14:paraId="789CCF80" w14:textId="77777777" w:rsidR="00EF66FD" w:rsidRDefault="00EF66FD" w:rsidP="00EF66FD">
      <w:pPr>
        <w:spacing w:after="0" w:line="240" w:lineRule="auto"/>
        <w:jc w:val="center"/>
        <w:rPr>
          <w:b/>
          <w:sz w:val="32"/>
          <w:szCs w:val="32"/>
        </w:rPr>
      </w:pPr>
      <w:r w:rsidRPr="00C92969">
        <w:rPr>
          <w:b/>
          <w:sz w:val="32"/>
          <w:szCs w:val="32"/>
        </w:rPr>
        <w:t>Doctorate of Education (EdD)</w:t>
      </w:r>
    </w:p>
    <w:p w14:paraId="38EFE20B" w14:textId="77777777" w:rsidR="00C92969" w:rsidRPr="00C92969" w:rsidRDefault="00C92969" w:rsidP="00EF66FD">
      <w:pPr>
        <w:spacing w:after="0" w:line="240" w:lineRule="auto"/>
        <w:jc w:val="center"/>
        <w:rPr>
          <w:b/>
          <w:sz w:val="32"/>
          <w:szCs w:val="32"/>
        </w:rPr>
      </w:pPr>
    </w:p>
    <w:p w14:paraId="32D15C75" w14:textId="77777777" w:rsidR="00EF66FD" w:rsidRDefault="00EF66FD" w:rsidP="00531995">
      <w:pPr>
        <w:jc w:val="center"/>
        <w:rPr>
          <w:b/>
          <w:sz w:val="32"/>
          <w:szCs w:val="32"/>
        </w:rPr>
      </w:pPr>
      <w:r w:rsidRPr="00C92969">
        <w:rPr>
          <w:b/>
          <w:sz w:val="32"/>
          <w:szCs w:val="32"/>
        </w:rPr>
        <w:t>K. Hobbs</w:t>
      </w:r>
    </w:p>
    <w:p w14:paraId="6BCB04D3" w14:textId="77777777" w:rsidR="00C92969" w:rsidRPr="00C92969" w:rsidRDefault="00C92969" w:rsidP="00531995">
      <w:pPr>
        <w:jc w:val="center"/>
        <w:rPr>
          <w:b/>
          <w:sz w:val="32"/>
          <w:szCs w:val="32"/>
        </w:rPr>
      </w:pPr>
    </w:p>
    <w:p w14:paraId="6C32089B" w14:textId="136A12BB" w:rsidR="00EF66FD" w:rsidRPr="00531995" w:rsidRDefault="00EF66FD" w:rsidP="00531995">
      <w:pPr>
        <w:jc w:val="center"/>
        <w:rPr>
          <w:b/>
          <w:sz w:val="28"/>
          <w:szCs w:val="28"/>
        </w:rPr>
      </w:pPr>
      <w:r w:rsidRPr="00531995">
        <w:rPr>
          <w:b/>
          <w:sz w:val="28"/>
          <w:szCs w:val="28"/>
        </w:rPr>
        <w:t>2016</w:t>
      </w:r>
      <w:r w:rsidR="00F75892" w:rsidRPr="00531995">
        <w:rPr>
          <w:b/>
          <w:sz w:val="28"/>
          <w:szCs w:val="28"/>
        </w:rPr>
        <w:br w:type="page"/>
      </w:r>
    </w:p>
    <w:p w14:paraId="48EEC3CB" w14:textId="77777777" w:rsidR="00F75892" w:rsidRDefault="00F75892">
      <w:pPr>
        <w:spacing w:after="0" w:line="240" w:lineRule="auto"/>
        <w:rPr>
          <w:b/>
          <w:sz w:val="32"/>
          <w:szCs w:val="32"/>
        </w:rPr>
      </w:pPr>
    </w:p>
    <w:p w14:paraId="09AFD38E" w14:textId="77777777" w:rsidR="00862C8A" w:rsidRDefault="00862C8A" w:rsidP="002B01B3">
      <w:pPr>
        <w:rPr>
          <w:b/>
          <w:sz w:val="32"/>
          <w:szCs w:val="32"/>
        </w:rPr>
      </w:pPr>
    </w:p>
    <w:p w14:paraId="3953A0CA" w14:textId="77777777" w:rsidR="00862C8A" w:rsidRDefault="00862C8A" w:rsidP="002B01B3">
      <w:pPr>
        <w:rPr>
          <w:b/>
          <w:sz w:val="32"/>
          <w:szCs w:val="32"/>
        </w:rPr>
      </w:pPr>
    </w:p>
    <w:p w14:paraId="584C33AF" w14:textId="77777777" w:rsidR="00862C8A" w:rsidRDefault="00862C8A" w:rsidP="002B01B3">
      <w:pPr>
        <w:rPr>
          <w:b/>
          <w:sz w:val="32"/>
          <w:szCs w:val="32"/>
        </w:rPr>
      </w:pPr>
    </w:p>
    <w:p w14:paraId="7E67934B" w14:textId="77777777" w:rsidR="00862C8A" w:rsidRDefault="00862C8A" w:rsidP="002B01B3">
      <w:pPr>
        <w:rPr>
          <w:b/>
          <w:sz w:val="32"/>
          <w:szCs w:val="32"/>
        </w:rPr>
      </w:pPr>
    </w:p>
    <w:p w14:paraId="668A9277" w14:textId="77777777" w:rsidR="00862C8A" w:rsidRDefault="00862C8A" w:rsidP="002B01B3">
      <w:pPr>
        <w:rPr>
          <w:b/>
          <w:sz w:val="32"/>
          <w:szCs w:val="32"/>
        </w:rPr>
      </w:pPr>
    </w:p>
    <w:p w14:paraId="6D21C08F" w14:textId="77777777" w:rsidR="00862C8A" w:rsidRDefault="00862C8A" w:rsidP="002B01B3">
      <w:pPr>
        <w:rPr>
          <w:b/>
          <w:sz w:val="32"/>
          <w:szCs w:val="32"/>
        </w:rPr>
      </w:pPr>
    </w:p>
    <w:p w14:paraId="42E52C47" w14:textId="77777777" w:rsidR="00862C8A" w:rsidRDefault="00862C8A" w:rsidP="002B01B3">
      <w:pPr>
        <w:rPr>
          <w:b/>
          <w:sz w:val="32"/>
          <w:szCs w:val="32"/>
        </w:rPr>
      </w:pPr>
    </w:p>
    <w:p w14:paraId="1221EC54" w14:textId="77777777" w:rsidR="00F75892" w:rsidRPr="00531995" w:rsidRDefault="00F75892" w:rsidP="00531995">
      <w:pPr>
        <w:jc w:val="center"/>
        <w:rPr>
          <w:b/>
          <w:sz w:val="36"/>
          <w:szCs w:val="36"/>
        </w:rPr>
      </w:pPr>
      <w:r w:rsidRPr="00531995">
        <w:rPr>
          <w:b/>
          <w:sz w:val="36"/>
          <w:szCs w:val="36"/>
        </w:rPr>
        <w:t>The constitution and implementation of the English Baccalaureate: implications for educational equality.</w:t>
      </w:r>
    </w:p>
    <w:p w14:paraId="1B91F22B" w14:textId="77777777" w:rsidR="00F75892" w:rsidRPr="00EF66FD" w:rsidRDefault="00F75892" w:rsidP="00531995">
      <w:pPr>
        <w:spacing w:after="0" w:line="240" w:lineRule="auto"/>
        <w:jc w:val="center"/>
        <w:rPr>
          <w:b/>
          <w:sz w:val="32"/>
          <w:szCs w:val="32"/>
        </w:rPr>
      </w:pPr>
      <w:r w:rsidRPr="00A60BAC">
        <w:rPr>
          <w:b/>
          <w:sz w:val="32"/>
          <w:szCs w:val="32"/>
        </w:rPr>
        <w:t>Doctorate of Education (EdD)</w:t>
      </w:r>
    </w:p>
    <w:p w14:paraId="42CC3704" w14:textId="77777777" w:rsidR="00563D1A" w:rsidRPr="00531995" w:rsidRDefault="00563D1A" w:rsidP="00531995">
      <w:pPr>
        <w:spacing w:after="0" w:line="240" w:lineRule="auto"/>
        <w:jc w:val="center"/>
        <w:rPr>
          <w:b/>
          <w:sz w:val="32"/>
          <w:szCs w:val="32"/>
        </w:rPr>
      </w:pPr>
    </w:p>
    <w:p w14:paraId="2F677869" w14:textId="2F831376" w:rsidR="00563D1A" w:rsidRPr="00531995" w:rsidRDefault="00563D1A" w:rsidP="00531995">
      <w:pPr>
        <w:spacing w:after="0" w:line="240" w:lineRule="auto"/>
        <w:jc w:val="center"/>
        <w:rPr>
          <w:b/>
          <w:sz w:val="28"/>
          <w:szCs w:val="28"/>
        </w:rPr>
      </w:pPr>
      <w:r w:rsidRPr="00531995">
        <w:rPr>
          <w:b/>
          <w:sz w:val="28"/>
          <w:szCs w:val="28"/>
        </w:rPr>
        <w:t>Department of Education</w:t>
      </w:r>
    </w:p>
    <w:p w14:paraId="3C707BFF" w14:textId="77777777" w:rsidR="00F75892" w:rsidRPr="00A60BAC" w:rsidRDefault="00F75892" w:rsidP="00531995">
      <w:pPr>
        <w:spacing w:after="0" w:line="240" w:lineRule="auto"/>
        <w:jc w:val="center"/>
        <w:rPr>
          <w:b/>
          <w:sz w:val="32"/>
          <w:szCs w:val="32"/>
        </w:rPr>
      </w:pPr>
    </w:p>
    <w:p w14:paraId="528E5C00" w14:textId="77777777" w:rsidR="00563D1A" w:rsidRPr="00531995" w:rsidRDefault="00F75892" w:rsidP="00531995">
      <w:pPr>
        <w:spacing w:after="0" w:line="240" w:lineRule="auto"/>
        <w:jc w:val="center"/>
        <w:rPr>
          <w:b/>
          <w:sz w:val="36"/>
          <w:szCs w:val="36"/>
        </w:rPr>
      </w:pPr>
      <w:r w:rsidRPr="00531995">
        <w:rPr>
          <w:b/>
          <w:sz w:val="36"/>
          <w:szCs w:val="36"/>
        </w:rPr>
        <w:t>Kathryn Hobbs</w:t>
      </w:r>
    </w:p>
    <w:p w14:paraId="66D719BE" w14:textId="77777777" w:rsidR="00563D1A" w:rsidRPr="00A60BAC" w:rsidRDefault="00563D1A" w:rsidP="00531995">
      <w:pPr>
        <w:spacing w:after="0" w:line="240" w:lineRule="auto"/>
        <w:jc w:val="center"/>
        <w:rPr>
          <w:b/>
          <w:sz w:val="32"/>
          <w:szCs w:val="32"/>
        </w:rPr>
      </w:pPr>
    </w:p>
    <w:p w14:paraId="3744B727" w14:textId="6208F28E" w:rsidR="00F75892" w:rsidRPr="00531995" w:rsidRDefault="006655BD" w:rsidP="00531995">
      <w:pPr>
        <w:spacing w:after="0" w:line="240" w:lineRule="auto"/>
        <w:jc w:val="center"/>
        <w:rPr>
          <w:b/>
          <w:sz w:val="24"/>
          <w:szCs w:val="24"/>
        </w:rPr>
      </w:pPr>
      <w:r>
        <w:rPr>
          <w:b/>
          <w:sz w:val="24"/>
          <w:szCs w:val="24"/>
        </w:rPr>
        <w:t>30</w:t>
      </w:r>
      <w:r w:rsidRPr="006655BD">
        <w:rPr>
          <w:b/>
          <w:sz w:val="24"/>
          <w:szCs w:val="24"/>
          <w:vertAlign w:val="superscript"/>
        </w:rPr>
        <w:t>th</w:t>
      </w:r>
      <w:r>
        <w:rPr>
          <w:b/>
          <w:sz w:val="24"/>
          <w:szCs w:val="24"/>
        </w:rPr>
        <w:t xml:space="preserve"> May 2016</w:t>
      </w:r>
      <w:r w:rsidR="00F75892" w:rsidRPr="00531995">
        <w:rPr>
          <w:b/>
          <w:sz w:val="24"/>
          <w:szCs w:val="24"/>
        </w:rPr>
        <w:br w:type="page"/>
      </w:r>
    </w:p>
    <w:p w14:paraId="1B60B77E" w14:textId="2ED4DD90" w:rsidR="00B543D8" w:rsidRPr="004C3C74" w:rsidRDefault="00DD5AF6" w:rsidP="00531995">
      <w:pPr>
        <w:pStyle w:val="Heading1"/>
      </w:pPr>
      <w:bookmarkStart w:id="0" w:name="_Toc452316286"/>
      <w:r w:rsidRPr="004C3C74">
        <w:lastRenderedPageBreak/>
        <w:t>The constitution and implementation of the English Baccalaureate: implications for educational equality.</w:t>
      </w:r>
      <w:bookmarkEnd w:id="0"/>
    </w:p>
    <w:p w14:paraId="2DBB926A" w14:textId="77777777" w:rsidR="006D526C" w:rsidRDefault="006D526C" w:rsidP="00531995">
      <w:pPr>
        <w:outlineLvl w:val="0"/>
        <w:rPr>
          <w:b/>
          <w:sz w:val="24"/>
          <w:szCs w:val="24"/>
        </w:rPr>
      </w:pPr>
    </w:p>
    <w:p w14:paraId="7766CA67" w14:textId="77777777" w:rsidR="00D347E1" w:rsidRDefault="00D347E1" w:rsidP="00531995">
      <w:pPr>
        <w:pStyle w:val="Heading2"/>
      </w:pPr>
      <w:bookmarkStart w:id="1" w:name="_Toc452316287"/>
      <w:r w:rsidRPr="0005437C">
        <w:t>Abstract</w:t>
      </w:r>
      <w:bookmarkEnd w:id="1"/>
    </w:p>
    <w:p w14:paraId="0D04B349" w14:textId="77777777" w:rsidR="008021B4" w:rsidRDefault="00C51572" w:rsidP="00C51572">
      <w:pPr>
        <w:pStyle w:val="Default"/>
        <w:rPr>
          <w:rFonts w:asciiTheme="minorHAnsi" w:hAnsiTheme="minorHAnsi" w:cs="Calibri"/>
        </w:rPr>
      </w:pPr>
      <w:r w:rsidRPr="005D3EE5">
        <w:rPr>
          <w:rFonts w:asciiTheme="minorHAnsi" w:hAnsiTheme="minorHAnsi" w:cs="Calibri"/>
        </w:rPr>
        <w:t xml:space="preserve">The English Baccalaureate (EBac), a performance measure for English secondary schools, was introduced by the British Coalition government in 2010. </w:t>
      </w:r>
      <w:r>
        <w:rPr>
          <w:rFonts w:asciiTheme="minorHAnsi" w:hAnsiTheme="minorHAnsi" w:cs="Calibri"/>
        </w:rPr>
        <w:t xml:space="preserve">As </w:t>
      </w:r>
      <w:r w:rsidRPr="005D3EE5">
        <w:rPr>
          <w:rFonts w:asciiTheme="minorHAnsi" w:hAnsiTheme="minorHAnsi" w:cs="Calibri"/>
        </w:rPr>
        <w:t>a narrow range of traditional academic subjects</w:t>
      </w:r>
      <w:r>
        <w:rPr>
          <w:rFonts w:asciiTheme="minorHAnsi" w:hAnsiTheme="minorHAnsi" w:cs="Calibri"/>
        </w:rPr>
        <w:t>, t</w:t>
      </w:r>
      <w:r w:rsidRPr="005D3EE5">
        <w:rPr>
          <w:rFonts w:asciiTheme="minorHAnsi" w:hAnsiTheme="minorHAnsi" w:cs="Calibri"/>
        </w:rPr>
        <w:t>he EBac</w:t>
      </w:r>
      <w:r>
        <w:rPr>
          <w:rFonts w:asciiTheme="minorHAnsi" w:hAnsiTheme="minorHAnsi" w:cs="Calibri"/>
        </w:rPr>
        <w:t xml:space="preserve"> </w:t>
      </w:r>
      <w:r w:rsidRPr="005D3EE5">
        <w:rPr>
          <w:rFonts w:asciiTheme="minorHAnsi" w:hAnsiTheme="minorHAnsi" w:cs="Calibri"/>
        </w:rPr>
        <w:t>contrast</w:t>
      </w:r>
      <w:r>
        <w:rPr>
          <w:rFonts w:asciiTheme="minorHAnsi" w:hAnsiTheme="minorHAnsi" w:cs="Calibri"/>
        </w:rPr>
        <w:t>ed</w:t>
      </w:r>
      <w:r w:rsidRPr="005D3EE5">
        <w:rPr>
          <w:rFonts w:asciiTheme="minorHAnsi" w:hAnsiTheme="minorHAnsi" w:cs="Calibri"/>
        </w:rPr>
        <w:t xml:space="preserve"> with the previous broader, </w:t>
      </w:r>
      <w:r w:rsidR="004F3297">
        <w:rPr>
          <w:rFonts w:asciiTheme="minorHAnsi" w:hAnsiTheme="minorHAnsi" w:cs="Calibri"/>
        </w:rPr>
        <w:t xml:space="preserve">more </w:t>
      </w:r>
      <w:r w:rsidRPr="005D3EE5">
        <w:rPr>
          <w:rFonts w:asciiTheme="minorHAnsi" w:hAnsiTheme="minorHAnsi" w:cs="Calibri"/>
        </w:rPr>
        <w:t xml:space="preserve">flexible curriculum. The stated </w:t>
      </w:r>
      <w:r>
        <w:rPr>
          <w:rFonts w:asciiTheme="minorHAnsi" w:hAnsiTheme="minorHAnsi" w:cs="Calibri"/>
        </w:rPr>
        <w:t>policy purpose</w:t>
      </w:r>
      <w:r w:rsidRPr="005D3EE5">
        <w:rPr>
          <w:rFonts w:asciiTheme="minorHAnsi" w:hAnsiTheme="minorHAnsi" w:cs="Calibri"/>
        </w:rPr>
        <w:t xml:space="preserve"> was to ensure </w:t>
      </w:r>
      <w:r w:rsidR="004F3297">
        <w:rPr>
          <w:rFonts w:asciiTheme="minorHAnsi" w:hAnsiTheme="minorHAnsi" w:cs="Calibri"/>
        </w:rPr>
        <w:t xml:space="preserve">that </w:t>
      </w:r>
      <w:r w:rsidRPr="005D3EE5">
        <w:rPr>
          <w:rFonts w:asciiTheme="minorHAnsi" w:hAnsiTheme="minorHAnsi" w:cs="Calibri"/>
        </w:rPr>
        <w:t>all students ha</w:t>
      </w:r>
      <w:r>
        <w:rPr>
          <w:rFonts w:asciiTheme="minorHAnsi" w:hAnsiTheme="minorHAnsi" w:cs="Calibri"/>
        </w:rPr>
        <w:t>d access and encouragement</w:t>
      </w:r>
      <w:r w:rsidRPr="005D3EE5">
        <w:rPr>
          <w:rFonts w:asciiTheme="minorHAnsi" w:hAnsiTheme="minorHAnsi" w:cs="Calibri"/>
        </w:rPr>
        <w:t xml:space="preserve"> to study EBac subjects. </w:t>
      </w:r>
    </w:p>
    <w:p w14:paraId="35A169FA" w14:textId="77777777" w:rsidR="008021B4" w:rsidRDefault="008021B4" w:rsidP="00C51572">
      <w:pPr>
        <w:pStyle w:val="Default"/>
        <w:rPr>
          <w:rFonts w:asciiTheme="minorHAnsi" w:hAnsiTheme="minorHAnsi" w:cs="Calibri"/>
        </w:rPr>
      </w:pPr>
    </w:p>
    <w:p w14:paraId="0F90EA73" w14:textId="771434C0" w:rsidR="002238E4" w:rsidRDefault="00C51572" w:rsidP="00C51572">
      <w:pPr>
        <w:pStyle w:val="Default"/>
        <w:rPr>
          <w:rFonts w:ascii="Calibri" w:hAnsi="Calibri" w:cs="Calibri"/>
        </w:rPr>
      </w:pPr>
      <w:r w:rsidRPr="005D3EE5">
        <w:rPr>
          <w:rFonts w:asciiTheme="minorHAnsi" w:hAnsiTheme="minorHAnsi" w:cs="Calibri"/>
        </w:rPr>
        <w:t>Th</w:t>
      </w:r>
      <w:r w:rsidR="001B5863">
        <w:rPr>
          <w:rFonts w:asciiTheme="minorHAnsi" w:hAnsiTheme="minorHAnsi" w:cs="Calibri"/>
        </w:rPr>
        <w:t>e</w:t>
      </w:r>
      <w:r w:rsidRPr="005D3EE5">
        <w:rPr>
          <w:rFonts w:asciiTheme="minorHAnsi" w:hAnsiTheme="minorHAnsi" w:cs="Calibri"/>
        </w:rPr>
        <w:t xml:space="preserve"> research aims are to investigate why the EBac policy was introduced at this time, </w:t>
      </w:r>
      <w:r>
        <w:rPr>
          <w:rFonts w:asciiTheme="minorHAnsi" w:hAnsiTheme="minorHAnsi" w:cs="Calibri"/>
        </w:rPr>
        <w:t xml:space="preserve">to </w:t>
      </w:r>
      <w:r w:rsidRPr="005D3EE5">
        <w:rPr>
          <w:rFonts w:asciiTheme="minorHAnsi" w:hAnsiTheme="minorHAnsi" w:cs="Calibri"/>
        </w:rPr>
        <w:t xml:space="preserve">examine the potential and actual impact on the school curriculum from the perspectives of teachers and </w:t>
      </w:r>
      <w:r>
        <w:rPr>
          <w:rFonts w:asciiTheme="minorHAnsi" w:hAnsiTheme="minorHAnsi" w:cs="Calibri"/>
        </w:rPr>
        <w:t xml:space="preserve">to </w:t>
      </w:r>
      <w:r w:rsidRPr="005D3EE5">
        <w:rPr>
          <w:rFonts w:asciiTheme="minorHAnsi" w:hAnsiTheme="minorHAnsi" w:cs="Calibri"/>
        </w:rPr>
        <w:t xml:space="preserve">identify </w:t>
      </w:r>
      <w:r w:rsidR="004F3297">
        <w:rPr>
          <w:rFonts w:asciiTheme="minorHAnsi" w:hAnsiTheme="minorHAnsi" w:cs="Calibri"/>
        </w:rPr>
        <w:t xml:space="preserve">the </w:t>
      </w:r>
      <w:r w:rsidRPr="005D3EE5">
        <w:rPr>
          <w:rFonts w:asciiTheme="minorHAnsi" w:hAnsiTheme="minorHAnsi" w:cs="Calibri"/>
        </w:rPr>
        <w:t xml:space="preserve">potential winners and losers of this policy. This </w:t>
      </w:r>
      <w:r>
        <w:rPr>
          <w:rFonts w:asciiTheme="minorHAnsi" w:hAnsiTheme="minorHAnsi" w:cs="Calibri"/>
        </w:rPr>
        <w:t>study</w:t>
      </w:r>
      <w:r w:rsidRPr="005D3EE5">
        <w:rPr>
          <w:rFonts w:asciiTheme="minorHAnsi" w:hAnsiTheme="minorHAnsi" w:cs="Calibri"/>
        </w:rPr>
        <w:t xml:space="preserve"> provides critical reflection </w:t>
      </w:r>
      <w:r w:rsidR="004F3297">
        <w:rPr>
          <w:rFonts w:asciiTheme="minorHAnsi" w:hAnsiTheme="minorHAnsi" w:cs="Calibri"/>
        </w:rPr>
        <w:t>around</w:t>
      </w:r>
      <w:r w:rsidR="004F3297" w:rsidRPr="005D3EE5">
        <w:rPr>
          <w:rFonts w:asciiTheme="minorHAnsi" w:hAnsiTheme="minorHAnsi" w:cs="Calibri"/>
        </w:rPr>
        <w:t xml:space="preserve"> the implementation of the EBac policy</w:t>
      </w:r>
      <w:r w:rsidR="004F3297">
        <w:rPr>
          <w:rFonts w:asciiTheme="minorHAnsi" w:hAnsiTheme="minorHAnsi" w:cs="Calibri"/>
        </w:rPr>
        <w:t xml:space="preserve"> </w:t>
      </w:r>
      <w:r>
        <w:rPr>
          <w:rFonts w:asciiTheme="minorHAnsi" w:hAnsiTheme="minorHAnsi" w:cs="Calibri"/>
        </w:rPr>
        <w:t>within a poststructural approach,</w:t>
      </w:r>
      <w:r w:rsidRPr="005D3EE5">
        <w:rPr>
          <w:rFonts w:asciiTheme="minorHAnsi" w:hAnsiTheme="minorHAnsi" w:cs="Calibri"/>
        </w:rPr>
        <w:t xml:space="preserve"> </w:t>
      </w:r>
      <w:r>
        <w:rPr>
          <w:rFonts w:asciiTheme="minorHAnsi" w:hAnsiTheme="minorHAnsi" w:cs="Calibri"/>
        </w:rPr>
        <w:t>making</w:t>
      </w:r>
      <w:r w:rsidRPr="005D3EE5">
        <w:rPr>
          <w:rFonts w:asciiTheme="minorHAnsi" w:hAnsiTheme="minorHAnsi" w:cs="Calibri"/>
        </w:rPr>
        <w:t xml:space="preserve"> recommendations for</w:t>
      </w:r>
      <w:r>
        <w:rPr>
          <w:rFonts w:asciiTheme="minorHAnsi" w:hAnsiTheme="minorHAnsi" w:cs="Calibri"/>
        </w:rPr>
        <w:t xml:space="preserve"> </w:t>
      </w:r>
      <w:r w:rsidRPr="005D3EE5">
        <w:rPr>
          <w:rFonts w:asciiTheme="minorHAnsi" w:hAnsiTheme="minorHAnsi" w:cs="Calibri"/>
        </w:rPr>
        <w:t xml:space="preserve">socially just refinements. </w:t>
      </w:r>
      <w:r w:rsidRPr="005D3EE5">
        <w:rPr>
          <w:rFonts w:asciiTheme="minorHAnsi" w:hAnsiTheme="minorHAnsi"/>
        </w:rPr>
        <w:t xml:space="preserve">Critical Discourse Analysis (CDA) is deployed within Scheurich’s </w:t>
      </w:r>
      <w:r>
        <w:rPr>
          <w:rFonts w:asciiTheme="minorHAnsi" w:hAnsiTheme="minorHAnsi"/>
        </w:rPr>
        <w:t>p</w:t>
      </w:r>
      <w:r w:rsidRPr="005D3EE5">
        <w:rPr>
          <w:rFonts w:asciiTheme="minorHAnsi" w:hAnsiTheme="minorHAnsi"/>
        </w:rPr>
        <w:t xml:space="preserve">olicy </w:t>
      </w:r>
      <w:r>
        <w:rPr>
          <w:rFonts w:asciiTheme="minorHAnsi" w:hAnsiTheme="minorHAnsi"/>
        </w:rPr>
        <w:t>a</w:t>
      </w:r>
      <w:r w:rsidRPr="005D3EE5">
        <w:rPr>
          <w:rFonts w:asciiTheme="minorHAnsi" w:hAnsiTheme="minorHAnsi"/>
        </w:rPr>
        <w:t xml:space="preserve">rchaeology framework </w:t>
      </w:r>
      <w:r>
        <w:rPr>
          <w:rFonts w:asciiTheme="minorHAnsi" w:hAnsiTheme="minorHAnsi"/>
        </w:rPr>
        <w:t>to explore</w:t>
      </w:r>
      <w:r w:rsidRPr="005D3EE5">
        <w:rPr>
          <w:rFonts w:asciiTheme="minorHAnsi" w:hAnsiTheme="minorHAnsi"/>
        </w:rPr>
        <w:t xml:space="preserve"> policy implementation via semi-structured interviews with school leaders in four contrasting secondary schools. </w:t>
      </w:r>
      <w:r>
        <w:rPr>
          <w:rFonts w:asciiTheme="minorHAnsi" w:hAnsiTheme="minorHAnsi"/>
        </w:rPr>
        <w:t>CDA</w:t>
      </w:r>
      <w:r>
        <w:rPr>
          <w:rStyle w:val="CommentReference"/>
          <w:rFonts w:ascii="Calibri" w:eastAsia="Calibri" w:hAnsi="Calibri" w:cs="Times New Roman"/>
          <w:color w:val="auto"/>
          <w:lang w:eastAsia="en-US"/>
        </w:rPr>
        <w:t xml:space="preserve"> </w:t>
      </w:r>
      <w:r>
        <w:rPr>
          <w:rFonts w:asciiTheme="minorHAnsi" w:hAnsiTheme="minorHAnsi" w:cs="Calibri"/>
        </w:rPr>
        <w:t>highlights</w:t>
      </w:r>
      <w:r w:rsidRPr="00A43E48">
        <w:rPr>
          <w:rFonts w:asciiTheme="minorHAnsi" w:hAnsiTheme="minorHAnsi" w:cs="Calibri"/>
        </w:rPr>
        <w:t xml:space="preserve"> a set of socially constituted issues</w:t>
      </w:r>
      <w:r w:rsidR="002E05B2">
        <w:rPr>
          <w:rFonts w:asciiTheme="minorHAnsi" w:hAnsiTheme="minorHAnsi" w:cs="Calibri"/>
        </w:rPr>
        <w:t>,</w:t>
      </w:r>
      <w:r w:rsidRPr="00A43E48">
        <w:rPr>
          <w:rFonts w:asciiTheme="minorHAnsi" w:hAnsiTheme="minorHAnsi" w:cs="Calibri"/>
        </w:rPr>
        <w:t xml:space="preserve"> which</w:t>
      </w:r>
      <w:r w:rsidR="002E05B2">
        <w:rPr>
          <w:rFonts w:asciiTheme="minorHAnsi" w:hAnsiTheme="minorHAnsi" w:cs="Calibri"/>
        </w:rPr>
        <w:t xml:space="preserve"> </w:t>
      </w:r>
      <w:r w:rsidRPr="00A43E48">
        <w:rPr>
          <w:rFonts w:asciiTheme="minorHAnsi" w:hAnsiTheme="minorHAnsi" w:cs="Calibri"/>
        </w:rPr>
        <w:t>in turn le</w:t>
      </w:r>
      <w:r>
        <w:rPr>
          <w:rFonts w:asciiTheme="minorHAnsi" w:hAnsiTheme="minorHAnsi" w:cs="Calibri"/>
        </w:rPr>
        <w:t>a</w:t>
      </w:r>
      <w:r w:rsidRPr="00A43E48">
        <w:rPr>
          <w:rFonts w:asciiTheme="minorHAnsi" w:hAnsiTheme="minorHAnsi" w:cs="Calibri"/>
        </w:rPr>
        <w:t xml:space="preserve">d to the identification of the problem of low educational standards, (particularly </w:t>
      </w:r>
      <w:r w:rsidR="002E05B2">
        <w:rPr>
          <w:rFonts w:asciiTheme="minorHAnsi" w:hAnsiTheme="minorHAnsi" w:cs="Calibri"/>
        </w:rPr>
        <w:t>among</w:t>
      </w:r>
      <w:r w:rsidRPr="00A43E48">
        <w:rPr>
          <w:rFonts w:asciiTheme="minorHAnsi" w:hAnsiTheme="minorHAnsi" w:cs="Calibri"/>
        </w:rPr>
        <w:t xml:space="preserve"> disadvantaged students) and hence to the construction of </w:t>
      </w:r>
      <w:r>
        <w:rPr>
          <w:rFonts w:asciiTheme="minorHAnsi" w:hAnsiTheme="minorHAnsi" w:cs="Calibri"/>
        </w:rPr>
        <w:t xml:space="preserve">a </w:t>
      </w:r>
      <w:r w:rsidRPr="00A43E48">
        <w:rPr>
          <w:rFonts w:asciiTheme="minorHAnsi" w:hAnsiTheme="minorHAnsi" w:cs="Calibri"/>
        </w:rPr>
        <w:t>politically</w:t>
      </w:r>
      <w:r>
        <w:rPr>
          <w:rFonts w:ascii="Calibri" w:hAnsi="Calibri" w:cs="Calibri"/>
        </w:rPr>
        <w:t xml:space="preserve"> acceptable policy solution, namely the EBac. </w:t>
      </w:r>
    </w:p>
    <w:p w14:paraId="314DA40C" w14:textId="77777777" w:rsidR="002238E4" w:rsidRDefault="002238E4" w:rsidP="00C51572">
      <w:pPr>
        <w:pStyle w:val="Default"/>
        <w:rPr>
          <w:rFonts w:ascii="Calibri" w:hAnsi="Calibri" w:cs="Calibri"/>
        </w:rPr>
      </w:pPr>
    </w:p>
    <w:p w14:paraId="3BA35B0B" w14:textId="2B8978DD" w:rsidR="002238E4" w:rsidRDefault="00C51572" w:rsidP="00C51572">
      <w:pPr>
        <w:pStyle w:val="Default"/>
        <w:rPr>
          <w:rFonts w:ascii="Calibri" w:hAnsi="Calibri" w:cs="Calibri"/>
        </w:rPr>
      </w:pPr>
      <w:r>
        <w:rPr>
          <w:rFonts w:ascii="Calibri" w:hAnsi="Calibri" w:cs="Calibri"/>
        </w:rPr>
        <w:t xml:space="preserve">Five key themes arose from the interviews: the nature of knowledge; differentiation </w:t>
      </w:r>
      <w:r w:rsidR="002E05B2">
        <w:rPr>
          <w:rFonts w:ascii="Calibri" w:hAnsi="Calibri" w:cs="Calibri"/>
        </w:rPr>
        <w:t>and</w:t>
      </w:r>
      <w:r>
        <w:rPr>
          <w:rFonts w:ascii="Calibri" w:hAnsi="Calibri" w:cs="Calibri"/>
        </w:rPr>
        <w:t xml:space="preserve"> hierarchy; choice </w:t>
      </w:r>
      <w:r w:rsidR="002E05B2">
        <w:rPr>
          <w:rFonts w:ascii="Calibri" w:hAnsi="Calibri" w:cs="Calibri"/>
        </w:rPr>
        <w:t>and</w:t>
      </w:r>
      <w:r>
        <w:rPr>
          <w:rFonts w:ascii="Calibri" w:hAnsi="Calibri" w:cs="Calibri"/>
        </w:rPr>
        <w:t xml:space="preserve"> resistance; control </w:t>
      </w:r>
      <w:r w:rsidR="002E05B2">
        <w:rPr>
          <w:rFonts w:ascii="Calibri" w:hAnsi="Calibri" w:cs="Calibri"/>
        </w:rPr>
        <w:t>and</w:t>
      </w:r>
      <w:r>
        <w:rPr>
          <w:rFonts w:ascii="Calibri" w:hAnsi="Calibri" w:cs="Calibri"/>
        </w:rPr>
        <w:t xml:space="preserve"> accountability</w:t>
      </w:r>
      <w:r w:rsidR="002E05B2">
        <w:rPr>
          <w:rFonts w:ascii="Calibri" w:hAnsi="Calibri" w:cs="Calibri"/>
        </w:rPr>
        <w:t>,</w:t>
      </w:r>
      <w:r>
        <w:rPr>
          <w:rFonts w:ascii="Calibri" w:hAnsi="Calibri" w:cs="Calibri"/>
        </w:rPr>
        <w:t xml:space="preserve"> and equality. Teachers’ discourse</w:t>
      </w:r>
      <w:r w:rsidR="008A154A">
        <w:rPr>
          <w:rFonts w:ascii="Calibri" w:hAnsi="Calibri" w:cs="Calibri"/>
        </w:rPr>
        <w:t xml:space="preserve"> </w:t>
      </w:r>
      <w:r>
        <w:rPr>
          <w:rFonts w:ascii="Calibri" w:hAnsi="Calibri" w:cs="Calibri"/>
        </w:rPr>
        <w:t xml:space="preserve">centred on notions of student ‘ability’ in contrast to the anticipated focus on student characteristics of social class, gender and ethnicity. Teachers’ pre-occupation with outcomes of high-stake educational tests created self-governance and restricted access to EBac subjects for students deemed ‘not capable’ of achieving the pass grade of A*-C. The study concludes that the EBac </w:t>
      </w:r>
      <w:r w:rsidR="007D3586">
        <w:rPr>
          <w:rFonts w:ascii="Calibri" w:hAnsi="Calibri" w:cs="Calibri"/>
        </w:rPr>
        <w:t>in its present form might</w:t>
      </w:r>
      <w:r>
        <w:rPr>
          <w:rFonts w:ascii="Calibri" w:hAnsi="Calibri" w:cs="Calibri"/>
        </w:rPr>
        <w:t xml:space="preserve"> exacerbate educational achievement inequalities rather than resolve them. The neoliberal drive for outcomes and performance measures </w:t>
      </w:r>
      <w:r w:rsidR="008A154A">
        <w:rPr>
          <w:rFonts w:ascii="Calibri" w:hAnsi="Calibri" w:cs="Calibri"/>
        </w:rPr>
        <w:t xml:space="preserve">has resulted in </w:t>
      </w:r>
      <w:r>
        <w:rPr>
          <w:rFonts w:ascii="Calibri" w:hAnsi="Calibri" w:cs="Calibri"/>
        </w:rPr>
        <w:t>some students continu</w:t>
      </w:r>
      <w:r w:rsidR="008A154A">
        <w:rPr>
          <w:rFonts w:ascii="Calibri" w:hAnsi="Calibri" w:cs="Calibri"/>
        </w:rPr>
        <w:t>ing</w:t>
      </w:r>
      <w:r>
        <w:rPr>
          <w:rFonts w:ascii="Calibri" w:hAnsi="Calibri" w:cs="Calibri"/>
        </w:rPr>
        <w:t xml:space="preserve"> to be diverted away from EBac subjects. </w:t>
      </w:r>
    </w:p>
    <w:p w14:paraId="70435BDE" w14:textId="77777777" w:rsidR="002238E4" w:rsidRDefault="002238E4">
      <w:pPr>
        <w:spacing w:after="0" w:line="240" w:lineRule="auto"/>
        <w:rPr>
          <w:rFonts w:eastAsia="Times New Roman" w:cs="Calibri"/>
          <w:color w:val="000000"/>
          <w:sz w:val="24"/>
          <w:szCs w:val="24"/>
          <w:lang w:eastAsia="en-GB"/>
        </w:rPr>
      </w:pPr>
      <w:r>
        <w:rPr>
          <w:rFonts w:cs="Calibri"/>
        </w:rPr>
        <w:br w:type="page"/>
      </w:r>
    </w:p>
    <w:sdt>
      <w:sdtPr>
        <w:rPr>
          <w:rFonts w:ascii="Calibri" w:eastAsia="Calibri" w:hAnsi="Calibri" w:cs="Times New Roman"/>
          <w:b w:val="0"/>
          <w:bCs w:val="0"/>
          <w:color w:val="auto"/>
          <w:sz w:val="22"/>
          <w:szCs w:val="22"/>
          <w:lang w:val="en-GB"/>
        </w:rPr>
        <w:id w:val="-374239361"/>
        <w:docPartObj>
          <w:docPartGallery w:val="Table of Contents"/>
          <w:docPartUnique/>
        </w:docPartObj>
      </w:sdtPr>
      <w:sdtEndPr>
        <w:rPr>
          <w:noProof/>
        </w:rPr>
      </w:sdtEndPr>
      <w:sdtContent>
        <w:p w14:paraId="332C3B31" w14:textId="01DC208B" w:rsidR="00D14D4B" w:rsidRPr="00531995" w:rsidRDefault="00D14D4B" w:rsidP="00531995">
          <w:pPr>
            <w:pStyle w:val="TOCHeading"/>
            <w:jc w:val="center"/>
            <w:rPr>
              <w:rFonts w:asciiTheme="minorHAnsi" w:hAnsiTheme="minorHAnsi"/>
              <w:sz w:val="36"/>
              <w:szCs w:val="36"/>
            </w:rPr>
          </w:pPr>
          <w:r w:rsidRPr="00531995">
            <w:rPr>
              <w:rFonts w:asciiTheme="minorHAnsi" w:hAnsiTheme="minorHAnsi"/>
              <w:sz w:val="36"/>
              <w:szCs w:val="36"/>
            </w:rPr>
            <w:t>Table of Contents</w:t>
          </w:r>
        </w:p>
        <w:p w14:paraId="3DD05CC7" w14:textId="77777777" w:rsidR="006655BD" w:rsidRDefault="00D14D4B">
          <w:pPr>
            <w:pStyle w:val="TOC1"/>
            <w:tabs>
              <w:tab w:val="right" w:leader="dot" w:pos="9016"/>
            </w:tabs>
            <w:rPr>
              <w:rFonts w:eastAsiaTheme="minorEastAsia" w:cstheme="minorBidi"/>
              <w:b w:val="0"/>
              <w:bCs w:val="0"/>
              <w:noProof/>
              <w:sz w:val="22"/>
              <w:szCs w:val="22"/>
              <w:lang w:eastAsia="en-GB"/>
            </w:rPr>
          </w:pPr>
          <w:r>
            <w:rPr>
              <w:b w:val="0"/>
              <w:bCs w:val="0"/>
            </w:rPr>
            <w:fldChar w:fldCharType="begin"/>
          </w:r>
          <w:r>
            <w:instrText xml:space="preserve"> TOC \o "1-3" \h \z \u </w:instrText>
          </w:r>
          <w:r>
            <w:rPr>
              <w:b w:val="0"/>
              <w:bCs w:val="0"/>
            </w:rPr>
            <w:fldChar w:fldCharType="separate"/>
          </w:r>
          <w:hyperlink w:anchor="_Toc452316286" w:history="1">
            <w:r w:rsidR="006655BD" w:rsidRPr="00230B72">
              <w:rPr>
                <w:rStyle w:val="Hyperlink"/>
                <w:noProof/>
              </w:rPr>
              <w:t>The constitution and implementation of the English Baccalaureate: implications for educational equality.</w:t>
            </w:r>
            <w:r w:rsidR="006655BD">
              <w:rPr>
                <w:noProof/>
                <w:webHidden/>
              </w:rPr>
              <w:tab/>
            </w:r>
            <w:r w:rsidR="006655BD">
              <w:rPr>
                <w:noProof/>
                <w:webHidden/>
              </w:rPr>
              <w:fldChar w:fldCharType="begin"/>
            </w:r>
            <w:r w:rsidR="006655BD">
              <w:rPr>
                <w:noProof/>
                <w:webHidden/>
              </w:rPr>
              <w:instrText xml:space="preserve"> PAGEREF _Toc452316286 \h </w:instrText>
            </w:r>
            <w:r w:rsidR="006655BD">
              <w:rPr>
                <w:noProof/>
                <w:webHidden/>
              </w:rPr>
            </w:r>
            <w:r w:rsidR="006655BD">
              <w:rPr>
                <w:noProof/>
                <w:webHidden/>
              </w:rPr>
              <w:fldChar w:fldCharType="separate"/>
            </w:r>
            <w:r w:rsidR="00800876">
              <w:rPr>
                <w:noProof/>
                <w:webHidden/>
              </w:rPr>
              <w:t>3</w:t>
            </w:r>
            <w:r w:rsidR="006655BD">
              <w:rPr>
                <w:noProof/>
                <w:webHidden/>
              </w:rPr>
              <w:fldChar w:fldCharType="end"/>
            </w:r>
          </w:hyperlink>
        </w:p>
        <w:p w14:paraId="7D8416EE" w14:textId="77777777" w:rsidR="006655BD" w:rsidRDefault="00D40F9F">
          <w:pPr>
            <w:pStyle w:val="TOC2"/>
            <w:tabs>
              <w:tab w:val="right" w:leader="dot" w:pos="9016"/>
            </w:tabs>
            <w:rPr>
              <w:rFonts w:eastAsiaTheme="minorEastAsia" w:cstheme="minorBidi"/>
              <w:b w:val="0"/>
              <w:bCs w:val="0"/>
              <w:noProof/>
              <w:lang w:eastAsia="en-GB"/>
            </w:rPr>
          </w:pPr>
          <w:hyperlink w:anchor="_Toc452316287" w:history="1">
            <w:r w:rsidR="006655BD" w:rsidRPr="00230B72">
              <w:rPr>
                <w:rStyle w:val="Hyperlink"/>
                <w:noProof/>
              </w:rPr>
              <w:t>Abstract</w:t>
            </w:r>
            <w:r w:rsidR="006655BD">
              <w:rPr>
                <w:noProof/>
                <w:webHidden/>
              </w:rPr>
              <w:tab/>
            </w:r>
            <w:r w:rsidR="006655BD">
              <w:rPr>
                <w:noProof/>
                <w:webHidden/>
              </w:rPr>
              <w:fldChar w:fldCharType="begin"/>
            </w:r>
            <w:r w:rsidR="006655BD">
              <w:rPr>
                <w:noProof/>
                <w:webHidden/>
              </w:rPr>
              <w:instrText xml:space="preserve"> PAGEREF _Toc452316287 \h </w:instrText>
            </w:r>
            <w:r w:rsidR="006655BD">
              <w:rPr>
                <w:noProof/>
                <w:webHidden/>
              </w:rPr>
            </w:r>
            <w:r w:rsidR="006655BD">
              <w:rPr>
                <w:noProof/>
                <w:webHidden/>
              </w:rPr>
              <w:fldChar w:fldCharType="separate"/>
            </w:r>
            <w:r w:rsidR="00800876">
              <w:rPr>
                <w:noProof/>
                <w:webHidden/>
              </w:rPr>
              <w:t>3</w:t>
            </w:r>
            <w:r w:rsidR="006655BD">
              <w:rPr>
                <w:noProof/>
                <w:webHidden/>
              </w:rPr>
              <w:fldChar w:fldCharType="end"/>
            </w:r>
          </w:hyperlink>
        </w:p>
        <w:p w14:paraId="4F70A418" w14:textId="77777777" w:rsidR="006655BD" w:rsidRDefault="00D40F9F">
          <w:pPr>
            <w:pStyle w:val="TOC1"/>
            <w:tabs>
              <w:tab w:val="right" w:leader="dot" w:pos="9016"/>
            </w:tabs>
            <w:rPr>
              <w:rFonts w:eastAsiaTheme="minorEastAsia" w:cstheme="minorBidi"/>
              <w:b w:val="0"/>
              <w:bCs w:val="0"/>
              <w:noProof/>
              <w:sz w:val="22"/>
              <w:szCs w:val="22"/>
              <w:lang w:eastAsia="en-GB"/>
            </w:rPr>
          </w:pPr>
          <w:hyperlink w:anchor="_Toc452316288" w:history="1">
            <w:r w:rsidR="006655BD" w:rsidRPr="00230B72">
              <w:rPr>
                <w:rStyle w:val="Hyperlink"/>
                <w:noProof/>
              </w:rPr>
              <w:t>Chapter 1 - Introduction</w:t>
            </w:r>
            <w:r w:rsidR="006655BD">
              <w:rPr>
                <w:noProof/>
                <w:webHidden/>
              </w:rPr>
              <w:tab/>
            </w:r>
            <w:r w:rsidR="006655BD">
              <w:rPr>
                <w:noProof/>
                <w:webHidden/>
              </w:rPr>
              <w:fldChar w:fldCharType="begin"/>
            </w:r>
            <w:r w:rsidR="006655BD">
              <w:rPr>
                <w:noProof/>
                <w:webHidden/>
              </w:rPr>
              <w:instrText xml:space="preserve"> PAGEREF _Toc452316288 \h </w:instrText>
            </w:r>
            <w:r w:rsidR="006655BD">
              <w:rPr>
                <w:noProof/>
                <w:webHidden/>
              </w:rPr>
            </w:r>
            <w:r w:rsidR="006655BD">
              <w:rPr>
                <w:noProof/>
                <w:webHidden/>
              </w:rPr>
              <w:fldChar w:fldCharType="separate"/>
            </w:r>
            <w:r w:rsidR="00800876">
              <w:rPr>
                <w:noProof/>
                <w:webHidden/>
              </w:rPr>
              <w:t>8</w:t>
            </w:r>
            <w:r w:rsidR="006655BD">
              <w:rPr>
                <w:noProof/>
                <w:webHidden/>
              </w:rPr>
              <w:fldChar w:fldCharType="end"/>
            </w:r>
          </w:hyperlink>
        </w:p>
        <w:p w14:paraId="2F53FB78" w14:textId="77777777" w:rsidR="006655BD" w:rsidRDefault="00D40F9F">
          <w:pPr>
            <w:pStyle w:val="TOC2"/>
            <w:tabs>
              <w:tab w:val="right" w:leader="dot" w:pos="9016"/>
            </w:tabs>
            <w:rPr>
              <w:rFonts w:eastAsiaTheme="minorEastAsia" w:cstheme="minorBidi"/>
              <w:b w:val="0"/>
              <w:bCs w:val="0"/>
              <w:noProof/>
              <w:lang w:eastAsia="en-GB"/>
            </w:rPr>
          </w:pPr>
          <w:hyperlink w:anchor="_Toc452316289" w:history="1">
            <w:r w:rsidR="006655BD" w:rsidRPr="00230B72">
              <w:rPr>
                <w:rStyle w:val="Hyperlink"/>
                <w:noProof/>
              </w:rPr>
              <w:t>1.1 Introduction</w:t>
            </w:r>
            <w:r w:rsidR="006655BD">
              <w:rPr>
                <w:noProof/>
                <w:webHidden/>
              </w:rPr>
              <w:tab/>
            </w:r>
            <w:r w:rsidR="006655BD">
              <w:rPr>
                <w:noProof/>
                <w:webHidden/>
              </w:rPr>
              <w:fldChar w:fldCharType="begin"/>
            </w:r>
            <w:r w:rsidR="006655BD">
              <w:rPr>
                <w:noProof/>
                <w:webHidden/>
              </w:rPr>
              <w:instrText xml:space="preserve"> PAGEREF _Toc452316289 \h </w:instrText>
            </w:r>
            <w:r w:rsidR="006655BD">
              <w:rPr>
                <w:noProof/>
                <w:webHidden/>
              </w:rPr>
            </w:r>
            <w:r w:rsidR="006655BD">
              <w:rPr>
                <w:noProof/>
                <w:webHidden/>
              </w:rPr>
              <w:fldChar w:fldCharType="separate"/>
            </w:r>
            <w:r w:rsidR="00800876">
              <w:rPr>
                <w:noProof/>
                <w:webHidden/>
              </w:rPr>
              <w:t>8</w:t>
            </w:r>
            <w:r w:rsidR="006655BD">
              <w:rPr>
                <w:noProof/>
                <w:webHidden/>
              </w:rPr>
              <w:fldChar w:fldCharType="end"/>
            </w:r>
          </w:hyperlink>
        </w:p>
        <w:p w14:paraId="43E300C3" w14:textId="77777777" w:rsidR="006655BD" w:rsidRDefault="00D40F9F">
          <w:pPr>
            <w:pStyle w:val="TOC2"/>
            <w:tabs>
              <w:tab w:val="right" w:leader="dot" w:pos="9016"/>
            </w:tabs>
            <w:rPr>
              <w:rFonts w:eastAsiaTheme="minorEastAsia" w:cstheme="minorBidi"/>
              <w:b w:val="0"/>
              <w:bCs w:val="0"/>
              <w:noProof/>
              <w:lang w:eastAsia="en-GB"/>
            </w:rPr>
          </w:pPr>
          <w:hyperlink w:anchor="_Toc452316290" w:history="1">
            <w:r w:rsidR="006655BD" w:rsidRPr="00230B72">
              <w:rPr>
                <w:rStyle w:val="Hyperlink"/>
                <w:noProof/>
              </w:rPr>
              <w:t>1.2 Context</w:t>
            </w:r>
            <w:r w:rsidR="006655BD">
              <w:rPr>
                <w:noProof/>
                <w:webHidden/>
              </w:rPr>
              <w:tab/>
            </w:r>
            <w:r w:rsidR="006655BD">
              <w:rPr>
                <w:noProof/>
                <w:webHidden/>
              </w:rPr>
              <w:fldChar w:fldCharType="begin"/>
            </w:r>
            <w:r w:rsidR="006655BD">
              <w:rPr>
                <w:noProof/>
                <w:webHidden/>
              </w:rPr>
              <w:instrText xml:space="preserve"> PAGEREF _Toc452316290 \h </w:instrText>
            </w:r>
            <w:r w:rsidR="006655BD">
              <w:rPr>
                <w:noProof/>
                <w:webHidden/>
              </w:rPr>
            </w:r>
            <w:r w:rsidR="006655BD">
              <w:rPr>
                <w:noProof/>
                <w:webHidden/>
              </w:rPr>
              <w:fldChar w:fldCharType="separate"/>
            </w:r>
            <w:r w:rsidR="00800876">
              <w:rPr>
                <w:noProof/>
                <w:webHidden/>
              </w:rPr>
              <w:t>9</w:t>
            </w:r>
            <w:r w:rsidR="006655BD">
              <w:rPr>
                <w:noProof/>
                <w:webHidden/>
              </w:rPr>
              <w:fldChar w:fldCharType="end"/>
            </w:r>
          </w:hyperlink>
        </w:p>
        <w:p w14:paraId="76A10E54" w14:textId="77777777" w:rsidR="006655BD" w:rsidRDefault="00D40F9F">
          <w:pPr>
            <w:pStyle w:val="TOC2"/>
            <w:tabs>
              <w:tab w:val="right" w:leader="dot" w:pos="9016"/>
            </w:tabs>
            <w:rPr>
              <w:rFonts w:eastAsiaTheme="minorEastAsia" w:cstheme="minorBidi"/>
              <w:b w:val="0"/>
              <w:bCs w:val="0"/>
              <w:noProof/>
              <w:lang w:eastAsia="en-GB"/>
            </w:rPr>
          </w:pPr>
          <w:hyperlink w:anchor="_Toc452316291" w:history="1">
            <w:r w:rsidR="006655BD" w:rsidRPr="00230B72">
              <w:rPr>
                <w:rStyle w:val="Hyperlink"/>
                <w:noProof/>
              </w:rPr>
              <w:t>1.3 Focus of the study</w:t>
            </w:r>
            <w:r w:rsidR="006655BD">
              <w:rPr>
                <w:noProof/>
                <w:webHidden/>
              </w:rPr>
              <w:tab/>
            </w:r>
            <w:r w:rsidR="006655BD">
              <w:rPr>
                <w:noProof/>
                <w:webHidden/>
              </w:rPr>
              <w:fldChar w:fldCharType="begin"/>
            </w:r>
            <w:r w:rsidR="006655BD">
              <w:rPr>
                <w:noProof/>
                <w:webHidden/>
              </w:rPr>
              <w:instrText xml:space="preserve"> PAGEREF _Toc452316291 \h </w:instrText>
            </w:r>
            <w:r w:rsidR="006655BD">
              <w:rPr>
                <w:noProof/>
                <w:webHidden/>
              </w:rPr>
            </w:r>
            <w:r w:rsidR="006655BD">
              <w:rPr>
                <w:noProof/>
                <w:webHidden/>
              </w:rPr>
              <w:fldChar w:fldCharType="separate"/>
            </w:r>
            <w:r w:rsidR="00800876">
              <w:rPr>
                <w:noProof/>
                <w:webHidden/>
              </w:rPr>
              <w:t>14</w:t>
            </w:r>
            <w:r w:rsidR="006655BD">
              <w:rPr>
                <w:noProof/>
                <w:webHidden/>
              </w:rPr>
              <w:fldChar w:fldCharType="end"/>
            </w:r>
          </w:hyperlink>
        </w:p>
        <w:p w14:paraId="1BAFB663" w14:textId="77777777" w:rsidR="006655BD" w:rsidRDefault="00D40F9F">
          <w:pPr>
            <w:pStyle w:val="TOC2"/>
            <w:tabs>
              <w:tab w:val="right" w:leader="dot" w:pos="9016"/>
            </w:tabs>
            <w:rPr>
              <w:rFonts w:eastAsiaTheme="minorEastAsia" w:cstheme="minorBidi"/>
              <w:b w:val="0"/>
              <w:bCs w:val="0"/>
              <w:noProof/>
              <w:lang w:eastAsia="en-GB"/>
            </w:rPr>
          </w:pPr>
          <w:hyperlink w:anchor="_Toc452316292" w:history="1">
            <w:r w:rsidR="006655BD" w:rsidRPr="00230B72">
              <w:rPr>
                <w:rStyle w:val="Hyperlink"/>
                <w:noProof/>
              </w:rPr>
              <w:t>1.4 Research aims and questions</w:t>
            </w:r>
            <w:r w:rsidR="006655BD">
              <w:rPr>
                <w:noProof/>
                <w:webHidden/>
              </w:rPr>
              <w:tab/>
            </w:r>
            <w:r w:rsidR="006655BD">
              <w:rPr>
                <w:noProof/>
                <w:webHidden/>
              </w:rPr>
              <w:fldChar w:fldCharType="begin"/>
            </w:r>
            <w:r w:rsidR="006655BD">
              <w:rPr>
                <w:noProof/>
                <w:webHidden/>
              </w:rPr>
              <w:instrText xml:space="preserve"> PAGEREF _Toc452316292 \h </w:instrText>
            </w:r>
            <w:r w:rsidR="006655BD">
              <w:rPr>
                <w:noProof/>
                <w:webHidden/>
              </w:rPr>
            </w:r>
            <w:r w:rsidR="006655BD">
              <w:rPr>
                <w:noProof/>
                <w:webHidden/>
              </w:rPr>
              <w:fldChar w:fldCharType="separate"/>
            </w:r>
            <w:r w:rsidR="00800876">
              <w:rPr>
                <w:noProof/>
                <w:webHidden/>
              </w:rPr>
              <w:t>14</w:t>
            </w:r>
            <w:r w:rsidR="006655BD">
              <w:rPr>
                <w:noProof/>
                <w:webHidden/>
              </w:rPr>
              <w:fldChar w:fldCharType="end"/>
            </w:r>
          </w:hyperlink>
        </w:p>
        <w:p w14:paraId="3EF4AFD5" w14:textId="77777777" w:rsidR="006655BD" w:rsidRDefault="00D40F9F">
          <w:pPr>
            <w:pStyle w:val="TOC2"/>
            <w:tabs>
              <w:tab w:val="right" w:leader="dot" w:pos="9016"/>
            </w:tabs>
            <w:rPr>
              <w:rFonts w:eastAsiaTheme="minorEastAsia" w:cstheme="minorBidi"/>
              <w:b w:val="0"/>
              <w:bCs w:val="0"/>
              <w:noProof/>
              <w:lang w:eastAsia="en-GB"/>
            </w:rPr>
          </w:pPr>
          <w:hyperlink w:anchor="_Toc452316293" w:history="1">
            <w:r w:rsidR="006655BD" w:rsidRPr="00230B72">
              <w:rPr>
                <w:rStyle w:val="Hyperlink"/>
                <w:noProof/>
              </w:rPr>
              <w:t>1.5 Researcher positionality</w:t>
            </w:r>
            <w:r w:rsidR="006655BD">
              <w:rPr>
                <w:noProof/>
                <w:webHidden/>
              </w:rPr>
              <w:tab/>
            </w:r>
            <w:r w:rsidR="006655BD">
              <w:rPr>
                <w:noProof/>
                <w:webHidden/>
              </w:rPr>
              <w:fldChar w:fldCharType="begin"/>
            </w:r>
            <w:r w:rsidR="006655BD">
              <w:rPr>
                <w:noProof/>
                <w:webHidden/>
              </w:rPr>
              <w:instrText xml:space="preserve"> PAGEREF _Toc452316293 \h </w:instrText>
            </w:r>
            <w:r w:rsidR="006655BD">
              <w:rPr>
                <w:noProof/>
                <w:webHidden/>
              </w:rPr>
            </w:r>
            <w:r w:rsidR="006655BD">
              <w:rPr>
                <w:noProof/>
                <w:webHidden/>
              </w:rPr>
              <w:fldChar w:fldCharType="separate"/>
            </w:r>
            <w:r w:rsidR="00800876">
              <w:rPr>
                <w:noProof/>
                <w:webHidden/>
              </w:rPr>
              <w:t>16</w:t>
            </w:r>
            <w:r w:rsidR="006655BD">
              <w:rPr>
                <w:noProof/>
                <w:webHidden/>
              </w:rPr>
              <w:fldChar w:fldCharType="end"/>
            </w:r>
          </w:hyperlink>
        </w:p>
        <w:p w14:paraId="4C0A5D3D" w14:textId="77777777" w:rsidR="006655BD" w:rsidRDefault="00D40F9F">
          <w:pPr>
            <w:pStyle w:val="TOC2"/>
            <w:tabs>
              <w:tab w:val="right" w:leader="dot" w:pos="9016"/>
            </w:tabs>
            <w:rPr>
              <w:rFonts w:eastAsiaTheme="minorEastAsia" w:cstheme="minorBidi"/>
              <w:b w:val="0"/>
              <w:bCs w:val="0"/>
              <w:noProof/>
              <w:lang w:eastAsia="en-GB"/>
            </w:rPr>
          </w:pPr>
          <w:hyperlink w:anchor="_Toc452316294" w:history="1">
            <w:r w:rsidR="006655BD" w:rsidRPr="00230B72">
              <w:rPr>
                <w:rStyle w:val="Hyperlink"/>
                <w:noProof/>
              </w:rPr>
              <w:t>1.6 Significance</w:t>
            </w:r>
            <w:r w:rsidR="006655BD">
              <w:rPr>
                <w:noProof/>
                <w:webHidden/>
              </w:rPr>
              <w:tab/>
            </w:r>
            <w:r w:rsidR="006655BD">
              <w:rPr>
                <w:noProof/>
                <w:webHidden/>
              </w:rPr>
              <w:fldChar w:fldCharType="begin"/>
            </w:r>
            <w:r w:rsidR="006655BD">
              <w:rPr>
                <w:noProof/>
                <w:webHidden/>
              </w:rPr>
              <w:instrText xml:space="preserve"> PAGEREF _Toc452316294 \h </w:instrText>
            </w:r>
            <w:r w:rsidR="006655BD">
              <w:rPr>
                <w:noProof/>
                <w:webHidden/>
              </w:rPr>
            </w:r>
            <w:r w:rsidR="006655BD">
              <w:rPr>
                <w:noProof/>
                <w:webHidden/>
              </w:rPr>
              <w:fldChar w:fldCharType="separate"/>
            </w:r>
            <w:r w:rsidR="00800876">
              <w:rPr>
                <w:noProof/>
                <w:webHidden/>
              </w:rPr>
              <w:t>19</w:t>
            </w:r>
            <w:r w:rsidR="006655BD">
              <w:rPr>
                <w:noProof/>
                <w:webHidden/>
              </w:rPr>
              <w:fldChar w:fldCharType="end"/>
            </w:r>
          </w:hyperlink>
        </w:p>
        <w:p w14:paraId="44A7C55A" w14:textId="77777777" w:rsidR="006655BD" w:rsidRDefault="00D40F9F">
          <w:pPr>
            <w:pStyle w:val="TOC3"/>
            <w:tabs>
              <w:tab w:val="right" w:leader="dot" w:pos="9016"/>
            </w:tabs>
            <w:rPr>
              <w:rFonts w:eastAsiaTheme="minorEastAsia" w:cstheme="minorBidi"/>
              <w:noProof/>
              <w:lang w:eastAsia="en-GB"/>
            </w:rPr>
          </w:pPr>
          <w:hyperlink w:anchor="_Toc452316295" w:history="1">
            <w:r w:rsidR="006655BD" w:rsidRPr="00230B72">
              <w:rPr>
                <w:rStyle w:val="Hyperlink"/>
                <w:noProof/>
              </w:rPr>
              <w:t>1.6.1 The Coalition government’s first education policy</w:t>
            </w:r>
            <w:r w:rsidR="006655BD">
              <w:rPr>
                <w:noProof/>
                <w:webHidden/>
              </w:rPr>
              <w:tab/>
            </w:r>
            <w:r w:rsidR="006655BD">
              <w:rPr>
                <w:noProof/>
                <w:webHidden/>
              </w:rPr>
              <w:fldChar w:fldCharType="begin"/>
            </w:r>
            <w:r w:rsidR="006655BD">
              <w:rPr>
                <w:noProof/>
                <w:webHidden/>
              </w:rPr>
              <w:instrText xml:space="preserve"> PAGEREF _Toc452316295 \h </w:instrText>
            </w:r>
            <w:r w:rsidR="006655BD">
              <w:rPr>
                <w:noProof/>
                <w:webHidden/>
              </w:rPr>
            </w:r>
            <w:r w:rsidR="006655BD">
              <w:rPr>
                <w:noProof/>
                <w:webHidden/>
              </w:rPr>
              <w:fldChar w:fldCharType="separate"/>
            </w:r>
            <w:r w:rsidR="00800876">
              <w:rPr>
                <w:noProof/>
                <w:webHidden/>
              </w:rPr>
              <w:t>19</w:t>
            </w:r>
            <w:r w:rsidR="006655BD">
              <w:rPr>
                <w:noProof/>
                <w:webHidden/>
              </w:rPr>
              <w:fldChar w:fldCharType="end"/>
            </w:r>
          </w:hyperlink>
        </w:p>
        <w:p w14:paraId="734ADF84" w14:textId="77777777" w:rsidR="006655BD" w:rsidRDefault="00D40F9F">
          <w:pPr>
            <w:pStyle w:val="TOC3"/>
            <w:tabs>
              <w:tab w:val="right" w:leader="dot" w:pos="9016"/>
            </w:tabs>
            <w:rPr>
              <w:rFonts w:eastAsiaTheme="minorEastAsia" w:cstheme="minorBidi"/>
              <w:noProof/>
              <w:lang w:eastAsia="en-GB"/>
            </w:rPr>
          </w:pPr>
          <w:hyperlink w:anchor="_Toc452316296" w:history="1">
            <w:r w:rsidR="006655BD" w:rsidRPr="00230B72">
              <w:rPr>
                <w:rStyle w:val="Hyperlink"/>
                <w:noProof/>
              </w:rPr>
              <w:t>1.6.2 Anti-democratic political tool</w:t>
            </w:r>
            <w:r w:rsidR="006655BD">
              <w:rPr>
                <w:noProof/>
                <w:webHidden/>
              </w:rPr>
              <w:tab/>
            </w:r>
            <w:r w:rsidR="006655BD">
              <w:rPr>
                <w:noProof/>
                <w:webHidden/>
              </w:rPr>
              <w:fldChar w:fldCharType="begin"/>
            </w:r>
            <w:r w:rsidR="006655BD">
              <w:rPr>
                <w:noProof/>
                <w:webHidden/>
              </w:rPr>
              <w:instrText xml:space="preserve"> PAGEREF _Toc452316296 \h </w:instrText>
            </w:r>
            <w:r w:rsidR="006655BD">
              <w:rPr>
                <w:noProof/>
                <w:webHidden/>
              </w:rPr>
            </w:r>
            <w:r w:rsidR="006655BD">
              <w:rPr>
                <w:noProof/>
                <w:webHidden/>
              </w:rPr>
              <w:fldChar w:fldCharType="separate"/>
            </w:r>
            <w:r w:rsidR="00800876">
              <w:rPr>
                <w:noProof/>
                <w:webHidden/>
              </w:rPr>
              <w:t>20</w:t>
            </w:r>
            <w:r w:rsidR="006655BD">
              <w:rPr>
                <w:noProof/>
                <w:webHidden/>
              </w:rPr>
              <w:fldChar w:fldCharType="end"/>
            </w:r>
          </w:hyperlink>
        </w:p>
        <w:p w14:paraId="1A6DB248" w14:textId="77777777" w:rsidR="006655BD" w:rsidRDefault="00D40F9F">
          <w:pPr>
            <w:pStyle w:val="TOC3"/>
            <w:tabs>
              <w:tab w:val="right" w:leader="dot" w:pos="9016"/>
            </w:tabs>
            <w:rPr>
              <w:rFonts w:eastAsiaTheme="minorEastAsia" w:cstheme="minorBidi"/>
              <w:noProof/>
              <w:lang w:eastAsia="en-GB"/>
            </w:rPr>
          </w:pPr>
          <w:hyperlink w:anchor="_Toc452316297" w:history="1">
            <w:r w:rsidR="006655BD" w:rsidRPr="00230B72">
              <w:rPr>
                <w:rStyle w:val="Hyperlink"/>
                <w:noProof/>
              </w:rPr>
              <w:t>1.6.3 Governance and Neoliberalism</w:t>
            </w:r>
            <w:r w:rsidR="006655BD">
              <w:rPr>
                <w:noProof/>
                <w:webHidden/>
              </w:rPr>
              <w:tab/>
            </w:r>
            <w:r w:rsidR="006655BD">
              <w:rPr>
                <w:noProof/>
                <w:webHidden/>
              </w:rPr>
              <w:fldChar w:fldCharType="begin"/>
            </w:r>
            <w:r w:rsidR="006655BD">
              <w:rPr>
                <w:noProof/>
                <w:webHidden/>
              </w:rPr>
              <w:instrText xml:space="preserve"> PAGEREF _Toc452316297 \h </w:instrText>
            </w:r>
            <w:r w:rsidR="006655BD">
              <w:rPr>
                <w:noProof/>
                <w:webHidden/>
              </w:rPr>
            </w:r>
            <w:r w:rsidR="006655BD">
              <w:rPr>
                <w:noProof/>
                <w:webHidden/>
              </w:rPr>
              <w:fldChar w:fldCharType="separate"/>
            </w:r>
            <w:r w:rsidR="00800876">
              <w:rPr>
                <w:noProof/>
                <w:webHidden/>
              </w:rPr>
              <w:t>21</w:t>
            </w:r>
            <w:r w:rsidR="006655BD">
              <w:rPr>
                <w:noProof/>
                <w:webHidden/>
              </w:rPr>
              <w:fldChar w:fldCharType="end"/>
            </w:r>
          </w:hyperlink>
        </w:p>
        <w:p w14:paraId="7D5D3A36" w14:textId="77777777" w:rsidR="006655BD" w:rsidRDefault="00D40F9F">
          <w:pPr>
            <w:pStyle w:val="TOC3"/>
            <w:tabs>
              <w:tab w:val="right" w:leader="dot" w:pos="9016"/>
            </w:tabs>
            <w:rPr>
              <w:rFonts w:eastAsiaTheme="minorEastAsia" w:cstheme="minorBidi"/>
              <w:noProof/>
              <w:lang w:eastAsia="en-GB"/>
            </w:rPr>
          </w:pPr>
          <w:hyperlink w:anchor="_Toc452316298" w:history="1">
            <w:r w:rsidR="006655BD" w:rsidRPr="00230B72">
              <w:rPr>
                <w:rStyle w:val="Hyperlink"/>
                <w:noProof/>
              </w:rPr>
              <w:t>1.6.4 Critical educational research</w:t>
            </w:r>
            <w:r w:rsidR="006655BD">
              <w:rPr>
                <w:noProof/>
                <w:webHidden/>
              </w:rPr>
              <w:tab/>
            </w:r>
            <w:r w:rsidR="006655BD">
              <w:rPr>
                <w:noProof/>
                <w:webHidden/>
              </w:rPr>
              <w:fldChar w:fldCharType="begin"/>
            </w:r>
            <w:r w:rsidR="006655BD">
              <w:rPr>
                <w:noProof/>
                <w:webHidden/>
              </w:rPr>
              <w:instrText xml:space="preserve"> PAGEREF _Toc452316298 \h </w:instrText>
            </w:r>
            <w:r w:rsidR="006655BD">
              <w:rPr>
                <w:noProof/>
                <w:webHidden/>
              </w:rPr>
            </w:r>
            <w:r w:rsidR="006655BD">
              <w:rPr>
                <w:noProof/>
                <w:webHidden/>
              </w:rPr>
              <w:fldChar w:fldCharType="separate"/>
            </w:r>
            <w:r w:rsidR="00800876">
              <w:rPr>
                <w:noProof/>
                <w:webHidden/>
              </w:rPr>
              <w:t>22</w:t>
            </w:r>
            <w:r w:rsidR="006655BD">
              <w:rPr>
                <w:noProof/>
                <w:webHidden/>
              </w:rPr>
              <w:fldChar w:fldCharType="end"/>
            </w:r>
          </w:hyperlink>
        </w:p>
        <w:p w14:paraId="7C8F2372" w14:textId="77777777" w:rsidR="006655BD" w:rsidRDefault="00D40F9F">
          <w:pPr>
            <w:pStyle w:val="TOC2"/>
            <w:tabs>
              <w:tab w:val="right" w:leader="dot" w:pos="9016"/>
            </w:tabs>
            <w:rPr>
              <w:rFonts w:eastAsiaTheme="minorEastAsia" w:cstheme="minorBidi"/>
              <w:b w:val="0"/>
              <w:bCs w:val="0"/>
              <w:noProof/>
              <w:lang w:eastAsia="en-GB"/>
            </w:rPr>
          </w:pPr>
          <w:hyperlink w:anchor="_Toc452316299" w:history="1">
            <w:r w:rsidR="006655BD" w:rsidRPr="00230B72">
              <w:rPr>
                <w:rStyle w:val="Hyperlink"/>
                <w:noProof/>
              </w:rPr>
              <w:t>1.7 Structure of the thesis</w:t>
            </w:r>
            <w:r w:rsidR="006655BD">
              <w:rPr>
                <w:noProof/>
                <w:webHidden/>
              </w:rPr>
              <w:tab/>
            </w:r>
            <w:r w:rsidR="006655BD">
              <w:rPr>
                <w:noProof/>
                <w:webHidden/>
              </w:rPr>
              <w:fldChar w:fldCharType="begin"/>
            </w:r>
            <w:r w:rsidR="006655BD">
              <w:rPr>
                <w:noProof/>
                <w:webHidden/>
              </w:rPr>
              <w:instrText xml:space="preserve"> PAGEREF _Toc452316299 \h </w:instrText>
            </w:r>
            <w:r w:rsidR="006655BD">
              <w:rPr>
                <w:noProof/>
                <w:webHidden/>
              </w:rPr>
            </w:r>
            <w:r w:rsidR="006655BD">
              <w:rPr>
                <w:noProof/>
                <w:webHidden/>
              </w:rPr>
              <w:fldChar w:fldCharType="separate"/>
            </w:r>
            <w:r w:rsidR="00800876">
              <w:rPr>
                <w:noProof/>
                <w:webHidden/>
              </w:rPr>
              <w:t>22</w:t>
            </w:r>
            <w:r w:rsidR="006655BD">
              <w:rPr>
                <w:noProof/>
                <w:webHidden/>
              </w:rPr>
              <w:fldChar w:fldCharType="end"/>
            </w:r>
          </w:hyperlink>
        </w:p>
        <w:p w14:paraId="1A4FDA1B" w14:textId="77777777" w:rsidR="006655BD" w:rsidRDefault="00D40F9F">
          <w:pPr>
            <w:pStyle w:val="TOC2"/>
            <w:tabs>
              <w:tab w:val="right" w:leader="dot" w:pos="9016"/>
            </w:tabs>
            <w:rPr>
              <w:rFonts w:eastAsiaTheme="minorEastAsia" w:cstheme="minorBidi"/>
              <w:b w:val="0"/>
              <w:bCs w:val="0"/>
              <w:noProof/>
              <w:lang w:eastAsia="en-GB"/>
            </w:rPr>
          </w:pPr>
          <w:hyperlink w:anchor="_Toc452316300" w:history="1">
            <w:r w:rsidR="006655BD" w:rsidRPr="00230B72">
              <w:rPr>
                <w:rStyle w:val="Hyperlink"/>
                <w:noProof/>
              </w:rPr>
              <w:t>1.8 Conclusion</w:t>
            </w:r>
            <w:r w:rsidR="006655BD">
              <w:rPr>
                <w:noProof/>
                <w:webHidden/>
              </w:rPr>
              <w:tab/>
            </w:r>
            <w:r w:rsidR="006655BD">
              <w:rPr>
                <w:noProof/>
                <w:webHidden/>
              </w:rPr>
              <w:fldChar w:fldCharType="begin"/>
            </w:r>
            <w:r w:rsidR="006655BD">
              <w:rPr>
                <w:noProof/>
                <w:webHidden/>
              </w:rPr>
              <w:instrText xml:space="preserve"> PAGEREF _Toc452316300 \h </w:instrText>
            </w:r>
            <w:r w:rsidR="006655BD">
              <w:rPr>
                <w:noProof/>
                <w:webHidden/>
              </w:rPr>
            </w:r>
            <w:r w:rsidR="006655BD">
              <w:rPr>
                <w:noProof/>
                <w:webHidden/>
              </w:rPr>
              <w:fldChar w:fldCharType="separate"/>
            </w:r>
            <w:r w:rsidR="00800876">
              <w:rPr>
                <w:noProof/>
                <w:webHidden/>
              </w:rPr>
              <w:t>24</w:t>
            </w:r>
            <w:r w:rsidR="006655BD">
              <w:rPr>
                <w:noProof/>
                <w:webHidden/>
              </w:rPr>
              <w:fldChar w:fldCharType="end"/>
            </w:r>
          </w:hyperlink>
        </w:p>
        <w:p w14:paraId="046F03DF" w14:textId="77777777" w:rsidR="006655BD" w:rsidRDefault="00D40F9F">
          <w:pPr>
            <w:pStyle w:val="TOC1"/>
            <w:tabs>
              <w:tab w:val="right" w:leader="dot" w:pos="9016"/>
            </w:tabs>
            <w:rPr>
              <w:rFonts w:eastAsiaTheme="minorEastAsia" w:cstheme="minorBidi"/>
              <w:b w:val="0"/>
              <w:bCs w:val="0"/>
              <w:noProof/>
              <w:sz w:val="22"/>
              <w:szCs w:val="22"/>
              <w:lang w:eastAsia="en-GB"/>
            </w:rPr>
          </w:pPr>
          <w:hyperlink w:anchor="_Toc452316301" w:history="1">
            <w:r w:rsidR="006655BD" w:rsidRPr="00230B72">
              <w:rPr>
                <w:rStyle w:val="Hyperlink"/>
                <w:noProof/>
              </w:rPr>
              <w:t>Chapter 2 – Literature Review</w:t>
            </w:r>
            <w:r w:rsidR="006655BD">
              <w:rPr>
                <w:noProof/>
                <w:webHidden/>
              </w:rPr>
              <w:tab/>
            </w:r>
            <w:r w:rsidR="006655BD">
              <w:rPr>
                <w:noProof/>
                <w:webHidden/>
              </w:rPr>
              <w:fldChar w:fldCharType="begin"/>
            </w:r>
            <w:r w:rsidR="006655BD">
              <w:rPr>
                <w:noProof/>
                <w:webHidden/>
              </w:rPr>
              <w:instrText xml:space="preserve"> PAGEREF _Toc452316301 \h </w:instrText>
            </w:r>
            <w:r w:rsidR="006655BD">
              <w:rPr>
                <w:noProof/>
                <w:webHidden/>
              </w:rPr>
            </w:r>
            <w:r w:rsidR="006655BD">
              <w:rPr>
                <w:noProof/>
                <w:webHidden/>
              </w:rPr>
              <w:fldChar w:fldCharType="separate"/>
            </w:r>
            <w:r w:rsidR="00800876">
              <w:rPr>
                <w:noProof/>
                <w:webHidden/>
              </w:rPr>
              <w:t>25</w:t>
            </w:r>
            <w:r w:rsidR="006655BD">
              <w:rPr>
                <w:noProof/>
                <w:webHidden/>
              </w:rPr>
              <w:fldChar w:fldCharType="end"/>
            </w:r>
          </w:hyperlink>
        </w:p>
        <w:p w14:paraId="31F42F1F" w14:textId="77777777" w:rsidR="006655BD" w:rsidRDefault="00D40F9F">
          <w:pPr>
            <w:pStyle w:val="TOC2"/>
            <w:tabs>
              <w:tab w:val="right" w:leader="dot" w:pos="9016"/>
            </w:tabs>
            <w:rPr>
              <w:rFonts w:eastAsiaTheme="minorEastAsia" w:cstheme="minorBidi"/>
              <w:b w:val="0"/>
              <w:bCs w:val="0"/>
              <w:noProof/>
              <w:lang w:eastAsia="en-GB"/>
            </w:rPr>
          </w:pPr>
          <w:hyperlink w:anchor="_Toc452316302" w:history="1">
            <w:r w:rsidR="006655BD" w:rsidRPr="00230B72">
              <w:rPr>
                <w:rStyle w:val="Hyperlink"/>
                <w:noProof/>
              </w:rPr>
              <w:t>2.1 Introduction</w:t>
            </w:r>
            <w:r w:rsidR="006655BD">
              <w:rPr>
                <w:noProof/>
                <w:webHidden/>
              </w:rPr>
              <w:tab/>
            </w:r>
            <w:r w:rsidR="006655BD">
              <w:rPr>
                <w:noProof/>
                <w:webHidden/>
              </w:rPr>
              <w:fldChar w:fldCharType="begin"/>
            </w:r>
            <w:r w:rsidR="006655BD">
              <w:rPr>
                <w:noProof/>
                <w:webHidden/>
              </w:rPr>
              <w:instrText xml:space="preserve"> PAGEREF _Toc452316302 \h </w:instrText>
            </w:r>
            <w:r w:rsidR="006655BD">
              <w:rPr>
                <w:noProof/>
                <w:webHidden/>
              </w:rPr>
            </w:r>
            <w:r w:rsidR="006655BD">
              <w:rPr>
                <w:noProof/>
                <w:webHidden/>
              </w:rPr>
              <w:fldChar w:fldCharType="separate"/>
            </w:r>
            <w:r w:rsidR="00800876">
              <w:rPr>
                <w:noProof/>
                <w:webHidden/>
              </w:rPr>
              <w:t>25</w:t>
            </w:r>
            <w:r w:rsidR="006655BD">
              <w:rPr>
                <w:noProof/>
                <w:webHidden/>
              </w:rPr>
              <w:fldChar w:fldCharType="end"/>
            </w:r>
          </w:hyperlink>
        </w:p>
        <w:p w14:paraId="7FC07912" w14:textId="77777777" w:rsidR="006655BD" w:rsidRDefault="00D40F9F">
          <w:pPr>
            <w:pStyle w:val="TOC2"/>
            <w:tabs>
              <w:tab w:val="right" w:leader="dot" w:pos="9016"/>
            </w:tabs>
            <w:rPr>
              <w:rFonts w:eastAsiaTheme="minorEastAsia" w:cstheme="minorBidi"/>
              <w:b w:val="0"/>
              <w:bCs w:val="0"/>
              <w:noProof/>
              <w:lang w:eastAsia="en-GB"/>
            </w:rPr>
          </w:pPr>
          <w:hyperlink w:anchor="_Toc452316303" w:history="1">
            <w:r w:rsidR="006655BD" w:rsidRPr="00230B72">
              <w:rPr>
                <w:rStyle w:val="Hyperlink"/>
                <w:noProof/>
              </w:rPr>
              <w:t>2.2 Educational equality and democracy</w:t>
            </w:r>
            <w:r w:rsidR="006655BD">
              <w:rPr>
                <w:noProof/>
                <w:webHidden/>
              </w:rPr>
              <w:tab/>
            </w:r>
            <w:r w:rsidR="006655BD">
              <w:rPr>
                <w:noProof/>
                <w:webHidden/>
              </w:rPr>
              <w:fldChar w:fldCharType="begin"/>
            </w:r>
            <w:r w:rsidR="006655BD">
              <w:rPr>
                <w:noProof/>
                <w:webHidden/>
              </w:rPr>
              <w:instrText xml:space="preserve"> PAGEREF _Toc452316303 \h </w:instrText>
            </w:r>
            <w:r w:rsidR="006655BD">
              <w:rPr>
                <w:noProof/>
                <w:webHidden/>
              </w:rPr>
            </w:r>
            <w:r w:rsidR="006655BD">
              <w:rPr>
                <w:noProof/>
                <w:webHidden/>
              </w:rPr>
              <w:fldChar w:fldCharType="separate"/>
            </w:r>
            <w:r w:rsidR="00800876">
              <w:rPr>
                <w:noProof/>
                <w:webHidden/>
              </w:rPr>
              <w:t>26</w:t>
            </w:r>
            <w:r w:rsidR="006655BD">
              <w:rPr>
                <w:noProof/>
                <w:webHidden/>
              </w:rPr>
              <w:fldChar w:fldCharType="end"/>
            </w:r>
          </w:hyperlink>
        </w:p>
        <w:p w14:paraId="15F1AC51" w14:textId="77777777" w:rsidR="006655BD" w:rsidRDefault="00D40F9F">
          <w:pPr>
            <w:pStyle w:val="TOC3"/>
            <w:tabs>
              <w:tab w:val="right" w:leader="dot" w:pos="9016"/>
            </w:tabs>
            <w:rPr>
              <w:rFonts w:eastAsiaTheme="minorEastAsia" w:cstheme="minorBidi"/>
              <w:noProof/>
              <w:lang w:eastAsia="en-GB"/>
            </w:rPr>
          </w:pPr>
          <w:hyperlink w:anchor="_Toc452316304" w:history="1">
            <w:r w:rsidR="006655BD" w:rsidRPr="00230B72">
              <w:rPr>
                <w:rStyle w:val="Hyperlink"/>
                <w:noProof/>
              </w:rPr>
              <w:t>2.2.1 Definitions of educational equality and democracy</w:t>
            </w:r>
            <w:r w:rsidR="006655BD">
              <w:rPr>
                <w:noProof/>
                <w:webHidden/>
              </w:rPr>
              <w:tab/>
            </w:r>
            <w:r w:rsidR="006655BD">
              <w:rPr>
                <w:noProof/>
                <w:webHidden/>
              </w:rPr>
              <w:fldChar w:fldCharType="begin"/>
            </w:r>
            <w:r w:rsidR="006655BD">
              <w:rPr>
                <w:noProof/>
                <w:webHidden/>
              </w:rPr>
              <w:instrText xml:space="preserve"> PAGEREF _Toc452316304 \h </w:instrText>
            </w:r>
            <w:r w:rsidR="006655BD">
              <w:rPr>
                <w:noProof/>
                <w:webHidden/>
              </w:rPr>
            </w:r>
            <w:r w:rsidR="006655BD">
              <w:rPr>
                <w:noProof/>
                <w:webHidden/>
              </w:rPr>
              <w:fldChar w:fldCharType="separate"/>
            </w:r>
            <w:r w:rsidR="00800876">
              <w:rPr>
                <w:noProof/>
                <w:webHidden/>
              </w:rPr>
              <w:t>26</w:t>
            </w:r>
            <w:r w:rsidR="006655BD">
              <w:rPr>
                <w:noProof/>
                <w:webHidden/>
              </w:rPr>
              <w:fldChar w:fldCharType="end"/>
            </w:r>
          </w:hyperlink>
        </w:p>
        <w:p w14:paraId="736C4DCE" w14:textId="77777777" w:rsidR="006655BD" w:rsidRDefault="00D40F9F">
          <w:pPr>
            <w:pStyle w:val="TOC3"/>
            <w:tabs>
              <w:tab w:val="right" w:leader="dot" w:pos="9016"/>
            </w:tabs>
            <w:rPr>
              <w:rFonts w:eastAsiaTheme="minorEastAsia" w:cstheme="minorBidi"/>
              <w:noProof/>
              <w:lang w:eastAsia="en-GB"/>
            </w:rPr>
          </w:pPr>
          <w:hyperlink w:anchor="_Toc452316305" w:history="1">
            <w:r w:rsidR="006655BD" w:rsidRPr="00230B72">
              <w:rPr>
                <w:rStyle w:val="Hyperlink"/>
                <w:noProof/>
              </w:rPr>
              <w:t>2.2.2 1988 National Curriculum and links to the EBac</w:t>
            </w:r>
            <w:r w:rsidR="006655BD">
              <w:rPr>
                <w:noProof/>
                <w:webHidden/>
              </w:rPr>
              <w:tab/>
            </w:r>
            <w:r w:rsidR="006655BD">
              <w:rPr>
                <w:noProof/>
                <w:webHidden/>
              </w:rPr>
              <w:fldChar w:fldCharType="begin"/>
            </w:r>
            <w:r w:rsidR="006655BD">
              <w:rPr>
                <w:noProof/>
                <w:webHidden/>
              </w:rPr>
              <w:instrText xml:space="preserve"> PAGEREF _Toc452316305 \h </w:instrText>
            </w:r>
            <w:r w:rsidR="006655BD">
              <w:rPr>
                <w:noProof/>
                <w:webHidden/>
              </w:rPr>
            </w:r>
            <w:r w:rsidR="006655BD">
              <w:rPr>
                <w:noProof/>
                <w:webHidden/>
              </w:rPr>
              <w:fldChar w:fldCharType="separate"/>
            </w:r>
            <w:r w:rsidR="00800876">
              <w:rPr>
                <w:noProof/>
                <w:webHidden/>
              </w:rPr>
              <w:t>27</w:t>
            </w:r>
            <w:r w:rsidR="006655BD">
              <w:rPr>
                <w:noProof/>
                <w:webHidden/>
              </w:rPr>
              <w:fldChar w:fldCharType="end"/>
            </w:r>
          </w:hyperlink>
        </w:p>
        <w:p w14:paraId="1CF1C263" w14:textId="77777777" w:rsidR="006655BD" w:rsidRDefault="00D40F9F">
          <w:pPr>
            <w:pStyle w:val="TOC3"/>
            <w:tabs>
              <w:tab w:val="right" w:leader="dot" w:pos="9016"/>
            </w:tabs>
            <w:rPr>
              <w:rFonts w:eastAsiaTheme="minorEastAsia" w:cstheme="minorBidi"/>
              <w:noProof/>
              <w:lang w:eastAsia="en-GB"/>
            </w:rPr>
          </w:pPr>
          <w:hyperlink w:anchor="_Toc452316306" w:history="1">
            <w:r w:rsidR="006655BD" w:rsidRPr="00230B72">
              <w:rPr>
                <w:rStyle w:val="Hyperlink"/>
                <w:noProof/>
              </w:rPr>
              <w:t>2.2.3 Social class</w:t>
            </w:r>
            <w:r w:rsidR="006655BD">
              <w:rPr>
                <w:noProof/>
                <w:webHidden/>
              </w:rPr>
              <w:tab/>
            </w:r>
            <w:r w:rsidR="006655BD">
              <w:rPr>
                <w:noProof/>
                <w:webHidden/>
              </w:rPr>
              <w:fldChar w:fldCharType="begin"/>
            </w:r>
            <w:r w:rsidR="006655BD">
              <w:rPr>
                <w:noProof/>
                <w:webHidden/>
              </w:rPr>
              <w:instrText xml:space="preserve"> PAGEREF _Toc452316306 \h </w:instrText>
            </w:r>
            <w:r w:rsidR="006655BD">
              <w:rPr>
                <w:noProof/>
                <w:webHidden/>
              </w:rPr>
            </w:r>
            <w:r w:rsidR="006655BD">
              <w:rPr>
                <w:noProof/>
                <w:webHidden/>
              </w:rPr>
              <w:fldChar w:fldCharType="separate"/>
            </w:r>
            <w:r w:rsidR="00800876">
              <w:rPr>
                <w:noProof/>
                <w:webHidden/>
              </w:rPr>
              <w:t>30</w:t>
            </w:r>
            <w:r w:rsidR="006655BD">
              <w:rPr>
                <w:noProof/>
                <w:webHidden/>
              </w:rPr>
              <w:fldChar w:fldCharType="end"/>
            </w:r>
          </w:hyperlink>
        </w:p>
        <w:p w14:paraId="01BB0ED5" w14:textId="77777777" w:rsidR="006655BD" w:rsidRDefault="00D40F9F">
          <w:pPr>
            <w:pStyle w:val="TOC3"/>
            <w:tabs>
              <w:tab w:val="right" w:leader="dot" w:pos="9016"/>
            </w:tabs>
            <w:rPr>
              <w:rFonts w:eastAsiaTheme="minorEastAsia" w:cstheme="minorBidi"/>
              <w:noProof/>
              <w:lang w:eastAsia="en-GB"/>
            </w:rPr>
          </w:pPr>
          <w:hyperlink w:anchor="_Toc452316307" w:history="1">
            <w:r w:rsidR="006655BD" w:rsidRPr="00230B72">
              <w:rPr>
                <w:rStyle w:val="Hyperlink"/>
                <w:noProof/>
              </w:rPr>
              <w:t>2.2.4 Ethnicity</w:t>
            </w:r>
            <w:r w:rsidR="006655BD">
              <w:rPr>
                <w:noProof/>
                <w:webHidden/>
              </w:rPr>
              <w:tab/>
            </w:r>
            <w:r w:rsidR="006655BD">
              <w:rPr>
                <w:noProof/>
                <w:webHidden/>
              </w:rPr>
              <w:fldChar w:fldCharType="begin"/>
            </w:r>
            <w:r w:rsidR="006655BD">
              <w:rPr>
                <w:noProof/>
                <w:webHidden/>
              </w:rPr>
              <w:instrText xml:space="preserve"> PAGEREF _Toc452316307 \h </w:instrText>
            </w:r>
            <w:r w:rsidR="006655BD">
              <w:rPr>
                <w:noProof/>
                <w:webHidden/>
              </w:rPr>
            </w:r>
            <w:r w:rsidR="006655BD">
              <w:rPr>
                <w:noProof/>
                <w:webHidden/>
              </w:rPr>
              <w:fldChar w:fldCharType="separate"/>
            </w:r>
            <w:r w:rsidR="00800876">
              <w:rPr>
                <w:noProof/>
                <w:webHidden/>
              </w:rPr>
              <w:t>31</w:t>
            </w:r>
            <w:r w:rsidR="006655BD">
              <w:rPr>
                <w:noProof/>
                <w:webHidden/>
              </w:rPr>
              <w:fldChar w:fldCharType="end"/>
            </w:r>
          </w:hyperlink>
        </w:p>
        <w:p w14:paraId="0034C412" w14:textId="77777777" w:rsidR="006655BD" w:rsidRDefault="00D40F9F">
          <w:pPr>
            <w:pStyle w:val="TOC3"/>
            <w:tabs>
              <w:tab w:val="right" w:leader="dot" w:pos="9016"/>
            </w:tabs>
            <w:rPr>
              <w:rFonts w:eastAsiaTheme="minorEastAsia" w:cstheme="minorBidi"/>
              <w:noProof/>
              <w:lang w:eastAsia="en-GB"/>
            </w:rPr>
          </w:pPr>
          <w:hyperlink w:anchor="_Toc452316308" w:history="1">
            <w:r w:rsidR="006655BD" w:rsidRPr="00230B72">
              <w:rPr>
                <w:rStyle w:val="Hyperlink"/>
                <w:noProof/>
              </w:rPr>
              <w:t>2.2.5 Gender</w:t>
            </w:r>
            <w:r w:rsidR="006655BD">
              <w:rPr>
                <w:noProof/>
                <w:webHidden/>
              </w:rPr>
              <w:tab/>
            </w:r>
            <w:r w:rsidR="006655BD">
              <w:rPr>
                <w:noProof/>
                <w:webHidden/>
              </w:rPr>
              <w:fldChar w:fldCharType="begin"/>
            </w:r>
            <w:r w:rsidR="006655BD">
              <w:rPr>
                <w:noProof/>
                <w:webHidden/>
              </w:rPr>
              <w:instrText xml:space="preserve"> PAGEREF _Toc452316308 \h </w:instrText>
            </w:r>
            <w:r w:rsidR="006655BD">
              <w:rPr>
                <w:noProof/>
                <w:webHidden/>
              </w:rPr>
            </w:r>
            <w:r w:rsidR="006655BD">
              <w:rPr>
                <w:noProof/>
                <w:webHidden/>
              </w:rPr>
              <w:fldChar w:fldCharType="separate"/>
            </w:r>
            <w:r w:rsidR="00800876">
              <w:rPr>
                <w:noProof/>
                <w:webHidden/>
              </w:rPr>
              <w:t>32</w:t>
            </w:r>
            <w:r w:rsidR="006655BD">
              <w:rPr>
                <w:noProof/>
                <w:webHidden/>
              </w:rPr>
              <w:fldChar w:fldCharType="end"/>
            </w:r>
          </w:hyperlink>
        </w:p>
        <w:p w14:paraId="03528CFC" w14:textId="77777777" w:rsidR="006655BD" w:rsidRDefault="00D40F9F">
          <w:pPr>
            <w:pStyle w:val="TOC3"/>
            <w:tabs>
              <w:tab w:val="right" w:leader="dot" w:pos="9016"/>
            </w:tabs>
            <w:rPr>
              <w:rFonts w:eastAsiaTheme="minorEastAsia" w:cstheme="minorBidi"/>
              <w:noProof/>
              <w:lang w:eastAsia="en-GB"/>
            </w:rPr>
          </w:pPr>
          <w:hyperlink w:anchor="_Toc452316309" w:history="1">
            <w:r w:rsidR="006655BD" w:rsidRPr="00230B72">
              <w:rPr>
                <w:rStyle w:val="Hyperlink"/>
                <w:noProof/>
              </w:rPr>
              <w:t>2.2.6 Special Educational Needs and Disability</w:t>
            </w:r>
            <w:r w:rsidR="006655BD">
              <w:rPr>
                <w:noProof/>
                <w:webHidden/>
              </w:rPr>
              <w:tab/>
            </w:r>
            <w:r w:rsidR="006655BD">
              <w:rPr>
                <w:noProof/>
                <w:webHidden/>
              </w:rPr>
              <w:fldChar w:fldCharType="begin"/>
            </w:r>
            <w:r w:rsidR="006655BD">
              <w:rPr>
                <w:noProof/>
                <w:webHidden/>
              </w:rPr>
              <w:instrText xml:space="preserve"> PAGEREF _Toc452316309 \h </w:instrText>
            </w:r>
            <w:r w:rsidR="006655BD">
              <w:rPr>
                <w:noProof/>
                <w:webHidden/>
              </w:rPr>
            </w:r>
            <w:r w:rsidR="006655BD">
              <w:rPr>
                <w:noProof/>
                <w:webHidden/>
              </w:rPr>
              <w:fldChar w:fldCharType="separate"/>
            </w:r>
            <w:r w:rsidR="00800876">
              <w:rPr>
                <w:noProof/>
                <w:webHidden/>
              </w:rPr>
              <w:t>32</w:t>
            </w:r>
            <w:r w:rsidR="006655BD">
              <w:rPr>
                <w:noProof/>
                <w:webHidden/>
              </w:rPr>
              <w:fldChar w:fldCharType="end"/>
            </w:r>
          </w:hyperlink>
        </w:p>
        <w:p w14:paraId="10F74AA1" w14:textId="77777777" w:rsidR="006655BD" w:rsidRDefault="00D40F9F">
          <w:pPr>
            <w:pStyle w:val="TOC2"/>
            <w:tabs>
              <w:tab w:val="right" w:leader="dot" w:pos="9016"/>
            </w:tabs>
            <w:rPr>
              <w:rFonts w:eastAsiaTheme="minorEastAsia" w:cstheme="minorBidi"/>
              <w:b w:val="0"/>
              <w:bCs w:val="0"/>
              <w:noProof/>
              <w:lang w:eastAsia="en-GB"/>
            </w:rPr>
          </w:pPr>
          <w:hyperlink w:anchor="_Toc452316310" w:history="1">
            <w:r w:rsidR="006655BD" w:rsidRPr="00230B72">
              <w:rPr>
                <w:rStyle w:val="Hyperlink"/>
                <w:noProof/>
              </w:rPr>
              <w:t>2.3 Social and cultural reproduction</w:t>
            </w:r>
            <w:r w:rsidR="006655BD">
              <w:rPr>
                <w:noProof/>
                <w:webHidden/>
              </w:rPr>
              <w:tab/>
            </w:r>
            <w:r w:rsidR="006655BD">
              <w:rPr>
                <w:noProof/>
                <w:webHidden/>
              </w:rPr>
              <w:fldChar w:fldCharType="begin"/>
            </w:r>
            <w:r w:rsidR="006655BD">
              <w:rPr>
                <w:noProof/>
                <w:webHidden/>
              </w:rPr>
              <w:instrText xml:space="preserve"> PAGEREF _Toc452316310 \h </w:instrText>
            </w:r>
            <w:r w:rsidR="006655BD">
              <w:rPr>
                <w:noProof/>
                <w:webHidden/>
              </w:rPr>
            </w:r>
            <w:r w:rsidR="006655BD">
              <w:rPr>
                <w:noProof/>
                <w:webHidden/>
              </w:rPr>
              <w:fldChar w:fldCharType="separate"/>
            </w:r>
            <w:r w:rsidR="00800876">
              <w:rPr>
                <w:noProof/>
                <w:webHidden/>
              </w:rPr>
              <w:t>33</w:t>
            </w:r>
            <w:r w:rsidR="006655BD">
              <w:rPr>
                <w:noProof/>
                <w:webHidden/>
              </w:rPr>
              <w:fldChar w:fldCharType="end"/>
            </w:r>
          </w:hyperlink>
        </w:p>
        <w:p w14:paraId="79F6B6B8" w14:textId="77777777" w:rsidR="006655BD" w:rsidRDefault="00D40F9F">
          <w:pPr>
            <w:pStyle w:val="TOC2"/>
            <w:tabs>
              <w:tab w:val="right" w:leader="dot" w:pos="9016"/>
            </w:tabs>
            <w:rPr>
              <w:rFonts w:eastAsiaTheme="minorEastAsia" w:cstheme="minorBidi"/>
              <w:b w:val="0"/>
              <w:bCs w:val="0"/>
              <w:noProof/>
              <w:lang w:eastAsia="en-GB"/>
            </w:rPr>
          </w:pPr>
          <w:hyperlink w:anchor="_Toc452316311" w:history="1">
            <w:r w:rsidR="006655BD" w:rsidRPr="00230B72">
              <w:rPr>
                <w:rStyle w:val="Hyperlink"/>
                <w:noProof/>
              </w:rPr>
              <w:t>2.4 Curriculum</w:t>
            </w:r>
            <w:r w:rsidR="006655BD">
              <w:rPr>
                <w:noProof/>
                <w:webHidden/>
              </w:rPr>
              <w:tab/>
            </w:r>
            <w:r w:rsidR="006655BD">
              <w:rPr>
                <w:noProof/>
                <w:webHidden/>
              </w:rPr>
              <w:fldChar w:fldCharType="begin"/>
            </w:r>
            <w:r w:rsidR="006655BD">
              <w:rPr>
                <w:noProof/>
                <w:webHidden/>
              </w:rPr>
              <w:instrText xml:space="preserve"> PAGEREF _Toc452316311 \h </w:instrText>
            </w:r>
            <w:r w:rsidR="006655BD">
              <w:rPr>
                <w:noProof/>
                <w:webHidden/>
              </w:rPr>
            </w:r>
            <w:r w:rsidR="006655BD">
              <w:rPr>
                <w:noProof/>
                <w:webHidden/>
              </w:rPr>
              <w:fldChar w:fldCharType="separate"/>
            </w:r>
            <w:r w:rsidR="00800876">
              <w:rPr>
                <w:noProof/>
                <w:webHidden/>
              </w:rPr>
              <w:t>36</w:t>
            </w:r>
            <w:r w:rsidR="006655BD">
              <w:rPr>
                <w:noProof/>
                <w:webHidden/>
              </w:rPr>
              <w:fldChar w:fldCharType="end"/>
            </w:r>
          </w:hyperlink>
        </w:p>
        <w:p w14:paraId="08CCB116" w14:textId="77777777" w:rsidR="006655BD" w:rsidRDefault="00D40F9F">
          <w:pPr>
            <w:pStyle w:val="TOC2"/>
            <w:tabs>
              <w:tab w:val="right" w:leader="dot" w:pos="9016"/>
            </w:tabs>
            <w:rPr>
              <w:rFonts w:eastAsiaTheme="minorEastAsia" w:cstheme="minorBidi"/>
              <w:b w:val="0"/>
              <w:bCs w:val="0"/>
              <w:noProof/>
              <w:lang w:eastAsia="en-GB"/>
            </w:rPr>
          </w:pPr>
          <w:hyperlink w:anchor="_Toc452316312" w:history="1">
            <w:r w:rsidR="006655BD" w:rsidRPr="00230B72">
              <w:rPr>
                <w:rStyle w:val="Hyperlink"/>
                <w:noProof/>
              </w:rPr>
              <w:t>2.5 Curriculum knowledge</w:t>
            </w:r>
            <w:r w:rsidR="006655BD">
              <w:rPr>
                <w:noProof/>
                <w:webHidden/>
              </w:rPr>
              <w:tab/>
            </w:r>
            <w:r w:rsidR="006655BD">
              <w:rPr>
                <w:noProof/>
                <w:webHidden/>
              </w:rPr>
              <w:fldChar w:fldCharType="begin"/>
            </w:r>
            <w:r w:rsidR="006655BD">
              <w:rPr>
                <w:noProof/>
                <w:webHidden/>
              </w:rPr>
              <w:instrText xml:space="preserve"> PAGEREF _Toc452316312 \h </w:instrText>
            </w:r>
            <w:r w:rsidR="006655BD">
              <w:rPr>
                <w:noProof/>
                <w:webHidden/>
              </w:rPr>
            </w:r>
            <w:r w:rsidR="006655BD">
              <w:rPr>
                <w:noProof/>
                <w:webHidden/>
              </w:rPr>
              <w:fldChar w:fldCharType="separate"/>
            </w:r>
            <w:r w:rsidR="00800876">
              <w:rPr>
                <w:noProof/>
                <w:webHidden/>
              </w:rPr>
              <w:t>40</w:t>
            </w:r>
            <w:r w:rsidR="006655BD">
              <w:rPr>
                <w:noProof/>
                <w:webHidden/>
              </w:rPr>
              <w:fldChar w:fldCharType="end"/>
            </w:r>
          </w:hyperlink>
        </w:p>
        <w:p w14:paraId="2FB25B01" w14:textId="77777777" w:rsidR="006655BD" w:rsidRDefault="00D40F9F">
          <w:pPr>
            <w:pStyle w:val="TOC3"/>
            <w:tabs>
              <w:tab w:val="right" w:leader="dot" w:pos="9016"/>
            </w:tabs>
            <w:rPr>
              <w:rFonts w:eastAsiaTheme="minorEastAsia" w:cstheme="minorBidi"/>
              <w:noProof/>
              <w:lang w:eastAsia="en-GB"/>
            </w:rPr>
          </w:pPr>
          <w:hyperlink w:anchor="_Toc452316313" w:history="1">
            <w:r w:rsidR="006655BD" w:rsidRPr="00230B72">
              <w:rPr>
                <w:rStyle w:val="Hyperlink"/>
                <w:noProof/>
              </w:rPr>
              <w:t>2.5.1 Powerful knowledge</w:t>
            </w:r>
            <w:r w:rsidR="006655BD">
              <w:rPr>
                <w:noProof/>
                <w:webHidden/>
              </w:rPr>
              <w:tab/>
            </w:r>
            <w:r w:rsidR="006655BD">
              <w:rPr>
                <w:noProof/>
                <w:webHidden/>
              </w:rPr>
              <w:fldChar w:fldCharType="begin"/>
            </w:r>
            <w:r w:rsidR="006655BD">
              <w:rPr>
                <w:noProof/>
                <w:webHidden/>
              </w:rPr>
              <w:instrText xml:space="preserve"> PAGEREF _Toc452316313 \h </w:instrText>
            </w:r>
            <w:r w:rsidR="006655BD">
              <w:rPr>
                <w:noProof/>
                <w:webHidden/>
              </w:rPr>
            </w:r>
            <w:r w:rsidR="006655BD">
              <w:rPr>
                <w:noProof/>
                <w:webHidden/>
              </w:rPr>
              <w:fldChar w:fldCharType="separate"/>
            </w:r>
            <w:r w:rsidR="00800876">
              <w:rPr>
                <w:noProof/>
                <w:webHidden/>
              </w:rPr>
              <w:t>41</w:t>
            </w:r>
            <w:r w:rsidR="006655BD">
              <w:rPr>
                <w:noProof/>
                <w:webHidden/>
              </w:rPr>
              <w:fldChar w:fldCharType="end"/>
            </w:r>
          </w:hyperlink>
        </w:p>
        <w:p w14:paraId="685A102D" w14:textId="77777777" w:rsidR="006655BD" w:rsidRDefault="00D40F9F">
          <w:pPr>
            <w:pStyle w:val="TOC3"/>
            <w:tabs>
              <w:tab w:val="right" w:leader="dot" w:pos="9016"/>
            </w:tabs>
            <w:rPr>
              <w:rFonts w:eastAsiaTheme="minorEastAsia" w:cstheme="minorBidi"/>
              <w:noProof/>
              <w:lang w:eastAsia="en-GB"/>
            </w:rPr>
          </w:pPr>
          <w:hyperlink w:anchor="_Toc452316314" w:history="1">
            <w:r w:rsidR="006655BD" w:rsidRPr="00230B72">
              <w:rPr>
                <w:rStyle w:val="Hyperlink"/>
                <w:noProof/>
              </w:rPr>
              <w:t>2.5.2 Core Knowledge</w:t>
            </w:r>
            <w:r w:rsidR="006655BD">
              <w:rPr>
                <w:noProof/>
                <w:webHidden/>
              </w:rPr>
              <w:tab/>
            </w:r>
            <w:r w:rsidR="006655BD">
              <w:rPr>
                <w:noProof/>
                <w:webHidden/>
              </w:rPr>
              <w:fldChar w:fldCharType="begin"/>
            </w:r>
            <w:r w:rsidR="006655BD">
              <w:rPr>
                <w:noProof/>
                <w:webHidden/>
              </w:rPr>
              <w:instrText xml:space="preserve"> PAGEREF _Toc452316314 \h </w:instrText>
            </w:r>
            <w:r w:rsidR="006655BD">
              <w:rPr>
                <w:noProof/>
                <w:webHidden/>
              </w:rPr>
            </w:r>
            <w:r w:rsidR="006655BD">
              <w:rPr>
                <w:noProof/>
                <w:webHidden/>
              </w:rPr>
              <w:fldChar w:fldCharType="separate"/>
            </w:r>
            <w:r w:rsidR="00800876">
              <w:rPr>
                <w:noProof/>
                <w:webHidden/>
              </w:rPr>
              <w:t>42</w:t>
            </w:r>
            <w:r w:rsidR="006655BD">
              <w:rPr>
                <w:noProof/>
                <w:webHidden/>
              </w:rPr>
              <w:fldChar w:fldCharType="end"/>
            </w:r>
          </w:hyperlink>
        </w:p>
        <w:p w14:paraId="622B6DE1" w14:textId="77777777" w:rsidR="006655BD" w:rsidRDefault="00D40F9F">
          <w:pPr>
            <w:pStyle w:val="TOC2"/>
            <w:tabs>
              <w:tab w:val="right" w:leader="dot" w:pos="9016"/>
            </w:tabs>
            <w:rPr>
              <w:rFonts w:eastAsiaTheme="minorEastAsia" w:cstheme="minorBidi"/>
              <w:b w:val="0"/>
              <w:bCs w:val="0"/>
              <w:noProof/>
              <w:lang w:eastAsia="en-GB"/>
            </w:rPr>
          </w:pPr>
          <w:hyperlink w:anchor="_Toc452316315" w:history="1">
            <w:r w:rsidR="006655BD" w:rsidRPr="00230B72">
              <w:rPr>
                <w:rStyle w:val="Hyperlink"/>
                <w:noProof/>
              </w:rPr>
              <w:t>2.6 Educational policy and policy archaeology</w:t>
            </w:r>
            <w:r w:rsidR="006655BD">
              <w:rPr>
                <w:noProof/>
                <w:webHidden/>
              </w:rPr>
              <w:tab/>
            </w:r>
            <w:r w:rsidR="006655BD">
              <w:rPr>
                <w:noProof/>
                <w:webHidden/>
              </w:rPr>
              <w:fldChar w:fldCharType="begin"/>
            </w:r>
            <w:r w:rsidR="006655BD">
              <w:rPr>
                <w:noProof/>
                <w:webHidden/>
              </w:rPr>
              <w:instrText xml:space="preserve"> PAGEREF _Toc452316315 \h </w:instrText>
            </w:r>
            <w:r w:rsidR="006655BD">
              <w:rPr>
                <w:noProof/>
                <w:webHidden/>
              </w:rPr>
            </w:r>
            <w:r w:rsidR="006655BD">
              <w:rPr>
                <w:noProof/>
                <w:webHidden/>
              </w:rPr>
              <w:fldChar w:fldCharType="separate"/>
            </w:r>
            <w:r w:rsidR="00800876">
              <w:rPr>
                <w:noProof/>
                <w:webHidden/>
              </w:rPr>
              <w:t>45</w:t>
            </w:r>
            <w:r w:rsidR="006655BD">
              <w:rPr>
                <w:noProof/>
                <w:webHidden/>
              </w:rPr>
              <w:fldChar w:fldCharType="end"/>
            </w:r>
          </w:hyperlink>
        </w:p>
        <w:p w14:paraId="37234148" w14:textId="77777777" w:rsidR="006655BD" w:rsidRDefault="00D40F9F">
          <w:pPr>
            <w:pStyle w:val="TOC3"/>
            <w:tabs>
              <w:tab w:val="right" w:leader="dot" w:pos="9016"/>
            </w:tabs>
            <w:rPr>
              <w:rFonts w:eastAsiaTheme="minorEastAsia" w:cstheme="minorBidi"/>
              <w:noProof/>
              <w:lang w:eastAsia="en-GB"/>
            </w:rPr>
          </w:pPr>
          <w:hyperlink w:anchor="_Toc452316316" w:history="1">
            <w:r w:rsidR="006655BD" w:rsidRPr="00230B72">
              <w:rPr>
                <w:rStyle w:val="Hyperlink"/>
                <w:noProof/>
              </w:rPr>
              <w:t>2.6.1 Policy analysis</w:t>
            </w:r>
            <w:r w:rsidR="006655BD">
              <w:rPr>
                <w:noProof/>
                <w:webHidden/>
              </w:rPr>
              <w:tab/>
            </w:r>
            <w:r w:rsidR="006655BD">
              <w:rPr>
                <w:noProof/>
                <w:webHidden/>
              </w:rPr>
              <w:fldChar w:fldCharType="begin"/>
            </w:r>
            <w:r w:rsidR="006655BD">
              <w:rPr>
                <w:noProof/>
                <w:webHidden/>
              </w:rPr>
              <w:instrText xml:space="preserve"> PAGEREF _Toc452316316 \h </w:instrText>
            </w:r>
            <w:r w:rsidR="006655BD">
              <w:rPr>
                <w:noProof/>
                <w:webHidden/>
              </w:rPr>
            </w:r>
            <w:r w:rsidR="006655BD">
              <w:rPr>
                <w:noProof/>
                <w:webHidden/>
              </w:rPr>
              <w:fldChar w:fldCharType="separate"/>
            </w:r>
            <w:r w:rsidR="00800876">
              <w:rPr>
                <w:noProof/>
                <w:webHidden/>
              </w:rPr>
              <w:t>47</w:t>
            </w:r>
            <w:r w:rsidR="006655BD">
              <w:rPr>
                <w:noProof/>
                <w:webHidden/>
              </w:rPr>
              <w:fldChar w:fldCharType="end"/>
            </w:r>
          </w:hyperlink>
        </w:p>
        <w:p w14:paraId="5E8C3A40" w14:textId="77777777" w:rsidR="006655BD" w:rsidRDefault="00D40F9F">
          <w:pPr>
            <w:pStyle w:val="TOC3"/>
            <w:tabs>
              <w:tab w:val="right" w:leader="dot" w:pos="9016"/>
            </w:tabs>
            <w:rPr>
              <w:rFonts w:eastAsiaTheme="minorEastAsia" w:cstheme="minorBidi"/>
              <w:noProof/>
              <w:lang w:eastAsia="en-GB"/>
            </w:rPr>
          </w:pPr>
          <w:hyperlink w:anchor="_Toc452316317" w:history="1">
            <w:r w:rsidR="006655BD" w:rsidRPr="00230B72">
              <w:rPr>
                <w:rStyle w:val="Hyperlink"/>
                <w:noProof/>
              </w:rPr>
              <w:t>2.6.2 Policy archaeology</w:t>
            </w:r>
            <w:r w:rsidR="006655BD">
              <w:rPr>
                <w:noProof/>
                <w:webHidden/>
              </w:rPr>
              <w:tab/>
            </w:r>
            <w:r w:rsidR="006655BD">
              <w:rPr>
                <w:noProof/>
                <w:webHidden/>
              </w:rPr>
              <w:fldChar w:fldCharType="begin"/>
            </w:r>
            <w:r w:rsidR="006655BD">
              <w:rPr>
                <w:noProof/>
                <w:webHidden/>
              </w:rPr>
              <w:instrText xml:space="preserve"> PAGEREF _Toc452316317 \h </w:instrText>
            </w:r>
            <w:r w:rsidR="006655BD">
              <w:rPr>
                <w:noProof/>
                <w:webHidden/>
              </w:rPr>
            </w:r>
            <w:r w:rsidR="006655BD">
              <w:rPr>
                <w:noProof/>
                <w:webHidden/>
              </w:rPr>
              <w:fldChar w:fldCharType="separate"/>
            </w:r>
            <w:r w:rsidR="00800876">
              <w:rPr>
                <w:noProof/>
                <w:webHidden/>
              </w:rPr>
              <w:t>48</w:t>
            </w:r>
            <w:r w:rsidR="006655BD">
              <w:rPr>
                <w:noProof/>
                <w:webHidden/>
              </w:rPr>
              <w:fldChar w:fldCharType="end"/>
            </w:r>
          </w:hyperlink>
        </w:p>
        <w:p w14:paraId="44A393F3" w14:textId="77777777" w:rsidR="006655BD" w:rsidRDefault="00D40F9F">
          <w:pPr>
            <w:pStyle w:val="TOC2"/>
            <w:tabs>
              <w:tab w:val="right" w:leader="dot" w:pos="9016"/>
            </w:tabs>
            <w:rPr>
              <w:rFonts w:eastAsiaTheme="minorEastAsia" w:cstheme="minorBidi"/>
              <w:b w:val="0"/>
              <w:bCs w:val="0"/>
              <w:noProof/>
              <w:lang w:eastAsia="en-GB"/>
            </w:rPr>
          </w:pPr>
          <w:hyperlink w:anchor="_Toc452316318" w:history="1">
            <w:r w:rsidR="006655BD" w:rsidRPr="00230B72">
              <w:rPr>
                <w:rStyle w:val="Hyperlink"/>
                <w:noProof/>
              </w:rPr>
              <w:t>2.7 Governmentality and surveillance</w:t>
            </w:r>
            <w:r w:rsidR="006655BD">
              <w:rPr>
                <w:noProof/>
                <w:webHidden/>
              </w:rPr>
              <w:tab/>
            </w:r>
            <w:r w:rsidR="006655BD">
              <w:rPr>
                <w:noProof/>
                <w:webHidden/>
              </w:rPr>
              <w:fldChar w:fldCharType="begin"/>
            </w:r>
            <w:r w:rsidR="006655BD">
              <w:rPr>
                <w:noProof/>
                <w:webHidden/>
              </w:rPr>
              <w:instrText xml:space="preserve"> PAGEREF _Toc452316318 \h </w:instrText>
            </w:r>
            <w:r w:rsidR="006655BD">
              <w:rPr>
                <w:noProof/>
                <w:webHidden/>
              </w:rPr>
            </w:r>
            <w:r w:rsidR="006655BD">
              <w:rPr>
                <w:noProof/>
                <w:webHidden/>
              </w:rPr>
              <w:fldChar w:fldCharType="separate"/>
            </w:r>
            <w:r w:rsidR="00800876">
              <w:rPr>
                <w:noProof/>
                <w:webHidden/>
              </w:rPr>
              <w:t>51</w:t>
            </w:r>
            <w:r w:rsidR="006655BD">
              <w:rPr>
                <w:noProof/>
                <w:webHidden/>
              </w:rPr>
              <w:fldChar w:fldCharType="end"/>
            </w:r>
          </w:hyperlink>
        </w:p>
        <w:p w14:paraId="526F9DEE" w14:textId="77777777" w:rsidR="006655BD" w:rsidRDefault="00D40F9F">
          <w:pPr>
            <w:pStyle w:val="TOC2"/>
            <w:tabs>
              <w:tab w:val="right" w:leader="dot" w:pos="9016"/>
            </w:tabs>
            <w:rPr>
              <w:rFonts w:eastAsiaTheme="minorEastAsia" w:cstheme="minorBidi"/>
              <w:b w:val="0"/>
              <w:bCs w:val="0"/>
              <w:noProof/>
              <w:lang w:eastAsia="en-GB"/>
            </w:rPr>
          </w:pPr>
          <w:hyperlink w:anchor="_Toc452316319" w:history="1">
            <w:r w:rsidR="006655BD" w:rsidRPr="00230B72">
              <w:rPr>
                <w:rStyle w:val="Hyperlink"/>
                <w:noProof/>
              </w:rPr>
              <w:t>2.8 Impact of the EBac policy</w:t>
            </w:r>
            <w:r w:rsidR="006655BD">
              <w:rPr>
                <w:noProof/>
                <w:webHidden/>
              </w:rPr>
              <w:tab/>
            </w:r>
            <w:r w:rsidR="006655BD">
              <w:rPr>
                <w:noProof/>
                <w:webHidden/>
              </w:rPr>
              <w:fldChar w:fldCharType="begin"/>
            </w:r>
            <w:r w:rsidR="006655BD">
              <w:rPr>
                <w:noProof/>
                <w:webHidden/>
              </w:rPr>
              <w:instrText xml:space="preserve"> PAGEREF _Toc452316319 \h </w:instrText>
            </w:r>
            <w:r w:rsidR="006655BD">
              <w:rPr>
                <w:noProof/>
                <w:webHidden/>
              </w:rPr>
            </w:r>
            <w:r w:rsidR="006655BD">
              <w:rPr>
                <w:noProof/>
                <w:webHidden/>
              </w:rPr>
              <w:fldChar w:fldCharType="separate"/>
            </w:r>
            <w:r w:rsidR="00800876">
              <w:rPr>
                <w:noProof/>
                <w:webHidden/>
              </w:rPr>
              <w:t>53</w:t>
            </w:r>
            <w:r w:rsidR="006655BD">
              <w:rPr>
                <w:noProof/>
                <w:webHidden/>
              </w:rPr>
              <w:fldChar w:fldCharType="end"/>
            </w:r>
          </w:hyperlink>
        </w:p>
        <w:p w14:paraId="1F0A8655" w14:textId="77777777" w:rsidR="006655BD" w:rsidRDefault="00D40F9F">
          <w:pPr>
            <w:pStyle w:val="TOC2"/>
            <w:tabs>
              <w:tab w:val="right" w:leader="dot" w:pos="9016"/>
            </w:tabs>
            <w:rPr>
              <w:rFonts w:eastAsiaTheme="minorEastAsia" w:cstheme="minorBidi"/>
              <w:b w:val="0"/>
              <w:bCs w:val="0"/>
              <w:noProof/>
              <w:lang w:eastAsia="en-GB"/>
            </w:rPr>
          </w:pPr>
          <w:hyperlink w:anchor="_Toc452316320" w:history="1">
            <w:r w:rsidR="006655BD" w:rsidRPr="00230B72">
              <w:rPr>
                <w:rStyle w:val="Hyperlink"/>
                <w:noProof/>
              </w:rPr>
              <w:t>2.9 Theoretical approach</w:t>
            </w:r>
            <w:r w:rsidR="006655BD">
              <w:rPr>
                <w:noProof/>
                <w:webHidden/>
              </w:rPr>
              <w:tab/>
            </w:r>
            <w:r w:rsidR="006655BD">
              <w:rPr>
                <w:noProof/>
                <w:webHidden/>
              </w:rPr>
              <w:fldChar w:fldCharType="begin"/>
            </w:r>
            <w:r w:rsidR="006655BD">
              <w:rPr>
                <w:noProof/>
                <w:webHidden/>
              </w:rPr>
              <w:instrText xml:space="preserve"> PAGEREF _Toc452316320 \h </w:instrText>
            </w:r>
            <w:r w:rsidR="006655BD">
              <w:rPr>
                <w:noProof/>
                <w:webHidden/>
              </w:rPr>
            </w:r>
            <w:r w:rsidR="006655BD">
              <w:rPr>
                <w:noProof/>
                <w:webHidden/>
              </w:rPr>
              <w:fldChar w:fldCharType="separate"/>
            </w:r>
            <w:r w:rsidR="00800876">
              <w:rPr>
                <w:noProof/>
                <w:webHidden/>
              </w:rPr>
              <w:t>57</w:t>
            </w:r>
            <w:r w:rsidR="006655BD">
              <w:rPr>
                <w:noProof/>
                <w:webHidden/>
              </w:rPr>
              <w:fldChar w:fldCharType="end"/>
            </w:r>
          </w:hyperlink>
        </w:p>
        <w:p w14:paraId="71D040AB" w14:textId="77777777" w:rsidR="006655BD" w:rsidRDefault="00D40F9F">
          <w:pPr>
            <w:pStyle w:val="TOC2"/>
            <w:tabs>
              <w:tab w:val="right" w:leader="dot" w:pos="9016"/>
            </w:tabs>
            <w:rPr>
              <w:rFonts w:eastAsiaTheme="minorEastAsia" w:cstheme="minorBidi"/>
              <w:b w:val="0"/>
              <w:bCs w:val="0"/>
              <w:noProof/>
              <w:lang w:eastAsia="en-GB"/>
            </w:rPr>
          </w:pPr>
          <w:hyperlink w:anchor="_Toc452316321" w:history="1">
            <w:r w:rsidR="006655BD" w:rsidRPr="00230B72">
              <w:rPr>
                <w:rStyle w:val="Hyperlink"/>
                <w:noProof/>
              </w:rPr>
              <w:t>2.10 Conclusion</w:t>
            </w:r>
            <w:r w:rsidR="006655BD">
              <w:rPr>
                <w:noProof/>
                <w:webHidden/>
              </w:rPr>
              <w:tab/>
            </w:r>
            <w:r w:rsidR="006655BD">
              <w:rPr>
                <w:noProof/>
                <w:webHidden/>
              </w:rPr>
              <w:fldChar w:fldCharType="begin"/>
            </w:r>
            <w:r w:rsidR="006655BD">
              <w:rPr>
                <w:noProof/>
                <w:webHidden/>
              </w:rPr>
              <w:instrText xml:space="preserve"> PAGEREF _Toc452316321 \h </w:instrText>
            </w:r>
            <w:r w:rsidR="006655BD">
              <w:rPr>
                <w:noProof/>
                <w:webHidden/>
              </w:rPr>
            </w:r>
            <w:r w:rsidR="006655BD">
              <w:rPr>
                <w:noProof/>
                <w:webHidden/>
              </w:rPr>
              <w:fldChar w:fldCharType="separate"/>
            </w:r>
            <w:r w:rsidR="00800876">
              <w:rPr>
                <w:noProof/>
                <w:webHidden/>
              </w:rPr>
              <w:t>61</w:t>
            </w:r>
            <w:r w:rsidR="006655BD">
              <w:rPr>
                <w:noProof/>
                <w:webHidden/>
              </w:rPr>
              <w:fldChar w:fldCharType="end"/>
            </w:r>
          </w:hyperlink>
        </w:p>
        <w:p w14:paraId="5D4DDF7F" w14:textId="77777777" w:rsidR="006655BD" w:rsidRDefault="00D40F9F">
          <w:pPr>
            <w:pStyle w:val="TOC1"/>
            <w:tabs>
              <w:tab w:val="right" w:leader="dot" w:pos="9016"/>
            </w:tabs>
            <w:rPr>
              <w:rFonts w:eastAsiaTheme="minorEastAsia" w:cstheme="minorBidi"/>
              <w:b w:val="0"/>
              <w:bCs w:val="0"/>
              <w:noProof/>
              <w:sz w:val="22"/>
              <w:szCs w:val="22"/>
              <w:lang w:eastAsia="en-GB"/>
            </w:rPr>
          </w:pPr>
          <w:hyperlink w:anchor="_Toc452316322" w:history="1">
            <w:r w:rsidR="006655BD" w:rsidRPr="00230B72">
              <w:rPr>
                <w:rStyle w:val="Hyperlink"/>
                <w:noProof/>
              </w:rPr>
              <w:t>Chapter 3 - Methodology and Methods</w:t>
            </w:r>
            <w:r w:rsidR="006655BD">
              <w:rPr>
                <w:noProof/>
                <w:webHidden/>
              </w:rPr>
              <w:tab/>
            </w:r>
            <w:r w:rsidR="006655BD">
              <w:rPr>
                <w:noProof/>
                <w:webHidden/>
              </w:rPr>
              <w:fldChar w:fldCharType="begin"/>
            </w:r>
            <w:r w:rsidR="006655BD">
              <w:rPr>
                <w:noProof/>
                <w:webHidden/>
              </w:rPr>
              <w:instrText xml:space="preserve"> PAGEREF _Toc452316322 \h </w:instrText>
            </w:r>
            <w:r w:rsidR="006655BD">
              <w:rPr>
                <w:noProof/>
                <w:webHidden/>
              </w:rPr>
            </w:r>
            <w:r w:rsidR="006655BD">
              <w:rPr>
                <w:noProof/>
                <w:webHidden/>
              </w:rPr>
              <w:fldChar w:fldCharType="separate"/>
            </w:r>
            <w:r w:rsidR="00800876">
              <w:rPr>
                <w:noProof/>
                <w:webHidden/>
              </w:rPr>
              <w:t>62</w:t>
            </w:r>
            <w:r w:rsidR="006655BD">
              <w:rPr>
                <w:noProof/>
                <w:webHidden/>
              </w:rPr>
              <w:fldChar w:fldCharType="end"/>
            </w:r>
          </w:hyperlink>
        </w:p>
        <w:p w14:paraId="0F840340" w14:textId="77777777" w:rsidR="006655BD" w:rsidRDefault="00D40F9F">
          <w:pPr>
            <w:pStyle w:val="TOC2"/>
            <w:tabs>
              <w:tab w:val="right" w:leader="dot" w:pos="9016"/>
            </w:tabs>
            <w:rPr>
              <w:rFonts w:eastAsiaTheme="minorEastAsia" w:cstheme="minorBidi"/>
              <w:b w:val="0"/>
              <w:bCs w:val="0"/>
              <w:noProof/>
              <w:lang w:eastAsia="en-GB"/>
            </w:rPr>
          </w:pPr>
          <w:hyperlink w:anchor="_Toc452316323" w:history="1">
            <w:r w:rsidR="006655BD" w:rsidRPr="00230B72">
              <w:rPr>
                <w:rStyle w:val="Hyperlink"/>
                <w:noProof/>
              </w:rPr>
              <w:t>3.1 Introduction</w:t>
            </w:r>
            <w:r w:rsidR="006655BD">
              <w:rPr>
                <w:noProof/>
                <w:webHidden/>
              </w:rPr>
              <w:tab/>
            </w:r>
            <w:r w:rsidR="006655BD">
              <w:rPr>
                <w:noProof/>
                <w:webHidden/>
              </w:rPr>
              <w:fldChar w:fldCharType="begin"/>
            </w:r>
            <w:r w:rsidR="006655BD">
              <w:rPr>
                <w:noProof/>
                <w:webHidden/>
              </w:rPr>
              <w:instrText xml:space="preserve"> PAGEREF _Toc452316323 \h </w:instrText>
            </w:r>
            <w:r w:rsidR="006655BD">
              <w:rPr>
                <w:noProof/>
                <w:webHidden/>
              </w:rPr>
            </w:r>
            <w:r w:rsidR="006655BD">
              <w:rPr>
                <w:noProof/>
                <w:webHidden/>
              </w:rPr>
              <w:fldChar w:fldCharType="separate"/>
            </w:r>
            <w:r w:rsidR="00800876">
              <w:rPr>
                <w:noProof/>
                <w:webHidden/>
              </w:rPr>
              <w:t>62</w:t>
            </w:r>
            <w:r w:rsidR="006655BD">
              <w:rPr>
                <w:noProof/>
                <w:webHidden/>
              </w:rPr>
              <w:fldChar w:fldCharType="end"/>
            </w:r>
          </w:hyperlink>
        </w:p>
        <w:p w14:paraId="567D683E" w14:textId="77777777" w:rsidR="006655BD" w:rsidRDefault="00D40F9F">
          <w:pPr>
            <w:pStyle w:val="TOC2"/>
            <w:tabs>
              <w:tab w:val="right" w:leader="dot" w:pos="9016"/>
            </w:tabs>
            <w:rPr>
              <w:rFonts w:eastAsiaTheme="minorEastAsia" w:cstheme="minorBidi"/>
              <w:b w:val="0"/>
              <w:bCs w:val="0"/>
              <w:noProof/>
              <w:lang w:eastAsia="en-GB"/>
            </w:rPr>
          </w:pPr>
          <w:hyperlink w:anchor="_Toc452316324" w:history="1">
            <w:r w:rsidR="006655BD" w:rsidRPr="00230B72">
              <w:rPr>
                <w:rStyle w:val="Hyperlink"/>
                <w:noProof/>
              </w:rPr>
              <w:t>3.2 Methodology</w:t>
            </w:r>
            <w:r w:rsidR="006655BD">
              <w:rPr>
                <w:noProof/>
                <w:webHidden/>
              </w:rPr>
              <w:tab/>
            </w:r>
            <w:r w:rsidR="006655BD">
              <w:rPr>
                <w:noProof/>
                <w:webHidden/>
              </w:rPr>
              <w:fldChar w:fldCharType="begin"/>
            </w:r>
            <w:r w:rsidR="006655BD">
              <w:rPr>
                <w:noProof/>
                <w:webHidden/>
              </w:rPr>
              <w:instrText xml:space="preserve"> PAGEREF _Toc452316324 \h </w:instrText>
            </w:r>
            <w:r w:rsidR="006655BD">
              <w:rPr>
                <w:noProof/>
                <w:webHidden/>
              </w:rPr>
            </w:r>
            <w:r w:rsidR="006655BD">
              <w:rPr>
                <w:noProof/>
                <w:webHidden/>
              </w:rPr>
              <w:fldChar w:fldCharType="separate"/>
            </w:r>
            <w:r w:rsidR="00800876">
              <w:rPr>
                <w:noProof/>
                <w:webHidden/>
              </w:rPr>
              <w:t>62</w:t>
            </w:r>
            <w:r w:rsidR="006655BD">
              <w:rPr>
                <w:noProof/>
                <w:webHidden/>
              </w:rPr>
              <w:fldChar w:fldCharType="end"/>
            </w:r>
          </w:hyperlink>
        </w:p>
        <w:p w14:paraId="241502FE" w14:textId="77777777" w:rsidR="006655BD" w:rsidRDefault="00D40F9F">
          <w:pPr>
            <w:pStyle w:val="TOC3"/>
            <w:tabs>
              <w:tab w:val="right" w:leader="dot" w:pos="9016"/>
            </w:tabs>
            <w:rPr>
              <w:rFonts w:eastAsiaTheme="minorEastAsia" w:cstheme="minorBidi"/>
              <w:noProof/>
              <w:lang w:eastAsia="en-GB"/>
            </w:rPr>
          </w:pPr>
          <w:hyperlink w:anchor="_Toc452316325" w:history="1">
            <w:r w:rsidR="006655BD" w:rsidRPr="00230B72">
              <w:rPr>
                <w:rStyle w:val="Hyperlink"/>
                <w:noProof/>
              </w:rPr>
              <w:t>3.2.1. Ontology and epistemology</w:t>
            </w:r>
            <w:r w:rsidR="006655BD">
              <w:rPr>
                <w:noProof/>
                <w:webHidden/>
              </w:rPr>
              <w:tab/>
            </w:r>
            <w:r w:rsidR="006655BD">
              <w:rPr>
                <w:noProof/>
                <w:webHidden/>
              </w:rPr>
              <w:fldChar w:fldCharType="begin"/>
            </w:r>
            <w:r w:rsidR="006655BD">
              <w:rPr>
                <w:noProof/>
                <w:webHidden/>
              </w:rPr>
              <w:instrText xml:space="preserve"> PAGEREF _Toc452316325 \h </w:instrText>
            </w:r>
            <w:r w:rsidR="006655BD">
              <w:rPr>
                <w:noProof/>
                <w:webHidden/>
              </w:rPr>
            </w:r>
            <w:r w:rsidR="006655BD">
              <w:rPr>
                <w:noProof/>
                <w:webHidden/>
              </w:rPr>
              <w:fldChar w:fldCharType="separate"/>
            </w:r>
            <w:r w:rsidR="00800876">
              <w:rPr>
                <w:noProof/>
                <w:webHidden/>
              </w:rPr>
              <w:t>63</w:t>
            </w:r>
            <w:r w:rsidR="006655BD">
              <w:rPr>
                <w:noProof/>
                <w:webHidden/>
              </w:rPr>
              <w:fldChar w:fldCharType="end"/>
            </w:r>
          </w:hyperlink>
        </w:p>
        <w:p w14:paraId="55209666" w14:textId="77777777" w:rsidR="006655BD" w:rsidRDefault="00D40F9F">
          <w:pPr>
            <w:pStyle w:val="TOC2"/>
            <w:tabs>
              <w:tab w:val="right" w:leader="dot" w:pos="9016"/>
            </w:tabs>
            <w:rPr>
              <w:rFonts w:eastAsiaTheme="minorEastAsia" w:cstheme="minorBidi"/>
              <w:b w:val="0"/>
              <w:bCs w:val="0"/>
              <w:noProof/>
              <w:lang w:eastAsia="en-GB"/>
            </w:rPr>
          </w:pPr>
          <w:hyperlink w:anchor="_Toc452316326" w:history="1">
            <w:r w:rsidR="006655BD" w:rsidRPr="00230B72">
              <w:rPr>
                <w:rStyle w:val="Hyperlink"/>
                <w:noProof/>
              </w:rPr>
              <w:t>3.3 The researcher’s positionality in relation to the methodology and methods</w:t>
            </w:r>
            <w:r w:rsidR="006655BD">
              <w:rPr>
                <w:noProof/>
                <w:webHidden/>
              </w:rPr>
              <w:tab/>
            </w:r>
            <w:r w:rsidR="006655BD">
              <w:rPr>
                <w:noProof/>
                <w:webHidden/>
              </w:rPr>
              <w:fldChar w:fldCharType="begin"/>
            </w:r>
            <w:r w:rsidR="006655BD">
              <w:rPr>
                <w:noProof/>
                <w:webHidden/>
              </w:rPr>
              <w:instrText xml:space="preserve"> PAGEREF _Toc452316326 \h </w:instrText>
            </w:r>
            <w:r w:rsidR="006655BD">
              <w:rPr>
                <w:noProof/>
                <w:webHidden/>
              </w:rPr>
            </w:r>
            <w:r w:rsidR="006655BD">
              <w:rPr>
                <w:noProof/>
                <w:webHidden/>
              </w:rPr>
              <w:fldChar w:fldCharType="separate"/>
            </w:r>
            <w:r w:rsidR="00800876">
              <w:rPr>
                <w:noProof/>
                <w:webHidden/>
              </w:rPr>
              <w:t>64</w:t>
            </w:r>
            <w:r w:rsidR="006655BD">
              <w:rPr>
                <w:noProof/>
                <w:webHidden/>
              </w:rPr>
              <w:fldChar w:fldCharType="end"/>
            </w:r>
          </w:hyperlink>
        </w:p>
        <w:p w14:paraId="5E36B5DF" w14:textId="77777777" w:rsidR="006655BD" w:rsidRDefault="00D40F9F">
          <w:pPr>
            <w:pStyle w:val="TOC2"/>
            <w:tabs>
              <w:tab w:val="right" w:leader="dot" w:pos="9016"/>
            </w:tabs>
            <w:rPr>
              <w:rFonts w:eastAsiaTheme="minorEastAsia" w:cstheme="minorBidi"/>
              <w:b w:val="0"/>
              <w:bCs w:val="0"/>
              <w:noProof/>
              <w:lang w:eastAsia="en-GB"/>
            </w:rPr>
          </w:pPr>
          <w:hyperlink w:anchor="_Toc452316327" w:history="1">
            <w:r w:rsidR="006655BD" w:rsidRPr="00230B72">
              <w:rPr>
                <w:rStyle w:val="Hyperlink"/>
                <w:noProof/>
              </w:rPr>
              <w:t>3.4 Research aims and questions:</w:t>
            </w:r>
            <w:r w:rsidR="006655BD">
              <w:rPr>
                <w:noProof/>
                <w:webHidden/>
              </w:rPr>
              <w:tab/>
            </w:r>
            <w:r w:rsidR="006655BD">
              <w:rPr>
                <w:noProof/>
                <w:webHidden/>
              </w:rPr>
              <w:fldChar w:fldCharType="begin"/>
            </w:r>
            <w:r w:rsidR="006655BD">
              <w:rPr>
                <w:noProof/>
                <w:webHidden/>
              </w:rPr>
              <w:instrText xml:space="preserve"> PAGEREF _Toc452316327 \h </w:instrText>
            </w:r>
            <w:r w:rsidR="006655BD">
              <w:rPr>
                <w:noProof/>
                <w:webHidden/>
              </w:rPr>
            </w:r>
            <w:r w:rsidR="006655BD">
              <w:rPr>
                <w:noProof/>
                <w:webHidden/>
              </w:rPr>
              <w:fldChar w:fldCharType="separate"/>
            </w:r>
            <w:r w:rsidR="00800876">
              <w:rPr>
                <w:noProof/>
                <w:webHidden/>
              </w:rPr>
              <w:t>65</w:t>
            </w:r>
            <w:r w:rsidR="006655BD">
              <w:rPr>
                <w:noProof/>
                <w:webHidden/>
              </w:rPr>
              <w:fldChar w:fldCharType="end"/>
            </w:r>
          </w:hyperlink>
        </w:p>
        <w:p w14:paraId="73EC1EA6" w14:textId="77777777" w:rsidR="006655BD" w:rsidRDefault="00D40F9F">
          <w:pPr>
            <w:pStyle w:val="TOC3"/>
            <w:tabs>
              <w:tab w:val="right" w:leader="dot" w:pos="9016"/>
            </w:tabs>
            <w:rPr>
              <w:rFonts w:eastAsiaTheme="minorEastAsia" w:cstheme="minorBidi"/>
              <w:noProof/>
              <w:lang w:eastAsia="en-GB"/>
            </w:rPr>
          </w:pPr>
          <w:hyperlink w:anchor="_Toc452316328" w:history="1">
            <w:r w:rsidR="006655BD" w:rsidRPr="00230B72">
              <w:rPr>
                <w:rStyle w:val="Hyperlink"/>
                <w:noProof/>
              </w:rPr>
              <w:t>3.4.1 What is the EBac policy and how and why was it introduced as part of a wider policy framework?</w:t>
            </w:r>
            <w:r w:rsidR="006655BD">
              <w:rPr>
                <w:noProof/>
                <w:webHidden/>
              </w:rPr>
              <w:tab/>
            </w:r>
            <w:r w:rsidR="006655BD">
              <w:rPr>
                <w:noProof/>
                <w:webHidden/>
              </w:rPr>
              <w:fldChar w:fldCharType="begin"/>
            </w:r>
            <w:r w:rsidR="006655BD">
              <w:rPr>
                <w:noProof/>
                <w:webHidden/>
              </w:rPr>
              <w:instrText xml:space="preserve"> PAGEREF _Toc452316328 \h </w:instrText>
            </w:r>
            <w:r w:rsidR="006655BD">
              <w:rPr>
                <w:noProof/>
                <w:webHidden/>
              </w:rPr>
            </w:r>
            <w:r w:rsidR="006655BD">
              <w:rPr>
                <w:noProof/>
                <w:webHidden/>
              </w:rPr>
              <w:fldChar w:fldCharType="separate"/>
            </w:r>
            <w:r w:rsidR="00800876">
              <w:rPr>
                <w:noProof/>
                <w:webHidden/>
              </w:rPr>
              <w:t>65</w:t>
            </w:r>
            <w:r w:rsidR="006655BD">
              <w:rPr>
                <w:noProof/>
                <w:webHidden/>
              </w:rPr>
              <w:fldChar w:fldCharType="end"/>
            </w:r>
          </w:hyperlink>
        </w:p>
        <w:p w14:paraId="4460C30F" w14:textId="77777777" w:rsidR="006655BD" w:rsidRDefault="00D40F9F">
          <w:pPr>
            <w:pStyle w:val="TOC3"/>
            <w:tabs>
              <w:tab w:val="right" w:leader="dot" w:pos="9016"/>
            </w:tabs>
            <w:rPr>
              <w:rFonts w:eastAsiaTheme="minorEastAsia" w:cstheme="minorBidi"/>
              <w:noProof/>
              <w:lang w:eastAsia="en-GB"/>
            </w:rPr>
          </w:pPr>
          <w:hyperlink w:anchor="_Toc452316329" w:history="1">
            <w:r w:rsidR="006655BD" w:rsidRPr="00230B72">
              <w:rPr>
                <w:rStyle w:val="Hyperlink"/>
                <w:noProof/>
              </w:rPr>
              <w:t>3.4.2. What are teachers’ perspectives on the constitution and implementation of the EBac?</w:t>
            </w:r>
            <w:r w:rsidR="006655BD">
              <w:rPr>
                <w:noProof/>
                <w:webHidden/>
              </w:rPr>
              <w:tab/>
            </w:r>
            <w:r w:rsidR="006655BD">
              <w:rPr>
                <w:noProof/>
                <w:webHidden/>
              </w:rPr>
              <w:fldChar w:fldCharType="begin"/>
            </w:r>
            <w:r w:rsidR="006655BD">
              <w:rPr>
                <w:noProof/>
                <w:webHidden/>
              </w:rPr>
              <w:instrText xml:space="preserve"> PAGEREF _Toc452316329 \h </w:instrText>
            </w:r>
            <w:r w:rsidR="006655BD">
              <w:rPr>
                <w:noProof/>
                <w:webHidden/>
              </w:rPr>
            </w:r>
            <w:r w:rsidR="006655BD">
              <w:rPr>
                <w:noProof/>
                <w:webHidden/>
              </w:rPr>
              <w:fldChar w:fldCharType="separate"/>
            </w:r>
            <w:r w:rsidR="00800876">
              <w:rPr>
                <w:noProof/>
                <w:webHidden/>
              </w:rPr>
              <w:t>66</w:t>
            </w:r>
            <w:r w:rsidR="006655BD">
              <w:rPr>
                <w:noProof/>
                <w:webHidden/>
              </w:rPr>
              <w:fldChar w:fldCharType="end"/>
            </w:r>
          </w:hyperlink>
        </w:p>
        <w:p w14:paraId="4F2800EC" w14:textId="77777777" w:rsidR="006655BD" w:rsidRDefault="00D40F9F">
          <w:pPr>
            <w:pStyle w:val="TOC3"/>
            <w:tabs>
              <w:tab w:val="right" w:leader="dot" w:pos="9016"/>
            </w:tabs>
            <w:rPr>
              <w:rFonts w:eastAsiaTheme="minorEastAsia" w:cstheme="minorBidi"/>
              <w:noProof/>
              <w:lang w:eastAsia="en-GB"/>
            </w:rPr>
          </w:pPr>
          <w:hyperlink w:anchor="_Toc452316330" w:history="1">
            <w:r w:rsidR="006655BD" w:rsidRPr="00230B72">
              <w:rPr>
                <w:rStyle w:val="Hyperlink"/>
                <w:noProof/>
              </w:rPr>
              <w:t>3.4.3 Does the EBac have implications for educational equality?</w:t>
            </w:r>
            <w:r w:rsidR="006655BD">
              <w:rPr>
                <w:noProof/>
                <w:webHidden/>
              </w:rPr>
              <w:tab/>
            </w:r>
            <w:r w:rsidR="006655BD">
              <w:rPr>
                <w:noProof/>
                <w:webHidden/>
              </w:rPr>
              <w:fldChar w:fldCharType="begin"/>
            </w:r>
            <w:r w:rsidR="006655BD">
              <w:rPr>
                <w:noProof/>
                <w:webHidden/>
              </w:rPr>
              <w:instrText xml:space="preserve"> PAGEREF _Toc452316330 \h </w:instrText>
            </w:r>
            <w:r w:rsidR="006655BD">
              <w:rPr>
                <w:noProof/>
                <w:webHidden/>
              </w:rPr>
            </w:r>
            <w:r w:rsidR="006655BD">
              <w:rPr>
                <w:noProof/>
                <w:webHidden/>
              </w:rPr>
              <w:fldChar w:fldCharType="separate"/>
            </w:r>
            <w:r w:rsidR="00800876">
              <w:rPr>
                <w:noProof/>
                <w:webHidden/>
              </w:rPr>
              <w:t>67</w:t>
            </w:r>
            <w:r w:rsidR="006655BD">
              <w:rPr>
                <w:noProof/>
                <w:webHidden/>
              </w:rPr>
              <w:fldChar w:fldCharType="end"/>
            </w:r>
          </w:hyperlink>
        </w:p>
        <w:p w14:paraId="4CB83BD8" w14:textId="77777777" w:rsidR="006655BD" w:rsidRDefault="00D40F9F">
          <w:pPr>
            <w:pStyle w:val="TOC2"/>
            <w:tabs>
              <w:tab w:val="right" w:leader="dot" w:pos="9016"/>
            </w:tabs>
            <w:rPr>
              <w:rFonts w:eastAsiaTheme="minorEastAsia" w:cstheme="minorBidi"/>
              <w:b w:val="0"/>
              <w:bCs w:val="0"/>
              <w:noProof/>
              <w:lang w:eastAsia="en-GB"/>
            </w:rPr>
          </w:pPr>
          <w:hyperlink w:anchor="_Toc452316331" w:history="1">
            <w:r w:rsidR="006655BD" w:rsidRPr="00230B72">
              <w:rPr>
                <w:rStyle w:val="Hyperlink"/>
                <w:noProof/>
              </w:rPr>
              <w:t>3.5 Methods</w:t>
            </w:r>
            <w:r w:rsidR="006655BD">
              <w:rPr>
                <w:noProof/>
                <w:webHidden/>
              </w:rPr>
              <w:tab/>
            </w:r>
            <w:r w:rsidR="006655BD">
              <w:rPr>
                <w:noProof/>
                <w:webHidden/>
              </w:rPr>
              <w:fldChar w:fldCharType="begin"/>
            </w:r>
            <w:r w:rsidR="006655BD">
              <w:rPr>
                <w:noProof/>
                <w:webHidden/>
              </w:rPr>
              <w:instrText xml:space="preserve"> PAGEREF _Toc452316331 \h </w:instrText>
            </w:r>
            <w:r w:rsidR="006655BD">
              <w:rPr>
                <w:noProof/>
                <w:webHidden/>
              </w:rPr>
            </w:r>
            <w:r w:rsidR="006655BD">
              <w:rPr>
                <w:noProof/>
                <w:webHidden/>
              </w:rPr>
              <w:fldChar w:fldCharType="separate"/>
            </w:r>
            <w:r w:rsidR="00800876">
              <w:rPr>
                <w:noProof/>
                <w:webHidden/>
              </w:rPr>
              <w:t>69</w:t>
            </w:r>
            <w:r w:rsidR="006655BD">
              <w:rPr>
                <w:noProof/>
                <w:webHidden/>
              </w:rPr>
              <w:fldChar w:fldCharType="end"/>
            </w:r>
          </w:hyperlink>
        </w:p>
        <w:p w14:paraId="52DCACB4" w14:textId="77777777" w:rsidR="006655BD" w:rsidRDefault="00D40F9F">
          <w:pPr>
            <w:pStyle w:val="TOC3"/>
            <w:tabs>
              <w:tab w:val="right" w:leader="dot" w:pos="9016"/>
            </w:tabs>
            <w:rPr>
              <w:rFonts w:eastAsiaTheme="minorEastAsia" w:cstheme="minorBidi"/>
              <w:noProof/>
              <w:lang w:eastAsia="en-GB"/>
            </w:rPr>
          </w:pPr>
          <w:hyperlink w:anchor="_Toc452316332" w:history="1">
            <w:r w:rsidR="006655BD" w:rsidRPr="00230B72">
              <w:rPr>
                <w:rStyle w:val="Hyperlink"/>
                <w:noProof/>
              </w:rPr>
              <w:t>3.5.1 Critical Discourse Analysis (CDA)</w:t>
            </w:r>
            <w:r w:rsidR="006655BD">
              <w:rPr>
                <w:noProof/>
                <w:webHidden/>
              </w:rPr>
              <w:tab/>
            </w:r>
            <w:r w:rsidR="006655BD">
              <w:rPr>
                <w:noProof/>
                <w:webHidden/>
              </w:rPr>
              <w:fldChar w:fldCharType="begin"/>
            </w:r>
            <w:r w:rsidR="006655BD">
              <w:rPr>
                <w:noProof/>
                <w:webHidden/>
              </w:rPr>
              <w:instrText xml:space="preserve"> PAGEREF _Toc452316332 \h </w:instrText>
            </w:r>
            <w:r w:rsidR="006655BD">
              <w:rPr>
                <w:noProof/>
                <w:webHidden/>
              </w:rPr>
            </w:r>
            <w:r w:rsidR="006655BD">
              <w:rPr>
                <w:noProof/>
                <w:webHidden/>
              </w:rPr>
              <w:fldChar w:fldCharType="separate"/>
            </w:r>
            <w:r w:rsidR="00800876">
              <w:rPr>
                <w:noProof/>
                <w:webHidden/>
              </w:rPr>
              <w:t>69</w:t>
            </w:r>
            <w:r w:rsidR="006655BD">
              <w:rPr>
                <w:noProof/>
                <w:webHidden/>
              </w:rPr>
              <w:fldChar w:fldCharType="end"/>
            </w:r>
          </w:hyperlink>
        </w:p>
        <w:p w14:paraId="76DA4A0E" w14:textId="77777777" w:rsidR="006655BD" w:rsidRDefault="00D40F9F">
          <w:pPr>
            <w:pStyle w:val="TOC3"/>
            <w:tabs>
              <w:tab w:val="right" w:leader="dot" w:pos="9016"/>
            </w:tabs>
            <w:rPr>
              <w:rFonts w:eastAsiaTheme="minorEastAsia" w:cstheme="minorBidi"/>
              <w:noProof/>
              <w:lang w:eastAsia="en-GB"/>
            </w:rPr>
          </w:pPr>
          <w:hyperlink w:anchor="_Toc452316333" w:history="1">
            <w:r w:rsidR="006655BD" w:rsidRPr="00230B72">
              <w:rPr>
                <w:rStyle w:val="Hyperlink"/>
                <w:noProof/>
              </w:rPr>
              <w:t>3.5.2 CDA in my research</w:t>
            </w:r>
            <w:r w:rsidR="006655BD">
              <w:rPr>
                <w:noProof/>
                <w:webHidden/>
              </w:rPr>
              <w:tab/>
            </w:r>
            <w:r w:rsidR="006655BD">
              <w:rPr>
                <w:noProof/>
                <w:webHidden/>
              </w:rPr>
              <w:fldChar w:fldCharType="begin"/>
            </w:r>
            <w:r w:rsidR="006655BD">
              <w:rPr>
                <w:noProof/>
                <w:webHidden/>
              </w:rPr>
              <w:instrText xml:space="preserve"> PAGEREF _Toc452316333 \h </w:instrText>
            </w:r>
            <w:r w:rsidR="006655BD">
              <w:rPr>
                <w:noProof/>
                <w:webHidden/>
              </w:rPr>
            </w:r>
            <w:r w:rsidR="006655BD">
              <w:rPr>
                <w:noProof/>
                <w:webHidden/>
              </w:rPr>
              <w:fldChar w:fldCharType="separate"/>
            </w:r>
            <w:r w:rsidR="00800876">
              <w:rPr>
                <w:noProof/>
                <w:webHidden/>
              </w:rPr>
              <w:t>70</w:t>
            </w:r>
            <w:r w:rsidR="006655BD">
              <w:rPr>
                <w:noProof/>
                <w:webHidden/>
              </w:rPr>
              <w:fldChar w:fldCharType="end"/>
            </w:r>
          </w:hyperlink>
        </w:p>
        <w:p w14:paraId="2F580508" w14:textId="77777777" w:rsidR="006655BD" w:rsidRDefault="00D40F9F">
          <w:pPr>
            <w:pStyle w:val="TOC3"/>
            <w:tabs>
              <w:tab w:val="right" w:leader="dot" w:pos="9016"/>
            </w:tabs>
            <w:rPr>
              <w:rFonts w:eastAsiaTheme="minorEastAsia" w:cstheme="minorBidi"/>
              <w:noProof/>
              <w:lang w:eastAsia="en-GB"/>
            </w:rPr>
          </w:pPr>
          <w:hyperlink w:anchor="_Toc452316334" w:history="1">
            <w:r w:rsidR="006655BD" w:rsidRPr="00230B72">
              <w:rPr>
                <w:rStyle w:val="Hyperlink"/>
                <w:noProof/>
              </w:rPr>
              <w:t>3.5.3 CDA Pilot study</w:t>
            </w:r>
            <w:r w:rsidR="006655BD">
              <w:rPr>
                <w:noProof/>
                <w:webHidden/>
              </w:rPr>
              <w:tab/>
            </w:r>
            <w:r w:rsidR="006655BD">
              <w:rPr>
                <w:noProof/>
                <w:webHidden/>
              </w:rPr>
              <w:fldChar w:fldCharType="begin"/>
            </w:r>
            <w:r w:rsidR="006655BD">
              <w:rPr>
                <w:noProof/>
                <w:webHidden/>
              </w:rPr>
              <w:instrText xml:space="preserve"> PAGEREF _Toc452316334 \h </w:instrText>
            </w:r>
            <w:r w:rsidR="006655BD">
              <w:rPr>
                <w:noProof/>
                <w:webHidden/>
              </w:rPr>
            </w:r>
            <w:r w:rsidR="006655BD">
              <w:rPr>
                <w:noProof/>
                <w:webHidden/>
              </w:rPr>
              <w:fldChar w:fldCharType="separate"/>
            </w:r>
            <w:r w:rsidR="00800876">
              <w:rPr>
                <w:noProof/>
                <w:webHidden/>
              </w:rPr>
              <w:t>72</w:t>
            </w:r>
            <w:r w:rsidR="006655BD">
              <w:rPr>
                <w:noProof/>
                <w:webHidden/>
              </w:rPr>
              <w:fldChar w:fldCharType="end"/>
            </w:r>
          </w:hyperlink>
        </w:p>
        <w:p w14:paraId="5EC5C6D1" w14:textId="77777777" w:rsidR="006655BD" w:rsidRDefault="00D40F9F">
          <w:pPr>
            <w:pStyle w:val="TOC3"/>
            <w:tabs>
              <w:tab w:val="right" w:leader="dot" w:pos="9016"/>
            </w:tabs>
            <w:rPr>
              <w:rFonts w:eastAsiaTheme="minorEastAsia" w:cstheme="minorBidi"/>
              <w:noProof/>
              <w:lang w:eastAsia="en-GB"/>
            </w:rPr>
          </w:pPr>
          <w:hyperlink w:anchor="_Toc452316335" w:history="1">
            <w:r w:rsidR="006655BD" w:rsidRPr="00230B72">
              <w:rPr>
                <w:rStyle w:val="Hyperlink"/>
                <w:noProof/>
              </w:rPr>
              <w:t>3.5.4 Policy text selection</w:t>
            </w:r>
            <w:r w:rsidR="006655BD">
              <w:rPr>
                <w:noProof/>
                <w:webHidden/>
              </w:rPr>
              <w:tab/>
            </w:r>
            <w:r w:rsidR="006655BD">
              <w:rPr>
                <w:noProof/>
                <w:webHidden/>
              </w:rPr>
              <w:fldChar w:fldCharType="begin"/>
            </w:r>
            <w:r w:rsidR="006655BD">
              <w:rPr>
                <w:noProof/>
                <w:webHidden/>
              </w:rPr>
              <w:instrText xml:space="preserve"> PAGEREF _Toc452316335 \h </w:instrText>
            </w:r>
            <w:r w:rsidR="006655BD">
              <w:rPr>
                <w:noProof/>
                <w:webHidden/>
              </w:rPr>
            </w:r>
            <w:r w:rsidR="006655BD">
              <w:rPr>
                <w:noProof/>
                <w:webHidden/>
              </w:rPr>
              <w:fldChar w:fldCharType="separate"/>
            </w:r>
            <w:r w:rsidR="00800876">
              <w:rPr>
                <w:noProof/>
                <w:webHidden/>
              </w:rPr>
              <w:t>72</w:t>
            </w:r>
            <w:r w:rsidR="006655BD">
              <w:rPr>
                <w:noProof/>
                <w:webHidden/>
              </w:rPr>
              <w:fldChar w:fldCharType="end"/>
            </w:r>
          </w:hyperlink>
        </w:p>
        <w:p w14:paraId="646921A1" w14:textId="77777777" w:rsidR="006655BD" w:rsidRDefault="00D40F9F">
          <w:pPr>
            <w:pStyle w:val="TOC3"/>
            <w:tabs>
              <w:tab w:val="right" w:leader="dot" w:pos="9016"/>
            </w:tabs>
            <w:rPr>
              <w:rFonts w:eastAsiaTheme="minorEastAsia" w:cstheme="minorBidi"/>
              <w:noProof/>
              <w:lang w:eastAsia="en-GB"/>
            </w:rPr>
          </w:pPr>
          <w:hyperlink w:anchor="_Toc452316336" w:history="1">
            <w:r w:rsidR="006655BD" w:rsidRPr="00230B72">
              <w:rPr>
                <w:rStyle w:val="Hyperlink"/>
                <w:noProof/>
              </w:rPr>
              <w:t>3.5.5 Semi-structured interviews</w:t>
            </w:r>
            <w:r w:rsidR="006655BD">
              <w:rPr>
                <w:noProof/>
                <w:webHidden/>
              </w:rPr>
              <w:tab/>
            </w:r>
            <w:r w:rsidR="006655BD">
              <w:rPr>
                <w:noProof/>
                <w:webHidden/>
              </w:rPr>
              <w:fldChar w:fldCharType="begin"/>
            </w:r>
            <w:r w:rsidR="006655BD">
              <w:rPr>
                <w:noProof/>
                <w:webHidden/>
              </w:rPr>
              <w:instrText xml:space="preserve"> PAGEREF _Toc452316336 \h </w:instrText>
            </w:r>
            <w:r w:rsidR="006655BD">
              <w:rPr>
                <w:noProof/>
                <w:webHidden/>
              </w:rPr>
            </w:r>
            <w:r w:rsidR="006655BD">
              <w:rPr>
                <w:noProof/>
                <w:webHidden/>
              </w:rPr>
              <w:fldChar w:fldCharType="separate"/>
            </w:r>
            <w:r w:rsidR="00800876">
              <w:rPr>
                <w:noProof/>
                <w:webHidden/>
              </w:rPr>
              <w:t>73</w:t>
            </w:r>
            <w:r w:rsidR="006655BD">
              <w:rPr>
                <w:noProof/>
                <w:webHidden/>
              </w:rPr>
              <w:fldChar w:fldCharType="end"/>
            </w:r>
          </w:hyperlink>
        </w:p>
        <w:p w14:paraId="303C184C" w14:textId="77777777" w:rsidR="006655BD" w:rsidRDefault="00D40F9F">
          <w:pPr>
            <w:pStyle w:val="TOC3"/>
            <w:tabs>
              <w:tab w:val="right" w:leader="dot" w:pos="9016"/>
            </w:tabs>
            <w:rPr>
              <w:rFonts w:eastAsiaTheme="minorEastAsia" w:cstheme="minorBidi"/>
              <w:noProof/>
              <w:lang w:eastAsia="en-GB"/>
            </w:rPr>
          </w:pPr>
          <w:hyperlink w:anchor="_Toc452316337" w:history="1">
            <w:r w:rsidR="006655BD" w:rsidRPr="00230B72">
              <w:rPr>
                <w:rStyle w:val="Hyperlink"/>
                <w:noProof/>
              </w:rPr>
              <w:t>3.5.6 Semi-structured interviews in my research</w:t>
            </w:r>
            <w:r w:rsidR="006655BD">
              <w:rPr>
                <w:noProof/>
                <w:webHidden/>
              </w:rPr>
              <w:tab/>
            </w:r>
            <w:r w:rsidR="006655BD">
              <w:rPr>
                <w:noProof/>
                <w:webHidden/>
              </w:rPr>
              <w:fldChar w:fldCharType="begin"/>
            </w:r>
            <w:r w:rsidR="006655BD">
              <w:rPr>
                <w:noProof/>
                <w:webHidden/>
              </w:rPr>
              <w:instrText xml:space="preserve"> PAGEREF _Toc452316337 \h </w:instrText>
            </w:r>
            <w:r w:rsidR="006655BD">
              <w:rPr>
                <w:noProof/>
                <w:webHidden/>
              </w:rPr>
            </w:r>
            <w:r w:rsidR="006655BD">
              <w:rPr>
                <w:noProof/>
                <w:webHidden/>
              </w:rPr>
              <w:fldChar w:fldCharType="separate"/>
            </w:r>
            <w:r w:rsidR="00800876">
              <w:rPr>
                <w:noProof/>
                <w:webHidden/>
              </w:rPr>
              <w:t>75</w:t>
            </w:r>
            <w:r w:rsidR="006655BD">
              <w:rPr>
                <w:noProof/>
                <w:webHidden/>
              </w:rPr>
              <w:fldChar w:fldCharType="end"/>
            </w:r>
          </w:hyperlink>
        </w:p>
        <w:p w14:paraId="0C7CEA4A" w14:textId="77777777" w:rsidR="006655BD" w:rsidRDefault="00D40F9F">
          <w:pPr>
            <w:pStyle w:val="TOC3"/>
            <w:tabs>
              <w:tab w:val="right" w:leader="dot" w:pos="9016"/>
            </w:tabs>
            <w:rPr>
              <w:rFonts w:eastAsiaTheme="minorEastAsia" w:cstheme="minorBidi"/>
              <w:noProof/>
              <w:lang w:eastAsia="en-GB"/>
            </w:rPr>
          </w:pPr>
          <w:hyperlink w:anchor="_Toc452316338" w:history="1">
            <w:r w:rsidR="006655BD" w:rsidRPr="00230B72">
              <w:rPr>
                <w:rStyle w:val="Hyperlink"/>
                <w:noProof/>
              </w:rPr>
              <w:t>3.5.7 Pilot study of semi-structured interviews</w:t>
            </w:r>
            <w:r w:rsidR="006655BD">
              <w:rPr>
                <w:noProof/>
                <w:webHidden/>
              </w:rPr>
              <w:tab/>
            </w:r>
            <w:r w:rsidR="006655BD">
              <w:rPr>
                <w:noProof/>
                <w:webHidden/>
              </w:rPr>
              <w:fldChar w:fldCharType="begin"/>
            </w:r>
            <w:r w:rsidR="006655BD">
              <w:rPr>
                <w:noProof/>
                <w:webHidden/>
              </w:rPr>
              <w:instrText xml:space="preserve"> PAGEREF _Toc452316338 \h </w:instrText>
            </w:r>
            <w:r w:rsidR="006655BD">
              <w:rPr>
                <w:noProof/>
                <w:webHidden/>
              </w:rPr>
            </w:r>
            <w:r w:rsidR="006655BD">
              <w:rPr>
                <w:noProof/>
                <w:webHidden/>
              </w:rPr>
              <w:fldChar w:fldCharType="separate"/>
            </w:r>
            <w:r w:rsidR="00800876">
              <w:rPr>
                <w:noProof/>
                <w:webHidden/>
              </w:rPr>
              <w:t>76</w:t>
            </w:r>
            <w:r w:rsidR="006655BD">
              <w:rPr>
                <w:noProof/>
                <w:webHidden/>
              </w:rPr>
              <w:fldChar w:fldCharType="end"/>
            </w:r>
          </w:hyperlink>
        </w:p>
        <w:p w14:paraId="2F34C1B8" w14:textId="77777777" w:rsidR="006655BD" w:rsidRDefault="00D40F9F">
          <w:pPr>
            <w:pStyle w:val="TOC3"/>
            <w:tabs>
              <w:tab w:val="right" w:leader="dot" w:pos="9016"/>
            </w:tabs>
            <w:rPr>
              <w:rFonts w:eastAsiaTheme="minorEastAsia" w:cstheme="minorBidi"/>
              <w:noProof/>
              <w:lang w:eastAsia="en-GB"/>
            </w:rPr>
          </w:pPr>
          <w:hyperlink w:anchor="_Toc452316339" w:history="1">
            <w:r w:rsidR="006655BD" w:rsidRPr="00230B72">
              <w:rPr>
                <w:rStyle w:val="Hyperlink"/>
                <w:noProof/>
              </w:rPr>
              <w:t>3.5.8 School Sample</w:t>
            </w:r>
            <w:r w:rsidR="006655BD">
              <w:rPr>
                <w:noProof/>
                <w:webHidden/>
              </w:rPr>
              <w:tab/>
            </w:r>
            <w:r w:rsidR="006655BD">
              <w:rPr>
                <w:noProof/>
                <w:webHidden/>
              </w:rPr>
              <w:fldChar w:fldCharType="begin"/>
            </w:r>
            <w:r w:rsidR="006655BD">
              <w:rPr>
                <w:noProof/>
                <w:webHidden/>
              </w:rPr>
              <w:instrText xml:space="preserve"> PAGEREF _Toc452316339 \h </w:instrText>
            </w:r>
            <w:r w:rsidR="006655BD">
              <w:rPr>
                <w:noProof/>
                <w:webHidden/>
              </w:rPr>
            </w:r>
            <w:r w:rsidR="006655BD">
              <w:rPr>
                <w:noProof/>
                <w:webHidden/>
              </w:rPr>
              <w:fldChar w:fldCharType="separate"/>
            </w:r>
            <w:r w:rsidR="00800876">
              <w:rPr>
                <w:noProof/>
                <w:webHidden/>
              </w:rPr>
              <w:t>77</w:t>
            </w:r>
            <w:r w:rsidR="006655BD">
              <w:rPr>
                <w:noProof/>
                <w:webHidden/>
              </w:rPr>
              <w:fldChar w:fldCharType="end"/>
            </w:r>
          </w:hyperlink>
        </w:p>
        <w:p w14:paraId="15F88976" w14:textId="77777777" w:rsidR="006655BD" w:rsidRDefault="00D40F9F">
          <w:pPr>
            <w:pStyle w:val="TOC3"/>
            <w:tabs>
              <w:tab w:val="right" w:leader="dot" w:pos="9016"/>
            </w:tabs>
            <w:rPr>
              <w:rFonts w:eastAsiaTheme="minorEastAsia" w:cstheme="minorBidi"/>
              <w:noProof/>
              <w:lang w:eastAsia="en-GB"/>
            </w:rPr>
          </w:pPr>
          <w:hyperlink w:anchor="_Toc452316340" w:history="1">
            <w:r w:rsidR="006655BD" w:rsidRPr="00230B72">
              <w:rPr>
                <w:rStyle w:val="Hyperlink"/>
                <w:noProof/>
              </w:rPr>
              <w:t>3.5.9 Negotiating access</w:t>
            </w:r>
            <w:r w:rsidR="006655BD">
              <w:rPr>
                <w:noProof/>
                <w:webHidden/>
              </w:rPr>
              <w:tab/>
            </w:r>
            <w:r w:rsidR="006655BD">
              <w:rPr>
                <w:noProof/>
                <w:webHidden/>
              </w:rPr>
              <w:fldChar w:fldCharType="begin"/>
            </w:r>
            <w:r w:rsidR="006655BD">
              <w:rPr>
                <w:noProof/>
                <w:webHidden/>
              </w:rPr>
              <w:instrText xml:space="preserve"> PAGEREF _Toc452316340 \h </w:instrText>
            </w:r>
            <w:r w:rsidR="006655BD">
              <w:rPr>
                <w:noProof/>
                <w:webHidden/>
              </w:rPr>
            </w:r>
            <w:r w:rsidR="006655BD">
              <w:rPr>
                <w:noProof/>
                <w:webHidden/>
              </w:rPr>
              <w:fldChar w:fldCharType="separate"/>
            </w:r>
            <w:r w:rsidR="00800876">
              <w:rPr>
                <w:noProof/>
                <w:webHidden/>
              </w:rPr>
              <w:t>78</w:t>
            </w:r>
            <w:r w:rsidR="006655BD">
              <w:rPr>
                <w:noProof/>
                <w:webHidden/>
              </w:rPr>
              <w:fldChar w:fldCharType="end"/>
            </w:r>
          </w:hyperlink>
        </w:p>
        <w:p w14:paraId="7ABE30A1" w14:textId="77777777" w:rsidR="006655BD" w:rsidRDefault="00D40F9F">
          <w:pPr>
            <w:pStyle w:val="TOC3"/>
            <w:tabs>
              <w:tab w:val="right" w:leader="dot" w:pos="9016"/>
            </w:tabs>
            <w:rPr>
              <w:rFonts w:eastAsiaTheme="minorEastAsia" w:cstheme="minorBidi"/>
              <w:noProof/>
              <w:lang w:eastAsia="en-GB"/>
            </w:rPr>
          </w:pPr>
          <w:hyperlink w:anchor="_Toc452316341" w:history="1">
            <w:r w:rsidR="006655BD" w:rsidRPr="00230B72">
              <w:rPr>
                <w:rStyle w:val="Hyperlink"/>
                <w:noProof/>
              </w:rPr>
              <w:t>3.5.10 Semi-structured interview analysis</w:t>
            </w:r>
            <w:r w:rsidR="006655BD">
              <w:rPr>
                <w:noProof/>
                <w:webHidden/>
              </w:rPr>
              <w:tab/>
            </w:r>
            <w:r w:rsidR="006655BD">
              <w:rPr>
                <w:noProof/>
                <w:webHidden/>
              </w:rPr>
              <w:fldChar w:fldCharType="begin"/>
            </w:r>
            <w:r w:rsidR="006655BD">
              <w:rPr>
                <w:noProof/>
                <w:webHidden/>
              </w:rPr>
              <w:instrText xml:space="preserve"> PAGEREF _Toc452316341 \h </w:instrText>
            </w:r>
            <w:r w:rsidR="006655BD">
              <w:rPr>
                <w:noProof/>
                <w:webHidden/>
              </w:rPr>
            </w:r>
            <w:r w:rsidR="006655BD">
              <w:rPr>
                <w:noProof/>
                <w:webHidden/>
              </w:rPr>
              <w:fldChar w:fldCharType="separate"/>
            </w:r>
            <w:r w:rsidR="00800876">
              <w:rPr>
                <w:noProof/>
                <w:webHidden/>
              </w:rPr>
              <w:t>78</w:t>
            </w:r>
            <w:r w:rsidR="006655BD">
              <w:rPr>
                <w:noProof/>
                <w:webHidden/>
              </w:rPr>
              <w:fldChar w:fldCharType="end"/>
            </w:r>
          </w:hyperlink>
        </w:p>
        <w:p w14:paraId="6D5C9C9A" w14:textId="77777777" w:rsidR="006655BD" w:rsidRDefault="00D40F9F">
          <w:pPr>
            <w:pStyle w:val="TOC2"/>
            <w:tabs>
              <w:tab w:val="right" w:leader="dot" w:pos="9016"/>
            </w:tabs>
            <w:rPr>
              <w:rFonts w:eastAsiaTheme="minorEastAsia" w:cstheme="minorBidi"/>
              <w:b w:val="0"/>
              <w:bCs w:val="0"/>
              <w:noProof/>
              <w:lang w:eastAsia="en-GB"/>
            </w:rPr>
          </w:pPr>
          <w:hyperlink w:anchor="_Toc452316342" w:history="1">
            <w:r w:rsidR="006655BD" w:rsidRPr="00230B72">
              <w:rPr>
                <w:rStyle w:val="Hyperlink"/>
                <w:noProof/>
              </w:rPr>
              <w:t>3.6 Ethics</w:t>
            </w:r>
            <w:r w:rsidR="006655BD">
              <w:rPr>
                <w:noProof/>
                <w:webHidden/>
              </w:rPr>
              <w:tab/>
            </w:r>
            <w:r w:rsidR="006655BD">
              <w:rPr>
                <w:noProof/>
                <w:webHidden/>
              </w:rPr>
              <w:fldChar w:fldCharType="begin"/>
            </w:r>
            <w:r w:rsidR="006655BD">
              <w:rPr>
                <w:noProof/>
                <w:webHidden/>
              </w:rPr>
              <w:instrText xml:space="preserve"> PAGEREF _Toc452316342 \h </w:instrText>
            </w:r>
            <w:r w:rsidR="006655BD">
              <w:rPr>
                <w:noProof/>
                <w:webHidden/>
              </w:rPr>
            </w:r>
            <w:r w:rsidR="006655BD">
              <w:rPr>
                <w:noProof/>
                <w:webHidden/>
              </w:rPr>
              <w:fldChar w:fldCharType="separate"/>
            </w:r>
            <w:r w:rsidR="00800876">
              <w:rPr>
                <w:noProof/>
                <w:webHidden/>
              </w:rPr>
              <w:t>80</w:t>
            </w:r>
            <w:r w:rsidR="006655BD">
              <w:rPr>
                <w:noProof/>
                <w:webHidden/>
              </w:rPr>
              <w:fldChar w:fldCharType="end"/>
            </w:r>
          </w:hyperlink>
        </w:p>
        <w:p w14:paraId="14F0B390" w14:textId="77777777" w:rsidR="006655BD" w:rsidRDefault="00D40F9F">
          <w:pPr>
            <w:pStyle w:val="TOC3"/>
            <w:tabs>
              <w:tab w:val="right" w:leader="dot" w:pos="9016"/>
            </w:tabs>
            <w:rPr>
              <w:rFonts w:eastAsiaTheme="minorEastAsia" w:cstheme="minorBidi"/>
              <w:noProof/>
              <w:lang w:eastAsia="en-GB"/>
            </w:rPr>
          </w:pPr>
          <w:hyperlink w:anchor="_Toc452316343" w:history="1">
            <w:r w:rsidR="006655BD" w:rsidRPr="00230B72">
              <w:rPr>
                <w:rStyle w:val="Hyperlink"/>
                <w:noProof/>
              </w:rPr>
              <w:t>3.6.1 Ethical considerations</w:t>
            </w:r>
            <w:r w:rsidR="006655BD">
              <w:rPr>
                <w:noProof/>
                <w:webHidden/>
              </w:rPr>
              <w:tab/>
            </w:r>
            <w:r w:rsidR="006655BD">
              <w:rPr>
                <w:noProof/>
                <w:webHidden/>
              </w:rPr>
              <w:fldChar w:fldCharType="begin"/>
            </w:r>
            <w:r w:rsidR="006655BD">
              <w:rPr>
                <w:noProof/>
                <w:webHidden/>
              </w:rPr>
              <w:instrText xml:space="preserve"> PAGEREF _Toc452316343 \h </w:instrText>
            </w:r>
            <w:r w:rsidR="006655BD">
              <w:rPr>
                <w:noProof/>
                <w:webHidden/>
              </w:rPr>
            </w:r>
            <w:r w:rsidR="006655BD">
              <w:rPr>
                <w:noProof/>
                <w:webHidden/>
              </w:rPr>
              <w:fldChar w:fldCharType="separate"/>
            </w:r>
            <w:r w:rsidR="00800876">
              <w:rPr>
                <w:noProof/>
                <w:webHidden/>
              </w:rPr>
              <w:t>80</w:t>
            </w:r>
            <w:r w:rsidR="006655BD">
              <w:rPr>
                <w:noProof/>
                <w:webHidden/>
              </w:rPr>
              <w:fldChar w:fldCharType="end"/>
            </w:r>
          </w:hyperlink>
        </w:p>
        <w:p w14:paraId="71255947" w14:textId="77777777" w:rsidR="006655BD" w:rsidRDefault="00D40F9F">
          <w:pPr>
            <w:pStyle w:val="TOC3"/>
            <w:tabs>
              <w:tab w:val="right" w:leader="dot" w:pos="9016"/>
            </w:tabs>
            <w:rPr>
              <w:rFonts w:eastAsiaTheme="minorEastAsia" w:cstheme="minorBidi"/>
              <w:noProof/>
              <w:lang w:eastAsia="en-GB"/>
            </w:rPr>
          </w:pPr>
          <w:hyperlink w:anchor="_Toc452316344" w:history="1">
            <w:r w:rsidR="006655BD" w:rsidRPr="00230B72">
              <w:rPr>
                <w:rStyle w:val="Hyperlink"/>
                <w:noProof/>
              </w:rPr>
              <w:t>3.6.2 Ethical review process</w:t>
            </w:r>
            <w:r w:rsidR="006655BD">
              <w:rPr>
                <w:noProof/>
                <w:webHidden/>
              </w:rPr>
              <w:tab/>
            </w:r>
            <w:r w:rsidR="006655BD">
              <w:rPr>
                <w:noProof/>
                <w:webHidden/>
              </w:rPr>
              <w:fldChar w:fldCharType="begin"/>
            </w:r>
            <w:r w:rsidR="006655BD">
              <w:rPr>
                <w:noProof/>
                <w:webHidden/>
              </w:rPr>
              <w:instrText xml:space="preserve"> PAGEREF _Toc452316344 \h </w:instrText>
            </w:r>
            <w:r w:rsidR="006655BD">
              <w:rPr>
                <w:noProof/>
                <w:webHidden/>
              </w:rPr>
            </w:r>
            <w:r w:rsidR="006655BD">
              <w:rPr>
                <w:noProof/>
                <w:webHidden/>
              </w:rPr>
              <w:fldChar w:fldCharType="separate"/>
            </w:r>
            <w:r w:rsidR="00800876">
              <w:rPr>
                <w:noProof/>
                <w:webHidden/>
              </w:rPr>
              <w:t>81</w:t>
            </w:r>
            <w:r w:rsidR="006655BD">
              <w:rPr>
                <w:noProof/>
                <w:webHidden/>
              </w:rPr>
              <w:fldChar w:fldCharType="end"/>
            </w:r>
          </w:hyperlink>
        </w:p>
        <w:p w14:paraId="40DEDAF3" w14:textId="77777777" w:rsidR="006655BD" w:rsidRDefault="00D40F9F">
          <w:pPr>
            <w:pStyle w:val="TOC3"/>
            <w:tabs>
              <w:tab w:val="right" w:leader="dot" w:pos="9016"/>
            </w:tabs>
            <w:rPr>
              <w:rFonts w:eastAsiaTheme="minorEastAsia" w:cstheme="minorBidi"/>
              <w:noProof/>
              <w:lang w:eastAsia="en-GB"/>
            </w:rPr>
          </w:pPr>
          <w:hyperlink w:anchor="_Toc452316345" w:history="1">
            <w:r w:rsidR="006655BD" w:rsidRPr="00230B72">
              <w:rPr>
                <w:rStyle w:val="Hyperlink"/>
                <w:noProof/>
              </w:rPr>
              <w:t>3.6.3 Participants</w:t>
            </w:r>
            <w:r w:rsidR="006655BD">
              <w:rPr>
                <w:noProof/>
                <w:webHidden/>
              </w:rPr>
              <w:tab/>
            </w:r>
            <w:r w:rsidR="006655BD">
              <w:rPr>
                <w:noProof/>
                <w:webHidden/>
              </w:rPr>
              <w:fldChar w:fldCharType="begin"/>
            </w:r>
            <w:r w:rsidR="006655BD">
              <w:rPr>
                <w:noProof/>
                <w:webHidden/>
              </w:rPr>
              <w:instrText xml:space="preserve"> PAGEREF _Toc452316345 \h </w:instrText>
            </w:r>
            <w:r w:rsidR="006655BD">
              <w:rPr>
                <w:noProof/>
                <w:webHidden/>
              </w:rPr>
            </w:r>
            <w:r w:rsidR="006655BD">
              <w:rPr>
                <w:noProof/>
                <w:webHidden/>
              </w:rPr>
              <w:fldChar w:fldCharType="separate"/>
            </w:r>
            <w:r w:rsidR="00800876">
              <w:rPr>
                <w:noProof/>
                <w:webHidden/>
              </w:rPr>
              <w:t>82</w:t>
            </w:r>
            <w:r w:rsidR="006655BD">
              <w:rPr>
                <w:noProof/>
                <w:webHidden/>
              </w:rPr>
              <w:fldChar w:fldCharType="end"/>
            </w:r>
          </w:hyperlink>
        </w:p>
        <w:p w14:paraId="40827452" w14:textId="77777777" w:rsidR="006655BD" w:rsidRDefault="00D40F9F">
          <w:pPr>
            <w:pStyle w:val="TOC3"/>
            <w:tabs>
              <w:tab w:val="right" w:leader="dot" w:pos="9016"/>
            </w:tabs>
            <w:rPr>
              <w:rFonts w:eastAsiaTheme="minorEastAsia" w:cstheme="minorBidi"/>
              <w:noProof/>
              <w:lang w:eastAsia="en-GB"/>
            </w:rPr>
          </w:pPr>
          <w:hyperlink w:anchor="_Toc452316346" w:history="1">
            <w:r w:rsidR="006655BD" w:rsidRPr="00230B72">
              <w:rPr>
                <w:rStyle w:val="Hyperlink"/>
                <w:noProof/>
              </w:rPr>
              <w:t>3.6.4 Information provided to participants</w:t>
            </w:r>
            <w:r w:rsidR="006655BD">
              <w:rPr>
                <w:noProof/>
                <w:webHidden/>
              </w:rPr>
              <w:tab/>
            </w:r>
            <w:r w:rsidR="006655BD">
              <w:rPr>
                <w:noProof/>
                <w:webHidden/>
              </w:rPr>
              <w:fldChar w:fldCharType="begin"/>
            </w:r>
            <w:r w:rsidR="006655BD">
              <w:rPr>
                <w:noProof/>
                <w:webHidden/>
              </w:rPr>
              <w:instrText xml:space="preserve"> PAGEREF _Toc452316346 \h </w:instrText>
            </w:r>
            <w:r w:rsidR="006655BD">
              <w:rPr>
                <w:noProof/>
                <w:webHidden/>
              </w:rPr>
            </w:r>
            <w:r w:rsidR="006655BD">
              <w:rPr>
                <w:noProof/>
                <w:webHidden/>
              </w:rPr>
              <w:fldChar w:fldCharType="separate"/>
            </w:r>
            <w:r w:rsidR="00800876">
              <w:rPr>
                <w:noProof/>
                <w:webHidden/>
              </w:rPr>
              <w:t>83</w:t>
            </w:r>
            <w:r w:rsidR="006655BD">
              <w:rPr>
                <w:noProof/>
                <w:webHidden/>
              </w:rPr>
              <w:fldChar w:fldCharType="end"/>
            </w:r>
          </w:hyperlink>
        </w:p>
        <w:p w14:paraId="67B531AC" w14:textId="77777777" w:rsidR="006655BD" w:rsidRDefault="00D40F9F">
          <w:pPr>
            <w:pStyle w:val="TOC3"/>
            <w:tabs>
              <w:tab w:val="right" w:leader="dot" w:pos="9016"/>
            </w:tabs>
            <w:rPr>
              <w:rFonts w:eastAsiaTheme="minorEastAsia" w:cstheme="minorBidi"/>
              <w:noProof/>
              <w:lang w:eastAsia="en-GB"/>
            </w:rPr>
          </w:pPr>
          <w:hyperlink w:anchor="_Toc452316347" w:history="1">
            <w:r w:rsidR="006655BD" w:rsidRPr="00230B72">
              <w:rPr>
                <w:rStyle w:val="Hyperlink"/>
                <w:noProof/>
              </w:rPr>
              <w:t>3.6.5 Anonymity of data</w:t>
            </w:r>
            <w:r w:rsidR="006655BD">
              <w:rPr>
                <w:noProof/>
                <w:webHidden/>
              </w:rPr>
              <w:tab/>
            </w:r>
            <w:r w:rsidR="006655BD">
              <w:rPr>
                <w:noProof/>
                <w:webHidden/>
              </w:rPr>
              <w:fldChar w:fldCharType="begin"/>
            </w:r>
            <w:r w:rsidR="006655BD">
              <w:rPr>
                <w:noProof/>
                <w:webHidden/>
              </w:rPr>
              <w:instrText xml:space="preserve"> PAGEREF _Toc452316347 \h </w:instrText>
            </w:r>
            <w:r w:rsidR="006655BD">
              <w:rPr>
                <w:noProof/>
                <w:webHidden/>
              </w:rPr>
            </w:r>
            <w:r w:rsidR="006655BD">
              <w:rPr>
                <w:noProof/>
                <w:webHidden/>
              </w:rPr>
              <w:fldChar w:fldCharType="separate"/>
            </w:r>
            <w:r w:rsidR="00800876">
              <w:rPr>
                <w:noProof/>
                <w:webHidden/>
              </w:rPr>
              <w:t>83</w:t>
            </w:r>
            <w:r w:rsidR="006655BD">
              <w:rPr>
                <w:noProof/>
                <w:webHidden/>
              </w:rPr>
              <w:fldChar w:fldCharType="end"/>
            </w:r>
          </w:hyperlink>
        </w:p>
        <w:p w14:paraId="2D3F830E" w14:textId="77777777" w:rsidR="006655BD" w:rsidRDefault="00D40F9F">
          <w:pPr>
            <w:pStyle w:val="TOC3"/>
            <w:tabs>
              <w:tab w:val="right" w:leader="dot" w:pos="9016"/>
            </w:tabs>
            <w:rPr>
              <w:rFonts w:eastAsiaTheme="minorEastAsia" w:cstheme="minorBidi"/>
              <w:noProof/>
              <w:lang w:eastAsia="en-GB"/>
            </w:rPr>
          </w:pPr>
          <w:hyperlink w:anchor="_Toc452316348" w:history="1">
            <w:r w:rsidR="006655BD" w:rsidRPr="00230B72">
              <w:rPr>
                <w:rStyle w:val="Hyperlink"/>
                <w:noProof/>
              </w:rPr>
              <w:t>3.6.7 Trustworthiness of my research</w:t>
            </w:r>
            <w:r w:rsidR="006655BD">
              <w:rPr>
                <w:noProof/>
                <w:webHidden/>
              </w:rPr>
              <w:tab/>
            </w:r>
            <w:r w:rsidR="006655BD">
              <w:rPr>
                <w:noProof/>
                <w:webHidden/>
              </w:rPr>
              <w:fldChar w:fldCharType="begin"/>
            </w:r>
            <w:r w:rsidR="006655BD">
              <w:rPr>
                <w:noProof/>
                <w:webHidden/>
              </w:rPr>
              <w:instrText xml:space="preserve"> PAGEREF _Toc452316348 \h </w:instrText>
            </w:r>
            <w:r w:rsidR="006655BD">
              <w:rPr>
                <w:noProof/>
                <w:webHidden/>
              </w:rPr>
            </w:r>
            <w:r w:rsidR="006655BD">
              <w:rPr>
                <w:noProof/>
                <w:webHidden/>
              </w:rPr>
              <w:fldChar w:fldCharType="separate"/>
            </w:r>
            <w:r w:rsidR="00800876">
              <w:rPr>
                <w:noProof/>
                <w:webHidden/>
              </w:rPr>
              <w:t>83</w:t>
            </w:r>
            <w:r w:rsidR="006655BD">
              <w:rPr>
                <w:noProof/>
                <w:webHidden/>
              </w:rPr>
              <w:fldChar w:fldCharType="end"/>
            </w:r>
          </w:hyperlink>
        </w:p>
        <w:p w14:paraId="78937551" w14:textId="77777777" w:rsidR="006655BD" w:rsidRDefault="00D40F9F">
          <w:pPr>
            <w:pStyle w:val="TOC2"/>
            <w:tabs>
              <w:tab w:val="right" w:leader="dot" w:pos="9016"/>
            </w:tabs>
            <w:rPr>
              <w:rFonts w:eastAsiaTheme="minorEastAsia" w:cstheme="minorBidi"/>
              <w:b w:val="0"/>
              <w:bCs w:val="0"/>
              <w:noProof/>
              <w:lang w:eastAsia="en-GB"/>
            </w:rPr>
          </w:pPr>
          <w:hyperlink w:anchor="_Toc452316349" w:history="1">
            <w:r w:rsidR="006655BD" w:rsidRPr="00230B72">
              <w:rPr>
                <w:rStyle w:val="Hyperlink"/>
                <w:noProof/>
              </w:rPr>
              <w:t>3.7 Issues arising during the data collection phase</w:t>
            </w:r>
            <w:r w:rsidR="006655BD">
              <w:rPr>
                <w:noProof/>
                <w:webHidden/>
              </w:rPr>
              <w:tab/>
            </w:r>
            <w:r w:rsidR="006655BD">
              <w:rPr>
                <w:noProof/>
                <w:webHidden/>
              </w:rPr>
              <w:fldChar w:fldCharType="begin"/>
            </w:r>
            <w:r w:rsidR="006655BD">
              <w:rPr>
                <w:noProof/>
                <w:webHidden/>
              </w:rPr>
              <w:instrText xml:space="preserve"> PAGEREF _Toc452316349 \h </w:instrText>
            </w:r>
            <w:r w:rsidR="006655BD">
              <w:rPr>
                <w:noProof/>
                <w:webHidden/>
              </w:rPr>
            </w:r>
            <w:r w:rsidR="006655BD">
              <w:rPr>
                <w:noProof/>
                <w:webHidden/>
              </w:rPr>
              <w:fldChar w:fldCharType="separate"/>
            </w:r>
            <w:r w:rsidR="00800876">
              <w:rPr>
                <w:noProof/>
                <w:webHidden/>
              </w:rPr>
              <w:t>85</w:t>
            </w:r>
            <w:r w:rsidR="006655BD">
              <w:rPr>
                <w:noProof/>
                <w:webHidden/>
              </w:rPr>
              <w:fldChar w:fldCharType="end"/>
            </w:r>
          </w:hyperlink>
        </w:p>
        <w:p w14:paraId="4C089E55" w14:textId="77777777" w:rsidR="006655BD" w:rsidRDefault="00D40F9F">
          <w:pPr>
            <w:pStyle w:val="TOC3"/>
            <w:tabs>
              <w:tab w:val="right" w:leader="dot" w:pos="9016"/>
            </w:tabs>
            <w:rPr>
              <w:rFonts w:eastAsiaTheme="minorEastAsia" w:cstheme="minorBidi"/>
              <w:noProof/>
              <w:lang w:eastAsia="en-GB"/>
            </w:rPr>
          </w:pPr>
          <w:hyperlink w:anchor="_Toc452316350" w:history="1">
            <w:r w:rsidR="006655BD" w:rsidRPr="00230B72">
              <w:rPr>
                <w:rStyle w:val="Hyperlink"/>
                <w:noProof/>
              </w:rPr>
              <w:t>3.7.1 School sample</w:t>
            </w:r>
            <w:r w:rsidR="006655BD">
              <w:rPr>
                <w:noProof/>
                <w:webHidden/>
              </w:rPr>
              <w:tab/>
            </w:r>
            <w:r w:rsidR="006655BD">
              <w:rPr>
                <w:noProof/>
                <w:webHidden/>
              </w:rPr>
              <w:fldChar w:fldCharType="begin"/>
            </w:r>
            <w:r w:rsidR="006655BD">
              <w:rPr>
                <w:noProof/>
                <w:webHidden/>
              </w:rPr>
              <w:instrText xml:space="preserve"> PAGEREF _Toc452316350 \h </w:instrText>
            </w:r>
            <w:r w:rsidR="006655BD">
              <w:rPr>
                <w:noProof/>
                <w:webHidden/>
              </w:rPr>
            </w:r>
            <w:r w:rsidR="006655BD">
              <w:rPr>
                <w:noProof/>
                <w:webHidden/>
              </w:rPr>
              <w:fldChar w:fldCharType="separate"/>
            </w:r>
            <w:r w:rsidR="00800876">
              <w:rPr>
                <w:noProof/>
                <w:webHidden/>
              </w:rPr>
              <w:t>85</w:t>
            </w:r>
            <w:r w:rsidR="006655BD">
              <w:rPr>
                <w:noProof/>
                <w:webHidden/>
              </w:rPr>
              <w:fldChar w:fldCharType="end"/>
            </w:r>
          </w:hyperlink>
        </w:p>
        <w:p w14:paraId="01AF111A" w14:textId="77777777" w:rsidR="006655BD" w:rsidRDefault="00D40F9F">
          <w:pPr>
            <w:pStyle w:val="TOC3"/>
            <w:tabs>
              <w:tab w:val="right" w:leader="dot" w:pos="9016"/>
            </w:tabs>
            <w:rPr>
              <w:rFonts w:eastAsiaTheme="minorEastAsia" w:cstheme="minorBidi"/>
              <w:noProof/>
              <w:lang w:eastAsia="en-GB"/>
            </w:rPr>
          </w:pPr>
          <w:hyperlink w:anchor="_Toc452316351" w:history="1">
            <w:r w:rsidR="006655BD" w:rsidRPr="00230B72">
              <w:rPr>
                <w:rStyle w:val="Hyperlink"/>
                <w:noProof/>
              </w:rPr>
              <w:t>3.7.2 Negotiating access to school leaders</w:t>
            </w:r>
            <w:r w:rsidR="006655BD">
              <w:rPr>
                <w:noProof/>
                <w:webHidden/>
              </w:rPr>
              <w:tab/>
            </w:r>
            <w:r w:rsidR="006655BD">
              <w:rPr>
                <w:noProof/>
                <w:webHidden/>
              </w:rPr>
              <w:fldChar w:fldCharType="begin"/>
            </w:r>
            <w:r w:rsidR="006655BD">
              <w:rPr>
                <w:noProof/>
                <w:webHidden/>
              </w:rPr>
              <w:instrText xml:space="preserve"> PAGEREF _Toc452316351 \h </w:instrText>
            </w:r>
            <w:r w:rsidR="006655BD">
              <w:rPr>
                <w:noProof/>
                <w:webHidden/>
              </w:rPr>
            </w:r>
            <w:r w:rsidR="006655BD">
              <w:rPr>
                <w:noProof/>
                <w:webHidden/>
              </w:rPr>
              <w:fldChar w:fldCharType="separate"/>
            </w:r>
            <w:r w:rsidR="00800876">
              <w:rPr>
                <w:noProof/>
                <w:webHidden/>
              </w:rPr>
              <w:t>85</w:t>
            </w:r>
            <w:r w:rsidR="006655BD">
              <w:rPr>
                <w:noProof/>
                <w:webHidden/>
              </w:rPr>
              <w:fldChar w:fldCharType="end"/>
            </w:r>
          </w:hyperlink>
        </w:p>
        <w:p w14:paraId="342FCD57" w14:textId="77777777" w:rsidR="006655BD" w:rsidRDefault="00D40F9F">
          <w:pPr>
            <w:pStyle w:val="TOC3"/>
            <w:tabs>
              <w:tab w:val="right" w:leader="dot" w:pos="9016"/>
            </w:tabs>
            <w:rPr>
              <w:rFonts w:eastAsiaTheme="minorEastAsia" w:cstheme="minorBidi"/>
              <w:noProof/>
              <w:lang w:eastAsia="en-GB"/>
            </w:rPr>
          </w:pPr>
          <w:hyperlink w:anchor="_Toc452316352" w:history="1">
            <w:r w:rsidR="006655BD" w:rsidRPr="00230B72">
              <w:rPr>
                <w:rStyle w:val="Hyperlink"/>
                <w:noProof/>
              </w:rPr>
              <w:t>3.7.3 Interview arrangements</w:t>
            </w:r>
            <w:r w:rsidR="006655BD">
              <w:rPr>
                <w:noProof/>
                <w:webHidden/>
              </w:rPr>
              <w:tab/>
            </w:r>
            <w:r w:rsidR="006655BD">
              <w:rPr>
                <w:noProof/>
                <w:webHidden/>
              </w:rPr>
              <w:fldChar w:fldCharType="begin"/>
            </w:r>
            <w:r w:rsidR="006655BD">
              <w:rPr>
                <w:noProof/>
                <w:webHidden/>
              </w:rPr>
              <w:instrText xml:space="preserve"> PAGEREF _Toc452316352 \h </w:instrText>
            </w:r>
            <w:r w:rsidR="006655BD">
              <w:rPr>
                <w:noProof/>
                <w:webHidden/>
              </w:rPr>
            </w:r>
            <w:r w:rsidR="006655BD">
              <w:rPr>
                <w:noProof/>
                <w:webHidden/>
              </w:rPr>
              <w:fldChar w:fldCharType="separate"/>
            </w:r>
            <w:r w:rsidR="00800876">
              <w:rPr>
                <w:noProof/>
                <w:webHidden/>
              </w:rPr>
              <w:t>86</w:t>
            </w:r>
            <w:r w:rsidR="006655BD">
              <w:rPr>
                <w:noProof/>
                <w:webHidden/>
              </w:rPr>
              <w:fldChar w:fldCharType="end"/>
            </w:r>
          </w:hyperlink>
        </w:p>
        <w:p w14:paraId="28E5539B" w14:textId="77777777" w:rsidR="006655BD" w:rsidRDefault="00D40F9F">
          <w:pPr>
            <w:pStyle w:val="TOC2"/>
            <w:tabs>
              <w:tab w:val="right" w:leader="dot" w:pos="9016"/>
            </w:tabs>
            <w:rPr>
              <w:rFonts w:eastAsiaTheme="minorEastAsia" w:cstheme="minorBidi"/>
              <w:b w:val="0"/>
              <w:bCs w:val="0"/>
              <w:noProof/>
              <w:lang w:eastAsia="en-GB"/>
            </w:rPr>
          </w:pPr>
          <w:hyperlink w:anchor="_Toc452316353" w:history="1">
            <w:r w:rsidR="006655BD" w:rsidRPr="00230B72">
              <w:rPr>
                <w:rStyle w:val="Hyperlink"/>
                <w:noProof/>
              </w:rPr>
              <w:t>3.8 Strengths and limitations of the methodology and methods used in the study</w:t>
            </w:r>
            <w:r w:rsidR="006655BD">
              <w:rPr>
                <w:noProof/>
                <w:webHidden/>
              </w:rPr>
              <w:tab/>
            </w:r>
            <w:r w:rsidR="006655BD">
              <w:rPr>
                <w:noProof/>
                <w:webHidden/>
              </w:rPr>
              <w:fldChar w:fldCharType="begin"/>
            </w:r>
            <w:r w:rsidR="006655BD">
              <w:rPr>
                <w:noProof/>
                <w:webHidden/>
              </w:rPr>
              <w:instrText xml:space="preserve"> PAGEREF _Toc452316353 \h </w:instrText>
            </w:r>
            <w:r w:rsidR="006655BD">
              <w:rPr>
                <w:noProof/>
                <w:webHidden/>
              </w:rPr>
            </w:r>
            <w:r w:rsidR="006655BD">
              <w:rPr>
                <w:noProof/>
                <w:webHidden/>
              </w:rPr>
              <w:fldChar w:fldCharType="separate"/>
            </w:r>
            <w:r w:rsidR="00800876">
              <w:rPr>
                <w:noProof/>
                <w:webHidden/>
              </w:rPr>
              <w:t>86</w:t>
            </w:r>
            <w:r w:rsidR="006655BD">
              <w:rPr>
                <w:noProof/>
                <w:webHidden/>
              </w:rPr>
              <w:fldChar w:fldCharType="end"/>
            </w:r>
          </w:hyperlink>
        </w:p>
        <w:p w14:paraId="00C5395B" w14:textId="77777777" w:rsidR="006655BD" w:rsidRDefault="00D40F9F">
          <w:pPr>
            <w:pStyle w:val="TOC3"/>
            <w:tabs>
              <w:tab w:val="right" w:leader="dot" w:pos="9016"/>
            </w:tabs>
            <w:rPr>
              <w:rFonts w:eastAsiaTheme="minorEastAsia" w:cstheme="minorBidi"/>
              <w:noProof/>
              <w:lang w:eastAsia="en-GB"/>
            </w:rPr>
          </w:pPr>
          <w:hyperlink w:anchor="_Toc452316354" w:history="1">
            <w:r w:rsidR="006655BD" w:rsidRPr="00230B72">
              <w:rPr>
                <w:rStyle w:val="Hyperlink"/>
                <w:noProof/>
              </w:rPr>
              <w:t>3.8.1 Strengths of the methodology and methods</w:t>
            </w:r>
            <w:r w:rsidR="006655BD">
              <w:rPr>
                <w:noProof/>
                <w:webHidden/>
              </w:rPr>
              <w:tab/>
            </w:r>
            <w:r w:rsidR="006655BD">
              <w:rPr>
                <w:noProof/>
                <w:webHidden/>
              </w:rPr>
              <w:fldChar w:fldCharType="begin"/>
            </w:r>
            <w:r w:rsidR="006655BD">
              <w:rPr>
                <w:noProof/>
                <w:webHidden/>
              </w:rPr>
              <w:instrText xml:space="preserve"> PAGEREF _Toc452316354 \h </w:instrText>
            </w:r>
            <w:r w:rsidR="006655BD">
              <w:rPr>
                <w:noProof/>
                <w:webHidden/>
              </w:rPr>
            </w:r>
            <w:r w:rsidR="006655BD">
              <w:rPr>
                <w:noProof/>
                <w:webHidden/>
              </w:rPr>
              <w:fldChar w:fldCharType="separate"/>
            </w:r>
            <w:r w:rsidR="00800876">
              <w:rPr>
                <w:noProof/>
                <w:webHidden/>
              </w:rPr>
              <w:t>86</w:t>
            </w:r>
            <w:r w:rsidR="006655BD">
              <w:rPr>
                <w:noProof/>
                <w:webHidden/>
              </w:rPr>
              <w:fldChar w:fldCharType="end"/>
            </w:r>
          </w:hyperlink>
        </w:p>
        <w:p w14:paraId="2935F595" w14:textId="77777777" w:rsidR="006655BD" w:rsidRDefault="00D40F9F">
          <w:pPr>
            <w:pStyle w:val="TOC3"/>
            <w:tabs>
              <w:tab w:val="right" w:leader="dot" w:pos="9016"/>
            </w:tabs>
            <w:rPr>
              <w:rFonts w:eastAsiaTheme="minorEastAsia" w:cstheme="minorBidi"/>
              <w:noProof/>
              <w:lang w:eastAsia="en-GB"/>
            </w:rPr>
          </w:pPr>
          <w:hyperlink w:anchor="_Toc452316355" w:history="1">
            <w:r w:rsidR="006655BD" w:rsidRPr="00230B72">
              <w:rPr>
                <w:rStyle w:val="Hyperlink"/>
                <w:noProof/>
              </w:rPr>
              <w:t>3.8.2 Limitations of the methodology and methods</w:t>
            </w:r>
            <w:r w:rsidR="006655BD">
              <w:rPr>
                <w:noProof/>
                <w:webHidden/>
              </w:rPr>
              <w:tab/>
            </w:r>
            <w:r w:rsidR="006655BD">
              <w:rPr>
                <w:noProof/>
                <w:webHidden/>
              </w:rPr>
              <w:fldChar w:fldCharType="begin"/>
            </w:r>
            <w:r w:rsidR="006655BD">
              <w:rPr>
                <w:noProof/>
                <w:webHidden/>
              </w:rPr>
              <w:instrText xml:space="preserve"> PAGEREF _Toc452316355 \h </w:instrText>
            </w:r>
            <w:r w:rsidR="006655BD">
              <w:rPr>
                <w:noProof/>
                <w:webHidden/>
              </w:rPr>
            </w:r>
            <w:r w:rsidR="006655BD">
              <w:rPr>
                <w:noProof/>
                <w:webHidden/>
              </w:rPr>
              <w:fldChar w:fldCharType="separate"/>
            </w:r>
            <w:r w:rsidR="00800876">
              <w:rPr>
                <w:noProof/>
                <w:webHidden/>
              </w:rPr>
              <w:t>87</w:t>
            </w:r>
            <w:r w:rsidR="006655BD">
              <w:rPr>
                <w:noProof/>
                <w:webHidden/>
              </w:rPr>
              <w:fldChar w:fldCharType="end"/>
            </w:r>
          </w:hyperlink>
        </w:p>
        <w:p w14:paraId="161B1E57" w14:textId="77777777" w:rsidR="006655BD" w:rsidRDefault="00D40F9F">
          <w:pPr>
            <w:pStyle w:val="TOC3"/>
            <w:tabs>
              <w:tab w:val="right" w:leader="dot" w:pos="9016"/>
            </w:tabs>
            <w:rPr>
              <w:rFonts w:eastAsiaTheme="minorEastAsia" w:cstheme="minorBidi"/>
              <w:noProof/>
              <w:lang w:eastAsia="en-GB"/>
            </w:rPr>
          </w:pPr>
          <w:hyperlink w:anchor="_Toc452316356" w:history="1">
            <w:r w:rsidR="006655BD" w:rsidRPr="00230B72">
              <w:rPr>
                <w:rStyle w:val="Hyperlink"/>
                <w:noProof/>
              </w:rPr>
              <w:t>3.8.3 Conclusion</w:t>
            </w:r>
            <w:r w:rsidR="006655BD">
              <w:rPr>
                <w:noProof/>
                <w:webHidden/>
              </w:rPr>
              <w:tab/>
            </w:r>
            <w:r w:rsidR="006655BD">
              <w:rPr>
                <w:noProof/>
                <w:webHidden/>
              </w:rPr>
              <w:fldChar w:fldCharType="begin"/>
            </w:r>
            <w:r w:rsidR="006655BD">
              <w:rPr>
                <w:noProof/>
                <w:webHidden/>
              </w:rPr>
              <w:instrText xml:space="preserve"> PAGEREF _Toc452316356 \h </w:instrText>
            </w:r>
            <w:r w:rsidR="006655BD">
              <w:rPr>
                <w:noProof/>
                <w:webHidden/>
              </w:rPr>
            </w:r>
            <w:r w:rsidR="006655BD">
              <w:rPr>
                <w:noProof/>
                <w:webHidden/>
              </w:rPr>
              <w:fldChar w:fldCharType="separate"/>
            </w:r>
            <w:r w:rsidR="00800876">
              <w:rPr>
                <w:noProof/>
                <w:webHidden/>
              </w:rPr>
              <w:t>88</w:t>
            </w:r>
            <w:r w:rsidR="006655BD">
              <w:rPr>
                <w:noProof/>
                <w:webHidden/>
              </w:rPr>
              <w:fldChar w:fldCharType="end"/>
            </w:r>
          </w:hyperlink>
        </w:p>
        <w:p w14:paraId="296799FB" w14:textId="77777777" w:rsidR="006655BD" w:rsidRDefault="00D40F9F">
          <w:pPr>
            <w:pStyle w:val="TOC1"/>
            <w:tabs>
              <w:tab w:val="right" w:leader="dot" w:pos="9016"/>
            </w:tabs>
            <w:rPr>
              <w:rFonts w:eastAsiaTheme="minorEastAsia" w:cstheme="minorBidi"/>
              <w:b w:val="0"/>
              <w:bCs w:val="0"/>
              <w:noProof/>
              <w:sz w:val="22"/>
              <w:szCs w:val="22"/>
              <w:lang w:eastAsia="en-GB"/>
            </w:rPr>
          </w:pPr>
          <w:hyperlink w:anchor="_Toc452316357" w:history="1">
            <w:r w:rsidR="006655BD" w:rsidRPr="00230B72">
              <w:rPr>
                <w:rStyle w:val="Hyperlink"/>
                <w:noProof/>
              </w:rPr>
              <w:t>Chapter 4 – Analysis</w:t>
            </w:r>
            <w:r w:rsidR="006655BD">
              <w:rPr>
                <w:noProof/>
                <w:webHidden/>
              </w:rPr>
              <w:tab/>
            </w:r>
            <w:r w:rsidR="006655BD">
              <w:rPr>
                <w:noProof/>
                <w:webHidden/>
              </w:rPr>
              <w:fldChar w:fldCharType="begin"/>
            </w:r>
            <w:r w:rsidR="006655BD">
              <w:rPr>
                <w:noProof/>
                <w:webHidden/>
              </w:rPr>
              <w:instrText xml:space="preserve"> PAGEREF _Toc452316357 \h </w:instrText>
            </w:r>
            <w:r w:rsidR="006655BD">
              <w:rPr>
                <w:noProof/>
                <w:webHidden/>
              </w:rPr>
            </w:r>
            <w:r w:rsidR="006655BD">
              <w:rPr>
                <w:noProof/>
                <w:webHidden/>
              </w:rPr>
              <w:fldChar w:fldCharType="separate"/>
            </w:r>
            <w:r w:rsidR="00800876">
              <w:rPr>
                <w:noProof/>
                <w:webHidden/>
              </w:rPr>
              <w:t>89</w:t>
            </w:r>
            <w:r w:rsidR="006655BD">
              <w:rPr>
                <w:noProof/>
                <w:webHidden/>
              </w:rPr>
              <w:fldChar w:fldCharType="end"/>
            </w:r>
          </w:hyperlink>
        </w:p>
        <w:p w14:paraId="068AEE05" w14:textId="77777777" w:rsidR="006655BD" w:rsidRDefault="00D40F9F">
          <w:pPr>
            <w:pStyle w:val="TOC2"/>
            <w:tabs>
              <w:tab w:val="right" w:leader="dot" w:pos="9016"/>
            </w:tabs>
            <w:rPr>
              <w:rFonts w:eastAsiaTheme="minorEastAsia" w:cstheme="minorBidi"/>
              <w:b w:val="0"/>
              <w:bCs w:val="0"/>
              <w:noProof/>
              <w:lang w:eastAsia="en-GB"/>
            </w:rPr>
          </w:pPr>
          <w:hyperlink w:anchor="_Toc452316358" w:history="1">
            <w:r w:rsidR="006655BD" w:rsidRPr="00230B72">
              <w:rPr>
                <w:rStyle w:val="Hyperlink"/>
                <w:noProof/>
              </w:rPr>
              <w:t>4.1 Introduction</w:t>
            </w:r>
            <w:r w:rsidR="006655BD">
              <w:rPr>
                <w:noProof/>
                <w:webHidden/>
              </w:rPr>
              <w:tab/>
            </w:r>
            <w:r w:rsidR="006655BD">
              <w:rPr>
                <w:noProof/>
                <w:webHidden/>
              </w:rPr>
              <w:fldChar w:fldCharType="begin"/>
            </w:r>
            <w:r w:rsidR="006655BD">
              <w:rPr>
                <w:noProof/>
                <w:webHidden/>
              </w:rPr>
              <w:instrText xml:space="preserve"> PAGEREF _Toc452316358 \h </w:instrText>
            </w:r>
            <w:r w:rsidR="006655BD">
              <w:rPr>
                <w:noProof/>
                <w:webHidden/>
              </w:rPr>
            </w:r>
            <w:r w:rsidR="006655BD">
              <w:rPr>
                <w:noProof/>
                <w:webHidden/>
              </w:rPr>
              <w:fldChar w:fldCharType="separate"/>
            </w:r>
            <w:r w:rsidR="00800876">
              <w:rPr>
                <w:noProof/>
                <w:webHidden/>
              </w:rPr>
              <w:t>89</w:t>
            </w:r>
            <w:r w:rsidR="006655BD">
              <w:rPr>
                <w:noProof/>
                <w:webHidden/>
              </w:rPr>
              <w:fldChar w:fldCharType="end"/>
            </w:r>
          </w:hyperlink>
        </w:p>
        <w:p w14:paraId="1AD9D7A6" w14:textId="77777777" w:rsidR="006655BD" w:rsidRDefault="00D40F9F">
          <w:pPr>
            <w:pStyle w:val="TOC2"/>
            <w:tabs>
              <w:tab w:val="right" w:leader="dot" w:pos="9016"/>
            </w:tabs>
            <w:rPr>
              <w:rFonts w:eastAsiaTheme="minorEastAsia" w:cstheme="minorBidi"/>
              <w:b w:val="0"/>
              <w:bCs w:val="0"/>
              <w:noProof/>
              <w:lang w:eastAsia="en-GB"/>
            </w:rPr>
          </w:pPr>
          <w:hyperlink w:anchor="_Toc452316359" w:history="1">
            <w:r w:rsidR="006655BD" w:rsidRPr="00230B72">
              <w:rPr>
                <w:rStyle w:val="Hyperlink"/>
                <w:noProof/>
              </w:rPr>
              <w:t>4.2 Policy analysis</w:t>
            </w:r>
            <w:r w:rsidR="006655BD">
              <w:rPr>
                <w:noProof/>
                <w:webHidden/>
              </w:rPr>
              <w:tab/>
            </w:r>
            <w:r w:rsidR="006655BD">
              <w:rPr>
                <w:noProof/>
                <w:webHidden/>
              </w:rPr>
              <w:fldChar w:fldCharType="begin"/>
            </w:r>
            <w:r w:rsidR="006655BD">
              <w:rPr>
                <w:noProof/>
                <w:webHidden/>
              </w:rPr>
              <w:instrText xml:space="preserve"> PAGEREF _Toc452316359 \h </w:instrText>
            </w:r>
            <w:r w:rsidR="006655BD">
              <w:rPr>
                <w:noProof/>
                <w:webHidden/>
              </w:rPr>
            </w:r>
            <w:r w:rsidR="006655BD">
              <w:rPr>
                <w:noProof/>
                <w:webHidden/>
              </w:rPr>
              <w:fldChar w:fldCharType="separate"/>
            </w:r>
            <w:r w:rsidR="00800876">
              <w:rPr>
                <w:noProof/>
                <w:webHidden/>
              </w:rPr>
              <w:t>90</w:t>
            </w:r>
            <w:r w:rsidR="006655BD">
              <w:rPr>
                <w:noProof/>
                <w:webHidden/>
              </w:rPr>
              <w:fldChar w:fldCharType="end"/>
            </w:r>
          </w:hyperlink>
        </w:p>
        <w:p w14:paraId="3232C260" w14:textId="77777777" w:rsidR="006655BD" w:rsidRDefault="00D40F9F">
          <w:pPr>
            <w:pStyle w:val="TOC3"/>
            <w:tabs>
              <w:tab w:val="right" w:leader="dot" w:pos="9016"/>
            </w:tabs>
            <w:rPr>
              <w:rFonts w:eastAsiaTheme="minorEastAsia" w:cstheme="minorBidi"/>
              <w:noProof/>
              <w:lang w:eastAsia="en-GB"/>
            </w:rPr>
          </w:pPr>
          <w:hyperlink w:anchor="_Toc452316360" w:history="1">
            <w:r w:rsidR="006655BD" w:rsidRPr="00230B72">
              <w:rPr>
                <w:rStyle w:val="Hyperlink"/>
                <w:noProof/>
              </w:rPr>
              <w:t>4.2.1 Pronouns – Participant Choices</w:t>
            </w:r>
            <w:r w:rsidR="006655BD">
              <w:rPr>
                <w:noProof/>
                <w:webHidden/>
              </w:rPr>
              <w:tab/>
            </w:r>
            <w:r w:rsidR="006655BD">
              <w:rPr>
                <w:noProof/>
                <w:webHidden/>
              </w:rPr>
              <w:fldChar w:fldCharType="begin"/>
            </w:r>
            <w:r w:rsidR="006655BD">
              <w:rPr>
                <w:noProof/>
                <w:webHidden/>
              </w:rPr>
              <w:instrText xml:space="preserve"> PAGEREF _Toc452316360 \h </w:instrText>
            </w:r>
            <w:r w:rsidR="006655BD">
              <w:rPr>
                <w:noProof/>
                <w:webHidden/>
              </w:rPr>
            </w:r>
            <w:r w:rsidR="006655BD">
              <w:rPr>
                <w:noProof/>
                <w:webHidden/>
              </w:rPr>
              <w:fldChar w:fldCharType="separate"/>
            </w:r>
            <w:r w:rsidR="00800876">
              <w:rPr>
                <w:noProof/>
                <w:webHidden/>
              </w:rPr>
              <w:t>91</w:t>
            </w:r>
            <w:r w:rsidR="006655BD">
              <w:rPr>
                <w:noProof/>
                <w:webHidden/>
              </w:rPr>
              <w:fldChar w:fldCharType="end"/>
            </w:r>
          </w:hyperlink>
        </w:p>
        <w:p w14:paraId="6057AE82" w14:textId="77777777" w:rsidR="006655BD" w:rsidRDefault="00D40F9F">
          <w:pPr>
            <w:pStyle w:val="TOC3"/>
            <w:tabs>
              <w:tab w:val="right" w:leader="dot" w:pos="9016"/>
            </w:tabs>
            <w:rPr>
              <w:rFonts w:eastAsiaTheme="minorEastAsia" w:cstheme="minorBidi"/>
              <w:noProof/>
              <w:lang w:eastAsia="en-GB"/>
            </w:rPr>
          </w:pPr>
          <w:hyperlink w:anchor="_Toc452316361" w:history="1">
            <w:r w:rsidR="006655BD" w:rsidRPr="00230B72">
              <w:rPr>
                <w:rStyle w:val="Hyperlink"/>
                <w:noProof/>
              </w:rPr>
              <w:t>4.2.3 Activisation/Passivisation</w:t>
            </w:r>
            <w:r w:rsidR="006655BD">
              <w:rPr>
                <w:noProof/>
                <w:webHidden/>
              </w:rPr>
              <w:tab/>
            </w:r>
            <w:r w:rsidR="006655BD">
              <w:rPr>
                <w:noProof/>
                <w:webHidden/>
              </w:rPr>
              <w:fldChar w:fldCharType="begin"/>
            </w:r>
            <w:r w:rsidR="006655BD">
              <w:rPr>
                <w:noProof/>
                <w:webHidden/>
              </w:rPr>
              <w:instrText xml:space="preserve"> PAGEREF _Toc452316361 \h </w:instrText>
            </w:r>
            <w:r w:rsidR="006655BD">
              <w:rPr>
                <w:noProof/>
                <w:webHidden/>
              </w:rPr>
            </w:r>
            <w:r w:rsidR="006655BD">
              <w:rPr>
                <w:noProof/>
                <w:webHidden/>
              </w:rPr>
              <w:fldChar w:fldCharType="separate"/>
            </w:r>
            <w:r w:rsidR="00800876">
              <w:rPr>
                <w:noProof/>
                <w:webHidden/>
              </w:rPr>
              <w:t>92</w:t>
            </w:r>
            <w:r w:rsidR="006655BD">
              <w:rPr>
                <w:noProof/>
                <w:webHidden/>
              </w:rPr>
              <w:fldChar w:fldCharType="end"/>
            </w:r>
          </w:hyperlink>
        </w:p>
        <w:p w14:paraId="1ECE9A51" w14:textId="77777777" w:rsidR="006655BD" w:rsidRDefault="00D40F9F">
          <w:pPr>
            <w:pStyle w:val="TOC3"/>
            <w:tabs>
              <w:tab w:val="right" w:leader="dot" w:pos="9016"/>
            </w:tabs>
            <w:rPr>
              <w:rFonts w:eastAsiaTheme="minorEastAsia" w:cstheme="minorBidi"/>
              <w:noProof/>
              <w:lang w:eastAsia="en-GB"/>
            </w:rPr>
          </w:pPr>
          <w:hyperlink w:anchor="_Toc452316362" w:history="1">
            <w:r w:rsidR="006655BD" w:rsidRPr="00230B72">
              <w:rPr>
                <w:rStyle w:val="Hyperlink"/>
                <w:noProof/>
              </w:rPr>
              <w:t>4.2.4 Time – tense and aspect</w:t>
            </w:r>
            <w:r w:rsidR="006655BD">
              <w:rPr>
                <w:noProof/>
                <w:webHidden/>
              </w:rPr>
              <w:tab/>
            </w:r>
            <w:r w:rsidR="006655BD">
              <w:rPr>
                <w:noProof/>
                <w:webHidden/>
              </w:rPr>
              <w:fldChar w:fldCharType="begin"/>
            </w:r>
            <w:r w:rsidR="006655BD">
              <w:rPr>
                <w:noProof/>
                <w:webHidden/>
              </w:rPr>
              <w:instrText xml:space="preserve"> PAGEREF _Toc452316362 \h </w:instrText>
            </w:r>
            <w:r w:rsidR="006655BD">
              <w:rPr>
                <w:noProof/>
                <w:webHidden/>
              </w:rPr>
            </w:r>
            <w:r w:rsidR="006655BD">
              <w:rPr>
                <w:noProof/>
                <w:webHidden/>
              </w:rPr>
              <w:fldChar w:fldCharType="separate"/>
            </w:r>
            <w:r w:rsidR="00800876">
              <w:rPr>
                <w:noProof/>
                <w:webHidden/>
              </w:rPr>
              <w:t>93</w:t>
            </w:r>
            <w:r w:rsidR="006655BD">
              <w:rPr>
                <w:noProof/>
                <w:webHidden/>
              </w:rPr>
              <w:fldChar w:fldCharType="end"/>
            </w:r>
          </w:hyperlink>
        </w:p>
        <w:p w14:paraId="7702D290" w14:textId="77777777" w:rsidR="006655BD" w:rsidRDefault="00D40F9F">
          <w:pPr>
            <w:pStyle w:val="TOC3"/>
            <w:tabs>
              <w:tab w:val="right" w:leader="dot" w:pos="9016"/>
            </w:tabs>
            <w:rPr>
              <w:rFonts w:eastAsiaTheme="minorEastAsia" w:cstheme="minorBidi"/>
              <w:noProof/>
              <w:lang w:eastAsia="en-GB"/>
            </w:rPr>
          </w:pPr>
          <w:hyperlink w:anchor="_Toc452316363" w:history="1">
            <w:r w:rsidR="006655BD" w:rsidRPr="00230B72">
              <w:rPr>
                <w:rStyle w:val="Hyperlink"/>
                <w:noProof/>
              </w:rPr>
              <w:t>4.2.5 Adjectives/ Adverbs/ Nouns/ Verbal Processes</w:t>
            </w:r>
            <w:r w:rsidR="006655BD">
              <w:rPr>
                <w:noProof/>
                <w:webHidden/>
              </w:rPr>
              <w:tab/>
            </w:r>
            <w:r w:rsidR="006655BD">
              <w:rPr>
                <w:noProof/>
                <w:webHidden/>
              </w:rPr>
              <w:fldChar w:fldCharType="begin"/>
            </w:r>
            <w:r w:rsidR="006655BD">
              <w:rPr>
                <w:noProof/>
                <w:webHidden/>
              </w:rPr>
              <w:instrText xml:space="preserve"> PAGEREF _Toc452316363 \h </w:instrText>
            </w:r>
            <w:r w:rsidR="006655BD">
              <w:rPr>
                <w:noProof/>
                <w:webHidden/>
              </w:rPr>
            </w:r>
            <w:r w:rsidR="006655BD">
              <w:rPr>
                <w:noProof/>
                <w:webHidden/>
              </w:rPr>
              <w:fldChar w:fldCharType="separate"/>
            </w:r>
            <w:r w:rsidR="00800876">
              <w:rPr>
                <w:noProof/>
                <w:webHidden/>
              </w:rPr>
              <w:t>95</w:t>
            </w:r>
            <w:r w:rsidR="006655BD">
              <w:rPr>
                <w:noProof/>
                <w:webHidden/>
              </w:rPr>
              <w:fldChar w:fldCharType="end"/>
            </w:r>
          </w:hyperlink>
        </w:p>
        <w:p w14:paraId="4254E6E8" w14:textId="77777777" w:rsidR="006655BD" w:rsidRDefault="00D40F9F">
          <w:pPr>
            <w:pStyle w:val="TOC3"/>
            <w:tabs>
              <w:tab w:val="right" w:leader="dot" w:pos="9016"/>
            </w:tabs>
            <w:rPr>
              <w:rFonts w:eastAsiaTheme="minorEastAsia" w:cstheme="minorBidi"/>
              <w:noProof/>
              <w:lang w:eastAsia="en-GB"/>
            </w:rPr>
          </w:pPr>
          <w:hyperlink w:anchor="_Toc452316364" w:history="1">
            <w:r w:rsidR="006655BD" w:rsidRPr="00230B72">
              <w:rPr>
                <w:rStyle w:val="Hyperlink"/>
                <w:noProof/>
              </w:rPr>
              <w:t>4.2.6 Metaphor – literal and grammatical</w:t>
            </w:r>
            <w:r w:rsidR="006655BD">
              <w:rPr>
                <w:noProof/>
                <w:webHidden/>
              </w:rPr>
              <w:tab/>
            </w:r>
            <w:r w:rsidR="006655BD">
              <w:rPr>
                <w:noProof/>
                <w:webHidden/>
              </w:rPr>
              <w:fldChar w:fldCharType="begin"/>
            </w:r>
            <w:r w:rsidR="006655BD">
              <w:rPr>
                <w:noProof/>
                <w:webHidden/>
              </w:rPr>
              <w:instrText xml:space="preserve"> PAGEREF _Toc452316364 \h </w:instrText>
            </w:r>
            <w:r w:rsidR="006655BD">
              <w:rPr>
                <w:noProof/>
                <w:webHidden/>
              </w:rPr>
            </w:r>
            <w:r w:rsidR="006655BD">
              <w:rPr>
                <w:noProof/>
                <w:webHidden/>
              </w:rPr>
              <w:fldChar w:fldCharType="separate"/>
            </w:r>
            <w:r w:rsidR="00800876">
              <w:rPr>
                <w:noProof/>
                <w:webHidden/>
              </w:rPr>
              <w:t>98</w:t>
            </w:r>
            <w:r w:rsidR="006655BD">
              <w:rPr>
                <w:noProof/>
                <w:webHidden/>
              </w:rPr>
              <w:fldChar w:fldCharType="end"/>
            </w:r>
          </w:hyperlink>
        </w:p>
        <w:p w14:paraId="4E2B3137" w14:textId="77777777" w:rsidR="006655BD" w:rsidRDefault="00D40F9F">
          <w:pPr>
            <w:pStyle w:val="TOC3"/>
            <w:tabs>
              <w:tab w:val="right" w:leader="dot" w:pos="9016"/>
            </w:tabs>
            <w:rPr>
              <w:rFonts w:eastAsiaTheme="minorEastAsia" w:cstheme="minorBidi"/>
              <w:noProof/>
              <w:lang w:eastAsia="en-GB"/>
            </w:rPr>
          </w:pPr>
          <w:hyperlink w:anchor="_Toc452316365" w:history="1">
            <w:r w:rsidR="006655BD" w:rsidRPr="00230B72">
              <w:rPr>
                <w:rStyle w:val="Hyperlink"/>
                <w:noProof/>
              </w:rPr>
              <w:t>4.2.7 Presupposition/ Implication</w:t>
            </w:r>
            <w:r w:rsidR="006655BD">
              <w:rPr>
                <w:noProof/>
                <w:webHidden/>
              </w:rPr>
              <w:tab/>
            </w:r>
            <w:r w:rsidR="006655BD">
              <w:rPr>
                <w:noProof/>
                <w:webHidden/>
              </w:rPr>
              <w:fldChar w:fldCharType="begin"/>
            </w:r>
            <w:r w:rsidR="006655BD">
              <w:rPr>
                <w:noProof/>
                <w:webHidden/>
              </w:rPr>
              <w:instrText xml:space="preserve"> PAGEREF _Toc452316365 \h </w:instrText>
            </w:r>
            <w:r w:rsidR="006655BD">
              <w:rPr>
                <w:noProof/>
                <w:webHidden/>
              </w:rPr>
            </w:r>
            <w:r w:rsidR="006655BD">
              <w:rPr>
                <w:noProof/>
                <w:webHidden/>
              </w:rPr>
              <w:fldChar w:fldCharType="separate"/>
            </w:r>
            <w:r w:rsidR="00800876">
              <w:rPr>
                <w:noProof/>
                <w:webHidden/>
              </w:rPr>
              <w:t>100</w:t>
            </w:r>
            <w:r w:rsidR="006655BD">
              <w:rPr>
                <w:noProof/>
                <w:webHidden/>
              </w:rPr>
              <w:fldChar w:fldCharType="end"/>
            </w:r>
          </w:hyperlink>
        </w:p>
        <w:p w14:paraId="6A0BEA23" w14:textId="77777777" w:rsidR="006655BD" w:rsidRDefault="00D40F9F">
          <w:pPr>
            <w:pStyle w:val="TOC3"/>
            <w:tabs>
              <w:tab w:val="right" w:leader="dot" w:pos="9016"/>
            </w:tabs>
            <w:rPr>
              <w:rFonts w:eastAsiaTheme="minorEastAsia" w:cstheme="minorBidi"/>
              <w:noProof/>
              <w:lang w:eastAsia="en-GB"/>
            </w:rPr>
          </w:pPr>
          <w:hyperlink w:anchor="_Toc452316366" w:history="1">
            <w:r w:rsidR="006655BD" w:rsidRPr="00230B72">
              <w:rPr>
                <w:rStyle w:val="Hyperlink"/>
                <w:noProof/>
              </w:rPr>
              <w:t>4.2.8 Medium</w:t>
            </w:r>
            <w:r w:rsidR="006655BD">
              <w:rPr>
                <w:noProof/>
                <w:webHidden/>
              </w:rPr>
              <w:tab/>
            </w:r>
            <w:r w:rsidR="006655BD">
              <w:rPr>
                <w:noProof/>
                <w:webHidden/>
              </w:rPr>
              <w:fldChar w:fldCharType="begin"/>
            </w:r>
            <w:r w:rsidR="006655BD">
              <w:rPr>
                <w:noProof/>
                <w:webHidden/>
              </w:rPr>
              <w:instrText xml:space="preserve"> PAGEREF _Toc452316366 \h </w:instrText>
            </w:r>
            <w:r w:rsidR="006655BD">
              <w:rPr>
                <w:noProof/>
                <w:webHidden/>
              </w:rPr>
            </w:r>
            <w:r w:rsidR="006655BD">
              <w:rPr>
                <w:noProof/>
                <w:webHidden/>
              </w:rPr>
              <w:fldChar w:fldCharType="separate"/>
            </w:r>
            <w:r w:rsidR="00800876">
              <w:rPr>
                <w:noProof/>
                <w:webHidden/>
              </w:rPr>
              <w:t>101</w:t>
            </w:r>
            <w:r w:rsidR="006655BD">
              <w:rPr>
                <w:noProof/>
                <w:webHidden/>
              </w:rPr>
              <w:fldChar w:fldCharType="end"/>
            </w:r>
          </w:hyperlink>
        </w:p>
        <w:p w14:paraId="662234C7" w14:textId="77777777" w:rsidR="006655BD" w:rsidRDefault="00D40F9F">
          <w:pPr>
            <w:pStyle w:val="TOC3"/>
            <w:tabs>
              <w:tab w:val="right" w:leader="dot" w:pos="9016"/>
            </w:tabs>
            <w:rPr>
              <w:rFonts w:eastAsiaTheme="minorEastAsia" w:cstheme="minorBidi"/>
              <w:noProof/>
              <w:lang w:eastAsia="en-GB"/>
            </w:rPr>
          </w:pPr>
          <w:hyperlink w:anchor="_Toc452316367" w:history="1">
            <w:r w:rsidR="006655BD" w:rsidRPr="00230B72">
              <w:rPr>
                <w:rStyle w:val="Hyperlink"/>
                <w:noProof/>
              </w:rPr>
              <w:t>4.2.9 Audience</w:t>
            </w:r>
            <w:r w:rsidR="006655BD">
              <w:rPr>
                <w:noProof/>
                <w:webHidden/>
              </w:rPr>
              <w:tab/>
            </w:r>
            <w:r w:rsidR="006655BD">
              <w:rPr>
                <w:noProof/>
                <w:webHidden/>
              </w:rPr>
              <w:fldChar w:fldCharType="begin"/>
            </w:r>
            <w:r w:rsidR="006655BD">
              <w:rPr>
                <w:noProof/>
                <w:webHidden/>
              </w:rPr>
              <w:instrText xml:space="preserve"> PAGEREF _Toc452316367 \h </w:instrText>
            </w:r>
            <w:r w:rsidR="006655BD">
              <w:rPr>
                <w:noProof/>
                <w:webHidden/>
              </w:rPr>
            </w:r>
            <w:r w:rsidR="006655BD">
              <w:rPr>
                <w:noProof/>
                <w:webHidden/>
              </w:rPr>
              <w:fldChar w:fldCharType="separate"/>
            </w:r>
            <w:r w:rsidR="00800876">
              <w:rPr>
                <w:noProof/>
                <w:webHidden/>
              </w:rPr>
              <w:t>102</w:t>
            </w:r>
            <w:r w:rsidR="006655BD">
              <w:rPr>
                <w:noProof/>
                <w:webHidden/>
              </w:rPr>
              <w:fldChar w:fldCharType="end"/>
            </w:r>
          </w:hyperlink>
        </w:p>
        <w:p w14:paraId="494F9DFE" w14:textId="77777777" w:rsidR="006655BD" w:rsidRDefault="00D40F9F">
          <w:pPr>
            <w:pStyle w:val="TOC3"/>
            <w:tabs>
              <w:tab w:val="right" w:leader="dot" w:pos="9016"/>
            </w:tabs>
            <w:rPr>
              <w:rFonts w:eastAsiaTheme="minorEastAsia" w:cstheme="minorBidi"/>
              <w:noProof/>
              <w:lang w:eastAsia="en-GB"/>
            </w:rPr>
          </w:pPr>
          <w:hyperlink w:anchor="_Toc452316368" w:history="1">
            <w:r w:rsidR="006655BD" w:rsidRPr="00230B72">
              <w:rPr>
                <w:rStyle w:val="Hyperlink"/>
                <w:noProof/>
              </w:rPr>
              <w:t>4.2.10 Visual images</w:t>
            </w:r>
            <w:r w:rsidR="006655BD">
              <w:rPr>
                <w:noProof/>
                <w:webHidden/>
              </w:rPr>
              <w:tab/>
            </w:r>
            <w:r w:rsidR="006655BD">
              <w:rPr>
                <w:noProof/>
                <w:webHidden/>
              </w:rPr>
              <w:fldChar w:fldCharType="begin"/>
            </w:r>
            <w:r w:rsidR="006655BD">
              <w:rPr>
                <w:noProof/>
                <w:webHidden/>
              </w:rPr>
              <w:instrText xml:space="preserve"> PAGEREF _Toc452316368 \h </w:instrText>
            </w:r>
            <w:r w:rsidR="006655BD">
              <w:rPr>
                <w:noProof/>
                <w:webHidden/>
              </w:rPr>
            </w:r>
            <w:r w:rsidR="006655BD">
              <w:rPr>
                <w:noProof/>
                <w:webHidden/>
              </w:rPr>
              <w:fldChar w:fldCharType="separate"/>
            </w:r>
            <w:r w:rsidR="00800876">
              <w:rPr>
                <w:noProof/>
                <w:webHidden/>
              </w:rPr>
              <w:t>103</w:t>
            </w:r>
            <w:r w:rsidR="006655BD">
              <w:rPr>
                <w:noProof/>
                <w:webHidden/>
              </w:rPr>
              <w:fldChar w:fldCharType="end"/>
            </w:r>
          </w:hyperlink>
        </w:p>
        <w:p w14:paraId="0E6D021A" w14:textId="77777777" w:rsidR="006655BD" w:rsidRDefault="00D40F9F">
          <w:pPr>
            <w:pStyle w:val="TOC3"/>
            <w:tabs>
              <w:tab w:val="right" w:leader="dot" w:pos="9016"/>
            </w:tabs>
            <w:rPr>
              <w:rFonts w:eastAsiaTheme="minorEastAsia" w:cstheme="minorBidi"/>
              <w:noProof/>
              <w:lang w:eastAsia="en-GB"/>
            </w:rPr>
          </w:pPr>
          <w:hyperlink w:anchor="_Toc452316369" w:history="1">
            <w:r w:rsidR="006655BD" w:rsidRPr="00230B72">
              <w:rPr>
                <w:rStyle w:val="Hyperlink"/>
                <w:noProof/>
              </w:rPr>
              <w:t>4.2.11 Age, class, disability, gender, race – equity, ethnicity and sexuality issues</w:t>
            </w:r>
            <w:r w:rsidR="006655BD">
              <w:rPr>
                <w:noProof/>
                <w:webHidden/>
              </w:rPr>
              <w:tab/>
            </w:r>
            <w:r w:rsidR="006655BD">
              <w:rPr>
                <w:noProof/>
                <w:webHidden/>
              </w:rPr>
              <w:fldChar w:fldCharType="begin"/>
            </w:r>
            <w:r w:rsidR="006655BD">
              <w:rPr>
                <w:noProof/>
                <w:webHidden/>
              </w:rPr>
              <w:instrText xml:space="preserve"> PAGEREF _Toc452316369 \h </w:instrText>
            </w:r>
            <w:r w:rsidR="006655BD">
              <w:rPr>
                <w:noProof/>
                <w:webHidden/>
              </w:rPr>
            </w:r>
            <w:r w:rsidR="006655BD">
              <w:rPr>
                <w:noProof/>
                <w:webHidden/>
              </w:rPr>
              <w:fldChar w:fldCharType="separate"/>
            </w:r>
            <w:r w:rsidR="00800876">
              <w:rPr>
                <w:noProof/>
                <w:webHidden/>
              </w:rPr>
              <w:t>104</w:t>
            </w:r>
            <w:r w:rsidR="006655BD">
              <w:rPr>
                <w:noProof/>
                <w:webHidden/>
              </w:rPr>
              <w:fldChar w:fldCharType="end"/>
            </w:r>
          </w:hyperlink>
        </w:p>
        <w:p w14:paraId="06F65758" w14:textId="77777777" w:rsidR="006655BD" w:rsidRDefault="00D40F9F">
          <w:pPr>
            <w:pStyle w:val="TOC3"/>
            <w:tabs>
              <w:tab w:val="right" w:leader="dot" w:pos="9016"/>
            </w:tabs>
            <w:rPr>
              <w:rFonts w:eastAsiaTheme="minorEastAsia" w:cstheme="minorBidi"/>
              <w:noProof/>
              <w:lang w:eastAsia="en-GB"/>
            </w:rPr>
          </w:pPr>
          <w:hyperlink w:anchor="_Toc452316370" w:history="1">
            <w:r w:rsidR="006655BD" w:rsidRPr="00230B72">
              <w:rPr>
                <w:rStyle w:val="Hyperlink"/>
                <w:noProof/>
              </w:rPr>
              <w:t>4.2.12 Reference to other texts, genres, discourses and individuals</w:t>
            </w:r>
            <w:r w:rsidR="006655BD">
              <w:rPr>
                <w:noProof/>
                <w:webHidden/>
              </w:rPr>
              <w:tab/>
            </w:r>
            <w:r w:rsidR="006655BD">
              <w:rPr>
                <w:noProof/>
                <w:webHidden/>
              </w:rPr>
              <w:fldChar w:fldCharType="begin"/>
            </w:r>
            <w:r w:rsidR="006655BD">
              <w:rPr>
                <w:noProof/>
                <w:webHidden/>
              </w:rPr>
              <w:instrText xml:space="preserve"> PAGEREF _Toc452316370 \h </w:instrText>
            </w:r>
            <w:r w:rsidR="006655BD">
              <w:rPr>
                <w:noProof/>
                <w:webHidden/>
              </w:rPr>
            </w:r>
            <w:r w:rsidR="006655BD">
              <w:rPr>
                <w:noProof/>
                <w:webHidden/>
              </w:rPr>
              <w:fldChar w:fldCharType="separate"/>
            </w:r>
            <w:r w:rsidR="00800876">
              <w:rPr>
                <w:noProof/>
                <w:webHidden/>
              </w:rPr>
              <w:t>105</w:t>
            </w:r>
            <w:r w:rsidR="006655BD">
              <w:rPr>
                <w:noProof/>
                <w:webHidden/>
              </w:rPr>
              <w:fldChar w:fldCharType="end"/>
            </w:r>
          </w:hyperlink>
        </w:p>
        <w:p w14:paraId="338191C7" w14:textId="77777777" w:rsidR="006655BD" w:rsidRDefault="00D40F9F">
          <w:pPr>
            <w:pStyle w:val="TOC3"/>
            <w:tabs>
              <w:tab w:val="right" w:leader="dot" w:pos="9016"/>
            </w:tabs>
            <w:rPr>
              <w:rFonts w:eastAsiaTheme="minorEastAsia" w:cstheme="minorBidi"/>
              <w:noProof/>
              <w:lang w:eastAsia="en-GB"/>
            </w:rPr>
          </w:pPr>
          <w:hyperlink w:anchor="_Toc452316371" w:history="1">
            <w:r w:rsidR="006655BD" w:rsidRPr="00230B72">
              <w:rPr>
                <w:rStyle w:val="Hyperlink"/>
                <w:noProof/>
                <w:lang w:eastAsia="en-GB"/>
              </w:rPr>
              <w:t>4.2.13 Conclusion</w:t>
            </w:r>
            <w:r w:rsidR="006655BD">
              <w:rPr>
                <w:noProof/>
                <w:webHidden/>
              </w:rPr>
              <w:tab/>
            </w:r>
            <w:r w:rsidR="006655BD">
              <w:rPr>
                <w:noProof/>
                <w:webHidden/>
              </w:rPr>
              <w:fldChar w:fldCharType="begin"/>
            </w:r>
            <w:r w:rsidR="006655BD">
              <w:rPr>
                <w:noProof/>
                <w:webHidden/>
              </w:rPr>
              <w:instrText xml:space="preserve"> PAGEREF _Toc452316371 \h </w:instrText>
            </w:r>
            <w:r w:rsidR="006655BD">
              <w:rPr>
                <w:noProof/>
                <w:webHidden/>
              </w:rPr>
            </w:r>
            <w:r w:rsidR="006655BD">
              <w:rPr>
                <w:noProof/>
                <w:webHidden/>
              </w:rPr>
              <w:fldChar w:fldCharType="separate"/>
            </w:r>
            <w:r w:rsidR="00800876">
              <w:rPr>
                <w:noProof/>
                <w:webHidden/>
              </w:rPr>
              <w:t>106</w:t>
            </w:r>
            <w:r w:rsidR="006655BD">
              <w:rPr>
                <w:noProof/>
                <w:webHidden/>
              </w:rPr>
              <w:fldChar w:fldCharType="end"/>
            </w:r>
          </w:hyperlink>
        </w:p>
        <w:p w14:paraId="0CC24BB9" w14:textId="77777777" w:rsidR="006655BD" w:rsidRDefault="00D40F9F">
          <w:pPr>
            <w:pStyle w:val="TOC2"/>
            <w:tabs>
              <w:tab w:val="right" w:leader="dot" w:pos="9016"/>
            </w:tabs>
            <w:rPr>
              <w:rFonts w:eastAsiaTheme="minorEastAsia" w:cstheme="minorBidi"/>
              <w:b w:val="0"/>
              <w:bCs w:val="0"/>
              <w:noProof/>
              <w:lang w:eastAsia="en-GB"/>
            </w:rPr>
          </w:pPr>
          <w:hyperlink w:anchor="_Toc452316372" w:history="1">
            <w:r w:rsidR="006655BD" w:rsidRPr="00230B72">
              <w:rPr>
                <w:rStyle w:val="Hyperlink"/>
                <w:noProof/>
              </w:rPr>
              <w:t>4.3 Semi-structured interviews</w:t>
            </w:r>
            <w:r w:rsidR="006655BD">
              <w:rPr>
                <w:noProof/>
                <w:webHidden/>
              </w:rPr>
              <w:tab/>
            </w:r>
            <w:r w:rsidR="006655BD">
              <w:rPr>
                <w:noProof/>
                <w:webHidden/>
              </w:rPr>
              <w:fldChar w:fldCharType="begin"/>
            </w:r>
            <w:r w:rsidR="006655BD">
              <w:rPr>
                <w:noProof/>
                <w:webHidden/>
              </w:rPr>
              <w:instrText xml:space="preserve"> PAGEREF _Toc452316372 \h </w:instrText>
            </w:r>
            <w:r w:rsidR="006655BD">
              <w:rPr>
                <w:noProof/>
                <w:webHidden/>
              </w:rPr>
            </w:r>
            <w:r w:rsidR="006655BD">
              <w:rPr>
                <w:noProof/>
                <w:webHidden/>
              </w:rPr>
              <w:fldChar w:fldCharType="separate"/>
            </w:r>
            <w:r w:rsidR="00800876">
              <w:rPr>
                <w:noProof/>
                <w:webHidden/>
              </w:rPr>
              <w:t>106</w:t>
            </w:r>
            <w:r w:rsidR="006655BD">
              <w:rPr>
                <w:noProof/>
                <w:webHidden/>
              </w:rPr>
              <w:fldChar w:fldCharType="end"/>
            </w:r>
          </w:hyperlink>
        </w:p>
        <w:p w14:paraId="14DFB62D" w14:textId="77777777" w:rsidR="006655BD" w:rsidRDefault="00D40F9F">
          <w:pPr>
            <w:pStyle w:val="TOC3"/>
            <w:tabs>
              <w:tab w:val="right" w:leader="dot" w:pos="9016"/>
            </w:tabs>
            <w:rPr>
              <w:rFonts w:eastAsiaTheme="minorEastAsia" w:cstheme="minorBidi"/>
              <w:noProof/>
              <w:lang w:eastAsia="en-GB"/>
            </w:rPr>
          </w:pPr>
          <w:hyperlink w:anchor="_Toc452316373" w:history="1">
            <w:r w:rsidR="006655BD" w:rsidRPr="00230B72">
              <w:rPr>
                <w:rStyle w:val="Hyperlink"/>
                <w:noProof/>
              </w:rPr>
              <w:t>4.3.1 Schools</w:t>
            </w:r>
            <w:r w:rsidR="006655BD">
              <w:rPr>
                <w:noProof/>
                <w:webHidden/>
              </w:rPr>
              <w:tab/>
            </w:r>
            <w:r w:rsidR="006655BD">
              <w:rPr>
                <w:noProof/>
                <w:webHidden/>
              </w:rPr>
              <w:fldChar w:fldCharType="begin"/>
            </w:r>
            <w:r w:rsidR="006655BD">
              <w:rPr>
                <w:noProof/>
                <w:webHidden/>
              </w:rPr>
              <w:instrText xml:space="preserve"> PAGEREF _Toc452316373 \h </w:instrText>
            </w:r>
            <w:r w:rsidR="006655BD">
              <w:rPr>
                <w:noProof/>
                <w:webHidden/>
              </w:rPr>
            </w:r>
            <w:r w:rsidR="006655BD">
              <w:rPr>
                <w:noProof/>
                <w:webHidden/>
              </w:rPr>
              <w:fldChar w:fldCharType="separate"/>
            </w:r>
            <w:r w:rsidR="00800876">
              <w:rPr>
                <w:noProof/>
                <w:webHidden/>
              </w:rPr>
              <w:t>107</w:t>
            </w:r>
            <w:r w:rsidR="006655BD">
              <w:rPr>
                <w:noProof/>
                <w:webHidden/>
              </w:rPr>
              <w:fldChar w:fldCharType="end"/>
            </w:r>
          </w:hyperlink>
        </w:p>
        <w:p w14:paraId="655C9823" w14:textId="77777777" w:rsidR="006655BD" w:rsidRDefault="00D40F9F">
          <w:pPr>
            <w:pStyle w:val="TOC3"/>
            <w:tabs>
              <w:tab w:val="right" w:leader="dot" w:pos="9016"/>
            </w:tabs>
            <w:rPr>
              <w:rFonts w:eastAsiaTheme="minorEastAsia" w:cstheme="minorBidi"/>
              <w:noProof/>
              <w:lang w:eastAsia="en-GB"/>
            </w:rPr>
          </w:pPr>
          <w:hyperlink w:anchor="_Toc452316374" w:history="1">
            <w:r w:rsidR="006655BD" w:rsidRPr="00230B72">
              <w:rPr>
                <w:rStyle w:val="Hyperlink"/>
                <w:noProof/>
              </w:rPr>
              <w:t>4.3.2 High-performing academy - Bluefield</w:t>
            </w:r>
            <w:r w:rsidR="006655BD">
              <w:rPr>
                <w:noProof/>
                <w:webHidden/>
              </w:rPr>
              <w:tab/>
            </w:r>
            <w:r w:rsidR="006655BD">
              <w:rPr>
                <w:noProof/>
                <w:webHidden/>
              </w:rPr>
              <w:fldChar w:fldCharType="begin"/>
            </w:r>
            <w:r w:rsidR="006655BD">
              <w:rPr>
                <w:noProof/>
                <w:webHidden/>
              </w:rPr>
              <w:instrText xml:space="preserve"> PAGEREF _Toc452316374 \h </w:instrText>
            </w:r>
            <w:r w:rsidR="006655BD">
              <w:rPr>
                <w:noProof/>
                <w:webHidden/>
              </w:rPr>
            </w:r>
            <w:r w:rsidR="006655BD">
              <w:rPr>
                <w:noProof/>
                <w:webHidden/>
              </w:rPr>
              <w:fldChar w:fldCharType="separate"/>
            </w:r>
            <w:r w:rsidR="00800876">
              <w:rPr>
                <w:noProof/>
                <w:webHidden/>
              </w:rPr>
              <w:t>108</w:t>
            </w:r>
            <w:r w:rsidR="006655BD">
              <w:rPr>
                <w:noProof/>
                <w:webHidden/>
              </w:rPr>
              <w:fldChar w:fldCharType="end"/>
            </w:r>
          </w:hyperlink>
        </w:p>
        <w:p w14:paraId="2C4574F8" w14:textId="77777777" w:rsidR="006655BD" w:rsidRDefault="00D40F9F">
          <w:pPr>
            <w:pStyle w:val="TOC3"/>
            <w:tabs>
              <w:tab w:val="right" w:leader="dot" w:pos="9016"/>
            </w:tabs>
            <w:rPr>
              <w:rFonts w:eastAsiaTheme="minorEastAsia" w:cstheme="minorBidi"/>
              <w:noProof/>
              <w:lang w:eastAsia="en-GB"/>
            </w:rPr>
          </w:pPr>
          <w:hyperlink w:anchor="_Toc452316375" w:history="1">
            <w:r w:rsidR="006655BD" w:rsidRPr="00230B72">
              <w:rPr>
                <w:rStyle w:val="Hyperlink"/>
                <w:noProof/>
              </w:rPr>
              <w:t>4.3.3 Low performing non-academy – Yellowfield</w:t>
            </w:r>
            <w:r w:rsidR="006655BD">
              <w:rPr>
                <w:noProof/>
                <w:webHidden/>
              </w:rPr>
              <w:tab/>
            </w:r>
            <w:r w:rsidR="006655BD">
              <w:rPr>
                <w:noProof/>
                <w:webHidden/>
              </w:rPr>
              <w:fldChar w:fldCharType="begin"/>
            </w:r>
            <w:r w:rsidR="006655BD">
              <w:rPr>
                <w:noProof/>
                <w:webHidden/>
              </w:rPr>
              <w:instrText xml:space="preserve"> PAGEREF _Toc452316375 \h </w:instrText>
            </w:r>
            <w:r w:rsidR="006655BD">
              <w:rPr>
                <w:noProof/>
                <w:webHidden/>
              </w:rPr>
            </w:r>
            <w:r w:rsidR="006655BD">
              <w:rPr>
                <w:noProof/>
                <w:webHidden/>
              </w:rPr>
              <w:fldChar w:fldCharType="separate"/>
            </w:r>
            <w:r w:rsidR="00800876">
              <w:rPr>
                <w:noProof/>
                <w:webHidden/>
              </w:rPr>
              <w:t>109</w:t>
            </w:r>
            <w:r w:rsidR="006655BD">
              <w:rPr>
                <w:noProof/>
                <w:webHidden/>
              </w:rPr>
              <w:fldChar w:fldCharType="end"/>
            </w:r>
          </w:hyperlink>
        </w:p>
        <w:p w14:paraId="7FA52A67" w14:textId="77777777" w:rsidR="006655BD" w:rsidRDefault="00D40F9F">
          <w:pPr>
            <w:pStyle w:val="TOC3"/>
            <w:tabs>
              <w:tab w:val="right" w:leader="dot" w:pos="9016"/>
            </w:tabs>
            <w:rPr>
              <w:rFonts w:eastAsiaTheme="minorEastAsia" w:cstheme="minorBidi"/>
              <w:noProof/>
              <w:lang w:eastAsia="en-GB"/>
            </w:rPr>
          </w:pPr>
          <w:hyperlink w:anchor="_Toc452316376" w:history="1">
            <w:r w:rsidR="006655BD" w:rsidRPr="00230B72">
              <w:rPr>
                <w:rStyle w:val="Hyperlink"/>
                <w:noProof/>
              </w:rPr>
              <w:t>4.3.4 Rapidly improving academy - Purplefield</w:t>
            </w:r>
            <w:r w:rsidR="006655BD">
              <w:rPr>
                <w:noProof/>
                <w:webHidden/>
              </w:rPr>
              <w:tab/>
            </w:r>
            <w:r w:rsidR="006655BD">
              <w:rPr>
                <w:noProof/>
                <w:webHidden/>
              </w:rPr>
              <w:fldChar w:fldCharType="begin"/>
            </w:r>
            <w:r w:rsidR="006655BD">
              <w:rPr>
                <w:noProof/>
                <w:webHidden/>
              </w:rPr>
              <w:instrText xml:space="preserve"> PAGEREF _Toc452316376 \h </w:instrText>
            </w:r>
            <w:r w:rsidR="006655BD">
              <w:rPr>
                <w:noProof/>
                <w:webHidden/>
              </w:rPr>
            </w:r>
            <w:r w:rsidR="006655BD">
              <w:rPr>
                <w:noProof/>
                <w:webHidden/>
              </w:rPr>
              <w:fldChar w:fldCharType="separate"/>
            </w:r>
            <w:r w:rsidR="00800876">
              <w:rPr>
                <w:noProof/>
                <w:webHidden/>
              </w:rPr>
              <w:t>111</w:t>
            </w:r>
            <w:r w:rsidR="006655BD">
              <w:rPr>
                <w:noProof/>
                <w:webHidden/>
              </w:rPr>
              <w:fldChar w:fldCharType="end"/>
            </w:r>
          </w:hyperlink>
        </w:p>
        <w:p w14:paraId="7E58A93A" w14:textId="77777777" w:rsidR="006655BD" w:rsidRDefault="00D40F9F">
          <w:pPr>
            <w:pStyle w:val="TOC3"/>
            <w:tabs>
              <w:tab w:val="right" w:leader="dot" w:pos="9016"/>
            </w:tabs>
            <w:rPr>
              <w:rFonts w:eastAsiaTheme="minorEastAsia" w:cstheme="minorBidi"/>
              <w:noProof/>
              <w:lang w:eastAsia="en-GB"/>
            </w:rPr>
          </w:pPr>
          <w:hyperlink w:anchor="_Toc452316377" w:history="1">
            <w:r w:rsidR="006655BD" w:rsidRPr="00230B72">
              <w:rPr>
                <w:rStyle w:val="Hyperlink"/>
                <w:noProof/>
              </w:rPr>
              <w:t>4.3.5 Rapidly improving non-academy - Redfield</w:t>
            </w:r>
            <w:r w:rsidR="006655BD">
              <w:rPr>
                <w:noProof/>
                <w:webHidden/>
              </w:rPr>
              <w:tab/>
            </w:r>
            <w:r w:rsidR="006655BD">
              <w:rPr>
                <w:noProof/>
                <w:webHidden/>
              </w:rPr>
              <w:fldChar w:fldCharType="begin"/>
            </w:r>
            <w:r w:rsidR="006655BD">
              <w:rPr>
                <w:noProof/>
                <w:webHidden/>
              </w:rPr>
              <w:instrText xml:space="preserve"> PAGEREF _Toc452316377 \h </w:instrText>
            </w:r>
            <w:r w:rsidR="006655BD">
              <w:rPr>
                <w:noProof/>
                <w:webHidden/>
              </w:rPr>
            </w:r>
            <w:r w:rsidR="006655BD">
              <w:rPr>
                <w:noProof/>
                <w:webHidden/>
              </w:rPr>
              <w:fldChar w:fldCharType="separate"/>
            </w:r>
            <w:r w:rsidR="00800876">
              <w:rPr>
                <w:noProof/>
                <w:webHidden/>
              </w:rPr>
              <w:t>113</w:t>
            </w:r>
            <w:r w:rsidR="006655BD">
              <w:rPr>
                <w:noProof/>
                <w:webHidden/>
              </w:rPr>
              <w:fldChar w:fldCharType="end"/>
            </w:r>
          </w:hyperlink>
        </w:p>
        <w:p w14:paraId="2A6100FF" w14:textId="77777777" w:rsidR="006655BD" w:rsidRDefault="00D40F9F">
          <w:pPr>
            <w:pStyle w:val="TOC2"/>
            <w:tabs>
              <w:tab w:val="right" w:leader="dot" w:pos="9016"/>
            </w:tabs>
            <w:rPr>
              <w:rFonts w:eastAsiaTheme="minorEastAsia" w:cstheme="minorBidi"/>
              <w:b w:val="0"/>
              <w:bCs w:val="0"/>
              <w:noProof/>
              <w:lang w:eastAsia="en-GB"/>
            </w:rPr>
          </w:pPr>
          <w:hyperlink w:anchor="_Toc452316378" w:history="1">
            <w:r w:rsidR="006655BD" w:rsidRPr="00230B72">
              <w:rPr>
                <w:rStyle w:val="Hyperlink"/>
                <w:noProof/>
              </w:rPr>
              <w:t>4.4 Thematic analysis</w:t>
            </w:r>
            <w:r w:rsidR="006655BD">
              <w:rPr>
                <w:noProof/>
                <w:webHidden/>
              </w:rPr>
              <w:tab/>
            </w:r>
            <w:r w:rsidR="006655BD">
              <w:rPr>
                <w:noProof/>
                <w:webHidden/>
              </w:rPr>
              <w:fldChar w:fldCharType="begin"/>
            </w:r>
            <w:r w:rsidR="006655BD">
              <w:rPr>
                <w:noProof/>
                <w:webHidden/>
              </w:rPr>
              <w:instrText xml:space="preserve"> PAGEREF _Toc452316378 \h </w:instrText>
            </w:r>
            <w:r w:rsidR="006655BD">
              <w:rPr>
                <w:noProof/>
                <w:webHidden/>
              </w:rPr>
            </w:r>
            <w:r w:rsidR="006655BD">
              <w:rPr>
                <w:noProof/>
                <w:webHidden/>
              </w:rPr>
              <w:fldChar w:fldCharType="separate"/>
            </w:r>
            <w:r w:rsidR="00800876">
              <w:rPr>
                <w:noProof/>
                <w:webHidden/>
              </w:rPr>
              <w:t>115</w:t>
            </w:r>
            <w:r w:rsidR="006655BD">
              <w:rPr>
                <w:noProof/>
                <w:webHidden/>
              </w:rPr>
              <w:fldChar w:fldCharType="end"/>
            </w:r>
          </w:hyperlink>
        </w:p>
        <w:p w14:paraId="666FF1E7" w14:textId="77777777" w:rsidR="006655BD" w:rsidRDefault="00D40F9F">
          <w:pPr>
            <w:pStyle w:val="TOC3"/>
            <w:tabs>
              <w:tab w:val="right" w:leader="dot" w:pos="9016"/>
            </w:tabs>
            <w:rPr>
              <w:rFonts w:eastAsiaTheme="minorEastAsia" w:cstheme="minorBidi"/>
              <w:noProof/>
              <w:lang w:eastAsia="en-GB"/>
            </w:rPr>
          </w:pPr>
          <w:hyperlink w:anchor="_Toc452316379" w:history="1">
            <w:r w:rsidR="006655BD" w:rsidRPr="00230B72">
              <w:rPr>
                <w:rStyle w:val="Hyperlink"/>
                <w:noProof/>
              </w:rPr>
              <w:t>4.4.1 The nature of knowledge</w:t>
            </w:r>
            <w:r w:rsidR="006655BD">
              <w:rPr>
                <w:noProof/>
                <w:webHidden/>
              </w:rPr>
              <w:tab/>
            </w:r>
            <w:r w:rsidR="006655BD">
              <w:rPr>
                <w:noProof/>
                <w:webHidden/>
              </w:rPr>
              <w:fldChar w:fldCharType="begin"/>
            </w:r>
            <w:r w:rsidR="006655BD">
              <w:rPr>
                <w:noProof/>
                <w:webHidden/>
              </w:rPr>
              <w:instrText xml:space="preserve"> PAGEREF _Toc452316379 \h </w:instrText>
            </w:r>
            <w:r w:rsidR="006655BD">
              <w:rPr>
                <w:noProof/>
                <w:webHidden/>
              </w:rPr>
            </w:r>
            <w:r w:rsidR="006655BD">
              <w:rPr>
                <w:noProof/>
                <w:webHidden/>
              </w:rPr>
              <w:fldChar w:fldCharType="separate"/>
            </w:r>
            <w:r w:rsidR="00800876">
              <w:rPr>
                <w:noProof/>
                <w:webHidden/>
              </w:rPr>
              <w:t>117</w:t>
            </w:r>
            <w:r w:rsidR="006655BD">
              <w:rPr>
                <w:noProof/>
                <w:webHidden/>
              </w:rPr>
              <w:fldChar w:fldCharType="end"/>
            </w:r>
          </w:hyperlink>
        </w:p>
        <w:p w14:paraId="6FA01EC1" w14:textId="77777777" w:rsidR="006655BD" w:rsidRDefault="00D40F9F">
          <w:pPr>
            <w:pStyle w:val="TOC3"/>
            <w:tabs>
              <w:tab w:val="right" w:leader="dot" w:pos="9016"/>
            </w:tabs>
            <w:rPr>
              <w:rFonts w:eastAsiaTheme="minorEastAsia" w:cstheme="minorBidi"/>
              <w:noProof/>
              <w:lang w:eastAsia="en-GB"/>
            </w:rPr>
          </w:pPr>
          <w:hyperlink w:anchor="_Toc452316380" w:history="1">
            <w:r w:rsidR="006655BD" w:rsidRPr="00230B72">
              <w:rPr>
                <w:rStyle w:val="Hyperlink"/>
                <w:noProof/>
              </w:rPr>
              <w:t>4.4.2 Differentiation and hierarchy</w:t>
            </w:r>
            <w:r w:rsidR="006655BD">
              <w:rPr>
                <w:noProof/>
                <w:webHidden/>
              </w:rPr>
              <w:tab/>
            </w:r>
            <w:r w:rsidR="006655BD">
              <w:rPr>
                <w:noProof/>
                <w:webHidden/>
              </w:rPr>
              <w:fldChar w:fldCharType="begin"/>
            </w:r>
            <w:r w:rsidR="006655BD">
              <w:rPr>
                <w:noProof/>
                <w:webHidden/>
              </w:rPr>
              <w:instrText xml:space="preserve"> PAGEREF _Toc452316380 \h </w:instrText>
            </w:r>
            <w:r w:rsidR="006655BD">
              <w:rPr>
                <w:noProof/>
                <w:webHidden/>
              </w:rPr>
            </w:r>
            <w:r w:rsidR="006655BD">
              <w:rPr>
                <w:noProof/>
                <w:webHidden/>
              </w:rPr>
              <w:fldChar w:fldCharType="separate"/>
            </w:r>
            <w:r w:rsidR="00800876">
              <w:rPr>
                <w:noProof/>
                <w:webHidden/>
              </w:rPr>
              <w:t>119</w:t>
            </w:r>
            <w:r w:rsidR="006655BD">
              <w:rPr>
                <w:noProof/>
                <w:webHidden/>
              </w:rPr>
              <w:fldChar w:fldCharType="end"/>
            </w:r>
          </w:hyperlink>
        </w:p>
        <w:p w14:paraId="6CC8CB45" w14:textId="77777777" w:rsidR="006655BD" w:rsidRDefault="00D40F9F">
          <w:pPr>
            <w:pStyle w:val="TOC3"/>
            <w:tabs>
              <w:tab w:val="right" w:leader="dot" w:pos="9016"/>
            </w:tabs>
            <w:rPr>
              <w:rFonts w:eastAsiaTheme="minorEastAsia" w:cstheme="minorBidi"/>
              <w:noProof/>
              <w:lang w:eastAsia="en-GB"/>
            </w:rPr>
          </w:pPr>
          <w:hyperlink w:anchor="_Toc452316381" w:history="1">
            <w:r w:rsidR="006655BD" w:rsidRPr="00230B72">
              <w:rPr>
                <w:rStyle w:val="Hyperlink"/>
                <w:noProof/>
              </w:rPr>
              <w:t>4.4.3 Choice and resistance</w:t>
            </w:r>
            <w:r w:rsidR="006655BD">
              <w:rPr>
                <w:noProof/>
                <w:webHidden/>
              </w:rPr>
              <w:tab/>
            </w:r>
            <w:r w:rsidR="006655BD">
              <w:rPr>
                <w:noProof/>
                <w:webHidden/>
              </w:rPr>
              <w:fldChar w:fldCharType="begin"/>
            </w:r>
            <w:r w:rsidR="006655BD">
              <w:rPr>
                <w:noProof/>
                <w:webHidden/>
              </w:rPr>
              <w:instrText xml:space="preserve"> PAGEREF _Toc452316381 \h </w:instrText>
            </w:r>
            <w:r w:rsidR="006655BD">
              <w:rPr>
                <w:noProof/>
                <w:webHidden/>
              </w:rPr>
            </w:r>
            <w:r w:rsidR="006655BD">
              <w:rPr>
                <w:noProof/>
                <w:webHidden/>
              </w:rPr>
              <w:fldChar w:fldCharType="separate"/>
            </w:r>
            <w:r w:rsidR="00800876">
              <w:rPr>
                <w:noProof/>
                <w:webHidden/>
              </w:rPr>
              <w:t>122</w:t>
            </w:r>
            <w:r w:rsidR="006655BD">
              <w:rPr>
                <w:noProof/>
                <w:webHidden/>
              </w:rPr>
              <w:fldChar w:fldCharType="end"/>
            </w:r>
          </w:hyperlink>
        </w:p>
        <w:p w14:paraId="6E2B0B54" w14:textId="77777777" w:rsidR="006655BD" w:rsidRDefault="00D40F9F">
          <w:pPr>
            <w:pStyle w:val="TOC3"/>
            <w:tabs>
              <w:tab w:val="right" w:leader="dot" w:pos="9016"/>
            </w:tabs>
            <w:rPr>
              <w:rFonts w:eastAsiaTheme="minorEastAsia" w:cstheme="minorBidi"/>
              <w:noProof/>
              <w:lang w:eastAsia="en-GB"/>
            </w:rPr>
          </w:pPr>
          <w:hyperlink w:anchor="_Toc452316382" w:history="1">
            <w:r w:rsidR="006655BD" w:rsidRPr="00230B72">
              <w:rPr>
                <w:rStyle w:val="Hyperlink"/>
                <w:noProof/>
              </w:rPr>
              <w:t>4.4.4 Control and accountability</w:t>
            </w:r>
            <w:r w:rsidR="006655BD">
              <w:rPr>
                <w:noProof/>
                <w:webHidden/>
              </w:rPr>
              <w:tab/>
            </w:r>
            <w:r w:rsidR="006655BD">
              <w:rPr>
                <w:noProof/>
                <w:webHidden/>
              </w:rPr>
              <w:fldChar w:fldCharType="begin"/>
            </w:r>
            <w:r w:rsidR="006655BD">
              <w:rPr>
                <w:noProof/>
                <w:webHidden/>
              </w:rPr>
              <w:instrText xml:space="preserve"> PAGEREF _Toc452316382 \h </w:instrText>
            </w:r>
            <w:r w:rsidR="006655BD">
              <w:rPr>
                <w:noProof/>
                <w:webHidden/>
              </w:rPr>
            </w:r>
            <w:r w:rsidR="006655BD">
              <w:rPr>
                <w:noProof/>
                <w:webHidden/>
              </w:rPr>
              <w:fldChar w:fldCharType="separate"/>
            </w:r>
            <w:r w:rsidR="00800876">
              <w:rPr>
                <w:noProof/>
                <w:webHidden/>
              </w:rPr>
              <w:t>125</w:t>
            </w:r>
            <w:r w:rsidR="006655BD">
              <w:rPr>
                <w:noProof/>
                <w:webHidden/>
              </w:rPr>
              <w:fldChar w:fldCharType="end"/>
            </w:r>
          </w:hyperlink>
        </w:p>
        <w:p w14:paraId="045E79B3" w14:textId="77777777" w:rsidR="006655BD" w:rsidRDefault="00D40F9F">
          <w:pPr>
            <w:pStyle w:val="TOC3"/>
            <w:tabs>
              <w:tab w:val="right" w:leader="dot" w:pos="9016"/>
            </w:tabs>
            <w:rPr>
              <w:rFonts w:eastAsiaTheme="minorEastAsia" w:cstheme="minorBidi"/>
              <w:noProof/>
              <w:lang w:eastAsia="en-GB"/>
            </w:rPr>
          </w:pPr>
          <w:hyperlink w:anchor="_Toc452316383" w:history="1">
            <w:r w:rsidR="006655BD" w:rsidRPr="00230B72">
              <w:rPr>
                <w:rStyle w:val="Hyperlink"/>
                <w:noProof/>
              </w:rPr>
              <w:t>4.4.5 Equality</w:t>
            </w:r>
            <w:r w:rsidR="006655BD">
              <w:rPr>
                <w:noProof/>
                <w:webHidden/>
              </w:rPr>
              <w:tab/>
            </w:r>
            <w:r w:rsidR="006655BD">
              <w:rPr>
                <w:noProof/>
                <w:webHidden/>
              </w:rPr>
              <w:fldChar w:fldCharType="begin"/>
            </w:r>
            <w:r w:rsidR="006655BD">
              <w:rPr>
                <w:noProof/>
                <w:webHidden/>
              </w:rPr>
              <w:instrText xml:space="preserve"> PAGEREF _Toc452316383 \h </w:instrText>
            </w:r>
            <w:r w:rsidR="006655BD">
              <w:rPr>
                <w:noProof/>
                <w:webHidden/>
              </w:rPr>
            </w:r>
            <w:r w:rsidR="006655BD">
              <w:rPr>
                <w:noProof/>
                <w:webHidden/>
              </w:rPr>
              <w:fldChar w:fldCharType="separate"/>
            </w:r>
            <w:r w:rsidR="00800876">
              <w:rPr>
                <w:noProof/>
                <w:webHidden/>
              </w:rPr>
              <w:t>127</w:t>
            </w:r>
            <w:r w:rsidR="006655BD">
              <w:rPr>
                <w:noProof/>
                <w:webHidden/>
              </w:rPr>
              <w:fldChar w:fldCharType="end"/>
            </w:r>
          </w:hyperlink>
        </w:p>
        <w:p w14:paraId="376F75F6" w14:textId="77777777" w:rsidR="006655BD" w:rsidRDefault="00D40F9F">
          <w:pPr>
            <w:pStyle w:val="TOC3"/>
            <w:tabs>
              <w:tab w:val="right" w:leader="dot" w:pos="9016"/>
            </w:tabs>
            <w:rPr>
              <w:rFonts w:eastAsiaTheme="minorEastAsia" w:cstheme="minorBidi"/>
              <w:noProof/>
              <w:lang w:eastAsia="en-GB"/>
            </w:rPr>
          </w:pPr>
          <w:hyperlink w:anchor="_Toc452316384" w:history="1">
            <w:r w:rsidR="006655BD" w:rsidRPr="00230B72">
              <w:rPr>
                <w:rStyle w:val="Hyperlink"/>
                <w:noProof/>
              </w:rPr>
              <w:t>4.4.6 Conclusion</w:t>
            </w:r>
            <w:r w:rsidR="006655BD">
              <w:rPr>
                <w:noProof/>
                <w:webHidden/>
              </w:rPr>
              <w:tab/>
            </w:r>
            <w:r w:rsidR="006655BD">
              <w:rPr>
                <w:noProof/>
                <w:webHidden/>
              </w:rPr>
              <w:fldChar w:fldCharType="begin"/>
            </w:r>
            <w:r w:rsidR="006655BD">
              <w:rPr>
                <w:noProof/>
                <w:webHidden/>
              </w:rPr>
              <w:instrText xml:space="preserve"> PAGEREF _Toc452316384 \h </w:instrText>
            </w:r>
            <w:r w:rsidR="006655BD">
              <w:rPr>
                <w:noProof/>
                <w:webHidden/>
              </w:rPr>
            </w:r>
            <w:r w:rsidR="006655BD">
              <w:rPr>
                <w:noProof/>
                <w:webHidden/>
              </w:rPr>
              <w:fldChar w:fldCharType="separate"/>
            </w:r>
            <w:r w:rsidR="00800876">
              <w:rPr>
                <w:noProof/>
                <w:webHidden/>
              </w:rPr>
              <w:t>131</w:t>
            </w:r>
            <w:r w:rsidR="006655BD">
              <w:rPr>
                <w:noProof/>
                <w:webHidden/>
              </w:rPr>
              <w:fldChar w:fldCharType="end"/>
            </w:r>
          </w:hyperlink>
        </w:p>
        <w:p w14:paraId="4A0D1F1B" w14:textId="77777777" w:rsidR="006655BD" w:rsidRDefault="00D40F9F">
          <w:pPr>
            <w:pStyle w:val="TOC1"/>
            <w:tabs>
              <w:tab w:val="right" w:leader="dot" w:pos="9016"/>
            </w:tabs>
            <w:rPr>
              <w:rFonts w:eastAsiaTheme="minorEastAsia" w:cstheme="minorBidi"/>
              <w:b w:val="0"/>
              <w:bCs w:val="0"/>
              <w:noProof/>
              <w:sz w:val="22"/>
              <w:szCs w:val="22"/>
              <w:lang w:eastAsia="en-GB"/>
            </w:rPr>
          </w:pPr>
          <w:hyperlink w:anchor="_Toc452316385" w:history="1">
            <w:r w:rsidR="006655BD" w:rsidRPr="00230B72">
              <w:rPr>
                <w:rStyle w:val="Hyperlink"/>
                <w:noProof/>
              </w:rPr>
              <w:t>Chapter 5 – Discussion</w:t>
            </w:r>
            <w:r w:rsidR="006655BD">
              <w:rPr>
                <w:noProof/>
                <w:webHidden/>
              </w:rPr>
              <w:tab/>
            </w:r>
            <w:r w:rsidR="006655BD">
              <w:rPr>
                <w:noProof/>
                <w:webHidden/>
              </w:rPr>
              <w:fldChar w:fldCharType="begin"/>
            </w:r>
            <w:r w:rsidR="006655BD">
              <w:rPr>
                <w:noProof/>
                <w:webHidden/>
              </w:rPr>
              <w:instrText xml:space="preserve"> PAGEREF _Toc452316385 \h </w:instrText>
            </w:r>
            <w:r w:rsidR="006655BD">
              <w:rPr>
                <w:noProof/>
                <w:webHidden/>
              </w:rPr>
            </w:r>
            <w:r w:rsidR="006655BD">
              <w:rPr>
                <w:noProof/>
                <w:webHidden/>
              </w:rPr>
              <w:fldChar w:fldCharType="separate"/>
            </w:r>
            <w:r w:rsidR="00800876">
              <w:rPr>
                <w:noProof/>
                <w:webHidden/>
              </w:rPr>
              <w:t>132</w:t>
            </w:r>
            <w:r w:rsidR="006655BD">
              <w:rPr>
                <w:noProof/>
                <w:webHidden/>
              </w:rPr>
              <w:fldChar w:fldCharType="end"/>
            </w:r>
          </w:hyperlink>
        </w:p>
        <w:p w14:paraId="746F263F" w14:textId="77777777" w:rsidR="006655BD" w:rsidRDefault="00D40F9F">
          <w:pPr>
            <w:pStyle w:val="TOC2"/>
            <w:tabs>
              <w:tab w:val="right" w:leader="dot" w:pos="9016"/>
            </w:tabs>
            <w:rPr>
              <w:rFonts w:eastAsiaTheme="minorEastAsia" w:cstheme="minorBidi"/>
              <w:b w:val="0"/>
              <w:bCs w:val="0"/>
              <w:noProof/>
              <w:lang w:eastAsia="en-GB"/>
            </w:rPr>
          </w:pPr>
          <w:hyperlink w:anchor="_Toc452316386" w:history="1">
            <w:r w:rsidR="006655BD" w:rsidRPr="00230B72">
              <w:rPr>
                <w:rStyle w:val="Hyperlink"/>
                <w:noProof/>
              </w:rPr>
              <w:t>5.1 Introduction and aim</w:t>
            </w:r>
            <w:r w:rsidR="006655BD">
              <w:rPr>
                <w:noProof/>
                <w:webHidden/>
              </w:rPr>
              <w:tab/>
            </w:r>
            <w:r w:rsidR="006655BD">
              <w:rPr>
                <w:noProof/>
                <w:webHidden/>
              </w:rPr>
              <w:fldChar w:fldCharType="begin"/>
            </w:r>
            <w:r w:rsidR="006655BD">
              <w:rPr>
                <w:noProof/>
                <w:webHidden/>
              </w:rPr>
              <w:instrText xml:space="preserve"> PAGEREF _Toc452316386 \h </w:instrText>
            </w:r>
            <w:r w:rsidR="006655BD">
              <w:rPr>
                <w:noProof/>
                <w:webHidden/>
              </w:rPr>
            </w:r>
            <w:r w:rsidR="006655BD">
              <w:rPr>
                <w:noProof/>
                <w:webHidden/>
              </w:rPr>
              <w:fldChar w:fldCharType="separate"/>
            </w:r>
            <w:r w:rsidR="00800876">
              <w:rPr>
                <w:noProof/>
                <w:webHidden/>
              </w:rPr>
              <w:t>132</w:t>
            </w:r>
            <w:r w:rsidR="006655BD">
              <w:rPr>
                <w:noProof/>
                <w:webHidden/>
              </w:rPr>
              <w:fldChar w:fldCharType="end"/>
            </w:r>
          </w:hyperlink>
        </w:p>
        <w:p w14:paraId="671B3E1D" w14:textId="77777777" w:rsidR="006655BD" w:rsidRDefault="00D40F9F">
          <w:pPr>
            <w:pStyle w:val="TOC2"/>
            <w:tabs>
              <w:tab w:val="right" w:leader="dot" w:pos="9016"/>
            </w:tabs>
            <w:rPr>
              <w:rFonts w:eastAsiaTheme="minorEastAsia" w:cstheme="minorBidi"/>
              <w:b w:val="0"/>
              <w:bCs w:val="0"/>
              <w:noProof/>
              <w:lang w:eastAsia="en-GB"/>
            </w:rPr>
          </w:pPr>
          <w:hyperlink w:anchor="_Toc452316387" w:history="1">
            <w:r w:rsidR="006655BD" w:rsidRPr="00230B72">
              <w:rPr>
                <w:rStyle w:val="Hyperlink"/>
                <w:noProof/>
              </w:rPr>
              <w:t>5.2. A consideration of EBac policy archaeology</w:t>
            </w:r>
            <w:r w:rsidR="006655BD">
              <w:rPr>
                <w:noProof/>
                <w:webHidden/>
              </w:rPr>
              <w:tab/>
            </w:r>
            <w:r w:rsidR="006655BD">
              <w:rPr>
                <w:noProof/>
                <w:webHidden/>
              </w:rPr>
              <w:fldChar w:fldCharType="begin"/>
            </w:r>
            <w:r w:rsidR="006655BD">
              <w:rPr>
                <w:noProof/>
                <w:webHidden/>
              </w:rPr>
              <w:instrText xml:space="preserve"> PAGEREF _Toc452316387 \h </w:instrText>
            </w:r>
            <w:r w:rsidR="006655BD">
              <w:rPr>
                <w:noProof/>
                <w:webHidden/>
              </w:rPr>
            </w:r>
            <w:r w:rsidR="006655BD">
              <w:rPr>
                <w:noProof/>
                <w:webHidden/>
              </w:rPr>
              <w:fldChar w:fldCharType="separate"/>
            </w:r>
            <w:r w:rsidR="00800876">
              <w:rPr>
                <w:noProof/>
                <w:webHidden/>
              </w:rPr>
              <w:t>132</w:t>
            </w:r>
            <w:r w:rsidR="006655BD">
              <w:rPr>
                <w:noProof/>
                <w:webHidden/>
              </w:rPr>
              <w:fldChar w:fldCharType="end"/>
            </w:r>
          </w:hyperlink>
        </w:p>
        <w:p w14:paraId="1B2AC8DC" w14:textId="77777777" w:rsidR="006655BD" w:rsidRDefault="00D40F9F">
          <w:pPr>
            <w:pStyle w:val="TOC2"/>
            <w:tabs>
              <w:tab w:val="right" w:leader="dot" w:pos="9016"/>
            </w:tabs>
            <w:rPr>
              <w:rFonts w:eastAsiaTheme="minorEastAsia" w:cstheme="minorBidi"/>
              <w:b w:val="0"/>
              <w:bCs w:val="0"/>
              <w:noProof/>
              <w:lang w:eastAsia="en-GB"/>
            </w:rPr>
          </w:pPr>
          <w:hyperlink w:anchor="_Toc452316388" w:history="1">
            <w:r w:rsidR="006655BD" w:rsidRPr="00230B72">
              <w:rPr>
                <w:rStyle w:val="Hyperlink"/>
                <w:noProof/>
              </w:rPr>
              <w:t>5.3 Critique of Scheurich’s policy archaeology</w:t>
            </w:r>
            <w:r w:rsidR="006655BD">
              <w:rPr>
                <w:noProof/>
                <w:webHidden/>
              </w:rPr>
              <w:tab/>
            </w:r>
            <w:r w:rsidR="006655BD">
              <w:rPr>
                <w:noProof/>
                <w:webHidden/>
              </w:rPr>
              <w:fldChar w:fldCharType="begin"/>
            </w:r>
            <w:r w:rsidR="006655BD">
              <w:rPr>
                <w:noProof/>
                <w:webHidden/>
              </w:rPr>
              <w:instrText xml:space="preserve"> PAGEREF _Toc452316388 \h </w:instrText>
            </w:r>
            <w:r w:rsidR="006655BD">
              <w:rPr>
                <w:noProof/>
                <w:webHidden/>
              </w:rPr>
            </w:r>
            <w:r w:rsidR="006655BD">
              <w:rPr>
                <w:noProof/>
                <w:webHidden/>
              </w:rPr>
              <w:fldChar w:fldCharType="separate"/>
            </w:r>
            <w:r w:rsidR="00800876">
              <w:rPr>
                <w:noProof/>
                <w:webHidden/>
              </w:rPr>
              <w:t>136</w:t>
            </w:r>
            <w:r w:rsidR="006655BD">
              <w:rPr>
                <w:noProof/>
                <w:webHidden/>
              </w:rPr>
              <w:fldChar w:fldCharType="end"/>
            </w:r>
          </w:hyperlink>
        </w:p>
        <w:p w14:paraId="53687018" w14:textId="77777777" w:rsidR="006655BD" w:rsidRDefault="00D40F9F">
          <w:pPr>
            <w:pStyle w:val="TOC2"/>
            <w:tabs>
              <w:tab w:val="right" w:leader="dot" w:pos="9016"/>
            </w:tabs>
            <w:rPr>
              <w:rFonts w:eastAsiaTheme="minorEastAsia" w:cstheme="minorBidi"/>
              <w:b w:val="0"/>
              <w:bCs w:val="0"/>
              <w:noProof/>
              <w:lang w:eastAsia="en-GB"/>
            </w:rPr>
          </w:pPr>
          <w:hyperlink w:anchor="_Toc452316389" w:history="1">
            <w:r w:rsidR="006655BD" w:rsidRPr="00230B72">
              <w:rPr>
                <w:rStyle w:val="Hyperlink"/>
                <w:noProof/>
              </w:rPr>
              <w:t>5.4 Governance, surveillance and ‘ability’</w:t>
            </w:r>
            <w:r w:rsidR="006655BD">
              <w:rPr>
                <w:noProof/>
                <w:webHidden/>
              </w:rPr>
              <w:tab/>
            </w:r>
            <w:r w:rsidR="006655BD">
              <w:rPr>
                <w:noProof/>
                <w:webHidden/>
              </w:rPr>
              <w:fldChar w:fldCharType="begin"/>
            </w:r>
            <w:r w:rsidR="006655BD">
              <w:rPr>
                <w:noProof/>
                <w:webHidden/>
              </w:rPr>
              <w:instrText xml:space="preserve"> PAGEREF _Toc452316389 \h </w:instrText>
            </w:r>
            <w:r w:rsidR="006655BD">
              <w:rPr>
                <w:noProof/>
                <w:webHidden/>
              </w:rPr>
            </w:r>
            <w:r w:rsidR="006655BD">
              <w:rPr>
                <w:noProof/>
                <w:webHidden/>
              </w:rPr>
              <w:fldChar w:fldCharType="separate"/>
            </w:r>
            <w:r w:rsidR="00800876">
              <w:rPr>
                <w:noProof/>
                <w:webHidden/>
              </w:rPr>
              <w:t>137</w:t>
            </w:r>
            <w:r w:rsidR="006655BD">
              <w:rPr>
                <w:noProof/>
                <w:webHidden/>
              </w:rPr>
              <w:fldChar w:fldCharType="end"/>
            </w:r>
          </w:hyperlink>
        </w:p>
        <w:p w14:paraId="68A13031" w14:textId="77777777" w:rsidR="006655BD" w:rsidRDefault="00D40F9F">
          <w:pPr>
            <w:pStyle w:val="TOC2"/>
            <w:tabs>
              <w:tab w:val="right" w:leader="dot" w:pos="9016"/>
            </w:tabs>
            <w:rPr>
              <w:rFonts w:eastAsiaTheme="minorEastAsia" w:cstheme="minorBidi"/>
              <w:b w:val="0"/>
              <w:bCs w:val="0"/>
              <w:noProof/>
              <w:lang w:eastAsia="en-GB"/>
            </w:rPr>
          </w:pPr>
          <w:hyperlink w:anchor="_Toc452316390" w:history="1">
            <w:r w:rsidR="006655BD" w:rsidRPr="00230B72">
              <w:rPr>
                <w:rStyle w:val="Hyperlink"/>
                <w:noProof/>
              </w:rPr>
              <w:t>5.5 Conclusion</w:t>
            </w:r>
            <w:r w:rsidR="006655BD">
              <w:rPr>
                <w:noProof/>
                <w:webHidden/>
              </w:rPr>
              <w:tab/>
            </w:r>
            <w:r w:rsidR="006655BD">
              <w:rPr>
                <w:noProof/>
                <w:webHidden/>
              </w:rPr>
              <w:fldChar w:fldCharType="begin"/>
            </w:r>
            <w:r w:rsidR="006655BD">
              <w:rPr>
                <w:noProof/>
                <w:webHidden/>
              </w:rPr>
              <w:instrText xml:space="preserve"> PAGEREF _Toc452316390 \h </w:instrText>
            </w:r>
            <w:r w:rsidR="006655BD">
              <w:rPr>
                <w:noProof/>
                <w:webHidden/>
              </w:rPr>
            </w:r>
            <w:r w:rsidR="006655BD">
              <w:rPr>
                <w:noProof/>
                <w:webHidden/>
              </w:rPr>
              <w:fldChar w:fldCharType="separate"/>
            </w:r>
            <w:r w:rsidR="00800876">
              <w:rPr>
                <w:noProof/>
                <w:webHidden/>
              </w:rPr>
              <w:t>139</w:t>
            </w:r>
            <w:r w:rsidR="006655BD">
              <w:rPr>
                <w:noProof/>
                <w:webHidden/>
              </w:rPr>
              <w:fldChar w:fldCharType="end"/>
            </w:r>
          </w:hyperlink>
        </w:p>
        <w:p w14:paraId="0AC2C216" w14:textId="77777777" w:rsidR="006655BD" w:rsidRDefault="00D40F9F">
          <w:pPr>
            <w:pStyle w:val="TOC1"/>
            <w:tabs>
              <w:tab w:val="right" w:leader="dot" w:pos="9016"/>
            </w:tabs>
            <w:rPr>
              <w:rFonts w:eastAsiaTheme="minorEastAsia" w:cstheme="minorBidi"/>
              <w:b w:val="0"/>
              <w:bCs w:val="0"/>
              <w:noProof/>
              <w:sz w:val="22"/>
              <w:szCs w:val="22"/>
              <w:lang w:eastAsia="en-GB"/>
            </w:rPr>
          </w:pPr>
          <w:hyperlink w:anchor="_Toc452316391" w:history="1">
            <w:r w:rsidR="006655BD" w:rsidRPr="00230B72">
              <w:rPr>
                <w:rStyle w:val="Hyperlink"/>
                <w:noProof/>
              </w:rPr>
              <w:t>Chapter 6 - Conclusion</w:t>
            </w:r>
            <w:r w:rsidR="006655BD">
              <w:rPr>
                <w:noProof/>
                <w:webHidden/>
              </w:rPr>
              <w:tab/>
            </w:r>
            <w:r w:rsidR="006655BD">
              <w:rPr>
                <w:noProof/>
                <w:webHidden/>
              </w:rPr>
              <w:fldChar w:fldCharType="begin"/>
            </w:r>
            <w:r w:rsidR="006655BD">
              <w:rPr>
                <w:noProof/>
                <w:webHidden/>
              </w:rPr>
              <w:instrText xml:space="preserve"> PAGEREF _Toc452316391 \h </w:instrText>
            </w:r>
            <w:r w:rsidR="006655BD">
              <w:rPr>
                <w:noProof/>
                <w:webHidden/>
              </w:rPr>
            </w:r>
            <w:r w:rsidR="006655BD">
              <w:rPr>
                <w:noProof/>
                <w:webHidden/>
              </w:rPr>
              <w:fldChar w:fldCharType="separate"/>
            </w:r>
            <w:r w:rsidR="00800876">
              <w:rPr>
                <w:noProof/>
                <w:webHidden/>
              </w:rPr>
              <w:t>140</w:t>
            </w:r>
            <w:r w:rsidR="006655BD">
              <w:rPr>
                <w:noProof/>
                <w:webHidden/>
              </w:rPr>
              <w:fldChar w:fldCharType="end"/>
            </w:r>
          </w:hyperlink>
        </w:p>
        <w:p w14:paraId="6C9C8A40" w14:textId="77777777" w:rsidR="006655BD" w:rsidRDefault="00D40F9F">
          <w:pPr>
            <w:pStyle w:val="TOC2"/>
            <w:tabs>
              <w:tab w:val="right" w:leader="dot" w:pos="9016"/>
            </w:tabs>
            <w:rPr>
              <w:rFonts w:eastAsiaTheme="minorEastAsia" w:cstheme="minorBidi"/>
              <w:b w:val="0"/>
              <w:bCs w:val="0"/>
              <w:noProof/>
              <w:lang w:eastAsia="en-GB"/>
            </w:rPr>
          </w:pPr>
          <w:hyperlink w:anchor="_Toc452316392" w:history="1">
            <w:r w:rsidR="006655BD" w:rsidRPr="00230B72">
              <w:rPr>
                <w:rStyle w:val="Hyperlink"/>
                <w:noProof/>
              </w:rPr>
              <w:t>6.1 Introduction</w:t>
            </w:r>
            <w:r w:rsidR="006655BD">
              <w:rPr>
                <w:noProof/>
                <w:webHidden/>
              </w:rPr>
              <w:tab/>
            </w:r>
            <w:r w:rsidR="006655BD">
              <w:rPr>
                <w:noProof/>
                <w:webHidden/>
              </w:rPr>
              <w:fldChar w:fldCharType="begin"/>
            </w:r>
            <w:r w:rsidR="006655BD">
              <w:rPr>
                <w:noProof/>
                <w:webHidden/>
              </w:rPr>
              <w:instrText xml:space="preserve"> PAGEREF _Toc452316392 \h </w:instrText>
            </w:r>
            <w:r w:rsidR="006655BD">
              <w:rPr>
                <w:noProof/>
                <w:webHidden/>
              </w:rPr>
            </w:r>
            <w:r w:rsidR="006655BD">
              <w:rPr>
                <w:noProof/>
                <w:webHidden/>
              </w:rPr>
              <w:fldChar w:fldCharType="separate"/>
            </w:r>
            <w:r w:rsidR="00800876">
              <w:rPr>
                <w:noProof/>
                <w:webHidden/>
              </w:rPr>
              <w:t>140</w:t>
            </w:r>
            <w:r w:rsidR="006655BD">
              <w:rPr>
                <w:noProof/>
                <w:webHidden/>
              </w:rPr>
              <w:fldChar w:fldCharType="end"/>
            </w:r>
          </w:hyperlink>
        </w:p>
        <w:p w14:paraId="4C70A54C" w14:textId="77777777" w:rsidR="006655BD" w:rsidRDefault="00D40F9F">
          <w:pPr>
            <w:pStyle w:val="TOC2"/>
            <w:tabs>
              <w:tab w:val="right" w:leader="dot" w:pos="9016"/>
            </w:tabs>
            <w:rPr>
              <w:rFonts w:eastAsiaTheme="minorEastAsia" w:cstheme="minorBidi"/>
              <w:b w:val="0"/>
              <w:bCs w:val="0"/>
              <w:noProof/>
              <w:lang w:eastAsia="en-GB"/>
            </w:rPr>
          </w:pPr>
          <w:hyperlink w:anchor="_Toc452316393" w:history="1">
            <w:r w:rsidR="006655BD" w:rsidRPr="00230B72">
              <w:rPr>
                <w:rStyle w:val="Hyperlink"/>
                <w:noProof/>
              </w:rPr>
              <w:t>6.2 Addressing the research questions</w:t>
            </w:r>
            <w:r w:rsidR="006655BD">
              <w:rPr>
                <w:noProof/>
                <w:webHidden/>
              </w:rPr>
              <w:tab/>
            </w:r>
            <w:r w:rsidR="006655BD">
              <w:rPr>
                <w:noProof/>
                <w:webHidden/>
              </w:rPr>
              <w:fldChar w:fldCharType="begin"/>
            </w:r>
            <w:r w:rsidR="006655BD">
              <w:rPr>
                <w:noProof/>
                <w:webHidden/>
              </w:rPr>
              <w:instrText xml:space="preserve"> PAGEREF _Toc452316393 \h </w:instrText>
            </w:r>
            <w:r w:rsidR="006655BD">
              <w:rPr>
                <w:noProof/>
                <w:webHidden/>
              </w:rPr>
            </w:r>
            <w:r w:rsidR="006655BD">
              <w:rPr>
                <w:noProof/>
                <w:webHidden/>
              </w:rPr>
              <w:fldChar w:fldCharType="separate"/>
            </w:r>
            <w:r w:rsidR="00800876">
              <w:rPr>
                <w:noProof/>
                <w:webHidden/>
              </w:rPr>
              <w:t>140</w:t>
            </w:r>
            <w:r w:rsidR="006655BD">
              <w:rPr>
                <w:noProof/>
                <w:webHidden/>
              </w:rPr>
              <w:fldChar w:fldCharType="end"/>
            </w:r>
          </w:hyperlink>
        </w:p>
        <w:p w14:paraId="18822BC1" w14:textId="77777777" w:rsidR="006655BD" w:rsidRDefault="00D40F9F">
          <w:pPr>
            <w:pStyle w:val="TOC3"/>
            <w:tabs>
              <w:tab w:val="right" w:leader="dot" w:pos="9016"/>
            </w:tabs>
            <w:rPr>
              <w:rFonts w:eastAsiaTheme="minorEastAsia" w:cstheme="minorBidi"/>
              <w:noProof/>
              <w:lang w:eastAsia="en-GB"/>
            </w:rPr>
          </w:pPr>
          <w:hyperlink w:anchor="_Toc452316394" w:history="1">
            <w:r w:rsidR="006655BD" w:rsidRPr="00230B72">
              <w:rPr>
                <w:rStyle w:val="Hyperlink"/>
                <w:noProof/>
              </w:rPr>
              <w:t>6.2.1 What is the EBac policy and how and why was it introduced as part of a wider policy framework?</w:t>
            </w:r>
            <w:r w:rsidR="006655BD">
              <w:rPr>
                <w:noProof/>
                <w:webHidden/>
              </w:rPr>
              <w:tab/>
            </w:r>
            <w:r w:rsidR="006655BD">
              <w:rPr>
                <w:noProof/>
                <w:webHidden/>
              </w:rPr>
              <w:fldChar w:fldCharType="begin"/>
            </w:r>
            <w:r w:rsidR="006655BD">
              <w:rPr>
                <w:noProof/>
                <w:webHidden/>
              </w:rPr>
              <w:instrText xml:space="preserve"> PAGEREF _Toc452316394 \h </w:instrText>
            </w:r>
            <w:r w:rsidR="006655BD">
              <w:rPr>
                <w:noProof/>
                <w:webHidden/>
              </w:rPr>
            </w:r>
            <w:r w:rsidR="006655BD">
              <w:rPr>
                <w:noProof/>
                <w:webHidden/>
              </w:rPr>
              <w:fldChar w:fldCharType="separate"/>
            </w:r>
            <w:r w:rsidR="00800876">
              <w:rPr>
                <w:noProof/>
                <w:webHidden/>
              </w:rPr>
              <w:t>140</w:t>
            </w:r>
            <w:r w:rsidR="006655BD">
              <w:rPr>
                <w:noProof/>
                <w:webHidden/>
              </w:rPr>
              <w:fldChar w:fldCharType="end"/>
            </w:r>
          </w:hyperlink>
        </w:p>
        <w:p w14:paraId="54D5481B" w14:textId="77777777" w:rsidR="006655BD" w:rsidRDefault="00D40F9F">
          <w:pPr>
            <w:pStyle w:val="TOC3"/>
            <w:tabs>
              <w:tab w:val="right" w:leader="dot" w:pos="9016"/>
            </w:tabs>
            <w:rPr>
              <w:rFonts w:eastAsiaTheme="minorEastAsia" w:cstheme="minorBidi"/>
              <w:noProof/>
              <w:lang w:eastAsia="en-GB"/>
            </w:rPr>
          </w:pPr>
          <w:hyperlink w:anchor="_Toc452316395" w:history="1">
            <w:r w:rsidR="006655BD" w:rsidRPr="00230B72">
              <w:rPr>
                <w:rStyle w:val="Hyperlink"/>
                <w:noProof/>
              </w:rPr>
              <w:t>6.2.2 What are teachers’ perspectives on the constitution and implementation of the EBac?</w:t>
            </w:r>
            <w:r w:rsidR="006655BD">
              <w:rPr>
                <w:noProof/>
                <w:webHidden/>
              </w:rPr>
              <w:tab/>
            </w:r>
            <w:r w:rsidR="006655BD">
              <w:rPr>
                <w:noProof/>
                <w:webHidden/>
              </w:rPr>
              <w:fldChar w:fldCharType="begin"/>
            </w:r>
            <w:r w:rsidR="006655BD">
              <w:rPr>
                <w:noProof/>
                <w:webHidden/>
              </w:rPr>
              <w:instrText xml:space="preserve"> PAGEREF _Toc452316395 \h </w:instrText>
            </w:r>
            <w:r w:rsidR="006655BD">
              <w:rPr>
                <w:noProof/>
                <w:webHidden/>
              </w:rPr>
            </w:r>
            <w:r w:rsidR="006655BD">
              <w:rPr>
                <w:noProof/>
                <w:webHidden/>
              </w:rPr>
              <w:fldChar w:fldCharType="separate"/>
            </w:r>
            <w:r w:rsidR="00800876">
              <w:rPr>
                <w:noProof/>
                <w:webHidden/>
              </w:rPr>
              <w:t>141</w:t>
            </w:r>
            <w:r w:rsidR="006655BD">
              <w:rPr>
                <w:noProof/>
                <w:webHidden/>
              </w:rPr>
              <w:fldChar w:fldCharType="end"/>
            </w:r>
          </w:hyperlink>
        </w:p>
        <w:p w14:paraId="153C081B" w14:textId="77777777" w:rsidR="006655BD" w:rsidRDefault="00D40F9F">
          <w:pPr>
            <w:pStyle w:val="TOC3"/>
            <w:tabs>
              <w:tab w:val="right" w:leader="dot" w:pos="9016"/>
            </w:tabs>
            <w:rPr>
              <w:rFonts w:eastAsiaTheme="minorEastAsia" w:cstheme="minorBidi"/>
              <w:noProof/>
              <w:lang w:eastAsia="en-GB"/>
            </w:rPr>
          </w:pPr>
          <w:hyperlink w:anchor="_Toc452316396" w:history="1">
            <w:r w:rsidR="006655BD" w:rsidRPr="00230B72">
              <w:rPr>
                <w:rStyle w:val="Hyperlink"/>
                <w:noProof/>
              </w:rPr>
              <w:t>6.2.3 Does the EBac have implications for educational equality?</w:t>
            </w:r>
            <w:r w:rsidR="006655BD">
              <w:rPr>
                <w:noProof/>
                <w:webHidden/>
              </w:rPr>
              <w:tab/>
            </w:r>
            <w:r w:rsidR="006655BD">
              <w:rPr>
                <w:noProof/>
                <w:webHidden/>
              </w:rPr>
              <w:fldChar w:fldCharType="begin"/>
            </w:r>
            <w:r w:rsidR="006655BD">
              <w:rPr>
                <w:noProof/>
                <w:webHidden/>
              </w:rPr>
              <w:instrText xml:space="preserve"> PAGEREF _Toc452316396 \h </w:instrText>
            </w:r>
            <w:r w:rsidR="006655BD">
              <w:rPr>
                <w:noProof/>
                <w:webHidden/>
              </w:rPr>
            </w:r>
            <w:r w:rsidR="006655BD">
              <w:rPr>
                <w:noProof/>
                <w:webHidden/>
              </w:rPr>
              <w:fldChar w:fldCharType="separate"/>
            </w:r>
            <w:r w:rsidR="00800876">
              <w:rPr>
                <w:noProof/>
                <w:webHidden/>
              </w:rPr>
              <w:t>143</w:t>
            </w:r>
            <w:r w:rsidR="006655BD">
              <w:rPr>
                <w:noProof/>
                <w:webHidden/>
              </w:rPr>
              <w:fldChar w:fldCharType="end"/>
            </w:r>
          </w:hyperlink>
        </w:p>
        <w:p w14:paraId="3B0FB48C" w14:textId="77777777" w:rsidR="006655BD" w:rsidRDefault="00D40F9F">
          <w:pPr>
            <w:pStyle w:val="TOC2"/>
            <w:tabs>
              <w:tab w:val="right" w:leader="dot" w:pos="9016"/>
            </w:tabs>
            <w:rPr>
              <w:rFonts w:eastAsiaTheme="minorEastAsia" w:cstheme="minorBidi"/>
              <w:b w:val="0"/>
              <w:bCs w:val="0"/>
              <w:noProof/>
              <w:lang w:eastAsia="en-GB"/>
            </w:rPr>
          </w:pPr>
          <w:hyperlink w:anchor="_Toc452316397" w:history="1">
            <w:r w:rsidR="006655BD" w:rsidRPr="00230B72">
              <w:rPr>
                <w:rStyle w:val="Hyperlink"/>
                <w:noProof/>
              </w:rPr>
              <w:t>6.3 Recommendations for policy and practice</w:t>
            </w:r>
            <w:r w:rsidR="006655BD">
              <w:rPr>
                <w:noProof/>
                <w:webHidden/>
              </w:rPr>
              <w:tab/>
            </w:r>
            <w:r w:rsidR="006655BD">
              <w:rPr>
                <w:noProof/>
                <w:webHidden/>
              </w:rPr>
              <w:fldChar w:fldCharType="begin"/>
            </w:r>
            <w:r w:rsidR="006655BD">
              <w:rPr>
                <w:noProof/>
                <w:webHidden/>
              </w:rPr>
              <w:instrText xml:space="preserve"> PAGEREF _Toc452316397 \h </w:instrText>
            </w:r>
            <w:r w:rsidR="006655BD">
              <w:rPr>
                <w:noProof/>
                <w:webHidden/>
              </w:rPr>
            </w:r>
            <w:r w:rsidR="006655BD">
              <w:rPr>
                <w:noProof/>
                <w:webHidden/>
              </w:rPr>
              <w:fldChar w:fldCharType="separate"/>
            </w:r>
            <w:r w:rsidR="00800876">
              <w:rPr>
                <w:noProof/>
                <w:webHidden/>
              </w:rPr>
              <w:t>144</w:t>
            </w:r>
            <w:r w:rsidR="006655BD">
              <w:rPr>
                <w:noProof/>
                <w:webHidden/>
              </w:rPr>
              <w:fldChar w:fldCharType="end"/>
            </w:r>
          </w:hyperlink>
        </w:p>
        <w:p w14:paraId="648E364C" w14:textId="77777777" w:rsidR="006655BD" w:rsidRDefault="00D40F9F">
          <w:pPr>
            <w:pStyle w:val="TOC3"/>
            <w:tabs>
              <w:tab w:val="right" w:leader="dot" w:pos="9016"/>
            </w:tabs>
            <w:rPr>
              <w:rFonts w:eastAsiaTheme="minorEastAsia" w:cstheme="minorBidi"/>
              <w:noProof/>
              <w:lang w:eastAsia="en-GB"/>
            </w:rPr>
          </w:pPr>
          <w:hyperlink w:anchor="_Toc452316398" w:history="1">
            <w:r w:rsidR="006655BD" w:rsidRPr="00230B72">
              <w:rPr>
                <w:rStyle w:val="Hyperlink"/>
                <w:noProof/>
              </w:rPr>
              <w:t>6.3.1 Four recommendations of reform to EBac policy and practice</w:t>
            </w:r>
            <w:r w:rsidR="006655BD">
              <w:rPr>
                <w:noProof/>
                <w:webHidden/>
              </w:rPr>
              <w:tab/>
            </w:r>
            <w:r w:rsidR="006655BD">
              <w:rPr>
                <w:noProof/>
                <w:webHidden/>
              </w:rPr>
              <w:fldChar w:fldCharType="begin"/>
            </w:r>
            <w:r w:rsidR="006655BD">
              <w:rPr>
                <w:noProof/>
                <w:webHidden/>
              </w:rPr>
              <w:instrText xml:space="preserve"> PAGEREF _Toc452316398 \h </w:instrText>
            </w:r>
            <w:r w:rsidR="006655BD">
              <w:rPr>
                <w:noProof/>
                <w:webHidden/>
              </w:rPr>
            </w:r>
            <w:r w:rsidR="006655BD">
              <w:rPr>
                <w:noProof/>
                <w:webHidden/>
              </w:rPr>
              <w:fldChar w:fldCharType="separate"/>
            </w:r>
            <w:r w:rsidR="00800876">
              <w:rPr>
                <w:noProof/>
                <w:webHidden/>
              </w:rPr>
              <w:t>144</w:t>
            </w:r>
            <w:r w:rsidR="006655BD">
              <w:rPr>
                <w:noProof/>
                <w:webHidden/>
              </w:rPr>
              <w:fldChar w:fldCharType="end"/>
            </w:r>
          </w:hyperlink>
        </w:p>
        <w:p w14:paraId="3EC600D7" w14:textId="77777777" w:rsidR="006655BD" w:rsidRDefault="00D40F9F">
          <w:pPr>
            <w:pStyle w:val="TOC3"/>
            <w:tabs>
              <w:tab w:val="right" w:leader="dot" w:pos="9016"/>
            </w:tabs>
            <w:rPr>
              <w:rFonts w:eastAsiaTheme="minorEastAsia" w:cstheme="minorBidi"/>
              <w:noProof/>
              <w:lang w:eastAsia="en-GB"/>
            </w:rPr>
          </w:pPr>
          <w:hyperlink w:anchor="_Toc452316399" w:history="1">
            <w:r w:rsidR="006655BD" w:rsidRPr="00230B72">
              <w:rPr>
                <w:rStyle w:val="Hyperlink"/>
                <w:noProof/>
              </w:rPr>
              <w:t>6.3.2 Recommendations for radical policy and practice change</w:t>
            </w:r>
            <w:r w:rsidR="006655BD">
              <w:rPr>
                <w:noProof/>
                <w:webHidden/>
              </w:rPr>
              <w:tab/>
            </w:r>
            <w:r w:rsidR="006655BD">
              <w:rPr>
                <w:noProof/>
                <w:webHidden/>
              </w:rPr>
              <w:fldChar w:fldCharType="begin"/>
            </w:r>
            <w:r w:rsidR="006655BD">
              <w:rPr>
                <w:noProof/>
                <w:webHidden/>
              </w:rPr>
              <w:instrText xml:space="preserve"> PAGEREF _Toc452316399 \h </w:instrText>
            </w:r>
            <w:r w:rsidR="006655BD">
              <w:rPr>
                <w:noProof/>
                <w:webHidden/>
              </w:rPr>
            </w:r>
            <w:r w:rsidR="006655BD">
              <w:rPr>
                <w:noProof/>
                <w:webHidden/>
              </w:rPr>
              <w:fldChar w:fldCharType="separate"/>
            </w:r>
            <w:r w:rsidR="00800876">
              <w:rPr>
                <w:noProof/>
                <w:webHidden/>
              </w:rPr>
              <w:t>146</w:t>
            </w:r>
            <w:r w:rsidR="006655BD">
              <w:rPr>
                <w:noProof/>
                <w:webHidden/>
              </w:rPr>
              <w:fldChar w:fldCharType="end"/>
            </w:r>
          </w:hyperlink>
        </w:p>
        <w:p w14:paraId="4D1AFBEA" w14:textId="77777777" w:rsidR="006655BD" w:rsidRDefault="00D40F9F">
          <w:pPr>
            <w:pStyle w:val="TOC2"/>
            <w:tabs>
              <w:tab w:val="right" w:leader="dot" w:pos="9016"/>
            </w:tabs>
            <w:rPr>
              <w:rFonts w:eastAsiaTheme="minorEastAsia" w:cstheme="minorBidi"/>
              <w:b w:val="0"/>
              <w:bCs w:val="0"/>
              <w:noProof/>
              <w:lang w:eastAsia="en-GB"/>
            </w:rPr>
          </w:pPr>
          <w:hyperlink w:anchor="_Toc452316400" w:history="1">
            <w:r w:rsidR="006655BD" w:rsidRPr="00230B72">
              <w:rPr>
                <w:rStyle w:val="Hyperlink"/>
                <w:noProof/>
              </w:rPr>
              <w:t>6.4 Original contribution to knowledge</w:t>
            </w:r>
            <w:r w:rsidR="006655BD">
              <w:rPr>
                <w:noProof/>
                <w:webHidden/>
              </w:rPr>
              <w:tab/>
            </w:r>
            <w:r w:rsidR="006655BD">
              <w:rPr>
                <w:noProof/>
                <w:webHidden/>
              </w:rPr>
              <w:fldChar w:fldCharType="begin"/>
            </w:r>
            <w:r w:rsidR="006655BD">
              <w:rPr>
                <w:noProof/>
                <w:webHidden/>
              </w:rPr>
              <w:instrText xml:space="preserve"> PAGEREF _Toc452316400 \h </w:instrText>
            </w:r>
            <w:r w:rsidR="006655BD">
              <w:rPr>
                <w:noProof/>
                <w:webHidden/>
              </w:rPr>
            </w:r>
            <w:r w:rsidR="006655BD">
              <w:rPr>
                <w:noProof/>
                <w:webHidden/>
              </w:rPr>
              <w:fldChar w:fldCharType="separate"/>
            </w:r>
            <w:r w:rsidR="00800876">
              <w:rPr>
                <w:noProof/>
                <w:webHidden/>
              </w:rPr>
              <w:t>148</w:t>
            </w:r>
            <w:r w:rsidR="006655BD">
              <w:rPr>
                <w:noProof/>
                <w:webHidden/>
              </w:rPr>
              <w:fldChar w:fldCharType="end"/>
            </w:r>
          </w:hyperlink>
        </w:p>
        <w:p w14:paraId="1F3F289C" w14:textId="77777777" w:rsidR="006655BD" w:rsidRDefault="00D40F9F">
          <w:pPr>
            <w:pStyle w:val="TOC2"/>
            <w:tabs>
              <w:tab w:val="right" w:leader="dot" w:pos="9016"/>
            </w:tabs>
            <w:rPr>
              <w:rFonts w:eastAsiaTheme="minorEastAsia" w:cstheme="minorBidi"/>
              <w:b w:val="0"/>
              <w:bCs w:val="0"/>
              <w:noProof/>
              <w:lang w:eastAsia="en-GB"/>
            </w:rPr>
          </w:pPr>
          <w:hyperlink w:anchor="_Toc452316401" w:history="1">
            <w:r w:rsidR="006655BD" w:rsidRPr="00230B72">
              <w:rPr>
                <w:rStyle w:val="Hyperlink"/>
                <w:noProof/>
              </w:rPr>
              <w:t>6.5 Contribution of my theoretical framework</w:t>
            </w:r>
            <w:r w:rsidR="006655BD">
              <w:rPr>
                <w:noProof/>
                <w:webHidden/>
              </w:rPr>
              <w:tab/>
            </w:r>
            <w:r w:rsidR="006655BD">
              <w:rPr>
                <w:noProof/>
                <w:webHidden/>
              </w:rPr>
              <w:fldChar w:fldCharType="begin"/>
            </w:r>
            <w:r w:rsidR="006655BD">
              <w:rPr>
                <w:noProof/>
                <w:webHidden/>
              </w:rPr>
              <w:instrText xml:space="preserve"> PAGEREF _Toc452316401 \h </w:instrText>
            </w:r>
            <w:r w:rsidR="006655BD">
              <w:rPr>
                <w:noProof/>
                <w:webHidden/>
              </w:rPr>
            </w:r>
            <w:r w:rsidR="006655BD">
              <w:rPr>
                <w:noProof/>
                <w:webHidden/>
              </w:rPr>
              <w:fldChar w:fldCharType="separate"/>
            </w:r>
            <w:r w:rsidR="00800876">
              <w:rPr>
                <w:noProof/>
                <w:webHidden/>
              </w:rPr>
              <w:t>150</w:t>
            </w:r>
            <w:r w:rsidR="006655BD">
              <w:rPr>
                <w:noProof/>
                <w:webHidden/>
              </w:rPr>
              <w:fldChar w:fldCharType="end"/>
            </w:r>
          </w:hyperlink>
        </w:p>
        <w:p w14:paraId="5505B207" w14:textId="77777777" w:rsidR="006655BD" w:rsidRDefault="00D40F9F">
          <w:pPr>
            <w:pStyle w:val="TOC2"/>
            <w:tabs>
              <w:tab w:val="right" w:leader="dot" w:pos="9016"/>
            </w:tabs>
            <w:rPr>
              <w:rFonts w:eastAsiaTheme="minorEastAsia" w:cstheme="minorBidi"/>
              <w:b w:val="0"/>
              <w:bCs w:val="0"/>
              <w:noProof/>
              <w:lang w:eastAsia="en-GB"/>
            </w:rPr>
          </w:pPr>
          <w:hyperlink w:anchor="_Toc452316402" w:history="1">
            <w:r w:rsidR="006655BD" w:rsidRPr="00230B72">
              <w:rPr>
                <w:rStyle w:val="Hyperlink"/>
                <w:noProof/>
              </w:rPr>
              <w:t>6.6 Strengths and limitations of the study</w:t>
            </w:r>
            <w:r w:rsidR="006655BD">
              <w:rPr>
                <w:noProof/>
                <w:webHidden/>
              </w:rPr>
              <w:tab/>
            </w:r>
            <w:r w:rsidR="006655BD">
              <w:rPr>
                <w:noProof/>
                <w:webHidden/>
              </w:rPr>
              <w:fldChar w:fldCharType="begin"/>
            </w:r>
            <w:r w:rsidR="006655BD">
              <w:rPr>
                <w:noProof/>
                <w:webHidden/>
              </w:rPr>
              <w:instrText xml:space="preserve"> PAGEREF _Toc452316402 \h </w:instrText>
            </w:r>
            <w:r w:rsidR="006655BD">
              <w:rPr>
                <w:noProof/>
                <w:webHidden/>
              </w:rPr>
            </w:r>
            <w:r w:rsidR="006655BD">
              <w:rPr>
                <w:noProof/>
                <w:webHidden/>
              </w:rPr>
              <w:fldChar w:fldCharType="separate"/>
            </w:r>
            <w:r w:rsidR="00800876">
              <w:rPr>
                <w:noProof/>
                <w:webHidden/>
              </w:rPr>
              <w:t>151</w:t>
            </w:r>
            <w:r w:rsidR="006655BD">
              <w:rPr>
                <w:noProof/>
                <w:webHidden/>
              </w:rPr>
              <w:fldChar w:fldCharType="end"/>
            </w:r>
          </w:hyperlink>
        </w:p>
        <w:p w14:paraId="568B89B6" w14:textId="77777777" w:rsidR="006655BD" w:rsidRDefault="00D40F9F">
          <w:pPr>
            <w:pStyle w:val="TOC3"/>
            <w:tabs>
              <w:tab w:val="right" w:leader="dot" w:pos="9016"/>
            </w:tabs>
            <w:rPr>
              <w:rFonts w:eastAsiaTheme="minorEastAsia" w:cstheme="minorBidi"/>
              <w:noProof/>
              <w:lang w:eastAsia="en-GB"/>
            </w:rPr>
          </w:pPr>
          <w:hyperlink w:anchor="_Toc452316403" w:history="1">
            <w:r w:rsidR="006655BD" w:rsidRPr="00230B72">
              <w:rPr>
                <w:rStyle w:val="Hyperlink"/>
                <w:noProof/>
              </w:rPr>
              <w:t>6.6.1 Strengths of study</w:t>
            </w:r>
            <w:r w:rsidR="006655BD">
              <w:rPr>
                <w:noProof/>
                <w:webHidden/>
              </w:rPr>
              <w:tab/>
            </w:r>
            <w:r w:rsidR="006655BD">
              <w:rPr>
                <w:noProof/>
                <w:webHidden/>
              </w:rPr>
              <w:fldChar w:fldCharType="begin"/>
            </w:r>
            <w:r w:rsidR="006655BD">
              <w:rPr>
                <w:noProof/>
                <w:webHidden/>
              </w:rPr>
              <w:instrText xml:space="preserve"> PAGEREF _Toc452316403 \h </w:instrText>
            </w:r>
            <w:r w:rsidR="006655BD">
              <w:rPr>
                <w:noProof/>
                <w:webHidden/>
              </w:rPr>
            </w:r>
            <w:r w:rsidR="006655BD">
              <w:rPr>
                <w:noProof/>
                <w:webHidden/>
              </w:rPr>
              <w:fldChar w:fldCharType="separate"/>
            </w:r>
            <w:r w:rsidR="00800876">
              <w:rPr>
                <w:noProof/>
                <w:webHidden/>
              </w:rPr>
              <w:t>151</w:t>
            </w:r>
            <w:r w:rsidR="006655BD">
              <w:rPr>
                <w:noProof/>
                <w:webHidden/>
              </w:rPr>
              <w:fldChar w:fldCharType="end"/>
            </w:r>
          </w:hyperlink>
        </w:p>
        <w:p w14:paraId="422EFCC9" w14:textId="77777777" w:rsidR="006655BD" w:rsidRDefault="00D40F9F">
          <w:pPr>
            <w:pStyle w:val="TOC3"/>
            <w:tabs>
              <w:tab w:val="right" w:leader="dot" w:pos="9016"/>
            </w:tabs>
            <w:rPr>
              <w:rFonts w:eastAsiaTheme="minorEastAsia" w:cstheme="minorBidi"/>
              <w:noProof/>
              <w:lang w:eastAsia="en-GB"/>
            </w:rPr>
          </w:pPr>
          <w:hyperlink w:anchor="_Toc452316404" w:history="1">
            <w:r w:rsidR="006655BD" w:rsidRPr="00230B72">
              <w:rPr>
                <w:rStyle w:val="Hyperlink"/>
                <w:noProof/>
              </w:rPr>
              <w:t>6.6.2 Limitations of the study</w:t>
            </w:r>
            <w:r w:rsidR="006655BD">
              <w:rPr>
                <w:noProof/>
                <w:webHidden/>
              </w:rPr>
              <w:tab/>
            </w:r>
            <w:r w:rsidR="006655BD">
              <w:rPr>
                <w:noProof/>
                <w:webHidden/>
              </w:rPr>
              <w:fldChar w:fldCharType="begin"/>
            </w:r>
            <w:r w:rsidR="006655BD">
              <w:rPr>
                <w:noProof/>
                <w:webHidden/>
              </w:rPr>
              <w:instrText xml:space="preserve"> PAGEREF _Toc452316404 \h </w:instrText>
            </w:r>
            <w:r w:rsidR="006655BD">
              <w:rPr>
                <w:noProof/>
                <w:webHidden/>
              </w:rPr>
            </w:r>
            <w:r w:rsidR="006655BD">
              <w:rPr>
                <w:noProof/>
                <w:webHidden/>
              </w:rPr>
              <w:fldChar w:fldCharType="separate"/>
            </w:r>
            <w:r w:rsidR="00800876">
              <w:rPr>
                <w:noProof/>
                <w:webHidden/>
              </w:rPr>
              <w:t>152</w:t>
            </w:r>
            <w:r w:rsidR="006655BD">
              <w:rPr>
                <w:noProof/>
                <w:webHidden/>
              </w:rPr>
              <w:fldChar w:fldCharType="end"/>
            </w:r>
          </w:hyperlink>
        </w:p>
        <w:p w14:paraId="1FA4738D" w14:textId="77777777" w:rsidR="006655BD" w:rsidRDefault="00D40F9F">
          <w:pPr>
            <w:pStyle w:val="TOC2"/>
            <w:tabs>
              <w:tab w:val="right" w:leader="dot" w:pos="9016"/>
            </w:tabs>
            <w:rPr>
              <w:rFonts w:eastAsiaTheme="minorEastAsia" w:cstheme="minorBidi"/>
              <w:b w:val="0"/>
              <w:bCs w:val="0"/>
              <w:noProof/>
              <w:lang w:eastAsia="en-GB"/>
            </w:rPr>
          </w:pPr>
          <w:hyperlink w:anchor="_Toc452316405" w:history="1">
            <w:r w:rsidR="006655BD" w:rsidRPr="00230B72">
              <w:rPr>
                <w:rStyle w:val="Hyperlink"/>
                <w:noProof/>
              </w:rPr>
              <w:t>6.7 Update on developments in 2015</w:t>
            </w:r>
            <w:r w:rsidR="006655BD">
              <w:rPr>
                <w:noProof/>
                <w:webHidden/>
              </w:rPr>
              <w:tab/>
            </w:r>
            <w:r w:rsidR="006655BD">
              <w:rPr>
                <w:noProof/>
                <w:webHidden/>
              </w:rPr>
              <w:fldChar w:fldCharType="begin"/>
            </w:r>
            <w:r w:rsidR="006655BD">
              <w:rPr>
                <w:noProof/>
                <w:webHidden/>
              </w:rPr>
              <w:instrText xml:space="preserve"> PAGEREF _Toc452316405 \h </w:instrText>
            </w:r>
            <w:r w:rsidR="006655BD">
              <w:rPr>
                <w:noProof/>
                <w:webHidden/>
              </w:rPr>
            </w:r>
            <w:r w:rsidR="006655BD">
              <w:rPr>
                <w:noProof/>
                <w:webHidden/>
              </w:rPr>
              <w:fldChar w:fldCharType="separate"/>
            </w:r>
            <w:r w:rsidR="00800876">
              <w:rPr>
                <w:noProof/>
                <w:webHidden/>
              </w:rPr>
              <w:t>153</w:t>
            </w:r>
            <w:r w:rsidR="006655BD">
              <w:rPr>
                <w:noProof/>
                <w:webHidden/>
              </w:rPr>
              <w:fldChar w:fldCharType="end"/>
            </w:r>
          </w:hyperlink>
        </w:p>
        <w:p w14:paraId="02F1BB79" w14:textId="77777777" w:rsidR="006655BD" w:rsidRDefault="00D40F9F">
          <w:pPr>
            <w:pStyle w:val="TOC2"/>
            <w:tabs>
              <w:tab w:val="right" w:leader="dot" w:pos="9016"/>
            </w:tabs>
            <w:rPr>
              <w:rFonts w:eastAsiaTheme="minorEastAsia" w:cstheme="minorBidi"/>
              <w:b w:val="0"/>
              <w:bCs w:val="0"/>
              <w:noProof/>
              <w:lang w:eastAsia="en-GB"/>
            </w:rPr>
          </w:pPr>
          <w:hyperlink w:anchor="_Toc452316406" w:history="1">
            <w:r w:rsidR="006655BD" w:rsidRPr="00230B72">
              <w:rPr>
                <w:rStyle w:val="Hyperlink"/>
                <w:noProof/>
              </w:rPr>
              <w:t>6.8 Recommendations for future research</w:t>
            </w:r>
            <w:r w:rsidR="006655BD">
              <w:rPr>
                <w:noProof/>
                <w:webHidden/>
              </w:rPr>
              <w:tab/>
            </w:r>
            <w:r w:rsidR="006655BD">
              <w:rPr>
                <w:noProof/>
                <w:webHidden/>
              </w:rPr>
              <w:fldChar w:fldCharType="begin"/>
            </w:r>
            <w:r w:rsidR="006655BD">
              <w:rPr>
                <w:noProof/>
                <w:webHidden/>
              </w:rPr>
              <w:instrText xml:space="preserve"> PAGEREF _Toc452316406 \h </w:instrText>
            </w:r>
            <w:r w:rsidR="006655BD">
              <w:rPr>
                <w:noProof/>
                <w:webHidden/>
              </w:rPr>
            </w:r>
            <w:r w:rsidR="006655BD">
              <w:rPr>
                <w:noProof/>
                <w:webHidden/>
              </w:rPr>
              <w:fldChar w:fldCharType="separate"/>
            </w:r>
            <w:r w:rsidR="00800876">
              <w:rPr>
                <w:noProof/>
                <w:webHidden/>
              </w:rPr>
              <w:t>154</w:t>
            </w:r>
            <w:r w:rsidR="006655BD">
              <w:rPr>
                <w:noProof/>
                <w:webHidden/>
              </w:rPr>
              <w:fldChar w:fldCharType="end"/>
            </w:r>
          </w:hyperlink>
        </w:p>
        <w:p w14:paraId="0EB1BCDE" w14:textId="77777777" w:rsidR="006655BD" w:rsidRDefault="00D40F9F">
          <w:pPr>
            <w:pStyle w:val="TOC2"/>
            <w:tabs>
              <w:tab w:val="right" w:leader="dot" w:pos="9016"/>
            </w:tabs>
            <w:rPr>
              <w:rFonts w:eastAsiaTheme="minorEastAsia" w:cstheme="minorBidi"/>
              <w:b w:val="0"/>
              <w:bCs w:val="0"/>
              <w:noProof/>
              <w:lang w:eastAsia="en-GB"/>
            </w:rPr>
          </w:pPr>
          <w:hyperlink w:anchor="_Toc452316407" w:history="1">
            <w:r w:rsidR="006655BD" w:rsidRPr="00230B72">
              <w:rPr>
                <w:rStyle w:val="Hyperlink"/>
                <w:noProof/>
              </w:rPr>
              <w:t>6.9 Research journey</w:t>
            </w:r>
            <w:r w:rsidR="006655BD">
              <w:rPr>
                <w:noProof/>
                <w:webHidden/>
              </w:rPr>
              <w:tab/>
            </w:r>
            <w:r w:rsidR="006655BD">
              <w:rPr>
                <w:noProof/>
                <w:webHidden/>
              </w:rPr>
              <w:fldChar w:fldCharType="begin"/>
            </w:r>
            <w:r w:rsidR="006655BD">
              <w:rPr>
                <w:noProof/>
                <w:webHidden/>
              </w:rPr>
              <w:instrText xml:space="preserve"> PAGEREF _Toc452316407 \h </w:instrText>
            </w:r>
            <w:r w:rsidR="006655BD">
              <w:rPr>
                <w:noProof/>
                <w:webHidden/>
              </w:rPr>
            </w:r>
            <w:r w:rsidR="006655BD">
              <w:rPr>
                <w:noProof/>
                <w:webHidden/>
              </w:rPr>
              <w:fldChar w:fldCharType="separate"/>
            </w:r>
            <w:r w:rsidR="00800876">
              <w:rPr>
                <w:noProof/>
                <w:webHidden/>
              </w:rPr>
              <w:t>155</w:t>
            </w:r>
            <w:r w:rsidR="006655BD">
              <w:rPr>
                <w:noProof/>
                <w:webHidden/>
              </w:rPr>
              <w:fldChar w:fldCharType="end"/>
            </w:r>
          </w:hyperlink>
        </w:p>
        <w:p w14:paraId="53A7550F" w14:textId="77777777" w:rsidR="006655BD" w:rsidRDefault="00D40F9F">
          <w:pPr>
            <w:pStyle w:val="TOC1"/>
            <w:tabs>
              <w:tab w:val="right" w:leader="dot" w:pos="9016"/>
            </w:tabs>
            <w:rPr>
              <w:rFonts w:eastAsiaTheme="minorEastAsia" w:cstheme="minorBidi"/>
              <w:b w:val="0"/>
              <w:bCs w:val="0"/>
              <w:noProof/>
              <w:sz w:val="22"/>
              <w:szCs w:val="22"/>
              <w:lang w:eastAsia="en-GB"/>
            </w:rPr>
          </w:pPr>
          <w:hyperlink w:anchor="_Toc452316408" w:history="1">
            <w:r w:rsidR="006655BD" w:rsidRPr="00230B72">
              <w:rPr>
                <w:rStyle w:val="Hyperlink"/>
                <w:noProof/>
                <w:kern w:val="36"/>
              </w:rPr>
              <w:t>Appendix 1</w:t>
            </w:r>
            <w:r w:rsidR="006655BD" w:rsidRPr="00230B72">
              <w:rPr>
                <w:rStyle w:val="Hyperlink"/>
                <w:noProof/>
              </w:rPr>
              <w:t xml:space="preserve"> </w:t>
            </w:r>
            <w:r w:rsidR="006655BD" w:rsidRPr="00230B72">
              <w:rPr>
                <w:rStyle w:val="Hyperlink"/>
                <w:noProof/>
                <w:kern w:val="36"/>
              </w:rPr>
              <w:t>– Ethical permission letter from University of Sheffield</w:t>
            </w:r>
            <w:r w:rsidR="006655BD">
              <w:rPr>
                <w:noProof/>
                <w:webHidden/>
              </w:rPr>
              <w:tab/>
            </w:r>
            <w:r w:rsidR="006655BD">
              <w:rPr>
                <w:noProof/>
                <w:webHidden/>
              </w:rPr>
              <w:fldChar w:fldCharType="begin"/>
            </w:r>
            <w:r w:rsidR="006655BD">
              <w:rPr>
                <w:noProof/>
                <w:webHidden/>
              </w:rPr>
              <w:instrText xml:space="preserve"> PAGEREF _Toc452316408 \h </w:instrText>
            </w:r>
            <w:r w:rsidR="006655BD">
              <w:rPr>
                <w:noProof/>
                <w:webHidden/>
              </w:rPr>
            </w:r>
            <w:r w:rsidR="006655BD">
              <w:rPr>
                <w:noProof/>
                <w:webHidden/>
              </w:rPr>
              <w:fldChar w:fldCharType="separate"/>
            </w:r>
            <w:r w:rsidR="00800876">
              <w:rPr>
                <w:noProof/>
                <w:webHidden/>
              </w:rPr>
              <w:t>157</w:t>
            </w:r>
            <w:r w:rsidR="006655BD">
              <w:rPr>
                <w:noProof/>
                <w:webHidden/>
              </w:rPr>
              <w:fldChar w:fldCharType="end"/>
            </w:r>
          </w:hyperlink>
        </w:p>
        <w:p w14:paraId="55770B12" w14:textId="77777777" w:rsidR="006655BD" w:rsidRDefault="00D40F9F">
          <w:pPr>
            <w:pStyle w:val="TOC1"/>
            <w:tabs>
              <w:tab w:val="right" w:leader="dot" w:pos="9016"/>
            </w:tabs>
            <w:rPr>
              <w:rFonts w:eastAsiaTheme="minorEastAsia" w:cstheme="minorBidi"/>
              <w:b w:val="0"/>
              <w:bCs w:val="0"/>
              <w:noProof/>
              <w:sz w:val="22"/>
              <w:szCs w:val="22"/>
              <w:lang w:eastAsia="en-GB"/>
            </w:rPr>
          </w:pPr>
          <w:hyperlink w:anchor="_Toc452316409" w:history="1">
            <w:r w:rsidR="006655BD" w:rsidRPr="00230B72">
              <w:rPr>
                <w:rStyle w:val="Hyperlink"/>
                <w:noProof/>
                <w:kern w:val="36"/>
              </w:rPr>
              <w:t>Appendix 2</w:t>
            </w:r>
            <w:r w:rsidR="006655BD" w:rsidRPr="00230B72">
              <w:rPr>
                <w:rStyle w:val="Hyperlink"/>
                <w:rFonts w:cs="Calibri"/>
                <w:noProof/>
              </w:rPr>
              <w:t xml:space="preserve"> </w:t>
            </w:r>
            <w:r w:rsidR="006655BD" w:rsidRPr="00230B72">
              <w:rPr>
                <w:rStyle w:val="Hyperlink"/>
                <w:noProof/>
                <w:kern w:val="36"/>
              </w:rPr>
              <w:t>- Orientation questions for frame application</w:t>
            </w:r>
            <w:r w:rsidR="006655BD" w:rsidRPr="00230B72">
              <w:rPr>
                <w:rStyle w:val="Hyperlink"/>
                <w:rFonts w:cs="Calibri"/>
                <w:noProof/>
              </w:rPr>
              <w:t xml:space="preserve"> (Hyatt, 2005)</w:t>
            </w:r>
            <w:r w:rsidR="006655BD">
              <w:rPr>
                <w:noProof/>
                <w:webHidden/>
              </w:rPr>
              <w:tab/>
            </w:r>
            <w:r w:rsidR="006655BD">
              <w:rPr>
                <w:noProof/>
                <w:webHidden/>
              </w:rPr>
              <w:fldChar w:fldCharType="begin"/>
            </w:r>
            <w:r w:rsidR="006655BD">
              <w:rPr>
                <w:noProof/>
                <w:webHidden/>
              </w:rPr>
              <w:instrText xml:space="preserve"> PAGEREF _Toc452316409 \h </w:instrText>
            </w:r>
            <w:r w:rsidR="006655BD">
              <w:rPr>
                <w:noProof/>
                <w:webHidden/>
              </w:rPr>
            </w:r>
            <w:r w:rsidR="006655BD">
              <w:rPr>
                <w:noProof/>
                <w:webHidden/>
              </w:rPr>
              <w:fldChar w:fldCharType="separate"/>
            </w:r>
            <w:r w:rsidR="00800876">
              <w:rPr>
                <w:noProof/>
                <w:webHidden/>
              </w:rPr>
              <w:t>158</w:t>
            </w:r>
            <w:r w:rsidR="006655BD">
              <w:rPr>
                <w:noProof/>
                <w:webHidden/>
              </w:rPr>
              <w:fldChar w:fldCharType="end"/>
            </w:r>
          </w:hyperlink>
        </w:p>
        <w:p w14:paraId="52F09D96" w14:textId="77777777" w:rsidR="006655BD" w:rsidRDefault="00D40F9F">
          <w:pPr>
            <w:pStyle w:val="TOC1"/>
            <w:tabs>
              <w:tab w:val="right" w:leader="dot" w:pos="9016"/>
            </w:tabs>
            <w:rPr>
              <w:rFonts w:eastAsiaTheme="minorEastAsia" w:cstheme="minorBidi"/>
              <w:b w:val="0"/>
              <w:bCs w:val="0"/>
              <w:noProof/>
              <w:sz w:val="22"/>
              <w:szCs w:val="22"/>
              <w:lang w:eastAsia="en-GB"/>
            </w:rPr>
          </w:pPr>
          <w:hyperlink w:anchor="_Toc452316410" w:history="1">
            <w:r w:rsidR="006655BD" w:rsidRPr="00230B72">
              <w:rPr>
                <w:rStyle w:val="Hyperlink"/>
                <w:noProof/>
                <w:kern w:val="36"/>
              </w:rPr>
              <w:t>Appendix 3 - Critical Literacy Frame Criteria</w:t>
            </w:r>
            <w:r w:rsidR="006655BD" w:rsidRPr="00230B72">
              <w:rPr>
                <w:rStyle w:val="Hyperlink"/>
                <w:noProof/>
              </w:rPr>
              <w:t xml:space="preserve"> (Hyatt, 2005)</w:t>
            </w:r>
            <w:r w:rsidR="006655BD">
              <w:rPr>
                <w:noProof/>
                <w:webHidden/>
              </w:rPr>
              <w:tab/>
            </w:r>
            <w:r w:rsidR="006655BD">
              <w:rPr>
                <w:noProof/>
                <w:webHidden/>
              </w:rPr>
              <w:fldChar w:fldCharType="begin"/>
            </w:r>
            <w:r w:rsidR="006655BD">
              <w:rPr>
                <w:noProof/>
                <w:webHidden/>
              </w:rPr>
              <w:instrText xml:space="preserve"> PAGEREF _Toc452316410 \h </w:instrText>
            </w:r>
            <w:r w:rsidR="006655BD">
              <w:rPr>
                <w:noProof/>
                <w:webHidden/>
              </w:rPr>
            </w:r>
            <w:r w:rsidR="006655BD">
              <w:rPr>
                <w:noProof/>
                <w:webHidden/>
              </w:rPr>
              <w:fldChar w:fldCharType="separate"/>
            </w:r>
            <w:r w:rsidR="00800876">
              <w:rPr>
                <w:noProof/>
                <w:webHidden/>
              </w:rPr>
              <w:t>163</w:t>
            </w:r>
            <w:r w:rsidR="006655BD">
              <w:rPr>
                <w:noProof/>
                <w:webHidden/>
              </w:rPr>
              <w:fldChar w:fldCharType="end"/>
            </w:r>
          </w:hyperlink>
        </w:p>
        <w:p w14:paraId="73DA5A7B" w14:textId="77777777" w:rsidR="006655BD" w:rsidRDefault="00D40F9F">
          <w:pPr>
            <w:pStyle w:val="TOC1"/>
            <w:tabs>
              <w:tab w:val="right" w:leader="dot" w:pos="9016"/>
            </w:tabs>
            <w:rPr>
              <w:rFonts w:eastAsiaTheme="minorEastAsia" w:cstheme="minorBidi"/>
              <w:b w:val="0"/>
              <w:bCs w:val="0"/>
              <w:noProof/>
              <w:sz w:val="22"/>
              <w:szCs w:val="22"/>
              <w:lang w:eastAsia="en-GB"/>
            </w:rPr>
          </w:pPr>
          <w:hyperlink w:anchor="_Toc452316411" w:history="1">
            <w:r w:rsidR="006655BD" w:rsidRPr="00230B72">
              <w:rPr>
                <w:rStyle w:val="Hyperlink"/>
                <w:noProof/>
              </w:rPr>
              <w:t>Appendix 4 – Participant Information Sheet</w:t>
            </w:r>
            <w:r w:rsidR="006655BD">
              <w:rPr>
                <w:noProof/>
                <w:webHidden/>
              </w:rPr>
              <w:tab/>
            </w:r>
            <w:r w:rsidR="006655BD">
              <w:rPr>
                <w:noProof/>
                <w:webHidden/>
              </w:rPr>
              <w:fldChar w:fldCharType="begin"/>
            </w:r>
            <w:r w:rsidR="006655BD">
              <w:rPr>
                <w:noProof/>
                <w:webHidden/>
              </w:rPr>
              <w:instrText xml:space="preserve"> PAGEREF _Toc452316411 \h </w:instrText>
            </w:r>
            <w:r w:rsidR="006655BD">
              <w:rPr>
                <w:noProof/>
                <w:webHidden/>
              </w:rPr>
            </w:r>
            <w:r w:rsidR="006655BD">
              <w:rPr>
                <w:noProof/>
                <w:webHidden/>
              </w:rPr>
              <w:fldChar w:fldCharType="separate"/>
            </w:r>
            <w:r w:rsidR="00800876">
              <w:rPr>
                <w:noProof/>
                <w:webHidden/>
              </w:rPr>
              <w:t>165</w:t>
            </w:r>
            <w:r w:rsidR="006655BD">
              <w:rPr>
                <w:noProof/>
                <w:webHidden/>
              </w:rPr>
              <w:fldChar w:fldCharType="end"/>
            </w:r>
          </w:hyperlink>
        </w:p>
        <w:p w14:paraId="79CD8BC6" w14:textId="77777777" w:rsidR="006655BD" w:rsidRDefault="00D40F9F">
          <w:pPr>
            <w:pStyle w:val="TOC1"/>
            <w:tabs>
              <w:tab w:val="right" w:leader="dot" w:pos="9016"/>
            </w:tabs>
            <w:rPr>
              <w:rFonts w:eastAsiaTheme="minorEastAsia" w:cstheme="minorBidi"/>
              <w:b w:val="0"/>
              <w:bCs w:val="0"/>
              <w:noProof/>
              <w:sz w:val="22"/>
              <w:szCs w:val="22"/>
              <w:lang w:eastAsia="en-GB"/>
            </w:rPr>
          </w:pPr>
          <w:hyperlink w:anchor="_Toc452316421" w:history="1">
            <w:r w:rsidR="006655BD" w:rsidRPr="00230B72">
              <w:rPr>
                <w:rStyle w:val="Hyperlink"/>
                <w:noProof/>
              </w:rPr>
              <w:t>Appendix 6 - Interview questions</w:t>
            </w:r>
            <w:r w:rsidR="006655BD">
              <w:rPr>
                <w:noProof/>
                <w:webHidden/>
              </w:rPr>
              <w:tab/>
            </w:r>
            <w:r w:rsidR="006655BD">
              <w:rPr>
                <w:noProof/>
                <w:webHidden/>
              </w:rPr>
              <w:fldChar w:fldCharType="begin"/>
            </w:r>
            <w:r w:rsidR="006655BD">
              <w:rPr>
                <w:noProof/>
                <w:webHidden/>
              </w:rPr>
              <w:instrText xml:space="preserve"> PAGEREF _Toc452316421 \h </w:instrText>
            </w:r>
            <w:r w:rsidR="006655BD">
              <w:rPr>
                <w:noProof/>
                <w:webHidden/>
              </w:rPr>
            </w:r>
            <w:r w:rsidR="006655BD">
              <w:rPr>
                <w:noProof/>
                <w:webHidden/>
              </w:rPr>
              <w:fldChar w:fldCharType="separate"/>
            </w:r>
            <w:r w:rsidR="00800876">
              <w:rPr>
                <w:noProof/>
                <w:webHidden/>
              </w:rPr>
              <w:t>169</w:t>
            </w:r>
            <w:r w:rsidR="006655BD">
              <w:rPr>
                <w:noProof/>
                <w:webHidden/>
              </w:rPr>
              <w:fldChar w:fldCharType="end"/>
            </w:r>
          </w:hyperlink>
        </w:p>
        <w:p w14:paraId="4CD83DF0" w14:textId="77777777" w:rsidR="006655BD" w:rsidRDefault="00D40F9F">
          <w:pPr>
            <w:pStyle w:val="TOC1"/>
            <w:tabs>
              <w:tab w:val="right" w:leader="dot" w:pos="9016"/>
            </w:tabs>
            <w:rPr>
              <w:rFonts w:eastAsiaTheme="minorEastAsia" w:cstheme="minorBidi"/>
              <w:b w:val="0"/>
              <w:bCs w:val="0"/>
              <w:noProof/>
              <w:sz w:val="22"/>
              <w:szCs w:val="22"/>
              <w:lang w:eastAsia="en-GB"/>
            </w:rPr>
          </w:pPr>
          <w:hyperlink w:anchor="_Toc452316425" w:history="1">
            <w:r w:rsidR="006655BD" w:rsidRPr="00230B72">
              <w:rPr>
                <w:rStyle w:val="Hyperlink"/>
                <w:noProof/>
              </w:rPr>
              <w:t>Appendix 7 – Coding</w:t>
            </w:r>
            <w:r w:rsidR="006655BD">
              <w:rPr>
                <w:noProof/>
                <w:webHidden/>
              </w:rPr>
              <w:tab/>
            </w:r>
            <w:r w:rsidR="006655BD">
              <w:rPr>
                <w:noProof/>
                <w:webHidden/>
              </w:rPr>
              <w:fldChar w:fldCharType="begin"/>
            </w:r>
            <w:r w:rsidR="006655BD">
              <w:rPr>
                <w:noProof/>
                <w:webHidden/>
              </w:rPr>
              <w:instrText xml:space="preserve"> PAGEREF _Toc452316425 \h </w:instrText>
            </w:r>
            <w:r w:rsidR="006655BD">
              <w:rPr>
                <w:noProof/>
                <w:webHidden/>
              </w:rPr>
            </w:r>
            <w:r w:rsidR="006655BD">
              <w:rPr>
                <w:noProof/>
                <w:webHidden/>
              </w:rPr>
              <w:fldChar w:fldCharType="separate"/>
            </w:r>
            <w:r w:rsidR="00800876">
              <w:rPr>
                <w:noProof/>
                <w:webHidden/>
              </w:rPr>
              <w:t>175</w:t>
            </w:r>
            <w:r w:rsidR="006655BD">
              <w:rPr>
                <w:noProof/>
                <w:webHidden/>
              </w:rPr>
              <w:fldChar w:fldCharType="end"/>
            </w:r>
          </w:hyperlink>
        </w:p>
        <w:p w14:paraId="1ECCF17D" w14:textId="77777777" w:rsidR="006655BD" w:rsidRDefault="00D40F9F">
          <w:pPr>
            <w:pStyle w:val="TOC1"/>
            <w:tabs>
              <w:tab w:val="right" w:leader="dot" w:pos="9016"/>
            </w:tabs>
            <w:rPr>
              <w:rFonts w:eastAsiaTheme="minorEastAsia" w:cstheme="minorBidi"/>
              <w:b w:val="0"/>
              <w:bCs w:val="0"/>
              <w:noProof/>
              <w:sz w:val="22"/>
              <w:szCs w:val="22"/>
              <w:lang w:eastAsia="en-GB"/>
            </w:rPr>
          </w:pPr>
          <w:hyperlink w:anchor="_Toc452316426" w:history="1">
            <w:r w:rsidR="006655BD" w:rsidRPr="00230B72">
              <w:rPr>
                <w:rStyle w:val="Hyperlink"/>
                <w:noProof/>
              </w:rPr>
              <w:t>Appendix 8 -</w:t>
            </w:r>
            <w:r w:rsidR="006655BD" w:rsidRPr="00230B72">
              <w:rPr>
                <w:rStyle w:val="Hyperlink"/>
                <w:rFonts w:cs="Calibri"/>
                <w:noProof/>
              </w:rPr>
              <w:t xml:space="preserve"> </w:t>
            </w:r>
            <w:r w:rsidR="006655BD" w:rsidRPr="00230B72">
              <w:rPr>
                <w:rStyle w:val="Hyperlink"/>
                <w:noProof/>
              </w:rPr>
              <w:t>Fourfold typology of school response to policy</w:t>
            </w:r>
            <w:r w:rsidR="006655BD">
              <w:rPr>
                <w:noProof/>
                <w:webHidden/>
              </w:rPr>
              <w:tab/>
            </w:r>
            <w:r w:rsidR="006655BD">
              <w:rPr>
                <w:noProof/>
                <w:webHidden/>
              </w:rPr>
              <w:fldChar w:fldCharType="begin"/>
            </w:r>
            <w:r w:rsidR="006655BD">
              <w:rPr>
                <w:noProof/>
                <w:webHidden/>
              </w:rPr>
              <w:instrText xml:space="preserve"> PAGEREF _Toc452316426 \h </w:instrText>
            </w:r>
            <w:r w:rsidR="006655BD">
              <w:rPr>
                <w:noProof/>
                <w:webHidden/>
              </w:rPr>
            </w:r>
            <w:r w:rsidR="006655BD">
              <w:rPr>
                <w:noProof/>
                <w:webHidden/>
              </w:rPr>
              <w:fldChar w:fldCharType="separate"/>
            </w:r>
            <w:r w:rsidR="00800876">
              <w:rPr>
                <w:noProof/>
                <w:webHidden/>
              </w:rPr>
              <w:t>176</w:t>
            </w:r>
            <w:r w:rsidR="006655BD">
              <w:rPr>
                <w:noProof/>
                <w:webHidden/>
              </w:rPr>
              <w:fldChar w:fldCharType="end"/>
            </w:r>
          </w:hyperlink>
        </w:p>
        <w:p w14:paraId="3758FEF5" w14:textId="77777777" w:rsidR="006655BD" w:rsidRDefault="00D40F9F">
          <w:pPr>
            <w:pStyle w:val="TOC1"/>
            <w:tabs>
              <w:tab w:val="right" w:leader="dot" w:pos="9016"/>
            </w:tabs>
            <w:rPr>
              <w:rFonts w:eastAsiaTheme="minorEastAsia" w:cstheme="minorBidi"/>
              <w:b w:val="0"/>
              <w:bCs w:val="0"/>
              <w:noProof/>
              <w:sz w:val="22"/>
              <w:szCs w:val="22"/>
              <w:lang w:eastAsia="en-GB"/>
            </w:rPr>
          </w:pPr>
          <w:hyperlink w:anchor="_Toc452316427" w:history="1">
            <w:r w:rsidR="006655BD" w:rsidRPr="00230B72">
              <w:rPr>
                <w:rStyle w:val="Hyperlink"/>
                <w:noProof/>
              </w:rPr>
              <w:t>Appendix 9 – Scheurich’s 4 Arenas</w:t>
            </w:r>
            <w:r w:rsidR="006655BD">
              <w:rPr>
                <w:noProof/>
                <w:webHidden/>
              </w:rPr>
              <w:tab/>
            </w:r>
            <w:r w:rsidR="006655BD">
              <w:rPr>
                <w:noProof/>
                <w:webHidden/>
              </w:rPr>
              <w:fldChar w:fldCharType="begin"/>
            </w:r>
            <w:r w:rsidR="006655BD">
              <w:rPr>
                <w:noProof/>
                <w:webHidden/>
              </w:rPr>
              <w:instrText xml:space="preserve"> PAGEREF _Toc452316427 \h </w:instrText>
            </w:r>
            <w:r w:rsidR="006655BD">
              <w:rPr>
                <w:noProof/>
                <w:webHidden/>
              </w:rPr>
            </w:r>
            <w:r w:rsidR="006655BD">
              <w:rPr>
                <w:noProof/>
                <w:webHidden/>
              </w:rPr>
              <w:fldChar w:fldCharType="separate"/>
            </w:r>
            <w:r w:rsidR="00800876">
              <w:rPr>
                <w:noProof/>
                <w:webHidden/>
              </w:rPr>
              <w:t>178</w:t>
            </w:r>
            <w:r w:rsidR="006655BD">
              <w:rPr>
                <w:noProof/>
                <w:webHidden/>
              </w:rPr>
              <w:fldChar w:fldCharType="end"/>
            </w:r>
          </w:hyperlink>
        </w:p>
        <w:p w14:paraId="6C39DFD5" w14:textId="77777777" w:rsidR="006655BD" w:rsidRDefault="00D40F9F">
          <w:pPr>
            <w:pStyle w:val="TOC1"/>
            <w:tabs>
              <w:tab w:val="right" w:leader="dot" w:pos="9016"/>
            </w:tabs>
            <w:rPr>
              <w:rFonts w:eastAsiaTheme="minorEastAsia" w:cstheme="minorBidi"/>
              <w:b w:val="0"/>
              <w:bCs w:val="0"/>
              <w:noProof/>
              <w:sz w:val="22"/>
              <w:szCs w:val="22"/>
              <w:lang w:eastAsia="en-GB"/>
            </w:rPr>
          </w:pPr>
          <w:hyperlink w:anchor="_Toc452316428" w:history="1">
            <w:r w:rsidR="006655BD" w:rsidRPr="00230B72">
              <w:rPr>
                <w:rStyle w:val="Hyperlink"/>
                <w:noProof/>
              </w:rPr>
              <w:t>References</w:t>
            </w:r>
            <w:r w:rsidR="006655BD">
              <w:rPr>
                <w:noProof/>
                <w:webHidden/>
              </w:rPr>
              <w:tab/>
            </w:r>
            <w:r w:rsidR="006655BD">
              <w:rPr>
                <w:noProof/>
                <w:webHidden/>
              </w:rPr>
              <w:fldChar w:fldCharType="begin"/>
            </w:r>
            <w:r w:rsidR="006655BD">
              <w:rPr>
                <w:noProof/>
                <w:webHidden/>
              </w:rPr>
              <w:instrText xml:space="preserve"> PAGEREF _Toc452316428 \h </w:instrText>
            </w:r>
            <w:r w:rsidR="006655BD">
              <w:rPr>
                <w:noProof/>
                <w:webHidden/>
              </w:rPr>
            </w:r>
            <w:r w:rsidR="006655BD">
              <w:rPr>
                <w:noProof/>
                <w:webHidden/>
              </w:rPr>
              <w:fldChar w:fldCharType="separate"/>
            </w:r>
            <w:r w:rsidR="00800876">
              <w:rPr>
                <w:noProof/>
                <w:webHidden/>
              </w:rPr>
              <w:t>187</w:t>
            </w:r>
            <w:r w:rsidR="006655BD">
              <w:rPr>
                <w:noProof/>
                <w:webHidden/>
              </w:rPr>
              <w:fldChar w:fldCharType="end"/>
            </w:r>
          </w:hyperlink>
        </w:p>
        <w:p w14:paraId="42E794E0" w14:textId="039EE5A2" w:rsidR="00D14D4B" w:rsidRDefault="00D14D4B">
          <w:r>
            <w:rPr>
              <w:b/>
              <w:bCs/>
              <w:noProof/>
            </w:rPr>
            <w:fldChar w:fldCharType="end"/>
          </w:r>
        </w:p>
      </w:sdtContent>
    </w:sdt>
    <w:p w14:paraId="676EA9B6" w14:textId="4C76E7F2" w:rsidR="00A75A8F" w:rsidRPr="00A2309E" w:rsidRDefault="001E3F79" w:rsidP="00A75A8F">
      <w:pPr>
        <w:pStyle w:val="Default"/>
        <w:spacing w:line="360" w:lineRule="auto"/>
        <w:rPr>
          <w:rFonts w:ascii="Calibri" w:hAnsi="Calibri" w:cs="Calibri"/>
        </w:rPr>
      </w:pPr>
      <w:r w:rsidRPr="00531995">
        <w:rPr>
          <w:rFonts w:ascii="Calibri" w:hAnsi="Calibri" w:cs="Calibri"/>
          <w:b/>
          <w:color w:val="000000" w:themeColor="text1"/>
        </w:rPr>
        <w:t>Tables</w:t>
      </w:r>
    </w:p>
    <w:p w14:paraId="1820BCD3" w14:textId="77777777" w:rsidR="005F70E3" w:rsidRDefault="001C6830">
      <w:pPr>
        <w:pStyle w:val="TableofFigures"/>
        <w:tabs>
          <w:tab w:val="right" w:leader="dot" w:pos="9016"/>
        </w:tabs>
        <w:rPr>
          <w:rFonts w:asciiTheme="minorHAnsi" w:eastAsiaTheme="minorEastAsia" w:hAnsiTheme="minorHAnsi" w:cstheme="minorBidi"/>
          <w:noProof/>
          <w:sz w:val="24"/>
          <w:szCs w:val="24"/>
          <w:lang w:val="en-US"/>
        </w:rPr>
      </w:pPr>
      <w:r>
        <w:rPr>
          <w:sz w:val="24"/>
          <w:szCs w:val="24"/>
        </w:rPr>
        <w:fldChar w:fldCharType="begin"/>
      </w:r>
      <w:r>
        <w:rPr>
          <w:sz w:val="24"/>
          <w:szCs w:val="24"/>
        </w:rPr>
        <w:instrText xml:space="preserve"> TOC \c "Table" </w:instrText>
      </w:r>
      <w:r>
        <w:rPr>
          <w:sz w:val="24"/>
          <w:szCs w:val="24"/>
        </w:rPr>
        <w:fldChar w:fldCharType="separate"/>
      </w:r>
      <w:r w:rsidR="005F70E3" w:rsidRPr="00F325E4">
        <w:rPr>
          <w:b/>
          <w:noProof/>
          <w:color w:val="000000" w:themeColor="text1"/>
        </w:rPr>
        <w:t>Table 1 – Government responses to Select Committee concerns</w:t>
      </w:r>
      <w:r w:rsidR="005F70E3">
        <w:rPr>
          <w:noProof/>
        </w:rPr>
        <w:tab/>
      </w:r>
      <w:r w:rsidR="005F70E3">
        <w:rPr>
          <w:noProof/>
        </w:rPr>
        <w:fldChar w:fldCharType="begin"/>
      </w:r>
      <w:r w:rsidR="005F70E3">
        <w:rPr>
          <w:noProof/>
        </w:rPr>
        <w:instrText xml:space="preserve"> PAGEREF _Toc450170429 \h </w:instrText>
      </w:r>
      <w:r w:rsidR="005F70E3">
        <w:rPr>
          <w:noProof/>
        </w:rPr>
      </w:r>
      <w:r w:rsidR="005F70E3">
        <w:rPr>
          <w:noProof/>
        </w:rPr>
        <w:fldChar w:fldCharType="separate"/>
      </w:r>
      <w:r w:rsidR="00ED3AF0">
        <w:rPr>
          <w:noProof/>
        </w:rPr>
        <w:t>55</w:t>
      </w:r>
      <w:r w:rsidR="005F70E3">
        <w:rPr>
          <w:noProof/>
        </w:rPr>
        <w:fldChar w:fldCharType="end"/>
      </w:r>
    </w:p>
    <w:p w14:paraId="3AF8A279" w14:textId="77777777" w:rsidR="005F70E3" w:rsidRDefault="005F70E3">
      <w:pPr>
        <w:pStyle w:val="TableofFigures"/>
        <w:tabs>
          <w:tab w:val="right" w:leader="dot" w:pos="9016"/>
        </w:tabs>
        <w:rPr>
          <w:rFonts w:asciiTheme="minorHAnsi" w:eastAsiaTheme="minorEastAsia" w:hAnsiTheme="minorHAnsi" w:cstheme="minorBidi"/>
          <w:noProof/>
          <w:sz w:val="24"/>
          <w:szCs w:val="24"/>
          <w:lang w:val="en-US"/>
        </w:rPr>
      </w:pPr>
      <w:r w:rsidRPr="00F325E4">
        <w:rPr>
          <w:b/>
          <w:noProof/>
          <w:color w:val="000000" w:themeColor="text1"/>
        </w:rPr>
        <w:t>Table 2 - Overview of schools and school leaders</w:t>
      </w:r>
      <w:r>
        <w:rPr>
          <w:noProof/>
        </w:rPr>
        <w:tab/>
      </w:r>
      <w:r>
        <w:rPr>
          <w:noProof/>
        </w:rPr>
        <w:fldChar w:fldCharType="begin"/>
      </w:r>
      <w:r>
        <w:rPr>
          <w:noProof/>
        </w:rPr>
        <w:instrText xml:space="preserve"> PAGEREF _Toc450170430 \h </w:instrText>
      </w:r>
      <w:r>
        <w:rPr>
          <w:noProof/>
        </w:rPr>
      </w:r>
      <w:r>
        <w:rPr>
          <w:noProof/>
        </w:rPr>
        <w:fldChar w:fldCharType="separate"/>
      </w:r>
      <w:r w:rsidR="00ED3AF0">
        <w:rPr>
          <w:noProof/>
        </w:rPr>
        <w:t>107</w:t>
      </w:r>
      <w:r>
        <w:rPr>
          <w:noProof/>
        </w:rPr>
        <w:fldChar w:fldCharType="end"/>
      </w:r>
    </w:p>
    <w:p w14:paraId="6F7DE228" w14:textId="77777777" w:rsidR="005F70E3" w:rsidRDefault="005F70E3">
      <w:pPr>
        <w:pStyle w:val="TableofFigures"/>
        <w:tabs>
          <w:tab w:val="right" w:leader="dot" w:pos="9016"/>
        </w:tabs>
        <w:rPr>
          <w:rFonts w:asciiTheme="minorHAnsi" w:eastAsiaTheme="minorEastAsia" w:hAnsiTheme="minorHAnsi" w:cstheme="minorBidi"/>
          <w:noProof/>
          <w:sz w:val="24"/>
          <w:szCs w:val="24"/>
          <w:lang w:val="en-US"/>
        </w:rPr>
      </w:pPr>
      <w:r w:rsidRPr="00F325E4">
        <w:rPr>
          <w:b/>
          <w:noProof/>
          <w:color w:val="000000" w:themeColor="text1"/>
        </w:rPr>
        <w:t>Table 3 - Scheurich's Arena 1</w:t>
      </w:r>
      <w:r>
        <w:rPr>
          <w:noProof/>
        </w:rPr>
        <w:tab/>
      </w:r>
      <w:r>
        <w:rPr>
          <w:noProof/>
        </w:rPr>
        <w:fldChar w:fldCharType="begin"/>
      </w:r>
      <w:r>
        <w:rPr>
          <w:noProof/>
        </w:rPr>
        <w:instrText xml:space="preserve"> PAGEREF _Toc450170431 \h </w:instrText>
      </w:r>
      <w:r>
        <w:rPr>
          <w:noProof/>
        </w:rPr>
      </w:r>
      <w:r>
        <w:rPr>
          <w:noProof/>
        </w:rPr>
        <w:fldChar w:fldCharType="separate"/>
      </w:r>
      <w:r w:rsidR="00ED3AF0">
        <w:rPr>
          <w:noProof/>
        </w:rPr>
        <w:t>178</w:t>
      </w:r>
      <w:r>
        <w:rPr>
          <w:noProof/>
        </w:rPr>
        <w:fldChar w:fldCharType="end"/>
      </w:r>
    </w:p>
    <w:p w14:paraId="4B5A0F71" w14:textId="77777777" w:rsidR="005F70E3" w:rsidRDefault="005F70E3">
      <w:pPr>
        <w:pStyle w:val="TableofFigures"/>
        <w:tabs>
          <w:tab w:val="right" w:leader="dot" w:pos="9016"/>
        </w:tabs>
        <w:rPr>
          <w:rFonts w:asciiTheme="minorHAnsi" w:eastAsiaTheme="minorEastAsia" w:hAnsiTheme="minorHAnsi" w:cstheme="minorBidi"/>
          <w:noProof/>
          <w:sz w:val="24"/>
          <w:szCs w:val="24"/>
          <w:lang w:val="en-US"/>
        </w:rPr>
      </w:pPr>
      <w:r w:rsidRPr="00F325E4">
        <w:rPr>
          <w:b/>
          <w:noProof/>
          <w:color w:val="000000" w:themeColor="text1"/>
        </w:rPr>
        <w:t>Table 4 - Scheurich's Arena 2</w:t>
      </w:r>
      <w:r>
        <w:rPr>
          <w:noProof/>
        </w:rPr>
        <w:tab/>
      </w:r>
      <w:r>
        <w:rPr>
          <w:noProof/>
        </w:rPr>
        <w:fldChar w:fldCharType="begin"/>
      </w:r>
      <w:r>
        <w:rPr>
          <w:noProof/>
        </w:rPr>
        <w:instrText xml:space="preserve"> PAGEREF _Toc450170432 \h </w:instrText>
      </w:r>
      <w:r>
        <w:rPr>
          <w:noProof/>
        </w:rPr>
      </w:r>
      <w:r>
        <w:rPr>
          <w:noProof/>
        </w:rPr>
        <w:fldChar w:fldCharType="separate"/>
      </w:r>
      <w:r w:rsidR="00ED3AF0">
        <w:rPr>
          <w:noProof/>
        </w:rPr>
        <w:t>179</w:t>
      </w:r>
      <w:r>
        <w:rPr>
          <w:noProof/>
        </w:rPr>
        <w:fldChar w:fldCharType="end"/>
      </w:r>
    </w:p>
    <w:p w14:paraId="590F4614" w14:textId="77777777" w:rsidR="005F70E3" w:rsidRDefault="005F70E3">
      <w:pPr>
        <w:pStyle w:val="TableofFigures"/>
        <w:tabs>
          <w:tab w:val="right" w:leader="dot" w:pos="9016"/>
        </w:tabs>
        <w:rPr>
          <w:rFonts w:asciiTheme="minorHAnsi" w:eastAsiaTheme="minorEastAsia" w:hAnsiTheme="minorHAnsi" w:cstheme="minorBidi"/>
          <w:noProof/>
          <w:sz w:val="24"/>
          <w:szCs w:val="24"/>
          <w:lang w:val="en-US"/>
        </w:rPr>
      </w:pPr>
      <w:r w:rsidRPr="00F325E4">
        <w:rPr>
          <w:b/>
          <w:noProof/>
          <w:color w:val="000000" w:themeColor="text1"/>
        </w:rPr>
        <w:t>Table 5 - Scheurich's Arena 3</w:t>
      </w:r>
      <w:r>
        <w:rPr>
          <w:noProof/>
        </w:rPr>
        <w:tab/>
      </w:r>
      <w:r>
        <w:rPr>
          <w:noProof/>
        </w:rPr>
        <w:fldChar w:fldCharType="begin"/>
      </w:r>
      <w:r>
        <w:rPr>
          <w:noProof/>
        </w:rPr>
        <w:instrText xml:space="preserve"> PAGEREF _Toc450170433 \h </w:instrText>
      </w:r>
      <w:r>
        <w:rPr>
          <w:noProof/>
        </w:rPr>
      </w:r>
      <w:r>
        <w:rPr>
          <w:noProof/>
        </w:rPr>
        <w:fldChar w:fldCharType="separate"/>
      </w:r>
      <w:r w:rsidR="00ED3AF0">
        <w:rPr>
          <w:noProof/>
        </w:rPr>
        <w:t>180</w:t>
      </w:r>
      <w:r>
        <w:rPr>
          <w:noProof/>
        </w:rPr>
        <w:fldChar w:fldCharType="end"/>
      </w:r>
    </w:p>
    <w:p w14:paraId="3A0059EA" w14:textId="77777777" w:rsidR="005F70E3" w:rsidRDefault="005F70E3">
      <w:pPr>
        <w:pStyle w:val="TableofFigures"/>
        <w:tabs>
          <w:tab w:val="right" w:leader="dot" w:pos="9016"/>
        </w:tabs>
        <w:rPr>
          <w:rFonts w:asciiTheme="minorHAnsi" w:eastAsiaTheme="minorEastAsia" w:hAnsiTheme="minorHAnsi" w:cstheme="minorBidi"/>
          <w:noProof/>
          <w:sz w:val="24"/>
          <w:szCs w:val="24"/>
          <w:lang w:val="en-US"/>
        </w:rPr>
      </w:pPr>
      <w:r w:rsidRPr="00F325E4">
        <w:rPr>
          <w:b/>
          <w:noProof/>
          <w:color w:val="000000" w:themeColor="text1"/>
        </w:rPr>
        <w:t>Table 6 - Scheurich's Arena 4</w:t>
      </w:r>
      <w:r>
        <w:rPr>
          <w:noProof/>
        </w:rPr>
        <w:tab/>
      </w:r>
      <w:r>
        <w:rPr>
          <w:noProof/>
        </w:rPr>
        <w:fldChar w:fldCharType="begin"/>
      </w:r>
      <w:r>
        <w:rPr>
          <w:noProof/>
        </w:rPr>
        <w:instrText xml:space="preserve"> PAGEREF _Toc450170434 \h </w:instrText>
      </w:r>
      <w:r>
        <w:rPr>
          <w:noProof/>
        </w:rPr>
      </w:r>
      <w:r>
        <w:rPr>
          <w:noProof/>
        </w:rPr>
        <w:fldChar w:fldCharType="separate"/>
      </w:r>
      <w:r w:rsidR="00ED3AF0">
        <w:rPr>
          <w:noProof/>
        </w:rPr>
        <w:t>182</w:t>
      </w:r>
      <w:r>
        <w:rPr>
          <w:noProof/>
        </w:rPr>
        <w:fldChar w:fldCharType="end"/>
      </w:r>
    </w:p>
    <w:p w14:paraId="1B718CC0" w14:textId="7F21DB58" w:rsidR="00A75A8F" w:rsidRDefault="001C6830" w:rsidP="00476D54">
      <w:pPr>
        <w:spacing w:line="360" w:lineRule="auto"/>
        <w:jc w:val="both"/>
        <w:rPr>
          <w:sz w:val="24"/>
          <w:szCs w:val="24"/>
        </w:rPr>
      </w:pPr>
      <w:r>
        <w:rPr>
          <w:sz w:val="24"/>
          <w:szCs w:val="24"/>
        </w:rPr>
        <w:fldChar w:fldCharType="end"/>
      </w:r>
      <w:r w:rsidR="00A75A8F">
        <w:rPr>
          <w:sz w:val="24"/>
          <w:szCs w:val="24"/>
        </w:rPr>
        <w:br w:type="page"/>
      </w:r>
      <w:bookmarkStart w:id="2" w:name="_GoBack"/>
      <w:bookmarkEnd w:id="2"/>
    </w:p>
    <w:p w14:paraId="6E316F39" w14:textId="593CCC3C" w:rsidR="00A75A8F" w:rsidRPr="00952FC6" w:rsidRDefault="00A75A8F" w:rsidP="00531995">
      <w:pPr>
        <w:pStyle w:val="Heading1"/>
        <w:jc w:val="center"/>
      </w:pPr>
      <w:bookmarkStart w:id="3" w:name="_Toc452316288"/>
      <w:r w:rsidRPr="00952FC6">
        <w:lastRenderedPageBreak/>
        <w:t xml:space="preserve">Chapter </w:t>
      </w:r>
      <w:r w:rsidR="00413F0E">
        <w:t>1 -</w:t>
      </w:r>
      <w:r w:rsidRPr="00952FC6">
        <w:t xml:space="preserve"> Introduction</w:t>
      </w:r>
      <w:bookmarkEnd w:id="3"/>
    </w:p>
    <w:p w14:paraId="7984D6DD" w14:textId="77777777" w:rsidR="00A75A8F" w:rsidRPr="00952FC6" w:rsidRDefault="00A75A8F" w:rsidP="00531995">
      <w:pPr>
        <w:pStyle w:val="Heading2"/>
      </w:pPr>
      <w:bookmarkStart w:id="4" w:name="_Toc452316289"/>
      <w:r w:rsidRPr="00952FC6">
        <w:t>1.1 Introduction</w:t>
      </w:r>
      <w:bookmarkEnd w:id="4"/>
    </w:p>
    <w:p w14:paraId="7833D18B" w14:textId="6ED5338D" w:rsidR="00A75A8F" w:rsidRDefault="00A75A8F" w:rsidP="00A75A8F">
      <w:pPr>
        <w:tabs>
          <w:tab w:val="left" w:pos="1485"/>
          <w:tab w:val="left" w:pos="8505"/>
        </w:tabs>
        <w:spacing w:line="360" w:lineRule="auto"/>
        <w:rPr>
          <w:rFonts w:cs="Calibri"/>
          <w:sz w:val="24"/>
        </w:rPr>
      </w:pPr>
      <w:r w:rsidRPr="00952FC6">
        <w:rPr>
          <w:rFonts w:cs="Calibri"/>
          <w:sz w:val="24"/>
        </w:rPr>
        <w:t>The election of a Conservative/ Liberal</w:t>
      </w:r>
      <w:r w:rsidR="00F835A2">
        <w:rPr>
          <w:rFonts w:cs="Calibri"/>
          <w:sz w:val="24"/>
        </w:rPr>
        <w:t>-</w:t>
      </w:r>
      <w:r w:rsidRPr="00952FC6">
        <w:rPr>
          <w:rFonts w:cs="Calibri"/>
          <w:sz w:val="24"/>
        </w:rPr>
        <w:t xml:space="preserve">Democratic Coalition </w:t>
      </w:r>
      <w:r>
        <w:rPr>
          <w:rFonts w:cs="Calibri"/>
          <w:sz w:val="24"/>
        </w:rPr>
        <w:t>g</w:t>
      </w:r>
      <w:r w:rsidR="00E11EE7">
        <w:rPr>
          <w:rFonts w:cs="Calibri"/>
          <w:sz w:val="24"/>
        </w:rPr>
        <w:t>overnment in Britain</w:t>
      </w:r>
      <w:r w:rsidRPr="00952FC6">
        <w:rPr>
          <w:rFonts w:cs="Calibri"/>
          <w:sz w:val="24"/>
        </w:rPr>
        <w:t xml:space="preserve"> in 2010 after </w:t>
      </w:r>
      <w:r w:rsidR="003A7F0A">
        <w:rPr>
          <w:rFonts w:cs="Calibri"/>
          <w:sz w:val="24"/>
        </w:rPr>
        <w:t xml:space="preserve">13 </w:t>
      </w:r>
      <w:r w:rsidRPr="00952FC6">
        <w:rPr>
          <w:rFonts w:cs="Calibri"/>
          <w:sz w:val="24"/>
        </w:rPr>
        <w:t xml:space="preserve">years of a Labour </w:t>
      </w:r>
      <w:r>
        <w:rPr>
          <w:rFonts w:cs="Calibri"/>
          <w:sz w:val="24"/>
        </w:rPr>
        <w:t>g</w:t>
      </w:r>
      <w:r w:rsidRPr="00952FC6">
        <w:rPr>
          <w:rFonts w:cs="Calibri"/>
          <w:sz w:val="24"/>
        </w:rPr>
        <w:t xml:space="preserve">overnment </w:t>
      </w:r>
      <w:r>
        <w:rPr>
          <w:rFonts w:cs="Calibri"/>
          <w:sz w:val="24"/>
        </w:rPr>
        <w:t>heralded</w:t>
      </w:r>
      <w:r w:rsidRPr="00952FC6">
        <w:rPr>
          <w:rFonts w:cs="Calibri"/>
          <w:sz w:val="24"/>
        </w:rPr>
        <w:t xml:space="preserve"> a number of changes, particularly within education policy. The </w:t>
      </w:r>
      <w:r>
        <w:rPr>
          <w:rFonts w:cs="Calibri"/>
          <w:sz w:val="24"/>
        </w:rPr>
        <w:t>EBac policy</w:t>
      </w:r>
      <w:r w:rsidRPr="00952FC6">
        <w:rPr>
          <w:rFonts w:cs="Calibri"/>
          <w:sz w:val="24"/>
        </w:rPr>
        <w:t>, a new performance measure</w:t>
      </w:r>
      <w:r w:rsidRPr="00952FC6">
        <w:rPr>
          <w:rStyle w:val="FootnoteReference1"/>
          <w:rFonts w:cs="Calibri"/>
          <w:sz w:val="24"/>
        </w:rPr>
        <w:footnoteReference w:id="2"/>
      </w:r>
      <w:r w:rsidRPr="00952FC6">
        <w:rPr>
          <w:rFonts w:cs="Calibri"/>
          <w:sz w:val="24"/>
        </w:rPr>
        <w:t xml:space="preserve"> of curricular achievements</w:t>
      </w:r>
      <w:r w:rsidR="003A7F0A">
        <w:rPr>
          <w:rFonts w:cs="Calibri"/>
          <w:sz w:val="24"/>
        </w:rPr>
        <w:t xml:space="preserve"> in schools</w:t>
      </w:r>
      <w:r w:rsidRPr="00952FC6">
        <w:rPr>
          <w:rFonts w:cs="Calibri"/>
          <w:sz w:val="24"/>
        </w:rPr>
        <w:t xml:space="preserve">, was announced via </w:t>
      </w:r>
      <w:r w:rsidRPr="001F03A3">
        <w:rPr>
          <w:rFonts w:cs="Calibri"/>
          <w:i/>
          <w:sz w:val="24"/>
        </w:rPr>
        <w:t xml:space="preserve">The Schools White Paper, </w:t>
      </w:r>
      <w:r w:rsidRPr="00952FC6">
        <w:rPr>
          <w:rFonts w:cs="Calibri"/>
          <w:i/>
          <w:sz w:val="24"/>
        </w:rPr>
        <w:t>The Importance of Teaching</w:t>
      </w:r>
      <w:r w:rsidRPr="00952FC6">
        <w:rPr>
          <w:rFonts w:cs="Calibri"/>
          <w:sz w:val="24"/>
        </w:rPr>
        <w:t xml:space="preserve"> </w:t>
      </w:r>
      <w:r>
        <w:rPr>
          <w:rFonts w:cs="Calibri"/>
          <w:sz w:val="24"/>
        </w:rPr>
        <w:t xml:space="preserve">(DfE), </w:t>
      </w:r>
      <w:r w:rsidRPr="00952FC6">
        <w:rPr>
          <w:rFonts w:cs="Calibri"/>
          <w:sz w:val="24"/>
        </w:rPr>
        <w:t xml:space="preserve">in October 2010. The EBac is a collection of five subjects examined via </w:t>
      </w:r>
      <w:r>
        <w:rPr>
          <w:rFonts w:cs="Calibri"/>
          <w:sz w:val="24"/>
        </w:rPr>
        <w:t>the General Certificate of Secondary Education (</w:t>
      </w:r>
      <w:r w:rsidRPr="00952FC6">
        <w:rPr>
          <w:rFonts w:cs="Calibri"/>
          <w:sz w:val="24"/>
        </w:rPr>
        <w:t>GCSE</w:t>
      </w:r>
      <w:r>
        <w:rPr>
          <w:rFonts w:cs="Calibri"/>
          <w:sz w:val="24"/>
        </w:rPr>
        <w:t>)</w:t>
      </w:r>
      <w:r>
        <w:rPr>
          <w:rStyle w:val="FootnoteReference"/>
          <w:rFonts w:cs="Calibri"/>
          <w:sz w:val="24"/>
        </w:rPr>
        <w:footnoteReference w:id="3"/>
      </w:r>
      <w:r w:rsidR="003A7F0A">
        <w:rPr>
          <w:rFonts w:cs="Calibri"/>
          <w:sz w:val="24"/>
        </w:rPr>
        <w:t>,</w:t>
      </w:r>
      <w:r w:rsidRPr="00952FC6">
        <w:rPr>
          <w:rFonts w:cs="Calibri"/>
          <w:sz w:val="24"/>
        </w:rPr>
        <w:t xml:space="preserve">  </w:t>
      </w:r>
      <w:r>
        <w:rPr>
          <w:rFonts w:cs="Calibri"/>
          <w:sz w:val="24"/>
        </w:rPr>
        <w:t>studied</w:t>
      </w:r>
      <w:r w:rsidRPr="00952FC6">
        <w:rPr>
          <w:rFonts w:cs="Calibri"/>
          <w:sz w:val="24"/>
        </w:rPr>
        <w:t xml:space="preserve"> in combination and achieved at grade C or above</w:t>
      </w:r>
      <w:r>
        <w:rPr>
          <w:rFonts w:cs="Calibri"/>
          <w:sz w:val="24"/>
        </w:rPr>
        <w:t xml:space="preserve"> (graded from A*-G)</w:t>
      </w:r>
      <w:r w:rsidRPr="00952FC6">
        <w:rPr>
          <w:rFonts w:cs="Calibri"/>
          <w:sz w:val="24"/>
        </w:rPr>
        <w:t xml:space="preserve">. </w:t>
      </w:r>
    </w:p>
    <w:p w14:paraId="76FACC09" w14:textId="25CBFCB6" w:rsidR="00A75A8F" w:rsidRDefault="00A75A8F" w:rsidP="00A75A8F">
      <w:pPr>
        <w:tabs>
          <w:tab w:val="left" w:pos="1485"/>
          <w:tab w:val="left" w:pos="8505"/>
        </w:tabs>
        <w:spacing w:line="360" w:lineRule="auto"/>
        <w:rPr>
          <w:rFonts w:cs="Calibri"/>
          <w:sz w:val="24"/>
        </w:rPr>
      </w:pPr>
      <w:r w:rsidRPr="00952FC6">
        <w:rPr>
          <w:rFonts w:cs="Calibri"/>
          <w:sz w:val="24"/>
        </w:rPr>
        <w:t xml:space="preserve">As a teacher and school leader of </w:t>
      </w:r>
      <w:r w:rsidR="003A7F0A">
        <w:rPr>
          <w:rFonts w:cs="Calibri"/>
          <w:sz w:val="24"/>
        </w:rPr>
        <w:t>2</w:t>
      </w:r>
      <w:r w:rsidR="00F835A2">
        <w:rPr>
          <w:rFonts w:cs="Calibri"/>
          <w:sz w:val="24"/>
        </w:rPr>
        <w:t>2</w:t>
      </w:r>
      <w:r w:rsidRPr="00952FC6">
        <w:rPr>
          <w:rFonts w:cs="Calibri"/>
          <w:sz w:val="24"/>
        </w:rPr>
        <w:t xml:space="preserve"> years, this school curriculum </w:t>
      </w:r>
      <w:r>
        <w:rPr>
          <w:rFonts w:cs="Calibri"/>
          <w:sz w:val="24"/>
        </w:rPr>
        <w:t>policy</w:t>
      </w:r>
      <w:r w:rsidRPr="00952FC6">
        <w:rPr>
          <w:rFonts w:cs="Calibri"/>
          <w:sz w:val="24"/>
        </w:rPr>
        <w:t xml:space="preserve"> </w:t>
      </w:r>
      <w:r>
        <w:rPr>
          <w:rFonts w:cs="Calibri"/>
          <w:sz w:val="24"/>
        </w:rPr>
        <w:t xml:space="preserve">and </w:t>
      </w:r>
      <w:r w:rsidRPr="00952FC6">
        <w:rPr>
          <w:rFonts w:cs="Calibri"/>
          <w:sz w:val="24"/>
        </w:rPr>
        <w:t>performance measure intrigue</w:t>
      </w:r>
      <w:r w:rsidR="003A7F0A">
        <w:rPr>
          <w:rFonts w:cs="Calibri"/>
          <w:sz w:val="24"/>
        </w:rPr>
        <w:t>d</w:t>
      </w:r>
      <w:r w:rsidRPr="00952FC6">
        <w:rPr>
          <w:rFonts w:cs="Calibri"/>
          <w:sz w:val="24"/>
        </w:rPr>
        <w:t xml:space="preserve"> me. Why this curriculum, why now, who will potentially benefit and who </w:t>
      </w:r>
      <w:r w:rsidR="00A324AE">
        <w:rPr>
          <w:rFonts w:cs="Calibri"/>
          <w:sz w:val="24"/>
        </w:rPr>
        <w:t xml:space="preserve">might </w:t>
      </w:r>
      <w:r>
        <w:rPr>
          <w:rFonts w:cs="Calibri"/>
          <w:sz w:val="24"/>
        </w:rPr>
        <w:t xml:space="preserve">be </w:t>
      </w:r>
      <w:r w:rsidRPr="00952FC6">
        <w:rPr>
          <w:rFonts w:cs="Calibri"/>
          <w:sz w:val="24"/>
        </w:rPr>
        <w:t>disadvantage</w:t>
      </w:r>
      <w:r>
        <w:rPr>
          <w:rFonts w:cs="Calibri"/>
          <w:sz w:val="24"/>
        </w:rPr>
        <w:t>d</w:t>
      </w:r>
      <w:r w:rsidRPr="00952FC6">
        <w:rPr>
          <w:rFonts w:cs="Calibri"/>
          <w:sz w:val="24"/>
        </w:rPr>
        <w:t xml:space="preserve">? I am </w:t>
      </w:r>
      <w:r w:rsidR="00A324AE">
        <w:rPr>
          <w:rFonts w:cs="Calibri"/>
          <w:sz w:val="24"/>
        </w:rPr>
        <w:t>k</w:t>
      </w:r>
      <w:r w:rsidR="00A324AE" w:rsidRPr="00952FC6">
        <w:rPr>
          <w:rFonts w:cs="Calibri"/>
          <w:sz w:val="24"/>
        </w:rPr>
        <w:t xml:space="preserve">een to research the policy </w:t>
      </w:r>
      <w:r w:rsidR="00A324AE">
        <w:rPr>
          <w:rFonts w:cs="Calibri"/>
          <w:sz w:val="24"/>
        </w:rPr>
        <w:t xml:space="preserve">production process, but </w:t>
      </w:r>
      <w:r>
        <w:rPr>
          <w:rFonts w:cs="Calibri"/>
          <w:sz w:val="24"/>
        </w:rPr>
        <w:t xml:space="preserve">also </w:t>
      </w:r>
      <w:r w:rsidRPr="00952FC6">
        <w:rPr>
          <w:rFonts w:cs="Calibri"/>
          <w:sz w:val="24"/>
        </w:rPr>
        <w:t>interested in how the policy is translated and implemented within a variety of schools</w:t>
      </w:r>
      <w:r>
        <w:rPr>
          <w:rFonts w:cs="Calibri"/>
          <w:sz w:val="24"/>
        </w:rPr>
        <w:t xml:space="preserve"> and</w:t>
      </w:r>
      <w:r w:rsidRPr="00952FC6">
        <w:rPr>
          <w:rFonts w:cs="Calibri"/>
          <w:sz w:val="24"/>
        </w:rPr>
        <w:t xml:space="preserve"> the social justice issues surrounding this performance measure</w:t>
      </w:r>
      <w:r>
        <w:rPr>
          <w:rFonts w:cs="Calibri"/>
          <w:sz w:val="24"/>
        </w:rPr>
        <w:t xml:space="preserve">. I believe </w:t>
      </w:r>
      <w:r w:rsidRPr="00952FC6">
        <w:rPr>
          <w:rFonts w:cs="Calibri"/>
          <w:sz w:val="24"/>
        </w:rPr>
        <w:t>this policy</w:t>
      </w:r>
      <w:r>
        <w:rPr>
          <w:rFonts w:cs="Calibri"/>
          <w:sz w:val="24"/>
        </w:rPr>
        <w:t xml:space="preserve"> will </w:t>
      </w:r>
      <w:r w:rsidRPr="00952FC6">
        <w:rPr>
          <w:rFonts w:cs="Calibri"/>
          <w:sz w:val="24"/>
        </w:rPr>
        <w:t>impact on the structure and content of school curricula, students’ educational choices</w:t>
      </w:r>
      <w:r w:rsidR="00A324AE">
        <w:rPr>
          <w:rFonts w:cs="Calibri"/>
          <w:sz w:val="24"/>
        </w:rPr>
        <w:t>,</w:t>
      </w:r>
      <w:r w:rsidRPr="00952FC6">
        <w:rPr>
          <w:rFonts w:cs="Calibri"/>
          <w:sz w:val="24"/>
        </w:rPr>
        <w:t xml:space="preserve"> and educational opportunities and outcomes for students from different social and cultural groups</w:t>
      </w:r>
      <w:r>
        <w:rPr>
          <w:rFonts w:cs="Calibri"/>
          <w:sz w:val="24"/>
        </w:rPr>
        <w:t>.</w:t>
      </w:r>
      <w:r w:rsidRPr="00952FC6">
        <w:rPr>
          <w:rFonts w:cs="Calibri"/>
          <w:sz w:val="24"/>
        </w:rPr>
        <w:t xml:space="preserve"> I </w:t>
      </w:r>
      <w:r>
        <w:rPr>
          <w:rFonts w:cs="Calibri"/>
          <w:sz w:val="24"/>
        </w:rPr>
        <w:t xml:space="preserve">propose to </w:t>
      </w:r>
      <w:r w:rsidRPr="00952FC6">
        <w:rPr>
          <w:rFonts w:cs="Calibri"/>
          <w:sz w:val="24"/>
        </w:rPr>
        <w:t>carry out a policy analysis of the E</w:t>
      </w:r>
      <w:r>
        <w:rPr>
          <w:rFonts w:cs="Calibri"/>
          <w:sz w:val="24"/>
        </w:rPr>
        <w:t>Bac</w:t>
      </w:r>
      <w:r w:rsidRPr="00952FC6">
        <w:rPr>
          <w:rFonts w:cs="Calibri"/>
          <w:sz w:val="24"/>
        </w:rPr>
        <w:t xml:space="preserve"> using critical discourse analysis </w:t>
      </w:r>
      <w:r>
        <w:rPr>
          <w:rFonts w:cs="Calibri"/>
          <w:sz w:val="24"/>
        </w:rPr>
        <w:t xml:space="preserve">(CDA) and </w:t>
      </w:r>
      <w:r w:rsidRPr="00952FC6">
        <w:rPr>
          <w:rFonts w:cs="Calibri"/>
          <w:sz w:val="24"/>
        </w:rPr>
        <w:t xml:space="preserve">Scheurich’s policy archaeology </w:t>
      </w:r>
      <w:r w:rsidR="00FC68C6">
        <w:rPr>
          <w:rFonts w:cs="Calibri"/>
          <w:sz w:val="24"/>
        </w:rPr>
        <w:t xml:space="preserve">(PA) </w:t>
      </w:r>
      <w:r w:rsidRPr="00952FC6">
        <w:rPr>
          <w:rFonts w:cs="Calibri"/>
          <w:sz w:val="24"/>
        </w:rPr>
        <w:t>framework</w:t>
      </w:r>
      <w:r>
        <w:rPr>
          <w:rFonts w:cs="Calibri"/>
          <w:sz w:val="24"/>
        </w:rPr>
        <w:t>,</w:t>
      </w:r>
      <w:r w:rsidRPr="00952FC6">
        <w:rPr>
          <w:rFonts w:cs="Calibri"/>
          <w:sz w:val="24"/>
        </w:rPr>
        <w:t xml:space="preserve"> before investigating the impact of this policy on the educational practice</w:t>
      </w:r>
      <w:r>
        <w:rPr>
          <w:rFonts w:cs="Calibri"/>
          <w:sz w:val="24"/>
        </w:rPr>
        <w:t>s</w:t>
      </w:r>
      <w:r w:rsidRPr="00952FC6">
        <w:rPr>
          <w:rFonts w:cs="Calibri"/>
          <w:sz w:val="24"/>
        </w:rPr>
        <w:t xml:space="preserve"> in four different schools via semi</w:t>
      </w:r>
      <w:r>
        <w:rPr>
          <w:rFonts w:cs="Calibri"/>
          <w:sz w:val="24"/>
        </w:rPr>
        <w:t>-</w:t>
      </w:r>
      <w:r w:rsidRPr="00952FC6">
        <w:rPr>
          <w:rFonts w:cs="Calibri"/>
          <w:sz w:val="24"/>
        </w:rPr>
        <w:t>structured interviews with curriculum leaders.</w:t>
      </w:r>
      <w:r>
        <w:rPr>
          <w:rFonts w:cs="Calibri"/>
          <w:sz w:val="24"/>
        </w:rPr>
        <w:t xml:space="preserve"> </w:t>
      </w:r>
    </w:p>
    <w:p w14:paraId="0E726FEE" w14:textId="7EAF03C6" w:rsidR="00A75A8F" w:rsidRDefault="00A75A8F" w:rsidP="00A75A8F">
      <w:pPr>
        <w:tabs>
          <w:tab w:val="left" w:pos="1485"/>
        </w:tabs>
        <w:spacing w:line="360" w:lineRule="auto"/>
        <w:rPr>
          <w:rFonts w:cs="Calibri"/>
          <w:sz w:val="24"/>
        </w:rPr>
      </w:pPr>
      <w:r w:rsidRPr="00952FC6">
        <w:rPr>
          <w:rFonts w:cs="Calibri"/>
          <w:sz w:val="24"/>
        </w:rPr>
        <w:t>This chapter provide</w:t>
      </w:r>
      <w:r>
        <w:rPr>
          <w:rFonts w:cs="Calibri"/>
          <w:sz w:val="24"/>
        </w:rPr>
        <w:t>s</w:t>
      </w:r>
      <w:r w:rsidRPr="00952FC6">
        <w:rPr>
          <w:rFonts w:cs="Calibri"/>
          <w:sz w:val="24"/>
        </w:rPr>
        <w:t xml:space="preserve"> the initial overview for my thesis</w:t>
      </w:r>
      <w:r w:rsidR="00D9401B">
        <w:rPr>
          <w:rFonts w:cs="Calibri"/>
          <w:sz w:val="24"/>
        </w:rPr>
        <w:t xml:space="preserve">, which focuses on </w:t>
      </w:r>
      <w:r w:rsidRPr="00952FC6">
        <w:rPr>
          <w:rFonts w:cs="Calibri"/>
          <w:sz w:val="24"/>
        </w:rPr>
        <w:t>researching the constitution and implementation of the E</w:t>
      </w:r>
      <w:r>
        <w:rPr>
          <w:rFonts w:cs="Calibri"/>
          <w:sz w:val="24"/>
        </w:rPr>
        <w:t>Bac</w:t>
      </w:r>
      <w:r w:rsidRPr="00952FC6">
        <w:rPr>
          <w:rFonts w:cs="Calibri"/>
          <w:sz w:val="24"/>
        </w:rPr>
        <w:t xml:space="preserve"> policy </w:t>
      </w:r>
      <w:r w:rsidR="00D9401B">
        <w:rPr>
          <w:rFonts w:cs="Calibri"/>
          <w:sz w:val="24"/>
        </w:rPr>
        <w:t>by</w:t>
      </w:r>
      <w:r w:rsidR="00E11EE7">
        <w:rPr>
          <w:rFonts w:cs="Calibri"/>
          <w:sz w:val="24"/>
        </w:rPr>
        <w:t xml:space="preserve"> the British</w:t>
      </w:r>
      <w:r w:rsidRPr="00952FC6">
        <w:rPr>
          <w:rFonts w:cs="Calibri"/>
          <w:sz w:val="24"/>
        </w:rPr>
        <w:t xml:space="preserve"> Coalition </w:t>
      </w:r>
      <w:r>
        <w:rPr>
          <w:rFonts w:cs="Calibri"/>
          <w:sz w:val="24"/>
        </w:rPr>
        <w:t>g</w:t>
      </w:r>
      <w:r w:rsidRPr="00952FC6">
        <w:rPr>
          <w:rFonts w:cs="Calibri"/>
          <w:sz w:val="24"/>
        </w:rPr>
        <w:t>overnment in 2010.</w:t>
      </w:r>
      <w:r>
        <w:rPr>
          <w:rFonts w:cs="Calibri"/>
          <w:sz w:val="24"/>
        </w:rPr>
        <w:t xml:space="preserve"> It is divided into seven sections. </w:t>
      </w:r>
      <w:r w:rsidR="00D9401B">
        <w:rPr>
          <w:rFonts w:cs="Calibri"/>
          <w:sz w:val="24"/>
        </w:rPr>
        <w:t xml:space="preserve">Firstly, </w:t>
      </w:r>
      <w:r>
        <w:rPr>
          <w:rFonts w:cs="Calibri"/>
          <w:sz w:val="24"/>
        </w:rPr>
        <w:t>I outline the context of my research, providing</w:t>
      </w:r>
      <w:r w:rsidRPr="00952FC6">
        <w:rPr>
          <w:rFonts w:cs="Calibri"/>
          <w:sz w:val="24"/>
        </w:rPr>
        <w:t xml:space="preserve"> </w:t>
      </w:r>
      <w:r>
        <w:rPr>
          <w:rFonts w:cs="Calibri"/>
          <w:sz w:val="24"/>
        </w:rPr>
        <w:t>the</w:t>
      </w:r>
      <w:r w:rsidRPr="00952FC6">
        <w:rPr>
          <w:rFonts w:cs="Calibri"/>
          <w:sz w:val="24"/>
        </w:rPr>
        <w:t xml:space="preserve"> rationale, justification and background</w:t>
      </w:r>
      <w:r>
        <w:rPr>
          <w:rFonts w:cs="Calibri"/>
          <w:sz w:val="24"/>
        </w:rPr>
        <w:t>, before moving on to consider the specific focus of the study. In the third section</w:t>
      </w:r>
      <w:r w:rsidR="00D9401B">
        <w:rPr>
          <w:rFonts w:cs="Calibri"/>
          <w:sz w:val="24"/>
        </w:rPr>
        <w:t>,</w:t>
      </w:r>
      <w:r>
        <w:rPr>
          <w:rFonts w:cs="Calibri"/>
          <w:sz w:val="24"/>
        </w:rPr>
        <w:t xml:space="preserve"> I state and justify my research aims and questions, while section four explores my own positionality. I then discuss the significance of my research </w:t>
      </w:r>
      <w:r>
        <w:rPr>
          <w:rFonts w:cs="Calibri"/>
          <w:sz w:val="24"/>
        </w:rPr>
        <w:lastRenderedPageBreak/>
        <w:t>and its contribution to the field. Section six outlines the structure of my thesis before m</w:t>
      </w:r>
      <w:r w:rsidR="00D9401B">
        <w:rPr>
          <w:rFonts w:cs="Calibri"/>
          <w:sz w:val="24"/>
        </w:rPr>
        <w:t>oving on to my</w:t>
      </w:r>
      <w:r>
        <w:rPr>
          <w:rFonts w:cs="Calibri"/>
          <w:sz w:val="24"/>
        </w:rPr>
        <w:t xml:space="preserve"> conclusion. </w:t>
      </w:r>
    </w:p>
    <w:p w14:paraId="573CBE46" w14:textId="77777777" w:rsidR="00A75A8F" w:rsidRPr="00952FC6" w:rsidRDefault="00A75A8F" w:rsidP="00531995">
      <w:pPr>
        <w:pStyle w:val="Heading2"/>
      </w:pPr>
      <w:bookmarkStart w:id="5" w:name="_Toc452316290"/>
      <w:r w:rsidRPr="00952FC6">
        <w:t>1.2 Context</w:t>
      </w:r>
      <w:bookmarkEnd w:id="5"/>
    </w:p>
    <w:p w14:paraId="505C61D7" w14:textId="53A2C2EE" w:rsidR="00A75A8F" w:rsidRDefault="00A75A8F" w:rsidP="00A75A8F">
      <w:pPr>
        <w:tabs>
          <w:tab w:val="left" w:pos="1485"/>
        </w:tabs>
        <w:spacing w:line="360" w:lineRule="auto"/>
        <w:rPr>
          <w:rFonts w:cs="Calibri"/>
          <w:sz w:val="24"/>
        </w:rPr>
      </w:pPr>
      <w:r>
        <w:rPr>
          <w:rFonts w:cs="Calibri"/>
          <w:sz w:val="24"/>
        </w:rPr>
        <w:t xml:space="preserve">The EBac performance measure is achieved by a student if a defined combination of </w:t>
      </w:r>
      <w:r w:rsidR="00FE1764">
        <w:rPr>
          <w:rFonts w:cs="Calibri"/>
          <w:sz w:val="24"/>
        </w:rPr>
        <w:t xml:space="preserve">GCSE </w:t>
      </w:r>
      <w:r>
        <w:rPr>
          <w:rFonts w:cs="Calibri"/>
          <w:sz w:val="24"/>
        </w:rPr>
        <w:t xml:space="preserve">subjects </w:t>
      </w:r>
      <w:r w:rsidR="002A6CE4">
        <w:rPr>
          <w:rFonts w:cs="Calibri"/>
          <w:sz w:val="24"/>
        </w:rPr>
        <w:t>is</w:t>
      </w:r>
      <w:r w:rsidR="00FE1764">
        <w:rPr>
          <w:rFonts w:cs="Calibri"/>
          <w:sz w:val="24"/>
        </w:rPr>
        <w:t xml:space="preserve"> studied</w:t>
      </w:r>
      <w:r>
        <w:rPr>
          <w:rFonts w:cs="Calibri"/>
          <w:sz w:val="24"/>
        </w:rPr>
        <w:t xml:space="preserve"> and </w:t>
      </w:r>
      <w:r w:rsidR="002A6CE4">
        <w:rPr>
          <w:rFonts w:cs="Calibri"/>
          <w:sz w:val="24"/>
        </w:rPr>
        <w:t xml:space="preserve">all are </w:t>
      </w:r>
      <w:r>
        <w:rPr>
          <w:rFonts w:cs="Calibri"/>
          <w:sz w:val="24"/>
        </w:rPr>
        <w:t>pass</w:t>
      </w:r>
      <w:r w:rsidR="00FE1764">
        <w:rPr>
          <w:rFonts w:cs="Calibri"/>
          <w:sz w:val="24"/>
        </w:rPr>
        <w:t xml:space="preserve">ed </w:t>
      </w:r>
      <w:r>
        <w:rPr>
          <w:rFonts w:cs="Calibri"/>
          <w:sz w:val="24"/>
        </w:rPr>
        <w:t xml:space="preserve">at grade C or above. The </w:t>
      </w:r>
      <w:r w:rsidRPr="00952FC6">
        <w:rPr>
          <w:rFonts w:cs="Calibri"/>
          <w:sz w:val="24"/>
        </w:rPr>
        <w:t>subjects</w:t>
      </w:r>
      <w:r>
        <w:rPr>
          <w:rFonts w:cs="Calibri"/>
          <w:sz w:val="24"/>
        </w:rPr>
        <w:t xml:space="preserve"> within the EBac</w:t>
      </w:r>
      <w:r w:rsidRPr="00952FC6">
        <w:rPr>
          <w:rFonts w:cs="Calibri"/>
          <w:sz w:val="24"/>
        </w:rPr>
        <w:t xml:space="preserve"> include: </w:t>
      </w:r>
      <w:r>
        <w:rPr>
          <w:rFonts w:cs="Calibri"/>
          <w:sz w:val="24"/>
        </w:rPr>
        <w:t>M</w:t>
      </w:r>
      <w:r w:rsidRPr="00952FC6">
        <w:rPr>
          <w:rFonts w:cs="Calibri"/>
          <w:sz w:val="24"/>
        </w:rPr>
        <w:t xml:space="preserve">athematics, English language, </w:t>
      </w:r>
      <w:r>
        <w:rPr>
          <w:rFonts w:cs="Calibri"/>
          <w:sz w:val="24"/>
        </w:rPr>
        <w:t>Science</w:t>
      </w:r>
      <w:r w:rsidRPr="00952FC6">
        <w:rPr>
          <w:rFonts w:cs="Calibri"/>
          <w:sz w:val="24"/>
        </w:rPr>
        <w:t xml:space="preserve"> (of which two subjects must be </w:t>
      </w:r>
      <w:r>
        <w:rPr>
          <w:rFonts w:cs="Calibri"/>
          <w:sz w:val="24"/>
        </w:rPr>
        <w:t>studied</w:t>
      </w:r>
      <w:r w:rsidR="002915EF">
        <w:rPr>
          <w:rFonts w:cs="Calibri"/>
          <w:sz w:val="24"/>
        </w:rPr>
        <w:t xml:space="preserve">, </w:t>
      </w:r>
      <w:r w:rsidR="00FE1764">
        <w:rPr>
          <w:rFonts w:cs="Calibri"/>
          <w:sz w:val="24"/>
        </w:rPr>
        <w:t xml:space="preserve">including </w:t>
      </w:r>
      <w:r w:rsidR="00FE1764" w:rsidRPr="00952FC6">
        <w:rPr>
          <w:rFonts w:cs="Calibri"/>
          <w:sz w:val="24"/>
        </w:rPr>
        <w:t>Computer</w:t>
      </w:r>
      <w:r w:rsidRPr="00952FC6">
        <w:rPr>
          <w:rFonts w:cs="Calibri"/>
          <w:sz w:val="24"/>
        </w:rPr>
        <w:t xml:space="preserve"> </w:t>
      </w:r>
      <w:r>
        <w:rPr>
          <w:rFonts w:cs="Calibri"/>
          <w:sz w:val="24"/>
        </w:rPr>
        <w:t>Science</w:t>
      </w:r>
      <w:r w:rsidR="002915EF">
        <w:rPr>
          <w:rFonts w:cs="Calibri"/>
          <w:sz w:val="24"/>
        </w:rPr>
        <w:t xml:space="preserve"> since 2013</w:t>
      </w:r>
      <w:r w:rsidRPr="00952FC6">
        <w:rPr>
          <w:rFonts w:cs="Calibri"/>
          <w:sz w:val="24"/>
        </w:rPr>
        <w:t xml:space="preserve">), a foreign </w:t>
      </w:r>
      <w:r w:rsidR="002915EF">
        <w:rPr>
          <w:rFonts w:cs="Calibri"/>
          <w:sz w:val="24"/>
        </w:rPr>
        <w:t>l</w:t>
      </w:r>
      <w:r w:rsidRPr="00952FC6">
        <w:rPr>
          <w:rFonts w:cs="Calibri"/>
          <w:sz w:val="24"/>
        </w:rPr>
        <w:t xml:space="preserve">anguage, and either </w:t>
      </w:r>
      <w:r>
        <w:rPr>
          <w:rFonts w:cs="Calibri"/>
          <w:sz w:val="24"/>
        </w:rPr>
        <w:t>History</w:t>
      </w:r>
      <w:r w:rsidRPr="00952FC6">
        <w:rPr>
          <w:rFonts w:cs="Calibri"/>
          <w:sz w:val="24"/>
        </w:rPr>
        <w:t xml:space="preserve"> or </w:t>
      </w:r>
      <w:r>
        <w:rPr>
          <w:rFonts w:cs="Calibri"/>
          <w:sz w:val="24"/>
        </w:rPr>
        <w:t>Geography</w:t>
      </w:r>
      <w:r w:rsidRPr="00952FC6">
        <w:rPr>
          <w:rFonts w:cs="Calibri"/>
          <w:sz w:val="24"/>
        </w:rPr>
        <w:t>.</w:t>
      </w:r>
      <w:r>
        <w:rPr>
          <w:rFonts w:cs="Calibri"/>
          <w:sz w:val="24"/>
        </w:rPr>
        <w:t xml:space="preserve"> To discuss the context of the EBac</w:t>
      </w:r>
      <w:r w:rsidR="002915EF">
        <w:rPr>
          <w:rFonts w:cs="Calibri"/>
          <w:sz w:val="24"/>
        </w:rPr>
        <w:t>,</w:t>
      </w:r>
      <w:r>
        <w:rPr>
          <w:rFonts w:cs="Calibri"/>
          <w:sz w:val="24"/>
        </w:rPr>
        <w:t xml:space="preserve"> it is necessary to consider the recent history of education policy</w:t>
      </w:r>
      <w:r w:rsidR="00A24664">
        <w:rPr>
          <w:rFonts w:cs="Calibri"/>
          <w:sz w:val="24"/>
        </w:rPr>
        <w:t>,</w:t>
      </w:r>
      <w:r>
        <w:rPr>
          <w:rFonts w:cs="Calibri"/>
          <w:sz w:val="24"/>
        </w:rPr>
        <w:t xml:space="preserve"> from Labour</w:t>
      </w:r>
      <w:r w:rsidR="00A24664">
        <w:rPr>
          <w:rFonts w:cs="Calibri"/>
          <w:sz w:val="24"/>
        </w:rPr>
        <w:t>’s</w:t>
      </w:r>
      <w:r w:rsidR="006655BD">
        <w:rPr>
          <w:rFonts w:cs="Calibri"/>
          <w:sz w:val="24"/>
        </w:rPr>
        <w:t xml:space="preserve"> policies</w:t>
      </w:r>
      <w:r>
        <w:rPr>
          <w:rFonts w:cs="Calibri"/>
          <w:sz w:val="24"/>
        </w:rPr>
        <w:t xml:space="preserve"> 1997-2010</w:t>
      </w:r>
      <w:r w:rsidR="006655BD">
        <w:rPr>
          <w:rFonts w:cs="Calibri"/>
          <w:sz w:val="24"/>
        </w:rPr>
        <w:t>,</w:t>
      </w:r>
      <w:r>
        <w:rPr>
          <w:rFonts w:cs="Calibri"/>
          <w:sz w:val="24"/>
        </w:rPr>
        <w:t xml:space="preserve"> to the change of policy direction </w:t>
      </w:r>
      <w:r w:rsidR="002A6CE4">
        <w:rPr>
          <w:rFonts w:cs="Calibri"/>
          <w:sz w:val="24"/>
        </w:rPr>
        <w:t>outlined in</w:t>
      </w:r>
      <w:r>
        <w:rPr>
          <w:rFonts w:cs="Calibri"/>
          <w:sz w:val="24"/>
        </w:rPr>
        <w:t xml:space="preserve"> the Coalition </w:t>
      </w:r>
      <w:r w:rsidR="00C218D5">
        <w:rPr>
          <w:rFonts w:cs="Calibri"/>
          <w:sz w:val="24"/>
        </w:rPr>
        <w:t>g</w:t>
      </w:r>
      <w:r>
        <w:rPr>
          <w:rFonts w:cs="Calibri"/>
          <w:sz w:val="24"/>
        </w:rPr>
        <w:t>overnment</w:t>
      </w:r>
      <w:r w:rsidR="002915EF">
        <w:rPr>
          <w:rFonts w:cs="Calibri"/>
          <w:sz w:val="24"/>
        </w:rPr>
        <w:t>’s</w:t>
      </w:r>
      <w:r>
        <w:rPr>
          <w:rFonts w:cs="Calibri"/>
          <w:sz w:val="24"/>
        </w:rPr>
        <w:t xml:space="preserve"> Education White Paper </w:t>
      </w:r>
      <w:r w:rsidR="00C218D5">
        <w:rPr>
          <w:rFonts w:cs="Calibri"/>
          <w:sz w:val="24"/>
        </w:rPr>
        <w:t>(</w:t>
      </w:r>
      <w:r>
        <w:rPr>
          <w:rFonts w:cs="Calibri"/>
          <w:sz w:val="24"/>
        </w:rPr>
        <w:t>2010</w:t>
      </w:r>
      <w:r w:rsidR="00C218D5">
        <w:rPr>
          <w:rFonts w:cs="Calibri"/>
          <w:sz w:val="24"/>
        </w:rPr>
        <w:t>)</w:t>
      </w:r>
      <w:r>
        <w:rPr>
          <w:rFonts w:cs="Calibri"/>
          <w:sz w:val="24"/>
        </w:rPr>
        <w:t>.</w:t>
      </w:r>
    </w:p>
    <w:p w14:paraId="032249DA" w14:textId="21380C5A" w:rsidR="00A75A8F" w:rsidRDefault="00A75A8F" w:rsidP="00A75A8F">
      <w:pPr>
        <w:tabs>
          <w:tab w:val="left" w:pos="7513"/>
          <w:tab w:val="left" w:pos="8364"/>
        </w:tabs>
        <w:spacing w:after="0" w:line="360" w:lineRule="auto"/>
        <w:rPr>
          <w:rFonts w:cs="Calibri"/>
          <w:sz w:val="24"/>
        </w:rPr>
      </w:pPr>
      <w:r>
        <w:rPr>
          <w:rFonts w:cs="Calibri"/>
          <w:sz w:val="24"/>
        </w:rPr>
        <w:t xml:space="preserve">From 1997-2010 </w:t>
      </w:r>
      <w:r w:rsidR="00E11EE7">
        <w:rPr>
          <w:rFonts w:cs="Calibri"/>
          <w:sz w:val="24"/>
        </w:rPr>
        <w:t>Britain</w:t>
      </w:r>
      <w:r w:rsidR="007945C6">
        <w:rPr>
          <w:rFonts w:cs="Calibri"/>
          <w:sz w:val="24"/>
        </w:rPr>
        <w:t xml:space="preserve"> had </w:t>
      </w:r>
      <w:r>
        <w:rPr>
          <w:rFonts w:cs="Calibri"/>
          <w:sz w:val="24"/>
        </w:rPr>
        <w:t>a Labour government. Ball</w:t>
      </w:r>
      <w:r w:rsidR="007945C6">
        <w:rPr>
          <w:rFonts w:cs="Calibri"/>
          <w:sz w:val="24"/>
        </w:rPr>
        <w:t xml:space="preserve"> (2008)</w:t>
      </w:r>
      <w:r>
        <w:rPr>
          <w:rFonts w:cs="Calibri"/>
          <w:sz w:val="24"/>
        </w:rPr>
        <w:t xml:space="preserve"> argues that during this period “education policy [was] increasingly subordinated to and articulated in terms of economic policy and the necessities of international competition” (p.53). </w:t>
      </w:r>
      <w:r w:rsidR="007945C6">
        <w:rPr>
          <w:rFonts w:cs="Calibri"/>
          <w:sz w:val="24"/>
        </w:rPr>
        <w:t>E</w:t>
      </w:r>
      <w:r>
        <w:rPr>
          <w:rFonts w:cs="Calibri"/>
          <w:sz w:val="24"/>
        </w:rPr>
        <w:t>conomic policy and international competition have continued to be important</w:t>
      </w:r>
      <w:r w:rsidR="007945C6">
        <w:rPr>
          <w:rFonts w:cs="Calibri"/>
          <w:sz w:val="24"/>
        </w:rPr>
        <w:t xml:space="preserve"> focus areas</w:t>
      </w:r>
      <w:r>
        <w:rPr>
          <w:rFonts w:cs="Calibri"/>
          <w:sz w:val="24"/>
        </w:rPr>
        <w:t xml:space="preserve"> for the Coalition government (DfE</w:t>
      </w:r>
      <w:r w:rsidR="007945C6">
        <w:rPr>
          <w:rFonts w:cs="Calibri"/>
          <w:sz w:val="24"/>
        </w:rPr>
        <w:t>,</w:t>
      </w:r>
      <w:r>
        <w:rPr>
          <w:rFonts w:cs="Calibri"/>
          <w:sz w:val="24"/>
        </w:rPr>
        <w:t xml:space="preserve"> 2010). Steer et al (2007) comment that education policy under the Labour government became more centralised and interventionist, drawing on policy levers of funding, targets</w:t>
      </w:r>
      <w:r w:rsidR="007945C6">
        <w:rPr>
          <w:rFonts w:cs="Calibri"/>
          <w:sz w:val="24"/>
        </w:rPr>
        <w:t>,</w:t>
      </w:r>
      <w:r>
        <w:rPr>
          <w:rFonts w:cs="Calibri"/>
          <w:sz w:val="24"/>
        </w:rPr>
        <w:t xml:space="preserve"> and performance measures</w:t>
      </w:r>
      <w:r w:rsidR="007945C6">
        <w:rPr>
          <w:rFonts w:cs="Calibri"/>
          <w:sz w:val="24"/>
        </w:rPr>
        <w:t>;</w:t>
      </w:r>
      <w:r>
        <w:rPr>
          <w:rFonts w:cs="Calibri"/>
          <w:sz w:val="24"/>
        </w:rPr>
        <w:t xml:space="preserve"> inspection, planning</w:t>
      </w:r>
      <w:r w:rsidR="007945C6">
        <w:rPr>
          <w:rFonts w:cs="Calibri"/>
          <w:sz w:val="24"/>
        </w:rPr>
        <w:t>,</w:t>
      </w:r>
      <w:r>
        <w:rPr>
          <w:rFonts w:cs="Calibri"/>
          <w:sz w:val="24"/>
        </w:rPr>
        <w:t xml:space="preserve"> and national initiatives to drive and direct policies. The Labour administration took ‘low achieving schools’</w:t>
      </w:r>
      <w:r>
        <w:rPr>
          <w:rStyle w:val="FootnoteReference"/>
          <w:rFonts w:cs="Calibri"/>
          <w:sz w:val="24"/>
        </w:rPr>
        <w:footnoteReference w:id="4"/>
      </w:r>
      <w:r>
        <w:rPr>
          <w:rFonts w:cs="Calibri"/>
          <w:sz w:val="24"/>
        </w:rPr>
        <w:t xml:space="preserve"> out of Local Authority</w:t>
      </w:r>
      <w:r>
        <w:rPr>
          <w:rStyle w:val="FootnoteReference"/>
          <w:rFonts w:cs="Calibri"/>
          <w:sz w:val="24"/>
        </w:rPr>
        <w:footnoteReference w:id="5"/>
      </w:r>
      <w:r>
        <w:rPr>
          <w:rFonts w:cs="Calibri"/>
          <w:sz w:val="24"/>
        </w:rPr>
        <w:t xml:space="preserve"> (LA) control and </w:t>
      </w:r>
      <w:r w:rsidR="003616FC">
        <w:rPr>
          <w:rFonts w:cs="Calibri"/>
          <w:sz w:val="24"/>
        </w:rPr>
        <w:t xml:space="preserve">allowed </w:t>
      </w:r>
      <w:r>
        <w:rPr>
          <w:rFonts w:cs="Calibri"/>
          <w:sz w:val="24"/>
        </w:rPr>
        <w:t>business leaders, charities and religious groups</w:t>
      </w:r>
      <w:r w:rsidR="003616FC">
        <w:rPr>
          <w:rFonts w:cs="Calibri"/>
          <w:sz w:val="24"/>
        </w:rPr>
        <w:t xml:space="preserve"> to run these schools</w:t>
      </w:r>
      <w:r>
        <w:rPr>
          <w:rFonts w:cs="Calibri"/>
          <w:sz w:val="24"/>
        </w:rPr>
        <w:t xml:space="preserve"> </w:t>
      </w:r>
      <w:r w:rsidR="003616FC">
        <w:rPr>
          <w:rFonts w:cs="Calibri"/>
          <w:sz w:val="24"/>
        </w:rPr>
        <w:t>as ‘a</w:t>
      </w:r>
      <w:r>
        <w:rPr>
          <w:rFonts w:cs="Calibri"/>
          <w:sz w:val="24"/>
        </w:rPr>
        <w:t>cademies</w:t>
      </w:r>
      <w:r w:rsidR="003616FC">
        <w:rPr>
          <w:rFonts w:cs="Calibri"/>
          <w:sz w:val="24"/>
        </w:rPr>
        <w:t>’</w:t>
      </w:r>
      <w:r w:rsidR="007D3586">
        <w:rPr>
          <w:rStyle w:val="FootnoteReference"/>
          <w:rFonts w:cs="Calibri"/>
          <w:sz w:val="24"/>
        </w:rPr>
        <w:footnoteReference w:id="6"/>
      </w:r>
      <w:r>
        <w:rPr>
          <w:rFonts w:cs="Calibri"/>
          <w:sz w:val="24"/>
        </w:rPr>
        <w:t xml:space="preserve"> (</w:t>
      </w:r>
      <w:r w:rsidR="009F6FFE">
        <w:rPr>
          <w:rFonts w:cs="Calibri"/>
          <w:sz w:val="24"/>
        </w:rPr>
        <w:t>DfE</w:t>
      </w:r>
      <w:r w:rsidR="007945C6">
        <w:rPr>
          <w:rFonts w:cs="Calibri"/>
          <w:sz w:val="24"/>
        </w:rPr>
        <w:t>,</w:t>
      </w:r>
      <w:r w:rsidR="009F6FFE">
        <w:rPr>
          <w:rFonts w:cs="Calibri"/>
          <w:sz w:val="24"/>
        </w:rPr>
        <w:t xml:space="preserve"> 2000</w:t>
      </w:r>
      <w:r>
        <w:rPr>
          <w:rFonts w:cs="Calibri"/>
          <w:sz w:val="24"/>
        </w:rPr>
        <w:t>)</w:t>
      </w:r>
      <w:r w:rsidR="003616FC">
        <w:rPr>
          <w:rFonts w:cs="Calibri"/>
          <w:sz w:val="24"/>
        </w:rPr>
        <w:t xml:space="preserve">. </w:t>
      </w:r>
      <w:r>
        <w:rPr>
          <w:rFonts w:cs="Calibri"/>
          <w:sz w:val="24"/>
        </w:rPr>
        <w:t>In addition, the Labour government expanded the range of qualifications taught and accredited by state schools (DfE</w:t>
      </w:r>
      <w:r w:rsidR="007D1551">
        <w:rPr>
          <w:rFonts w:cs="Calibri"/>
          <w:sz w:val="24"/>
        </w:rPr>
        <w:t>S</w:t>
      </w:r>
      <w:r w:rsidR="003616FC">
        <w:rPr>
          <w:rFonts w:cs="Calibri"/>
          <w:sz w:val="24"/>
        </w:rPr>
        <w:t>,</w:t>
      </w:r>
      <w:r>
        <w:rPr>
          <w:rFonts w:cs="Calibri"/>
          <w:sz w:val="24"/>
        </w:rPr>
        <w:t xml:space="preserve"> 200</w:t>
      </w:r>
      <w:r w:rsidR="007D1551">
        <w:rPr>
          <w:rFonts w:cs="Calibri"/>
          <w:sz w:val="24"/>
        </w:rPr>
        <w:t>1</w:t>
      </w:r>
      <w:r>
        <w:rPr>
          <w:rFonts w:cs="Calibri"/>
          <w:sz w:val="24"/>
        </w:rPr>
        <w:t>) and increas</w:t>
      </w:r>
      <w:r w:rsidR="003616FC">
        <w:rPr>
          <w:rFonts w:cs="Calibri"/>
          <w:sz w:val="24"/>
        </w:rPr>
        <w:t>ed</w:t>
      </w:r>
      <w:r>
        <w:rPr>
          <w:rFonts w:cs="Calibri"/>
          <w:sz w:val="24"/>
        </w:rPr>
        <w:t xml:space="preserve"> </w:t>
      </w:r>
      <w:r>
        <w:rPr>
          <w:rFonts w:cs="Calibri"/>
          <w:sz w:val="24"/>
        </w:rPr>
        <w:lastRenderedPageBreak/>
        <w:t>focus on the</w:t>
      </w:r>
      <w:r w:rsidR="003616FC">
        <w:rPr>
          <w:rFonts w:cs="Calibri"/>
          <w:sz w:val="24"/>
        </w:rPr>
        <w:t xml:space="preserve"> age</w:t>
      </w:r>
      <w:r>
        <w:rPr>
          <w:rFonts w:cs="Calibri"/>
          <w:sz w:val="24"/>
        </w:rPr>
        <w:t xml:space="preserve"> 14-19 phase of education (DfE</w:t>
      </w:r>
      <w:r w:rsidR="007D1551">
        <w:rPr>
          <w:rFonts w:cs="Calibri"/>
          <w:sz w:val="24"/>
        </w:rPr>
        <w:t>S</w:t>
      </w:r>
      <w:r>
        <w:rPr>
          <w:rFonts w:cs="Calibri"/>
          <w:sz w:val="24"/>
        </w:rPr>
        <w:t xml:space="preserve"> 200</w:t>
      </w:r>
      <w:r w:rsidR="007D1551">
        <w:rPr>
          <w:rFonts w:cs="Calibri"/>
          <w:sz w:val="24"/>
        </w:rPr>
        <w:t>2</w:t>
      </w:r>
      <w:r>
        <w:rPr>
          <w:rFonts w:cs="Calibri"/>
          <w:sz w:val="24"/>
        </w:rPr>
        <w:t xml:space="preserve">). Such moves were reinforced by the Personalised Learning </w:t>
      </w:r>
      <w:r w:rsidR="003616FC">
        <w:rPr>
          <w:rFonts w:cs="Calibri"/>
          <w:sz w:val="24"/>
        </w:rPr>
        <w:t>A</w:t>
      </w:r>
      <w:r>
        <w:rPr>
          <w:rFonts w:cs="Calibri"/>
          <w:sz w:val="24"/>
        </w:rPr>
        <w:t>genda (DfE</w:t>
      </w:r>
      <w:r w:rsidR="007D1551">
        <w:rPr>
          <w:rFonts w:cs="Calibri"/>
          <w:sz w:val="24"/>
        </w:rPr>
        <w:t>S</w:t>
      </w:r>
      <w:r>
        <w:rPr>
          <w:rFonts w:cs="Calibri"/>
          <w:sz w:val="24"/>
        </w:rPr>
        <w:t xml:space="preserve"> 2004)</w:t>
      </w:r>
      <w:r>
        <w:rPr>
          <w:rStyle w:val="FootnoteReference"/>
          <w:rFonts w:cs="Calibri"/>
          <w:sz w:val="24"/>
        </w:rPr>
        <w:footnoteReference w:id="7"/>
      </w:r>
      <w:r w:rsidR="003616FC">
        <w:rPr>
          <w:rFonts w:cs="Calibri"/>
          <w:sz w:val="24"/>
        </w:rPr>
        <w:t>,</w:t>
      </w:r>
      <w:r>
        <w:rPr>
          <w:rFonts w:cs="Calibri"/>
          <w:sz w:val="24"/>
        </w:rPr>
        <w:t xml:space="preserve"> which emphasised bespoke learning pathways for individual students with the aim of promoting achievement and progression onto future stages of education. </w:t>
      </w:r>
    </w:p>
    <w:p w14:paraId="5577F461" w14:textId="77777777" w:rsidR="00A75A8F" w:rsidRDefault="00A75A8F" w:rsidP="00A75A8F">
      <w:pPr>
        <w:tabs>
          <w:tab w:val="left" w:pos="8364"/>
        </w:tabs>
        <w:spacing w:after="0" w:line="360" w:lineRule="auto"/>
        <w:rPr>
          <w:rFonts w:cs="Calibri"/>
          <w:sz w:val="24"/>
        </w:rPr>
      </w:pPr>
    </w:p>
    <w:p w14:paraId="75E71251" w14:textId="779363B4" w:rsidR="00A75A8F" w:rsidRDefault="00A75A8F" w:rsidP="00A75A8F">
      <w:pPr>
        <w:tabs>
          <w:tab w:val="left" w:pos="8364"/>
        </w:tabs>
        <w:spacing w:after="0" w:line="360" w:lineRule="auto"/>
        <w:rPr>
          <w:rFonts w:cs="Calibri"/>
          <w:sz w:val="24"/>
        </w:rPr>
      </w:pPr>
      <w:r w:rsidRPr="00952FC6">
        <w:rPr>
          <w:rFonts w:cs="Calibri"/>
          <w:sz w:val="24"/>
        </w:rPr>
        <w:t xml:space="preserve">During the Labour </w:t>
      </w:r>
      <w:r w:rsidR="003616FC">
        <w:rPr>
          <w:rFonts w:cs="Calibri"/>
          <w:sz w:val="24"/>
        </w:rPr>
        <w:t>years</w:t>
      </w:r>
      <w:r w:rsidRPr="00952FC6">
        <w:rPr>
          <w:rFonts w:cs="Calibri"/>
          <w:sz w:val="24"/>
        </w:rPr>
        <w:t>, school standards</w:t>
      </w:r>
      <w:r>
        <w:rPr>
          <w:rFonts w:cs="Calibri"/>
          <w:sz w:val="24"/>
        </w:rPr>
        <w:t xml:space="preserve"> in England</w:t>
      </w:r>
      <w:r w:rsidRPr="00952FC6">
        <w:rPr>
          <w:rFonts w:cs="Calibri"/>
          <w:sz w:val="24"/>
        </w:rPr>
        <w:t>, as measured by examination results at age</w:t>
      </w:r>
      <w:r w:rsidR="003616FC">
        <w:rPr>
          <w:rFonts w:cs="Calibri"/>
          <w:sz w:val="24"/>
        </w:rPr>
        <w:t xml:space="preserve"> 16</w:t>
      </w:r>
      <w:r w:rsidRPr="00952FC6">
        <w:rPr>
          <w:rFonts w:cs="Calibri"/>
          <w:sz w:val="24"/>
        </w:rPr>
        <w:t>, increased</w:t>
      </w:r>
      <w:r>
        <w:rPr>
          <w:rFonts w:cs="Calibri"/>
          <w:sz w:val="24"/>
        </w:rPr>
        <w:t>,</w:t>
      </w:r>
      <w:r w:rsidRPr="00952FC6">
        <w:rPr>
          <w:rFonts w:cs="Calibri"/>
          <w:sz w:val="24"/>
        </w:rPr>
        <w:t xml:space="preserve"> as </w:t>
      </w:r>
      <w:r>
        <w:rPr>
          <w:rFonts w:cs="Calibri"/>
          <w:sz w:val="24"/>
        </w:rPr>
        <w:t xml:space="preserve">a wide range of </w:t>
      </w:r>
      <w:r w:rsidRPr="00952FC6">
        <w:rPr>
          <w:rFonts w:cs="Calibri"/>
          <w:sz w:val="24"/>
        </w:rPr>
        <w:t xml:space="preserve">additional vocational qualifications were </w:t>
      </w:r>
      <w:r>
        <w:rPr>
          <w:rFonts w:cs="Calibri"/>
          <w:sz w:val="24"/>
        </w:rPr>
        <w:t>included a</w:t>
      </w:r>
      <w:r w:rsidRPr="00952FC6">
        <w:rPr>
          <w:rFonts w:cs="Calibri"/>
          <w:sz w:val="24"/>
        </w:rPr>
        <w:t>s part of school performance</w:t>
      </w:r>
      <w:r>
        <w:rPr>
          <w:rFonts w:cs="Calibri"/>
          <w:sz w:val="24"/>
        </w:rPr>
        <w:t xml:space="preserve"> (DfE</w:t>
      </w:r>
      <w:r w:rsidR="00955C4E">
        <w:rPr>
          <w:rFonts w:cs="Calibri"/>
          <w:sz w:val="24"/>
        </w:rPr>
        <w:t xml:space="preserve"> 1999</w:t>
      </w:r>
      <w:r>
        <w:rPr>
          <w:rFonts w:cs="Calibri"/>
          <w:sz w:val="24"/>
        </w:rPr>
        <w:t>)</w:t>
      </w:r>
      <w:r w:rsidRPr="00952FC6">
        <w:rPr>
          <w:rFonts w:cs="Calibri"/>
          <w:sz w:val="24"/>
        </w:rPr>
        <w:t xml:space="preserve">. </w:t>
      </w:r>
      <w:r w:rsidR="00F835A2">
        <w:rPr>
          <w:rFonts w:cs="Calibri"/>
          <w:sz w:val="24"/>
        </w:rPr>
        <w:t>Previously</w:t>
      </w:r>
      <w:r w:rsidR="00D5100A">
        <w:rPr>
          <w:rFonts w:cs="Calibri"/>
          <w:sz w:val="24"/>
        </w:rPr>
        <w:t>,</w:t>
      </w:r>
      <w:r>
        <w:rPr>
          <w:rFonts w:cs="Calibri"/>
          <w:sz w:val="24"/>
        </w:rPr>
        <w:t xml:space="preserve"> </w:t>
      </w:r>
      <w:r w:rsidRPr="00952FC6">
        <w:rPr>
          <w:rFonts w:cs="Calibri"/>
          <w:sz w:val="24"/>
        </w:rPr>
        <w:t xml:space="preserve">only </w:t>
      </w:r>
      <w:r>
        <w:rPr>
          <w:rFonts w:cs="Calibri"/>
          <w:sz w:val="24"/>
        </w:rPr>
        <w:t>GCSE</w:t>
      </w:r>
      <w:r w:rsidRPr="00952FC6">
        <w:rPr>
          <w:rFonts w:cs="Calibri"/>
          <w:sz w:val="24"/>
        </w:rPr>
        <w:t xml:space="preserve"> grades counted </w:t>
      </w:r>
      <w:r w:rsidR="003616FC">
        <w:rPr>
          <w:rFonts w:cs="Calibri"/>
          <w:sz w:val="24"/>
        </w:rPr>
        <w:t xml:space="preserve">towards </w:t>
      </w:r>
      <w:r w:rsidRPr="00952FC6">
        <w:rPr>
          <w:rFonts w:cs="Calibri"/>
          <w:sz w:val="24"/>
        </w:rPr>
        <w:t>a school’s achievement</w:t>
      </w:r>
      <w:r>
        <w:rPr>
          <w:rFonts w:cs="Calibri"/>
          <w:sz w:val="24"/>
        </w:rPr>
        <w:t>, but from 1997 to 2004</w:t>
      </w:r>
      <w:r w:rsidR="003616FC">
        <w:rPr>
          <w:rFonts w:cs="Calibri"/>
          <w:sz w:val="24"/>
        </w:rPr>
        <w:t>,</w:t>
      </w:r>
      <w:r>
        <w:rPr>
          <w:rFonts w:cs="Calibri"/>
          <w:sz w:val="24"/>
        </w:rPr>
        <w:t xml:space="preserve"> </w:t>
      </w:r>
      <w:r w:rsidRPr="00464ADC">
        <w:rPr>
          <w:sz w:val="24"/>
        </w:rPr>
        <w:t>General National Vocational Qualifications</w:t>
      </w:r>
      <w:r>
        <w:t xml:space="preserve"> (</w:t>
      </w:r>
      <w:r>
        <w:rPr>
          <w:rFonts w:cs="Calibri"/>
          <w:sz w:val="24"/>
        </w:rPr>
        <w:t>GNVQs) could be taught in secondary schools and were awarded equivalent performance points</w:t>
      </w:r>
      <w:r>
        <w:rPr>
          <w:rStyle w:val="FootnoteReference"/>
          <w:rFonts w:cs="Calibri"/>
          <w:sz w:val="24"/>
        </w:rPr>
        <w:footnoteReference w:id="8"/>
      </w:r>
      <w:r>
        <w:rPr>
          <w:rFonts w:cs="Calibri"/>
          <w:sz w:val="24"/>
        </w:rPr>
        <w:t xml:space="preserve"> to GCSE</w:t>
      </w:r>
      <w:r w:rsidR="003616FC">
        <w:rPr>
          <w:rFonts w:cs="Calibri"/>
          <w:sz w:val="24"/>
        </w:rPr>
        <w:t xml:space="preserve"> subjects</w:t>
      </w:r>
      <w:r>
        <w:rPr>
          <w:rFonts w:cs="Calibri"/>
          <w:sz w:val="24"/>
        </w:rPr>
        <w:t>.</w:t>
      </w:r>
      <w:r w:rsidRPr="00952FC6">
        <w:rPr>
          <w:rFonts w:cs="Calibri"/>
          <w:sz w:val="24"/>
        </w:rPr>
        <w:t xml:space="preserve"> From 2004, a </w:t>
      </w:r>
      <w:r>
        <w:rPr>
          <w:rFonts w:cs="Calibri"/>
          <w:sz w:val="24"/>
        </w:rPr>
        <w:t>greater</w:t>
      </w:r>
      <w:r w:rsidRPr="00952FC6">
        <w:rPr>
          <w:rFonts w:cs="Calibri"/>
          <w:sz w:val="24"/>
        </w:rPr>
        <w:t xml:space="preserve"> range of qualifications and subject</w:t>
      </w:r>
      <w:r>
        <w:rPr>
          <w:rFonts w:cs="Calibri"/>
          <w:sz w:val="24"/>
        </w:rPr>
        <w:t>s were</w:t>
      </w:r>
      <w:r w:rsidRPr="00952FC6">
        <w:rPr>
          <w:rFonts w:cs="Calibri"/>
          <w:sz w:val="24"/>
        </w:rPr>
        <w:t xml:space="preserve"> recognised and allocated </w:t>
      </w:r>
      <w:r>
        <w:rPr>
          <w:rFonts w:cs="Calibri"/>
          <w:sz w:val="24"/>
        </w:rPr>
        <w:t xml:space="preserve">performance </w:t>
      </w:r>
      <w:r w:rsidRPr="00952FC6">
        <w:rPr>
          <w:rFonts w:cs="Calibri"/>
          <w:sz w:val="24"/>
        </w:rPr>
        <w:t>points. As schools</w:t>
      </w:r>
      <w:r w:rsidR="00AB0689">
        <w:rPr>
          <w:rFonts w:cs="Calibri"/>
          <w:sz w:val="24"/>
        </w:rPr>
        <w:t xml:space="preserve"> </w:t>
      </w:r>
      <w:r>
        <w:rPr>
          <w:rFonts w:cs="Calibri"/>
          <w:sz w:val="24"/>
        </w:rPr>
        <w:t>realised the potential of</w:t>
      </w:r>
      <w:r w:rsidRPr="00952FC6">
        <w:rPr>
          <w:rFonts w:cs="Calibri"/>
          <w:sz w:val="24"/>
        </w:rPr>
        <w:t xml:space="preserve"> such qualifications to bo</w:t>
      </w:r>
      <w:r>
        <w:rPr>
          <w:rFonts w:cs="Calibri"/>
          <w:sz w:val="24"/>
        </w:rPr>
        <w:t xml:space="preserve">ost student achievement and the number of </w:t>
      </w:r>
      <w:r w:rsidRPr="00952FC6">
        <w:rPr>
          <w:rFonts w:cs="Calibri"/>
          <w:sz w:val="24"/>
        </w:rPr>
        <w:t xml:space="preserve">performance points, </w:t>
      </w:r>
      <w:r>
        <w:rPr>
          <w:rFonts w:cs="Calibri"/>
          <w:sz w:val="24"/>
        </w:rPr>
        <w:t xml:space="preserve">a </w:t>
      </w:r>
      <w:r w:rsidRPr="00952FC6">
        <w:rPr>
          <w:rFonts w:cs="Calibri"/>
          <w:sz w:val="24"/>
        </w:rPr>
        <w:t>rapid uptake of such qualifications</w:t>
      </w:r>
      <w:r>
        <w:rPr>
          <w:rFonts w:cs="Calibri"/>
          <w:sz w:val="24"/>
        </w:rPr>
        <w:t xml:space="preserve"> occurred</w:t>
      </w:r>
      <w:r w:rsidR="00AB0689">
        <w:rPr>
          <w:rFonts w:cs="Calibri"/>
          <w:sz w:val="24"/>
        </w:rPr>
        <w:t>, particularly among schools categorised as low-achieving</w:t>
      </w:r>
      <w:r w:rsidRPr="00952FC6">
        <w:rPr>
          <w:rFonts w:cs="Calibri"/>
          <w:sz w:val="24"/>
        </w:rPr>
        <w:t xml:space="preserve"> </w:t>
      </w:r>
      <w:r>
        <w:rPr>
          <w:rFonts w:cs="Calibri"/>
          <w:sz w:val="24"/>
        </w:rPr>
        <w:t>(Wolf</w:t>
      </w:r>
      <w:r w:rsidR="00AB0689">
        <w:rPr>
          <w:rFonts w:cs="Calibri"/>
          <w:sz w:val="24"/>
        </w:rPr>
        <w:t>,</w:t>
      </w:r>
      <w:r>
        <w:rPr>
          <w:rFonts w:cs="Calibri"/>
          <w:sz w:val="24"/>
        </w:rPr>
        <w:t xml:space="preserve"> 2011). </w:t>
      </w:r>
    </w:p>
    <w:p w14:paraId="3CB69F8B" w14:textId="77777777" w:rsidR="00A75A8F" w:rsidRDefault="00A75A8F" w:rsidP="00A75A8F">
      <w:pPr>
        <w:spacing w:after="0" w:line="360" w:lineRule="auto"/>
        <w:rPr>
          <w:rFonts w:cs="Calibri"/>
          <w:sz w:val="24"/>
        </w:rPr>
      </w:pPr>
    </w:p>
    <w:p w14:paraId="4513638C" w14:textId="11033AD7" w:rsidR="00A75A8F" w:rsidRDefault="00A75A8F" w:rsidP="00A75A8F">
      <w:pPr>
        <w:spacing w:after="0" w:line="360" w:lineRule="auto"/>
        <w:rPr>
          <w:rFonts w:cs="Calibri"/>
          <w:sz w:val="24"/>
        </w:rPr>
      </w:pPr>
      <w:r>
        <w:rPr>
          <w:rFonts w:cs="Calibri"/>
          <w:sz w:val="24"/>
        </w:rPr>
        <w:t xml:space="preserve">A new </w:t>
      </w:r>
      <w:r w:rsidR="00D5100A">
        <w:rPr>
          <w:rFonts w:cs="Calibri"/>
          <w:sz w:val="24"/>
        </w:rPr>
        <w:t xml:space="preserve">coalition </w:t>
      </w:r>
      <w:r>
        <w:rPr>
          <w:rFonts w:cs="Calibri"/>
          <w:sz w:val="24"/>
        </w:rPr>
        <w:t>government came to power in 2010</w:t>
      </w:r>
      <w:r w:rsidR="00D5100A">
        <w:rPr>
          <w:rFonts w:cs="Calibri"/>
          <w:sz w:val="24"/>
        </w:rPr>
        <w:t xml:space="preserve">, made up of </w:t>
      </w:r>
      <w:r w:rsidR="007D3586">
        <w:rPr>
          <w:rFonts w:cs="Calibri"/>
          <w:sz w:val="24"/>
        </w:rPr>
        <w:t xml:space="preserve">a </w:t>
      </w:r>
      <w:r>
        <w:rPr>
          <w:rFonts w:cs="Calibri"/>
          <w:sz w:val="24"/>
        </w:rPr>
        <w:t>Conservative</w:t>
      </w:r>
      <w:r w:rsidR="007D3586">
        <w:rPr>
          <w:rFonts w:cs="Calibri"/>
          <w:sz w:val="24"/>
        </w:rPr>
        <w:t xml:space="preserve"> majority</w:t>
      </w:r>
      <w:r w:rsidR="003F6D14">
        <w:rPr>
          <w:rFonts w:cs="Calibri"/>
          <w:sz w:val="24"/>
        </w:rPr>
        <w:t xml:space="preserve"> </w:t>
      </w:r>
      <w:r>
        <w:rPr>
          <w:rFonts w:cs="Calibri"/>
          <w:sz w:val="24"/>
        </w:rPr>
        <w:t xml:space="preserve">and </w:t>
      </w:r>
      <w:r w:rsidR="007D3586">
        <w:rPr>
          <w:rFonts w:cs="Calibri"/>
          <w:sz w:val="24"/>
        </w:rPr>
        <w:t>a Liberal Democrat minority</w:t>
      </w:r>
      <w:r>
        <w:rPr>
          <w:rFonts w:cs="Calibri"/>
          <w:sz w:val="24"/>
        </w:rPr>
        <w:t xml:space="preserve">. The Department for Education (DfE) headed by Secretary of State Michael Gove (2010 to 2014), a Conservative Minister, adopted a different </w:t>
      </w:r>
      <w:r w:rsidR="003F6D14">
        <w:rPr>
          <w:rFonts w:cs="Calibri"/>
          <w:sz w:val="24"/>
        </w:rPr>
        <w:t xml:space="preserve">position on education </w:t>
      </w:r>
      <w:r>
        <w:rPr>
          <w:rFonts w:cs="Calibri"/>
          <w:sz w:val="24"/>
        </w:rPr>
        <w:t>to the previous government</w:t>
      </w:r>
      <w:r w:rsidRPr="00952FC6">
        <w:rPr>
          <w:rFonts w:cs="Calibri"/>
          <w:sz w:val="24"/>
        </w:rPr>
        <w:t xml:space="preserve">. </w:t>
      </w:r>
      <w:r>
        <w:rPr>
          <w:rFonts w:cs="Calibri"/>
          <w:sz w:val="24"/>
        </w:rPr>
        <w:t xml:space="preserve">The </w:t>
      </w:r>
      <w:r w:rsidRPr="00952FC6">
        <w:rPr>
          <w:rFonts w:cs="Calibri"/>
          <w:sz w:val="24"/>
        </w:rPr>
        <w:t xml:space="preserve">broadening of the curriculum </w:t>
      </w:r>
      <w:r>
        <w:rPr>
          <w:rFonts w:cs="Calibri"/>
          <w:sz w:val="24"/>
        </w:rPr>
        <w:t xml:space="preserve">to encompass a wide range of vocational and alternative qualifications </w:t>
      </w:r>
      <w:r w:rsidRPr="00952FC6">
        <w:rPr>
          <w:rFonts w:cs="Calibri"/>
          <w:sz w:val="24"/>
        </w:rPr>
        <w:t>was no longer seen as a strength</w:t>
      </w:r>
      <w:r w:rsidR="00C64B89">
        <w:rPr>
          <w:rFonts w:cs="Calibri"/>
          <w:sz w:val="24"/>
        </w:rPr>
        <w:t>,</w:t>
      </w:r>
      <w:r w:rsidRPr="00952FC6">
        <w:rPr>
          <w:rFonts w:cs="Calibri"/>
          <w:sz w:val="24"/>
        </w:rPr>
        <w:t xml:space="preserve"> but as a cause for confusion amongst students, parents and employers</w:t>
      </w:r>
      <w:r w:rsidR="00D5100A">
        <w:rPr>
          <w:rFonts w:cs="Calibri"/>
          <w:sz w:val="24"/>
        </w:rPr>
        <w:t>,</w:t>
      </w:r>
      <w:r w:rsidRPr="00952FC6">
        <w:rPr>
          <w:rFonts w:cs="Calibri"/>
          <w:sz w:val="24"/>
        </w:rPr>
        <w:t xml:space="preserve"> as well as </w:t>
      </w:r>
      <w:r w:rsidR="00D5100A">
        <w:rPr>
          <w:rFonts w:cs="Calibri"/>
          <w:sz w:val="24"/>
        </w:rPr>
        <w:t xml:space="preserve">a cause of </w:t>
      </w:r>
      <w:r>
        <w:rPr>
          <w:rFonts w:cs="Calibri"/>
          <w:sz w:val="24"/>
        </w:rPr>
        <w:t xml:space="preserve">declining standards and </w:t>
      </w:r>
      <w:r w:rsidRPr="00952FC6">
        <w:rPr>
          <w:rFonts w:cs="Calibri"/>
          <w:sz w:val="24"/>
        </w:rPr>
        <w:t>a lack of transparency in terms of educational progression</w:t>
      </w:r>
      <w:r>
        <w:rPr>
          <w:rFonts w:cs="Calibri"/>
          <w:sz w:val="24"/>
        </w:rPr>
        <w:t xml:space="preserve"> (DfE</w:t>
      </w:r>
      <w:r w:rsidR="00C64B89">
        <w:rPr>
          <w:rFonts w:cs="Calibri"/>
          <w:sz w:val="24"/>
        </w:rPr>
        <w:t>,</w:t>
      </w:r>
      <w:r>
        <w:rPr>
          <w:rFonts w:cs="Calibri"/>
          <w:sz w:val="24"/>
        </w:rPr>
        <w:t xml:space="preserve"> 2010</w:t>
      </w:r>
      <w:r w:rsidR="00FA2342">
        <w:rPr>
          <w:rFonts w:cs="Calibri"/>
          <w:sz w:val="24"/>
        </w:rPr>
        <w:t>a</w:t>
      </w:r>
      <w:r>
        <w:rPr>
          <w:rFonts w:cs="Calibri"/>
          <w:sz w:val="24"/>
        </w:rPr>
        <w:t>, p.8)</w:t>
      </w:r>
      <w:r w:rsidRPr="00952FC6">
        <w:rPr>
          <w:rFonts w:cs="Calibri"/>
          <w:sz w:val="24"/>
        </w:rPr>
        <w:t xml:space="preserve">. </w:t>
      </w:r>
      <w:r>
        <w:rPr>
          <w:rFonts w:cs="Calibri"/>
          <w:sz w:val="24"/>
        </w:rPr>
        <w:t xml:space="preserve">The 2010 </w:t>
      </w:r>
      <w:r w:rsidR="00C84F6F">
        <w:rPr>
          <w:rFonts w:cs="Calibri"/>
          <w:sz w:val="24"/>
        </w:rPr>
        <w:t xml:space="preserve">White Paper </w:t>
      </w:r>
      <w:r>
        <w:rPr>
          <w:rFonts w:cs="Calibri"/>
          <w:sz w:val="24"/>
        </w:rPr>
        <w:t>(DfE) suggested that certain students</w:t>
      </w:r>
      <w:r w:rsidR="00C84F6F">
        <w:rPr>
          <w:rFonts w:cs="Calibri"/>
          <w:sz w:val="24"/>
        </w:rPr>
        <w:t xml:space="preserve"> should be</w:t>
      </w:r>
      <w:r>
        <w:rPr>
          <w:rFonts w:cs="Calibri"/>
          <w:sz w:val="24"/>
        </w:rPr>
        <w:t xml:space="preserve"> classified </w:t>
      </w:r>
      <w:r w:rsidR="007D3586">
        <w:rPr>
          <w:rFonts w:cs="Calibri"/>
          <w:sz w:val="24"/>
        </w:rPr>
        <w:lastRenderedPageBreak/>
        <w:t>as ‘disadvantaged’</w:t>
      </w:r>
      <w:r w:rsidR="00D5100A">
        <w:rPr>
          <w:rFonts w:cs="Calibri"/>
          <w:sz w:val="24"/>
        </w:rPr>
        <w:t>;</w:t>
      </w:r>
      <w:r>
        <w:rPr>
          <w:rFonts w:cs="Calibri"/>
          <w:sz w:val="24"/>
        </w:rPr>
        <w:t xml:space="preserve"> in other words, those on Free School Meals (FSM),</w:t>
      </w:r>
      <w:r>
        <w:rPr>
          <w:rStyle w:val="FootnoteReference"/>
          <w:rFonts w:cs="Calibri"/>
          <w:sz w:val="24"/>
        </w:rPr>
        <w:footnoteReference w:id="9"/>
      </w:r>
      <w:r>
        <w:rPr>
          <w:rFonts w:cs="Calibri"/>
          <w:sz w:val="24"/>
        </w:rPr>
        <w:t xml:space="preserve"> were being further disadvantaged by being prevented or discouraged from taking a range of traditional academic subjects such as those in the EBac. This,</w:t>
      </w:r>
      <w:r w:rsidR="007D3586">
        <w:rPr>
          <w:rFonts w:cs="Calibri"/>
          <w:sz w:val="24"/>
        </w:rPr>
        <w:t xml:space="preserve"> it was argued, prevented</w:t>
      </w:r>
      <w:r>
        <w:rPr>
          <w:rFonts w:cs="Calibri"/>
          <w:sz w:val="24"/>
        </w:rPr>
        <w:t xml:space="preserve"> access to higher education and elite universities </w:t>
      </w:r>
      <w:r w:rsidR="00C84F6F">
        <w:rPr>
          <w:rFonts w:cs="Calibri"/>
          <w:sz w:val="24"/>
        </w:rPr>
        <w:t xml:space="preserve">for those students </w:t>
      </w:r>
      <w:r>
        <w:rPr>
          <w:rFonts w:cs="Calibri"/>
          <w:sz w:val="24"/>
        </w:rPr>
        <w:t>(DfE</w:t>
      </w:r>
      <w:r w:rsidR="00C84F6F">
        <w:rPr>
          <w:rFonts w:cs="Calibri"/>
          <w:sz w:val="24"/>
        </w:rPr>
        <w:t>,</w:t>
      </w:r>
      <w:r>
        <w:rPr>
          <w:rFonts w:cs="Calibri"/>
          <w:sz w:val="24"/>
        </w:rPr>
        <w:t xml:space="preserve"> 2010</w:t>
      </w:r>
      <w:r w:rsidR="00FA2342">
        <w:rPr>
          <w:rFonts w:cs="Calibri"/>
          <w:sz w:val="24"/>
        </w:rPr>
        <w:t>a</w:t>
      </w:r>
      <w:r>
        <w:rPr>
          <w:rFonts w:cs="Calibri"/>
          <w:sz w:val="24"/>
        </w:rPr>
        <w:t xml:space="preserve">, p.17). </w:t>
      </w:r>
      <w:r w:rsidRPr="00952FC6">
        <w:rPr>
          <w:rFonts w:cs="Calibri"/>
          <w:sz w:val="24"/>
        </w:rPr>
        <w:t xml:space="preserve">A fall in </w:t>
      </w:r>
      <w:r>
        <w:rPr>
          <w:rFonts w:cs="Calibri"/>
          <w:sz w:val="24"/>
        </w:rPr>
        <w:t xml:space="preserve">the </w:t>
      </w:r>
      <w:r w:rsidR="00E11EE7">
        <w:rPr>
          <w:rFonts w:cs="Calibri"/>
          <w:sz w:val="24"/>
        </w:rPr>
        <w:t>British</w:t>
      </w:r>
      <w:r w:rsidR="00C84F6F">
        <w:rPr>
          <w:rFonts w:cs="Calibri"/>
          <w:sz w:val="24"/>
        </w:rPr>
        <w:t xml:space="preserve"> position </w:t>
      </w:r>
      <w:r w:rsidRPr="00952FC6">
        <w:rPr>
          <w:rFonts w:cs="Calibri"/>
          <w:sz w:val="24"/>
        </w:rPr>
        <w:t>in the</w:t>
      </w:r>
      <w:r w:rsidR="00464ADC">
        <w:rPr>
          <w:rFonts w:cs="Calibri"/>
          <w:sz w:val="24"/>
        </w:rPr>
        <w:t xml:space="preserve"> Organisation for Economic Co-operation and Development (</w:t>
      </w:r>
      <w:r w:rsidRPr="00952FC6">
        <w:rPr>
          <w:rFonts w:cs="Calibri"/>
          <w:sz w:val="24"/>
        </w:rPr>
        <w:t>OECD</w:t>
      </w:r>
      <w:r w:rsidR="00464ADC">
        <w:rPr>
          <w:rFonts w:cs="Calibri"/>
          <w:sz w:val="24"/>
        </w:rPr>
        <w:t>) Programme for International Student Assessment (</w:t>
      </w:r>
      <w:r w:rsidRPr="00952FC6">
        <w:rPr>
          <w:rFonts w:cs="Calibri"/>
          <w:sz w:val="24"/>
        </w:rPr>
        <w:t>PISA</w:t>
      </w:r>
      <w:r w:rsidR="00464ADC">
        <w:rPr>
          <w:rFonts w:cs="Calibri"/>
          <w:sz w:val="24"/>
        </w:rPr>
        <w:t>)</w:t>
      </w:r>
      <w:r w:rsidRPr="00952FC6">
        <w:rPr>
          <w:rFonts w:cs="Calibri"/>
          <w:sz w:val="24"/>
        </w:rPr>
        <w:t xml:space="preserve"> Survey in 2006 in </w:t>
      </w:r>
      <w:r>
        <w:rPr>
          <w:rFonts w:cs="Calibri"/>
          <w:sz w:val="24"/>
        </w:rPr>
        <w:t>Science</w:t>
      </w:r>
      <w:r w:rsidRPr="00952FC6">
        <w:rPr>
          <w:rFonts w:cs="Calibri"/>
          <w:sz w:val="24"/>
        </w:rPr>
        <w:t xml:space="preserve">, </w:t>
      </w:r>
      <w:r>
        <w:rPr>
          <w:rFonts w:cs="Calibri"/>
          <w:sz w:val="24"/>
        </w:rPr>
        <w:t>L</w:t>
      </w:r>
      <w:r w:rsidRPr="00952FC6">
        <w:rPr>
          <w:rFonts w:cs="Calibri"/>
          <w:sz w:val="24"/>
        </w:rPr>
        <w:t xml:space="preserve">iteracy and </w:t>
      </w:r>
      <w:r>
        <w:rPr>
          <w:rFonts w:cs="Calibri"/>
          <w:sz w:val="24"/>
        </w:rPr>
        <w:t>M</w:t>
      </w:r>
      <w:r w:rsidRPr="00952FC6">
        <w:rPr>
          <w:rFonts w:cs="Calibri"/>
          <w:sz w:val="24"/>
        </w:rPr>
        <w:t>athematics (PISA, 2006)</w:t>
      </w:r>
      <w:r w:rsidR="00556DF9">
        <w:rPr>
          <w:rStyle w:val="FootnoteReference"/>
          <w:rFonts w:cs="Calibri"/>
          <w:sz w:val="24"/>
        </w:rPr>
        <w:footnoteReference w:id="10"/>
      </w:r>
      <w:r w:rsidRPr="00952FC6">
        <w:rPr>
          <w:rFonts w:cs="Calibri"/>
          <w:sz w:val="24"/>
        </w:rPr>
        <w:t xml:space="preserve"> paved the way for a wider discussion about educational standards</w:t>
      </w:r>
      <w:r>
        <w:rPr>
          <w:rFonts w:cs="Calibri"/>
          <w:sz w:val="24"/>
        </w:rPr>
        <w:t>.</w:t>
      </w:r>
    </w:p>
    <w:p w14:paraId="13DED9B7" w14:textId="77777777" w:rsidR="00A75A8F" w:rsidRPr="00952FC6" w:rsidRDefault="00A75A8F" w:rsidP="00A75A8F">
      <w:pPr>
        <w:spacing w:after="0" w:line="360" w:lineRule="auto"/>
        <w:rPr>
          <w:rFonts w:cs="Calibri"/>
          <w:sz w:val="24"/>
        </w:rPr>
      </w:pPr>
    </w:p>
    <w:p w14:paraId="6752EB83" w14:textId="65AC3D87" w:rsidR="00A75A8F" w:rsidRDefault="00A75A8F" w:rsidP="00A75A8F">
      <w:pPr>
        <w:spacing w:after="0" w:line="360" w:lineRule="auto"/>
        <w:rPr>
          <w:rFonts w:cs="Calibri"/>
          <w:sz w:val="24"/>
        </w:rPr>
      </w:pPr>
      <w:r w:rsidRPr="00952FC6">
        <w:rPr>
          <w:rFonts w:cs="Calibri"/>
          <w:i/>
          <w:sz w:val="24"/>
        </w:rPr>
        <w:t>The Importance of Teaching</w:t>
      </w:r>
      <w:r w:rsidRPr="00952FC6">
        <w:rPr>
          <w:rFonts w:cs="Calibri"/>
          <w:sz w:val="24"/>
        </w:rPr>
        <w:t>, Schools</w:t>
      </w:r>
      <w:r w:rsidR="00746E1B">
        <w:rPr>
          <w:rFonts w:cs="Calibri"/>
          <w:sz w:val="24"/>
        </w:rPr>
        <w:t>’</w:t>
      </w:r>
      <w:r w:rsidRPr="00952FC6">
        <w:rPr>
          <w:rFonts w:cs="Calibri"/>
          <w:sz w:val="24"/>
        </w:rPr>
        <w:t xml:space="preserve"> White Paper </w:t>
      </w:r>
      <w:r>
        <w:rPr>
          <w:rFonts w:cs="Calibri"/>
          <w:sz w:val="24"/>
        </w:rPr>
        <w:t>(</w:t>
      </w:r>
      <w:r w:rsidRPr="00952FC6">
        <w:rPr>
          <w:rFonts w:cs="Calibri"/>
          <w:sz w:val="24"/>
        </w:rPr>
        <w:t>DfE 2010</w:t>
      </w:r>
      <w:r w:rsidR="00FA2342">
        <w:rPr>
          <w:rFonts w:cs="Calibri"/>
          <w:sz w:val="24"/>
        </w:rPr>
        <w:t>a</w:t>
      </w:r>
      <w:r>
        <w:rPr>
          <w:rFonts w:cs="Calibri"/>
          <w:sz w:val="24"/>
        </w:rPr>
        <w:t>)</w:t>
      </w:r>
      <w:r w:rsidRPr="00952FC6">
        <w:rPr>
          <w:rFonts w:cs="Calibri"/>
          <w:sz w:val="24"/>
        </w:rPr>
        <w:t xml:space="preserve"> stated the belief that “radical reform of our schools” was necessary</w:t>
      </w:r>
      <w:r>
        <w:rPr>
          <w:rFonts w:cs="Calibri"/>
          <w:sz w:val="24"/>
        </w:rPr>
        <w:t xml:space="preserve"> </w:t>
      </w:r>
      <w:r w:rsidRPr="00952FC6">
        <w:rPr>
          <w:rFonts w:cs="Calibri"/>
          <w:sz w:val="24"/>
        </w:rPr>
        <w:t>(p.4)</w:t>
      </w:r>
      <w:r>
        <w:rPr>
          <w:rFonts w:cs="Calibri"/>
          <w:sz w:val="24"/>
        </w:rPr>
        <w:t xml:space="preserve">. It can be </w:t>
      </w:r>
      <w:r w:rsidRPr="00952FC6">
        <w:rPr>
          <w:rFonts w:cs="Calibri"/>
          <w:sz w:val="24"/>
        </w:rPr>
        <w:t>argue</w:t>
      </w:r>
      <w:r>
        <w:rPr>
          <w:rFonts w:cs="Calibri"/>
          <w:sz w:val="24"/>
        </w:rPr>
        <w:t>d</w:t>
      </w:r>
      <w:r w:rsidRPr="00952FC6">
        <w:rPr>
          <w:rFonts w:cs="Calibri"/>
          <w:sz w:val="24"/>
        </w:rPr>
        <w:t xml:space="preserve"> that </w:t>
      </w:r>
      <w:r>
        <w:rPr>
          <w:rFonts w:cs="Calibri"/>
          <w:sz w:val="24"/>
        </w:rPr>
        <w:t xml:space="preserve">whilst </w:t>
      </w:r>
      <w:r w:rsidRPr="00952FC6">
        <w:rPr>
          <w:rFonts w:cs="Calibri"/>
          <w:sz w:val="24"/>
        </w:rPr>
        <w:t>th</w:t>
      </w:r>
      <w:r>
        <w:rPr>
          <w:rFonts w:cs="Calibri"/>
          <w:sz w:val="24"/>
        </w:rPr>
        <w:t>e</w:t>
      </w:r>
      <w:r w:rsidRPr="00952FC6">
        <w:rPr>
          <w:rFonts w:cs="Calibri"/>
          <w:sz w:val="24"/>
        </w:rPr>
        <w:t xml:space="preserve"> tone and aspiration</w:t>
      </w:r>
      <w:r w:rsidR="00746E1B">
        <w:rPr>
          <w:rFonts w:cs="Calibri"/>
          <w:sz w:val="24"/>
        </w:rPr>
        <w:t>s</w:t>
      </w:r>
      <w:r>
        <w:rPr>
          <w:rFonts w:cs="Calibri"/>
          <w:sz w:val="24"/>
        </w:rPr>
        <w:t xml:space="preserve"> </w:t>
      </w:r>
      <w:r w:rsidR="00746E1B">
        <w:rPr>
          <w:rFonts w:cs="Calibri"/>
          <w:sz w:val="24"/>
        </w:rPr>
        <w:t>were</w:t>
      </w:r>
      <w:r w:rsidRPr="00952FC6">
        <w:rPr>
          <w:rFonts w:cs="Calibri"/>
          <w:sz w:val="24"/>
        </w:rPr>
        <w:t xml:space="preserve"> not dissimilar to previous government policies, the mechanism for achieving these aims was different and </w:t>
      </w:r>
      <w:r w:rsidR="00746E1B" w:rsidRPr="00952FC6">
        <w:rPr>
          <w:rFonts w:cs="Calibri"/>
          <w:sz w:val="24"/>
        </w:rPr>
        <w:t>the announcement of the EBac</w:t>
      </w:r>
      <w:r w:rsidR="00746E1B">
        <w:rPr>
          <w:rFonts w:cs="Calibri"/>
          <w:sz w:val="24"/>
        </w:rPr>
        <w:t xml:space="preserve"> indicated</w:t>
      </w:r>
      <w:r w:rsidR="00746E1B" w:rsidRPr="00952FC6">
        <w:rPr>
          <w:rFonts w:cs="Calibri"/>
          <w:sz w:val="24"/>
        </w:rPr>
        <w:t xml:space="preserve"> </w:t>
      </w:r>
      <w:r w:rsidRPr="00952FC6">
        <w:rPr>
          <w:rFonts w:cs="Calibri"/>
          <w:sz w:val="24"/>
        </w:rPr>
        <w:t xml:space="preserve">a refocus of the curriculum. The </w:t>
      </w:r>
      <w:r>
        <w:rPr>
          <w:rFonts w:cs="Calibri"/>
          <w:sz w:val="24"/>
        </w:rPr>
        <w:t>bold</w:t>
      </w:r>
      <w:r w:rsidRPr="00952FC6">
        <w:rPr>
          <w:rFonts w:cs="Calibri"/>
          <w:sz w:val="24"/>
        </w:rPr>
        <w:t xml:space="preserve"> nature of this policy </w:t>
      </w:r>
      <w:r w:rsidR="00746E1B">
        <w:rPr>
          <w:rFonts w:cs="Calibri"/>
          <w:sz w:val="24"/>
        </w:rPr>
        <w:t>wa</w:t>
      </w:r>
      <w:r w:rsidRPr="00952FC6">
        <w:rPr>
          <w:rFonts w:cs="Calibri"/>
          <w:sz w:val="24"/>
        </w:rPr>
        <w:t xml:space="preserve">s not </w:t>
      </w:r>
      <w:r w:rsidR="00746E1B">
        <w:rPr>
          <w:rFonts w:cs="Calibri"/>
          <w:sz w:val="24"/>
        </w:rPr>
        <w:t xml:space="preserve">in </w:t>
      </w:r>
      <w:r w:rsidRPr="00952FC6">
        <w:rPr>
          <w:rFonts w:cs="Calibri"/>
          <w:sz w:val="24"/>
        </w:rPr>
        <w:t>the subjects or the qualification</w:t>
      </w:r>
      <w:r w:rsidR="00746E1B">
        <w:rPr>
          <w:rFonts w:cs="Calibri"/>
          <w:sz w:val="24"/>
        </w:rPr>
        <w:t>,</w:t>
      </w:r>
      <w:r w:rsidRPr="00952FC6">
        <w:rPr>
          <w:rFonts w:cs="Calibri"/>
          <w:sz w:val="24"/>
        </w:rPr>
        <w:t xml:space="preserve"> but the </w:t>
      </w:r>
      <w:r>
        <w:rPr>
          <w:rFonts w:cs="Calibri"/>
          <w:sz w:val="24"/>
        </w:rPr>
        <w:t xml:space="preserve">specific </w:t>
      </w:r>
      <w:r w:rsidRPr="00952FC6">
        <w:rPr>
          <w:rFonts w:cs="Calibri"/>
          <w:sz w:val="24"/>
        </w:rPr>
        <w:t>subject combination</w:t>
      </w:r>
      <w:r w:rsidR="00746E1B">
        <w:rPr>
          <w:rFonts w:cs="Calibri"/>
          <w:sz w:val="24"/>
        </w:rPr>
        <w:t>s</w:t>
      </w:r>
      <w:r w:rsidRPr="00952FC6">
        <w:rPr>
          <w:rFonts w:cs="Calibri"/>
          <w:sz w:val="24"/>
        </w:rPr>
        <w:t xml:space="preserve"> and the traditional range of subjects included. Pr</w:t>
      </w:r>
      <w:r w:rsidR="00FA2342">
        <w:rPr>
          <w:rFonts w:cs="Calibri"/>
          <w:sz w:val="24"/>
        </w:rPr>
        <w:t>eviously</w:t>
      </w:r>
      <w:r w:rsidRPr="00952FC6">
        <w:rPr>
          <w:rFonts w:cs="Calibri"/>
          <w:sz w:val="24"/>
        </w:rPr>
        <w:t xml:space="preserve"> there were no prescribed combinations of subjects</w:t>
      </w:r>
      <w:r>
        <w:rPr>
          <w:rFonts w:cs="Calibri"/>
          <w:sz w:val="24"/>
        </w:rPr>
        <w:t xml:space="preserve"> for study aged 14-16</w:t>
      </w:r>
      <w:r w:rsidR="00746E1B">
        <w:rPr>
          <w:rFonts w:cs="Calibri"/>
          <w:sz w:val="24"/>
        </w:rPr>
        <w:t>;</w:t>
      </w:r>
      <w:r w:rsidRPr="00952FC6">
        <w:rPr>
          <w:rFonts w:cs="Calibri"/>
          <w:sz w:val="24"/>
        </w:rPr>
        <w:t xml:space="preserve"> all subjects were measured individually </w:t>
      </w:r>
      <w:r>
        <w:rPr>
          <w:rFonts w:cs="Calibri"/>
          <w:sz w:val="24"/>
        </w:rPr>
        <w:t xml:space="preserve">as part of the school performance tables </w:t>
      </w:r>
      <w:r w:rsidRPr="00952FC6">
        <w:rPr>
          <w:rFonts w:cs="Calibri"/>
          <w:sz w:val="24"/>
        </w:rPr>
        <w:t xml:space="preserve">(with the exception of English and </w:t>
      </w:r>
      <w:r w:rsidRPr="001A0585">
        <w:rPr>
          <w:rFonts w:cs="Calibri"/>
          <w:sz w:val="24"/>
          <w:szCs w:val="24"/>
        </w:rPr>
        <w:t>Mathematics</w:t>
      </w:r>
      <w:r w:rsidR="00746E1B">
        <w:rPr>
          <w:rFonts w:cs="Calibri"/>
          <w:sz w:val="24"/>
          <w:szCs w:val="24"/>
        </w:rPr>
        <w:t>,</w:t>
      </w:r>
      <w:r w:rsidRPr="001A0585">
        <w:rPr>
          <w:rFonts w:cs="Calibri"/>
          <w:sz w:val="24"/>
          <w:szCs w:val="24"/>
        </w:rPr>
        <w:t xml:space="preserve"> which </w:t>
      </w:r>
      <w:r w:rsidR="00746E1B">
        <w:rPr>
          <w:rFonts w:cs="Calibri"/>
          <w:sz w:val="24"/>
          <w:szCs w:val="24"/>
        </w:rPr>
        <w:t>had been</w:t>
      </w:r>
      <w:r w:rsidRPr="001A0585">
        <w:rPr>
          <w:rFonts w:cs="Calibri"/>
          <w:sz w:val="24"/>
          <w:szCs w:val="24"/>
        </w:rPr>
        <w:t xml:space="preserve"> measured together from 2009). </w:t>
      </w:r>
      <w:r>
        <w:rPr>
          <w:rFonts w:cs="Calibri"/>
          <w:sz w:val="24"/>
          <w:szCs w:val="24"/>
        </w:rPr>
        <w:t>S</w:t>
      </w:r>
      <w:r w:rsidRPr="001A0585">
        <w:rPr>
          <w:rFonts w:cs="Calibri"/>
          <w:sz w:val="24"/>
          <w:szCs w:val="24"/>
        </w:rPr>
        <w:t xml:space="preserve">chools were judged </w:t>
      </w:r>
      <w:r>
        <w:rPr>
          <w:rFonts w:cs="Calibri"/>
          <w:sz w:val="24"/>
          <w:szCs w:val="24"/>
        </w:rPr>
        <w:t xml:space="preserve">primarily </w:t>
      </w:r>
      <w:r w:rsidRPr="001A0585">
        <w:rPr>
          <w:rFonts w:cs="Calibri"/>
          <w:sz w:val="24"/>
          <w:szCs w:val="24"/>
        </w:rPr>
        <w:t>on whether a student achieved five GCSEs or equivalent qualifications at grade C or above</w:t>
      </w:r>
      <w:r w:rsidRPr="001A0585">
        <w:rPr>
          <w:rStyle w:val="FootnoteReference"/>
          <w:rFonts w:cs="Calibri"/>
          <w:sz w:val="24"/>
          <w:szCs w:val="24"/>
        </w:rPr>
        <w:footnoteReference w:id="11"/>
      </w:r>
      <w:r w:rsidRPr="001A0585">
        <w:rPr>
          <w:rFonts w:cs="Calibri"/>
          <w:sz w:val="24"/>
          <w:szCs w:val="24"/>
        </w:rPr>
        <w:t>. In reality</w:t>
      </w:r>
      <w:r w:rsidR="00746E1B">
        <w:rPr>
          <w:rFonts w:cs="Calibri"/>
          <w:sz w:val="24"/>
          <w:szCs w:val="24"/>
        </w:rPr>
        <w:t>,</w:t>
      </w:r>
      <w:r w:rsidRPr="001A0585">
        <w:rPr>
          <w:rFonts w:cs="Calibri"/>
          <w:sz w:val="24"/>
          <w:szCs w:val="24"/>
        </w:rPr>
        <w:t xml:space="preserve"> a student could </w:t>
      </w:r>
      <w:r>
        <w:rPr>
          <w:rFonts w:cs="Calibri"/>
          <w:sz w:val="24"/>
          <w:szCs w:val="24"/>
        </w:rPr>
        <w:t>study</w:t>
      </w:r>
      <w:r w:rsidRPr="001A0585">
        <w:rPr>
          <w:rFonts w:cs="Calibri"/>
          <w:sz w:val="24"/>
          <w:szCs w:val="24"/>
        </w:rPr>
        <w:t xml:space="preserve"> GCSE Mathematics and English and then achieve three GCSE equivalents using qualifications such as </w:t>
      </w:r>
      <w:r w:rsidRPr="001A0585">
        <w:rPr>
          <w:sz w:val="24"/>
          <w:szCs w:val="24"/>
        </w:rPr>
        <w:t>Business and Technology Education Council</w:t>
      </w:r>
      <w:r w:rsidRPr="00952FC6">
        <w:rPr>
          <w:rFonts w:cs="Calibri"/>
          <w:sz w:val="24"/>
        </w:rPr>
        <w:t xml:space="preserve"> </w:t>
      </w:r>
      <w:r>
        <w:rPr>
          <w:rFonts w:cs="Calibri"/>
          <w:sz w:val="24"/>
        </w:rPr>
        <w:t>qualifications (</w:t>
      </w:r>
      <w:r w:rsidRPr="00952FC6">
        <w:rPr>
          <w:rFonts w:cs="Calibri"/>
          <w:sz w:val="24"/>
        </w:rPr>
        <w:t>BTECs</w:t>
      </w:r>
      <w:r>
        <w:rPr>
          <w:rFonts w:cs="Calibri"/>
          <w:sz w:val="24"/>
        </w:rPr>
        <w:t>)</w:t>
      </w:r>
      <w:r>
        <w:rPr>
          <w:rStyle w:val="FootnoteReference"/>
          <w:rFonts w:cs="Calibri"/>
          <w:sz w:val="24"/>
        </w:rPr>
        <w:footnoteReference w:id="12"/>
      </w:r>
      <w:r>
        <w:rPr>
          <w:rFonts w:cs="Calibri"/>
          <w:sz w:val="24"/>
        </w:rPr>
        <w:t>. S</w:t>
      </w:r>
      <w:r w:rsidRPr="00952FC6">
        <w:rPr>
          <w:rFonts w:cs="Calibri"/>
          <w:sz w:val="24"/>
        </w:rPr>
        <w:t>ome BTEC qualifications</w:t>
      </w:r>
      <w:r w:rsidR="00746E1B">
        <w:rPr>
          <w:rFonts w:cs="Calibri"/>
          <w:sz w:val="24"/>
        </w:rPr>
        <w:t xml:space="preserve"> carried</w:t>
      </w:r>
      <w:r w:rsidRPr="00952FC6">
        <w:rPr>
          <w:rFonts w:cs="Calibri"/>
          <w:sz w:val="24"/>
        </w:rPr>
        <w:t xml:space="preserve"> </w:t>
      </w:r>
      <w:r w:rsidRPr="00952FC6">
        <w:rPr>
          <w:rFonts w:cs="Calibri"/>
          <w:sz w:val="24"/>
        </w:rPr>
        <w:lastRenderedPageBreak/>
        <w:t xml:space="preserve">points </w:t>
      </w:r>
      <w:r w:rsidR="00CD54C9" w:rsidRPr="00952FC6">
        <w:rPr>
          <w:rFonts w:cs="Calibri"/>
          <w:sz w:val="24"/>
        </w:rPr>
        <w:t xml:space="preserve">equivalent </w:t>
      </w:r>
      <w:r w:rsidR="00746E1B">
        <w:rPr>
          <w:rFonts w:cs="Calibri"/>
          <w:sz w:val="24"/>
        </w:rPr>
        <w:t>to</w:t>
      </w:r>
      <w:r w:rsidRPr="00952FC6">
        <w:rPr>
          <w:rFonts w:cs="Calibri"/>
          <w:sz w:val="24"/>
        </w:rPr>
        <w:t xml:space="preserve"> four GCSEs</w:t>
      </w:r>
      <w:r w:rsidR="00746E1B">
        <w:rPr>
          <w:rFonts w:cs="Calibri"/>
          <w:sz w:val="24"/>
        </w:rPr>
        <w:t>,</w:t>
      </w:r>
      <w:r w:rsidRPr="00952FC6">
        <w:rPr>
          <w:rFonts w:cs="Calibri"/>
          <w:sz w:val="24"/>
        </w:rPr>
        <w:t xml:space="preserve"> so a student </w:t>
      </w:r>
      <w:r>
        <w:rPr>
          <w:rFonts w:cs="Calibri"/>
          <w:sz w:val="24"/>
        </w:rPr>
        <w:t>could</w:t>
      </w:r>
      <w:r w:rsidRPr="00952FC6">
        <w:rPr>
          <w:rFonts w:cs="Calibri"/>
          <w:sz w:val="24"/>
        </w:rPr>
        <w:t xml:space="preserve"> </w:t>
      </w:r>
      <w:r>
        <w:rPr>
          <w:rFonts w:cs="Calibri"/>
          <w:sz w:val="24"/>
        </w:rPr>
        <w:t>study</w:t>
      </w:r>
      <w:r w:rsidRPr="00952FC6">
        <w:rPr>
          <w:rFonts w:cs="Calibri"/>
          <w:sz w:val="24"/>
        </w:rPr>
        <w:t xml:space="preserve"> three subjects but </w:t>
      </w:r>
      <w:r w:rsidR="00746E1B">
        <w:rPr>
          <w:rFonts w:cs="Calibri"/>
          <w:sz w:val="24"/>
        </w:rPr>
        <w:t xml:space="preserve">still </w:t>
      </w:r>
      <w:r>
        <w:rPr>
          <w:rFonts w:cs="Calibri"/>
          <w:sz w:val="24"/>
        </w:rPr>
        <w:t>achieve</w:t>
      </w:r>
      <w:r w:rsidRPr="00952FC6">
        <w:rPr>
          <w:rFonts w:cs="Calibri"/>
          <w:sz w:val="24"/>
        </w:rPr>
        <w:t xml:space="preserve"> the </w:t>
      </w:r>
      <w:r w:rsidR="00746E1B">
        <w:rPr>
          <w:rFonts w:cs="Calibri"/>
          <w:sz w:val="24"/>
        </w:rPr>
        <w:t xml:space="preserve">equivalent </w:t>
      </w:r>
      <w:r w:rsidRPr="00952FC6">
        <w:rPr>
          <w:rFonts w:cs="Calibri"/>
          <w:sz w:val="24"/>
        </w:rPr>
        <w:t>performance points of six GCSEs.</w:t>
      </w:r>
    </w:p>
    <w:p w14:paraId="3E52AA7F" w14:textId="77777777" w:rsidR="007C077D" w:rsidRDefault="007C077D" w:rsidP="00A75A8F">
      <w:pPr>
        <w:spacing w:after="0" w:line="360" w:lineRule="auto"/>
        <w:rPr>
          <w:rFonts w:cs="Calibri"/>
          <w:sz w:val="24"/>
        </w:rPr>
      </w:pPr>
    </w:p>
    <w:p w14:paraId="79F2A403" w14:textId="52C8CBE2" w:rsidR="00A75A8F" w:rsidRDefault="00746E1B" w:rsidP="00A75A8F">
      <w:pPr>
        <w:pStyle w:val="Default"/>
        <w:spacing w:line="360" w:lineRule="auto"/>
        <w:rPr>
          <w:rFonts w:ascii="Calibri" w:hAnsi="Calibri" w:cs="Calibri"/>
        </w:rPr>
      </w:pPr>
      <w:r>
        <w:rPr>
          <w:rFonts w:asciiTheme="minorHAnsi" w:hAnsiTheme="minorHAnsi" w:cstheme="minorHAnsi"/>
        </w:rPr>
        <w:t>While the</w:t>
      </w:r>
      <w:r w:rsidR="00A75A8F" w:rsidRPr="00680B21">
        <w:rPr>
          <w:rFonts w:asciiTheme="minorHAnsi" w:hAnsiTheme="minorHAnsi" w:cstheme="minorHAnsi"/>
        </w:rPr>
        <w:t xml:space="preserve"> EBac </w:t>
      </w:r>
      <w:r w:rsidR="00FA2342">
        <w:rPr>
          <w:rFonts w:asciiTheme="minorHAnsi" w:hAnsiTheme="minorHAnsi" w:cstheme="minorHAnsi"/>
        </w:rPr>
        <w:t>was</w:t>
      </w:r>
      <w:r w:rsidR="00A75A8F" w:rsidRPr="00680B21">
        <w:rPr>
          <w:rFonts w:asciiTheme="minorHAnsi" w:hAnsiTheme="minorHAnsi" w:cstheme="minorHAnsi"/>
        </w:rPr>
        <w:t xml:space="preserve"> not described in detail in the White Paper</w:t>
      </w:r>
      <w:r>
        <w:rPr>
          <w:rFonts w:asciiTheme="minorHAnsi" w:hAnsiTheme="minorHAnsi" w:cstheme="minorHAnsi"/>
        </w:rPr>
        <w:t xml:space="preserve">, </w:t>
      </w:r>
      <w:r w:rsidR="00A75A8F" w:rsidRPr="00680B21">
        <w:rPr>
          <w:rFonts w:asciiTheme="minorHAnsi" w:hAnsiTheme="minorHAnsi" w:cstheme="minorHAnsi"/>
        </w:rPr>
        <w:t>the government stated that its introduction would “encourage schools to offer a broad set of academic subjects to age 16” (DfE</w:t>
      </w:r>
      <w:r>
        <w:rPr>
          <w:rFonts w:asciiTheme="minorHAnsi" w:hAnsiTheme="minorHAnsi" w:cstheme="minorHAnsi"/>
        </w:rPr>
        <w:t>,</w:t>
      </w:r>
      <w:r w:rsidR="00A75A8F" w:rsidRPr="00680B21">
        <w:rPr>
          <w:rFonts w:asciiTheme="minorHAnsi" w:hAnsiTheme="minorHAnsi" w:cstheme="minorHAnsi"/>
        </w:rPr>
        <w:t xml:space="preserve"> 2010</w:t>
      </w:r>
      <w:r w:rsidR="00FA2342">
        <w:rPr>
          <w:rFonts w:asciiTheme="minorHAnsi" w:hAnsiTheme="minorHAnsi" w:cstheme="minorHAnsi"/>
        </w:rPr>
        <w:t>a</w:t>
      </w:r>
      <w:r w:rsidR="00A75A8F" w:rsidRPr="00680B21">
        <w:rPr>
          <w:rFonts w:asciiTheme="minorHAnsi" w:hAnsiTheme="minorHAnsi" w:cstheme="minorHAnsi"/>
        </w:rPr>
        <w:t>, p.11). It was clear from th</w:t>
      </w:r>
      <w:r>
        <w:rPr>
          <w:rFonts w:asciiTheme="minorHAnsi" w:hAnsiTheme="minorHAnsi" w:cstheme="minorHAnsi"/>
        </w:rPr>
        <w:t>is</w:t>
      </w:r>
      <w:r w:rsidR="00A75A8F" w:rsidRPr="00680B21">
        <w:rPr>
          <w:rFonts w:asciiTheme="minorHAnsi" w:hAnsiTheme="minorHAnsi" w:cstheme="minorHAnsi"/>
        </w:rPr>
        <w:t xml:space="preserve"> statement that academic subjects were to be given priority over vocational</w:t>
      </w:r>
      <w:r>
        <w:rPr>
          <w:rFonts w:asciiTheme="minorHAnsi" w:hAnsiTheme="minorHAnsi" w:cstheme="minorHAnsi"/>
        </w:rPr>
        <w:t xml:space="preserve"> ones</w:t>
      </w:r>
      <w:r w:rsidR="00A75A8F" w:rsidRPr="00680B21">
        <w:rPr>
          <w:rFonts w:asciiTheme="minorHAnsi" w:hAnsiTheme="minorHAnsi" w:cstheme="minorHAnsi"/>
        </w:rPr>
        <w:t>.</w:t>
      </w:r>
      <w:r w:rsidR="00A75A8F">
        <w:rPr>
          <w:rFonts w:asciiTheme="minorHAnsi" w:hAnsiTheme="minorHAnsi" w:cstheme="minorHAnsi"/>
        </w:rPr>
        <w:t xml:space="preserve"> </w:t>
      </w:r>
      <w:r w:rsidR="00A75A8F" w:rsidRPr="00680B21">
        <w:rPr>
          <w:rFonts w:asciiTheme="minorHAnsi" w:hAnsiTheme="minorHAnsi" w:cstheme="minorHAnsi"/>
        </w:rPr>
        <w:t xml:space="preserve">The </w:t>
      </w:r>
      <w:r w:rsidR="00A75A8F" w:rsidRPr="00680B21">
        <w:rPr>
          <w:rFonts w:asciiTheme="minorHAnsi" w:hAnsiTheme="minorHAnsi" w:cstheme="minorHAnsi"/>
          <w:i/>
        </w:rPr>
        <w:t>Schools White Paper</w:t>
      </w:r>
      <w:r w:rsidR="00A75A8F" w:rsidRPr="00680B21">
        <w:rPr>
          <w:rFonts w:asciiTheme="minorHAnsi" w:hAnsiTheme="minorHAnsi" w:cstheme="minorHAnsi"/>
        </w:rPr>
        <w:t xml:space="preserve"> </w:t>
      </w:r>
      <w:r w:rsidR="00A75A8F" w:rsidRPr="00680B21">
        <w:rPr>
          <w:rFonts w:asciiTheme="minorHAnsi" w:hAnsiTheme="minorHAnsi" w:cstheme="minorHAnsi"/>
          <w:i/>
        </w:rPr>
        <w:t xml:space="preserve">Statement of </w:t>
      </w:r>
      <w:r>
        <w:rPr>
          <w:rFonts w:asciiTheme="minorHAnsi" w:hAnsiTheme="minorHAnsi" w:cstheme="minorHAnsi"/>
          <w:i/>
        </w:rPr>
        <w:t>I</w:t>
      </w:r>
      <w:r w:rsidR="00A75A8F" w:rsidRPr="00680B21">
        <w:rPr>
          <w:rFonts w:asciiTheme="minorHAnsi" w:hAnsiTheme="minorHAnsi" w:cstheme="minorHAnsi"/>
          <w:i/>
        </w:rPr>
        <w:t xml:space="preserve">ntent 2010 addendum </w:t>
      </w:r>
      <w:r w:rsidR="00A75A8F" w:rsidRPr="00BE47DB">
        <w:rPr>
          <w:rFonts w:asciiTheme="minorHAnsi" w:hAnsiTheme="minorHAnsi"/>
        </w:rPr>
        <w:t>(DfE</w:t>
      </w:r>
      <w:r w:rsidRPr="00BE47DB">
        <w:rPr>
          <w:rFonts w:asciiTheme="minorHAnsi" w:hAnsiTheme="minorHAnsi" w:cstheme="minorHAnsi"/>
        </w:rPr>
        <w:t>,</w:t>
      </w:r>
      <w:r w:rsidR="00A75A8F" w:rsidRPr="00BE47DB">
        <w:rPr>
          <w:rFonts w:asciiTheme="minorHAnsi" w:hAnsiTheme="minorHAnsi"/>
        </w:rPr>
        <w:t xml:space="preserve"> 2010</w:t>
      </w:r>
      <w:r w:rsidR="00FA2342" w:rsidRPr="00BE47DB">
        <w:rPr>
          <w:rFonts w:asciiTheme="minorHAnsi" w:hAnsiTheme="minorHAnsi"/>
        </w:rPr>
        <w:t>d</w:t>
      </w:r>
      <w:r w:rsidR="00A75A8F" w:rsidRPr="00BE47DB">
        <w:rPr>
          <w:rFonts w:asciiTheme="minorHAnsi" w:hAnsiTheme="minorHAnsi"/>
        </w:rPr>
        <w:t>)</w:t>
      </w:r>
      <w:r w:rsidR="00A75A8F" w:rsidRPr="00680B21">
        <w:rPr>
          <w:rFonts w:asciiTheme="minorHAnsi" w:hAnsiTheme="minorHAnsi" w:cstheme="minorHAnsi"/>
        </w:rPr>
        <w:t xml:space="preserve"> later confirmed the combination of subjects</w:t>
      </w:r>
      <w:r w:rsidR="0077210F">
        <w:rPr>
          <w:rFonts w:asciiTheme="minorHAnsi" w:hAnsiTheme="minorHAnsi" w:cstheme="minorHAnsi"/>
        </w:rPr>
        <w:t>, which would</w:t>
      </w:r>
      <w:r w:rsidR="00A75A8F" w:rsidRPr="00680B21">
        <w:rPr>
          <w:rFonts w:asciiTheme="minorHAnsi" w:hAnsiTheme="minorHAnsi" w:cstheme="minorHAnsi"/>
        </w:rPr>
        <w:t xml:space="preserve"> represent</w:t>
      </w:r>
      <w:r w:rsidR="00A75A8F" w:rsidRPr="00952FC6">
        <w:rPr>
          <w:rFonts w:ascii="Calibri" w:hAnsi="Calibri" w:cs="Calibri"/>
        </w:rPr>
        <w:t xml:space="preserve"> a traditional, academic diet.  The EBac is not strictly a qualification</w:t>
      </w:r>
      <w:r w:rsidR="00A75A8F">
        <w:rPr>
          <w:rFonts w:ascii="Calibri" w:hAnsi="Calibri" w:cs="Calibri"/>
        </w:rPr>
        <w:t>,</w:t>
      </w:r>
      <w:r w:rsidR="00A75A8F" w:rsidRPr="00952FC6">
        <w:rPr>
          <w:rFonts w:ascii="Calibri" w:hAnsi="Calibri" w:cs="Calibri"/>
        </w:rPr>
        <w:t xml:space="preserve"> as there is no certificate for having achieved </w:t>
      </w:r>
      <w:r w:rsidR="00A75A8F">
        <w:rPr>
          <w:rFonts w:ascii="Calibri" w:hAnsi="Calibri" w:cs="Calibri"/>
        </w:rPr>
        <w:t xml:space="preserve">a grade C or above in </w:t>
      </w:r>
      <w:r w:rsidR="00A75A8F" w:rsidRPr="00952FC6">
        <w:rPr>
          <w:rFonts w:ascii="Calibri" w:hAnsi="Calibri" w:cs="Calibri"/>
        </w:rPr>
        <w:t xml:space="preserve">this combination of subjects. It exists </w:t>
      </w:r>
      <w:r w:rsidR="00A75A8F">
        <w:rPr>
          <w:rFonts w:ascii="Calibri" w:hAnsi="Calibri" w:cs="Calibri"/>
        </w:rPr>
        <w:t xml:space="preserve">only </w:t>
      </w:r>
      <w:r w:rsidR="00A75A8F" w:rsidRPr="00952FC6">
        <w:rPr>
          <w:rFonts w:ascii="Calibri" w:hAnsi="Calibri" w:cs="Calibri"/>
        </w:rPr>
        <w:t>as a school performance measure</w:t>
      </w:r>
      <w:r w:rsidR="0077210F">
        <w:rPr>
          <w:rFonts w:ascii="Calibri" w:hAnsi="Calibri" w:cs="Calibri"/>
        </w:rPr>
        <w:t>;</w:t>
      </w:r>
      <w:r w:rsidR="00A75A8F" w:rsidRPr="00952FC6">
        <w:rPr>
          <w:rFonts w:ascii="Calibri" w:hAnsi="Calibri" w:cs="Calibri"/>
        </w:rPr>
        <w:t xml:space="preserve"> </w:t>
      </w:r>
      <w:r w:rsidR="00A75A8F">
        <w:rPr>
          <w:rFonts w:ascii="Calibri" w:hAnsi="Calibri" w:cs="Calibri"/>
        </w:rPr>
        <w:t>a</w:t>
      </w:r>
      <w:r w:rsidR="00A75A8F" w:rsidRPr="00952FC6">
        <w:rPr>
          <w:rFonts w:ascii="Calibri" w:hAnsi="Calibri" w:cs="Calibri"/>
        </w:rPr>
        <w:t xml:space="preserve"> measure </w:t>
      </w:r>
      <w:r w:rsidR="00A75A8F">
        <w:rPr>
          <w:rFonts w:ascii="Calibri" w:hAnsi="Calibri" w:cs="Calibri"/>
        </w:rPr>
        <w:t xml:space="preserve">that </w:t>
      </w:r>
      <w:r w:rsidR="00A75A8F" w:rsidRPr="00952FC6">
        <w:rPr>
          <w:rFonts w:ascii="Calibri" w:hAnsi="Calibri" w:cs="Calibri"/>
        </w:rPr>
        <w:t xml:space="preserve">has the power to dictate what </w:t>
      </w:r>
      <w:r w:rsidR="0077210F">
        <w:rPr>
          <w:rFonts w:ascii="Calibri" w:hAnsi="Calibri" w:cs="Calibri"/>
        </w:rPr>
        <w:t xml:space="preserve">schools can </w:t>
      </w:r>
      <w:r w:rsidR="00A75A8F" w:rsidRPr="00952FC6">
        <w:rPr>
          <w:rFonts w:ascii="Calibri" w:hAnsi="Calibri" w:cs="Calibri"/>
        </w:rPr>
        <w:t xml:space="preserve">offer </w:t>
      </w:r>
      <w:r w:rsidR="00A75A8F">
        <w:rPr>
          <w:rFonts w:ascii="Calibri" w:hAnsi="Calibri" w:cs="Calibri"/>
        </w:rPr>
        <w:t xml:space="preserve">to students </w:t>
      </w:r>
      <w:r w:rsidR="00A75A8F" w:rsidRPr="00952FC6">
        <w:rPr>
          <w:rFonts w:ascii="Calibri" w:hAnsi="Calibri" w:cs="Calibri"/>
        </w:rPr>
        <w:t xml:space="preserve">in many and possibly all English schools. </w:t>
      </w:r>
      <w:r w:rsidR="00A75A8F">
        <w:rPr>
          <w:rStyle w:val="FootnoteReference"/>
          <w:rFonts w:ascii="Calibri" w:hAnsi="Calibri" w:cs="Calibri"/>
        </w:rPr>
        <w:footnoteReference w:id="13"/>
      </w:r>
    </w:p>
    <w:p w14:paraId="6C8AF2E9" w14:textId="77777777" w:rsidR="00A75A8F" w:rsidRDefault="00A75A8F" w:rsidP="00A75A8F">
      <w:pPr>
        <w:pStyle w:val="Default"/>
        <w:spacing w:line="360" w:lineRule="auto"/>
        <w:rPr>
          <w:rFonts w:ascii="Calibri" w:hAnsi="Calibri" w:cs="Calibri"/>
        </w:rPr>
      </w:pPr>
    </w:p>
    <w:p w14:paraId="70870371" w14:textId="5000F1F8" w:rsidR="00A75A8F" w:rsidRDefault="00A75A8F" w:rsidP="00595124">
      <w:pPr>
        <w:pStyle w:val="Default"/>
        <w:tabs>
          <w:tab w:val="left" w:pos="8222"/>
          <w:tab w:val="left" w:pos="8364"/>
        </w:tabs>
        <w:spacing w:line="360" w:lineRule="auto"/>
        <w:rPr>
          <w:rFonts w:ascii="Calibri" w:hAnsi="Calibri" w:cs="Calibri"/>
        </w:rPr>
      </w:pPr>
      <w:r w:rsidRPr="00952FC6">
        <w:rPr>
          <w:rFonts w:ascii="Calibri" w:hAnsi="Calibri" w:cs="Calibri"/>
        </w:rPr>
        <w:t xml:space="preserve">All </w:t>
      </w:r>
      <w:r>
        <w:rPr>
          <w:rFonts w:ascii="Calibri" w:hAnsi="Calibri" w:cs="Calibri"/>
        </w:rPr>
        <w:t xml:space="preserve">English </w:t>
      </w:r>
      <w:r w:rsidRPr="00952FC6">
        <w:rPr>
          <w:rFonts w:ascii="Calibri" w:hAnsi="Calibri" w:cs="Calibri"/>
        </w:rPr>
        <w:t xml:space="preserve">schools </w:t>
      </w:r>
      <w:r>
        <w:rPr>
          <w:rFonts w:ascii="Calibri" w:hAnsi="Calibri" w:cs="Calibri"/>
        </w:rPr>
        <w:t xml:space="preserve">are </w:t>
      </w:r>
      <w:r w:rsidRPr="00952FC6">
        <w:rPr>
          <w:rFonts w:ascii="Calibri" w:hAnsi="Calibri" w:cs="Calibri"/>
        </w:rPr>
        <w:t>concerned by the performance tables</w:t>
      </w:r>
      <w:r w:rsidR="0077210F">
        <w:rPr>
          <w:rFonts w:ascii="Calibri" w:hAnsi="Calibri" w:cs="Calibri"/>
        </w:rPr>
        <w:t>,</w:t>
      </w:r>
      <w:r w:rsidRPr="00952FC6">
        <w:rPr>
          <w:rFonts w:ascii="Calibri" w:hAnsi="Calibri" w:cs="Calibri"/>
        </w:rPr>
        <w:t xml:space="preserve"> </w:t>
      </w:r>
      <w:r>
        <w:rPr>
          <w:rFonts w:ascii="Calibri" w:hAnsi="Calibri" w:cs="Calibri"/>
        </w:rPr>
        <w:t xml:space="preserve">as this </w:t>
      </w:r>
      <w:r w:rsidRPr="00952FC6">
        <w:rPr>
          <w:rFonts w:ascii="Calibri" w:hAnsi="Calibri" w:cs="Calibri"/>
        </w:rPr>
        <w:t xml:space="preserve">the information </w:t>
      </w:r>
      <w:r>
        <w:rPr>
          <w:rFonts w:ascii="Calibri" w:hAnsi="Calibri" w:cs="Calibri"/>
        </w:rPr>
        <w:t xml:space="preserve">is annually </w:t>
      </w:r>
      <w:r w:rsidRPr="00952FC6">
        <w:rPr>
          <w:rFonts w:ascii="Calibri" w:hAnsi="Calibri" w:cs="Calibri"/>
        </w:rPr>
        <w:t xml:space="preserve">made public </w:t>
      </w:r>
      <w:r>
        <w:rPr>
          <w:rFonts w:ascii="Calibri" w:hAnsi="Calibri" w:cs="Calibri"/>
        </w:rPr>
        <w:t xml:space="preserve">in order </w:t>
      </w:r>
      <w:r w:rsidRPr="00952FC6">
        <w:rPr>
          <w:rFonts w:ascii="Calibri" w:hAnsi="Calibri" w:cs="Calibri"/>
        </w:rPr>
        <w:t xml:space="preserve">to demonstrate </w:t>
      </w:r>
      <w:r>
        <w:rPr>
          <w:rFonts w:ascii="Calibri" w:hAnsi="Calibri" w:cs="Calibri"/>
        </w:rPr>
        <w:t>schools’</w:t>
      </w:r>
      <w:r w:rsidRPr="00952FC6">
        <w:rPr>
          <w:rFonts w:ascii="Calibri" w:hAnsi="Calibri" w:cs="Calibri"/>
        </w:rPr>
        <w:t xml:space="preserve"> </w:t>
      </w:r>
      <w:r w:rsidR="00FA2342">
        <w:rPr>
          <w:rFonts w:ascii="Calibri" w:hAnsi="Calibri" w:cs="Calibri"/>
        </w:rPr>
        <w:t>‘</w:t>
      </w:r>
      <w:r w:rsidRPr="00952FC6">
        <w:rPr>
          <w:rFonts w:ascii="Calibri" w:hAnsi="Calibri" w:cs="Calibri"/>
        </w:rPr>
        <w:t>effectiveness</w:t>
      </w:r>
      <w:r w:rsidR="00FA2342">
        <w:rPr>
          <w:rFonts w:ascii="Calibri" w:hAnsi="Calibri" w:cs="Calibri"/>
        </w:rPr>
        <w:t>’</w:t>
      </w:r>
      <w:r w:rsidRPr="00952FC6">
        <w:rPr>
          <w:rFonts w:ascii="Calibri" w:hAnsi="Calibri" w:cs="Calibri"/>
        </w:rPr>
        <w:t xml:space="preserve">. </w:t>
      </w:r>
      <w:r w:rsidR="0077210F">
        <w:rPr>
          <w:rFonts w:ascii="Calibri" w:hAnsi="Calibri" w:cs="Calibri"/>
        </w:rPr>
        <w:t>The DfE website encourages p</w:t>
      </w:r>
      <w:r>
        <w:rPr>
          <w:rFonts w:ascii="Calibri" w:hAnsi="Calibri" w:cs="Calibri"/>
        </w:rPr>
        <w:t xml:space="preserve">arents to use the tables to select and directly compare the performance of schools on a range of measures. </w:t>
      </w:r>
      <w:r w:rsidRPr="00952FC6">
        <w:rPr>
          <w:rFonts w:ascii="Calibri" w:hAnsi="Calibri" w:cs="Calibri"/>
        </w:rPr>
        <w:t xml:space="preserve">Yet the power of </w:t>
      </w:r>
      <w:r w:rsidR="00FA2342">
        <w:rPr>
          <w:rFonts w:ascii="Calibri" w:hAnsi="Calibri" w:cs="Calibri"/>
        </w:rPr>
        <w:t>performance</w:t>
      </w:r>
      <w:r w:rsidRPr="00952FC6">
        <w:rPr>
          <w:rFonts w:ascii="Calibri" w:hAnsi="Calibri" w:cs="Calibri"/>
        </w:rPr>
        <w:t xml:space="preserve"> tables is not equally felt amongst schools. Those schools which are deemed to be </w:t>
      </w:r>
      <w:r w:rsidR="00FA2342">
        <w:rPr>
          <w:rFonts w:ascii="Calibri" w:hAnsi="Calibri" w:cs="Calibri"/>
        </w:rPr>
        <w:t>‘</w:t>
      </w:r>
      <w:r w:rsidRPr="00952FC6">
        <w:rPr>
          <w:rFonts w:ascii="Calibri" w:hAnsi="Calibri" w:cs="Calibri"/>
        </w:rPr>
        <w:t>successful</w:t>
      </w:r>
      <w:r w:rsidR="00FA2342">
        <w:rPr>
          <w:rFonts w:ascii="Calibri" w:hAnsi="Calibri" w:cs="Calibri"/>
        </w:rPr>
        <w:t>’</w:t>
      </w:r>
      <w:r w:rsidRPr="00952FC6">
        <w:rPr>
          <w:rFonts w:ascii="Calibri" w:hAnsi="Calibri" w:cs="Calibri"/>
        </w:rPr>
        <w:t xml:space="preserve"> may have greater ability to counteract to or explain a low performance on any one measure. </w:t>
      </w:r>
      <w:r>
        <w:rPr>
          <w:rFonts w:ascii="Calibri" w:hAnsi="Calibri" w:cs="Calibri"/>
        </w:rPr>
        <w:t xml:space="preserve">For example, many independent schools do not offer English and Mathematics qualifications that </w:t>
      </w:r>
      <w:r w:rsidR="00FA2342">
        <w:rPr>
          <w:rFonts w:ascii="Calibri" w:hAnsi="Calibri" w:cs="Calibri"/>
        </w:rPr>
        <w:t>‘</w:t>
      </w:r>
      <w:r>
        <w:rPr>
          <w:rFonts w:ascii="Calibri" w:hAnsi="Calibri" w:cs="Calibri"/>
        </w:rPr>
        <w:t>count</w:t>
      </w:r>
      <w:r w:rsidR="00FA2342">
        <w:rPr>
          <w:rFonts w:ascii="Calibri" w:hAnsi="Calibri" w:cs="Calibri"/>
        </w:rPr>
        <w:t>’</w:t>
      </w:r>
      <w:r>
        <w:rPr>
          <w:rFonts w:ascii="Calibri" w:hAnsi="Calibri" w:cs="Calibri"/>
        </w:rPr>
        <w:t xml:space="preserve"> in the performance tables</w:t>
      </w:r>
      <w:r w:rsidR="0077210F">
        <w:rPr>
          <w:rFonts w:ascii="Calibri" w:hAnsi="Calibri" w:cs="Calibri"/>
        </w:rPr>
        <w:t>,</w:t>
      </w:r>
      <w:r>
        <w:rPr>
          <w:rFonts w:ascii="Calibri" w:hAnsi="Calibri" w:cs="Calibri"/>
        </w:rPr>
        <w:t xml:space="preserve"> preferring to use iGCSE</w:t>
      </w:r>
      <w:r>
        <w:rPr>
          <w:rStyle w:val="FootnoteReference"/>
          <w:rFonts w:ascii="Calibri" w:hAnsi="Calibri" w:cs="Calibri"/>
        </w:rPr>
        <w:footnoteReference w:id="14"/>
      </w:r>
      <w:r>
        <w:rPr>
          <w:rFonts w:ascii="Calibri" w:hAnsi="Calibri" w:cs="Calibri"/>
        </w:rPr>
        <w:t xml:space="preserve"> qualifications (DfE</w:t>
      </w:r>
      <w:r w:rsidR="0077210F">
        <w:rPr>
          <w:rFonts w:ascii="Calibri" w:hAnsi="Calibri" w:cs="Calibri"/>
        </w:rPr>
        <w:t>,</w:t>
      </w:r>
      <w:r>
        <w:rPr>
          <w:rFonts w:ascii="Calibri" w:hAnsi="Calibri" w:cs="Calibri"/>
        </w:rPr>
        <w:t xml:space="preserve"> 201</w:t>
      </w:r>
      <w:r w:rsidR="004B0AD4">
        <w:rPr>
          <w:rFonts w:ascii="Calibri" w:hAnsi="Calibri" w:cs="Calibri"/>
        </w:rPr>
        <w:t>4a</w:t>
      </w:r>
      <w:r>
        <w:rPr>
          <w:rFonts w:ascii="Calibri" w:hAnsi="Calibri" w:cs="Calibri"/>
        </w:rPr>
        <w:t xml:space="preserve">) yet their high educational standing may mean they are able to </w:t>
      </w:r>
      <w:r w:rsidR="00FA2342">
        <w:rPr>
          <w:rFonts w:ascii="Calibri" w:hAnsi="Calibri" w:cs="Calibri"/>
        </w:rPr>
        <w:t>‘</w:t>
      </w:r>
      <w:r>
        <w:rPr>
          <w:rFonts w:ascii="Calibri" w:hAnsi="Calibri" w:cs="Calibri"/>
        </w:rPr>
        <w:t>explain</w:t>
      </w:r>
      <w:r w:rsidR="00FA2342">
        <w:rPr>
          <w:rFonts w:ascii="Calibri" w:hAnsi="Calibri" w:cs="Calibri"/>
        </w:rPr>
        <w:t>’</w:t>
      </w:r>
      <w:r>
        <w:rPr>
          <w:rFonts w:ascii="Calibri" w:hAnsi="Calibri" w:cs="Calibri"/>
        </w:rPr>
        <w:t xml:space="preserve"> their apparent low ranking in the tables to a parental clientele who are willing to look beyond the headline figures and take the time to inquire about the reasons behind them. On the other hand, </w:t>
      </w:r>
      <w:r w:rsidRPr="00952FC6">
        <w:rPr>
          <w:rFonts w:ascii="Calibri" w:hAnsi="Calibri" w:cs="Calibri"/>
        </w:rPr>
        <w:t xml:space="preserve">those schools deemed to be </w:t>
      </w:r>
      <w:r w:rsidR="00FA2342">
        <w:rPr>
          <w:rFonts w:ascii="Calibri" w:hAnsi="Calibri" w:cs="Calibri"/>
        </w:rPr>
        <w:t>‘</w:t>
      </w:r>
      <w:r w:rsidRPr="00952FC6">
        <w:rPr>
          <w:rFonts w:ascii="Calibri" w:hAnsi="Calibri" w:cs="Calibri"/>
        </w:rPr>
        <w:t>failing</w:t>
      </w:r>
      <w:r w:rsidR="00FA2342">
        <w:rPr>
          <w:rFonts w:ascii="Calibri" w:hAnsi="Calibri" w:cs="Calibri"/>
        </w:rPr>
        <w:t>’</w:t>
      </w:r>
      <w:r w:rsidRPr="00952FC6">
        <w:rPr>
          <w:rFonts w:ascii="Calibri" w:hAnsi="Calibri" w:cs="Calibri"/>
        </w:rPr>
        <w:t xml:space="preserve"> or </w:t>
      </w:r>
      <w:r w:rsidR="00FA2342">
        <w:rPr>
          <w:rFonts w:ascii="Calibri" w:hAnsi="Calibri" w:cs="Calibri"/>
        </w:rPr>
        <w:t>‘</w:t>
      </w:r>
      <w:r w:rsidRPr="00952FC6">
        <w:rPr>
          <w:rFonts w:ascii="Calibri" w:hAnsi="Calibri" w:cs="Calibri"/>
        </w:rPr>
        <w:t>low achieving</w:t>
      </w:r>
      <w:r w:rsidR="00FA2342">
        <w:rPr>
          <w:rFonts w:ascii="Calibri" w:hAnsi="Calibri" w:cs="Calibri"/>
        </w:rPr>
        <w:t>’</w:t>
      </w:r>
      <w:r w:rsidRPr="00952FC6">
        <w:rPr>
          <w:rFonts w:ascii="Calibri" w:hAnsi="Calibri" w:cs="Calibri"/>
        </w:rPr>
        <w:t xml:space="preserve"> may find that they are placed under even greater </w:t>
      </w:r>
      <w:r w:rsidRPr="00952FC6">
        <w:rPr>
          <w:rFonts w:ascii="Calibri" w:hAnsi="Calibri" w:cs="Calibri"/>
        </w:rPr>
        <w:lastRenderedPageBreak/>
        <w:t>pressure by</w:t>
      </w:r>
      <w:r>
        <w:rPr>
          <w:rFonts w:ascii="Calibri" w:hAnsi="Calibri" w:cs="Calibri"/>
        </w:rPr>
        <w:t xml:space="preserve"> </w:t>
      </w:r>
      <w:r w:rsidRPr="00952FC6">
        <w:rPr>
          <w:rFonts w:ascii="Calibri" w:hAnsi="Calibri" w:cs="Calibri"/>
        </w:rPr>
        <w:t xml:space="preserve">a </w:t>
      </w:r>
      <w:r>
        <w:rPr>
          <w:rFonts w:ascii="Calibri" w:hAnsi="Calibri" w:cs="Calibri"/>
        </w:rPr>
        <w:t xml:space="preserve">low or falling </w:t>
      </w:r>
      <w:r w:rsidRPr="00952FC6">
        <w:rPr>
          <w:rFonts w:ascii="Calibri" w:hAnsi="Calibri" w:cs="Calibri"/>
        </w:rPr>
        <w:t>performance measure</w:t>
      </w:r>
      <w:r w:rsidR="0077210F">
        <w:rPr>
          <w:rFonts w:ascii="Calibri" w:hAnsi="Calibri" w:cs="Calibri"/>
        </w:rPr>
        <w:t>,</w:t>
      </w:r>
      <w:r>
        <w:rPr>
          <w:rFonts w:ascii="Calibri" w:hAnsi="Calibri" w:cs="Calibri"/>
        </w:rPr>
        <w:t xml:space="preserve"> which generates close scrutiny from the LA or the Office for Standards in Education, Children’s Services and Skills (Ofsted)</w:t>
      </w:r>
      <w:r>
        <w:rPr>
          <w:rStyle w:val="FootnoteReference"/>
          <w:rFonts w:ascii="Calibri" w:hAnsi="Calibri" w:cs="Calibri"/>
        </w:rPr>
        <w:footnoteReference w:id="15"/>
      </w:r>
      <w:r>
        <w:rPr>
          <w:rFonts w:ascii="Calibri" w:hAnsi="Calibri" w:cs="Calibri"/>
        </w:rPr>
        <w:t xml:space="preserve"> and indeed the press. Such scrutiny may then result in fewer students applying to attend the</w:t>
      </w:r>
      <w:r w:rsidR="0077210F">
        <w:rPr>
          <w:rFonts w:ascii="Calibri" w:hAnsi="Calibri" w:cs="Calibri"/>
        </w:rPr>
        <w:t>se</w:t>
      </w:r>
      <w:r>
        <w:rPr>
          <w:rFonts w:ascii="Calibri" w:hAnsi="Calibri" w:cs="Calibri"/>
        </w:rPr>
        <w:t xml:space="preserve"> school</w:t>
      </w:r>
      <w:r w:rsidR="0077210F">
        <w:rPr>
          <w:rFonts w:ascii="Calibri" w:hAnsi="Calibri" w:cs="Calibri"/>
        </w:rPr>
        <w:t>s,</w:t>
      </w:r>
      <w:r>
        <w:rPr>
          <w:rFonts w:ascii="Calibri" w:hAnsi="Calibri" w:cs="Calibri"/>
        </w:rPr>
        <w:t xml:space="preserve"> which</w:t>
      </w:r>
      <w:r w:rsidR="0077210F">
        <w:rPr>
          <w:rFonts w:ascii="Calibri" w:hAnsi="Calibri" w:cs="Calibri"/>
        </w:rPr>
        <w:t xml:space="preserve"> then</w:t>
      </w:r>
      <w:r>
        <w:rPr>
          <w:rFonts w:ascii="Calibri" w:hAnsi="Calibri" w:cs="Calibri"/>
        </w:rPr>
        <w:t xml:space="preserve"> results in the</w:t>
      </w:r>
      <w:r w:rsidR="0077210F">
        <w:rPr>
          <w:rFonts w:ascii="Calibri" w:hAnsi="Calibri" w:cs="Calibri"/>
        </w:rPr>
        <w:t>m</w:t>
      </w:r>
      <w:r>
        <w:rPr>
          <w:rFonts w:ascii="Calibri" w:hAnsi="Calibri" w:cs="Calibri"/>
        </w:rPr>
        <w:t xml:space="preserve"> receiving less funding. </w:t>
      </w:r>
      <w:r w:rsidRPr="00952FC6">
        <w:rPr>
          <w:rFonts w:ascii="Calibri" w:hAnsi="Calibri" w:cs="Calibri"/>
        </w:rPr>
        <w:t xml:space="preserve">Ironically, the EBac range of </w:t>
      </w:r>
      <w:r>
        <w:rPr>
          <w:rFonts w:ascii="Calibri" w:hAnsi="Calibri" w:cs="Calibri"/>
        </w:rPr>
        <w:t xml:space="preserve">GCSE </w:t>
      </w:r>
      <w:r w:rsidRPr="00952FC6">
        <w:rPr>
          <w:rFonts w:ascii="Calibri" w:hAnsi="Calibri" w:cs="Calibri"/>
        </w:rPr>
        <w:t xml:space="preserve">subjects is ideally suited to the traditional curriculum of the </w:t>
      </w:r>
      <w:r>
        <w:rPr>
          <w:rFonts w:ascii="Calibri" w:hAnsi="Calibri" w:cs="Calibri"/>
        </w:rPr>
        <w:t xml:space="preserve">independent </w:t>
      </w:r>
      <w:r w:rsidRPr="00952FC6">
        <w:rPr>
          <w:rFonts w:ascii="Calibri" w:hAnsi="Calibri" w:cs="Calibri"/>
        </w:rPr>
        <w:t>and selective state school (</w:t>
      </w:r>
      <w:r>
        <w:rPr>
          <w:rFonts w:ascii="Calibri" w:hAnsi="Calibri" w:cs="Calibri"/>
        </w:rPr>
        <w:t>g</w:t>
      </w:r>
      <w:r w:rsidRPr="00952FC6">
        <w:rPr>
          <w:rFonts w:ascii="Calibri" w:hAnsi="Calibri" w:cs="Calibri"/>
        </w:rPr>
        <w:t>rammar school</w:t>
      </w:r>
      <w:r w:rsidRPr="00952FC6">
        <w:rPr>
          <w:rStyle w:val="FootnoteReference1"/>
          <w:rFonts w:ascii="Calibri" w:hAnsi="Calibri" w:cs="Calibri"/>
          <w:sz w:val="24"/>
        </w:rPr>
        <w:footnoteReference w:id="16"/>
      </w:r>
      <w:r w:rsidRPr="00952FC6">
        <w:rPr>
          <w:rFonts w:ascii="Calibri" w:hAnsi="Calibri" w:cs="Calibri"/>
        </w:rPr>
        <w:t>)</w:t>
      </w:r>
      <w:r>
        <w:rPr>
          <w:rFonts w:ascii="Calibri" w:hAnsi="Calibri" w:cs="Calibri"/>
        </w:rPr>
        <w:t xml:space="preserve"> </w:t>
      </w:r>
      <w:r w:rsidRPr="00952FC6">
        <w:rPr>
          <w:rFonts w:ascii="Calibri" w:hAnsi="Calibri" w:cs="Calibri"/>
        </w:rPr>
        <w:t xml:space="preserve">sector. </w:t>
      </w:r>
      <w:r>
        <w:rPr>
          <w:rFonts w:ascii="Calibri" w:hAnsi="Calibri" w:cs="Calibri"/>
        </w:rPr>
        <w:t>S</w:t>
      </w:r>
      <w:r w:rsidRPr="00952FC6">
        <w:rPr>
          <w:rFonts w:ascii="Calibri" w:hAnsi="Calibri" w:cs="Calibri"/>
        </w:rPr>
        <w:t xml:space="preserve">uch schools perform well on the EBac measure without any alteration to their curriculum. For an </w:t>
      </w:r>
      <w:r>
        <w:rPr>
          <w:rFonts w:ascii="Calibri" w:hAnsi="Calibri" w:cs="Calibri"/>
        </w:rPr>
        <w:t>academy</w:t>
      </w:r>
      <w:r w:rsidR="007D3586">
        <w:rPr>
          <w:rStyle w:val="FootnoteReference1"/>
        </w:rPr>
        <w:t xml:space="preserve"> </w:t>
      </w:r>
      <w:r w:rsidRPr="00952FC6">
        <w:rPr>
          <w:rFonts w:ascii="Calibri" w:hAnsi="Calibri" w:cs="Calibri"/>
        </w:rPr>
        <w:t xml:space="preserve">with a much more diverse curriculum spanning vocational as well as academic subjects, success </w:t>
      </w:r>
      <w:r w:rsidR="0077210F">
        <w:rPr>
          <w:rFonts w:ascii="Calibri" w:hAnsi="Calibri" w:cs="Calibri"/>
        </w:rPr>
        <w:t xml:space="preserve">as measured by </w:t>
      </w:r>
      <w:r w:rsidRPr="00952FC6">
        <w:rPr>
          <w:rFonts w:ascii="Calibri" w:hAnsi="Calibri" w:cs="Calibri"/>
        </w:rPr>
        <w:t xml:space="preserve">EBac </w:t>
      </w:r>
      <w:r>
        <w:rPr>
          <w:rFonts w:ascii="Calibri" w:hAnsi="Calibri" w:cs="Calibri"/>
        </w:rPr>
        <w:t xml:space="preserve">is likely to incur </w:t>
      </w:r>
      <w:r w:rsidRPr="00952FC6">
        <w:rPr>
          <w:rFonts w:ascii="Calibri" w:hAnsi="Calibri" w:cs="Calibri"/>
        </w:rPr>
        <w:t>a high cost in terms of curriculum and cultural change</w:t>
      </w:r>
      <w:r>
        <w:rPr>
          <w:rFonts w:ascii="Calibri" w:hAnsi="Calibri" w:cs="Calibri"/>
        </w:rPr>
        <w:t xml:space="preserve"> if their pre EBac curriculum was predominately structured towards vocational qualifications or non-traditional GCSE subjects such as Sociology, Media Studies or Physical Education (PE)</w:t>
      </w:r>
      <w:r w:rsidRPr="00952FC6">
        <w:rPr>
          <w:rFonts w:ascii="Calibri" w:hAnsi="Calibri" w:cs="Calibri"/>
        </w:rPr>
        <w:t xml:space="preserve">. Many of these concerns were explored by a Select Committee </w:t>
      </w:r>
      <w:r>
        <w:rPr>
          <w:rFonts w:ascii="Calibri" w:hAnsi="Calibri" w:cs="Calibri"/>
        </w:rPr>
        <w:t>R</w:t>
      </w:r>
      <w:r w:rsidRPr="00952FC6">
        <w:rPr>
          <w:rFonts w:ascii="Calibri" w:hAnsi="Calibri" w:cs="Calibri"/>
        </w:rPr>
        <w:t>eview into the E</w:t>
      </w:r>
      <w:r>
        <w:rPr>
          <w:rFonts w:ascii="Calibri" w:hAnsi="Calibri" w:cs="Calibri"/>
        </w:rPr>
        <w:t>Bac</w:t>
      </w:r>
      <w:r w:rsidR="0077210F">
        <w:rPr>
          <w:rFonts w:ascii="Calibri" w:hAnsi="Calibri" w:cs="Calibri"/>
        </w:rPr>
        <w:t>,</w:t>
      </w:r>
      <w:r w:rsidRPr="00952FC6">
        <w:rPr>
          <w:rFonts w:ascii="Calibri" w:hAnsi="Calibri" w:cs="Calibri"/>
        </w:rPr>
        <w:t xml:space="preserve"> published 19</w:t>
      </w:r>
      <w:r w:rsidRPr="00952FC6">
        <w:rPr>
          <w:rFonts w:ascii="Calibri" w:hAnsi="Calibri" w:cs="Calibri"/>
          <w:vertAlign w:val="superscript"/>
        </w:rPr>
        <w:t>th</w:t>
      </w:r>
      <w:r w:rsidRPr="00952FC6">
        <w:rPr>
          <w:rFonts w:ascii="Calibri" w:hAnsi="Calibri" w:cs="Calibri"/>
        </w:rPr>
        <w:t xml:space="preserve"> July 2011 (Education Committee</w:t>
      </w:r>
      <w:r w:rsidR="0077210F">
        <w:rPr>
          <w:rFonts w:ascii="Calibri" w:hAnsi="Calibri" w:cs="Calibri"/>
        </w:rPr>
        <w:t>,</w:t>
      </w:r>
      <w:r w:rsidRPr="00952FC6">
        <w:rPr>
          <w:rFonts w:ascii="Calibri" w:hAnsi="Calibri" w:cs="Calibri"/>
        </w:rPr>
        <w:t xml:space="preserve"> 2011). The findings and recommendations of this committee will be critically considered</w:t>
      </w:r>
      <w:r>
        <w:rPr>
          <w:rFonts w:ascii="Calibri" w:hAnsi="Calibri" w:cs="Calibri"/>
        </w:rPr>
        <w:t xml:space="preserve"> in </w:t>
      </w:r>
      <w:r w:rsidR="0077210F">
        <w:rPr>
          <w:rFonts w:ascii="Calibri" w:hAnsi="Calibri" w:cs="Calibri"/>
        </w:rPr>
        <w:t>C</w:t>
      </w:r>
      <w:r>
        <w:rPr>
          <w:rFonts w:ascii="Calibri" w:hAnsi="Calibri" w:cs="Calibri"/>
        </w:rPr>
        <w:t>hapter 2</w:t>
      </w:r>
      <w:r w:rsidRPr="00952FC6">
        <w:rPr>
          <w:rFonts w:ascii="Calibri" w:hAnsi="Calibri" w:cs="Calibri"/>
        </w:rPr>
        <w:t>.</w:t>
      </w:r>
    </w:p>
    <w:p w14:paraId="7D1C0D24" w14:textId="77777777" w:rsidR="00595124" w:rsidRDefault="00595124" w:rsidP="00595124">
      <w:pPr>
        <w:pStyle w:val="Default"/>
        <w:tabs>
          <w:tab w:val="left" w:pos="8222"/>
          <w:tab w:val="left" w:pos="8364"/>
        </w:tabs>
        <w:spacing w:line="360" w:lineRule="auto"/>
      </w:pPr>
    </w:p>
    <w:p w14:paraId="069C0AAD" w14:textId="15929B12" w:rsidR="00A75A8F" w:rsidRPr="00952FC6" w:rsidRDefault="00A75A8F" w:rsidP="00A75A8F">
      <w:pPr>
        <w:tabs>
          <w:tab w:val="left" w:pos="1485"/>
          <w:tab w:val="left" w:pos="8364"/>
        </w:tabs>
        <w:spacing w:line="360" w:lineRule="auto"/>
        <w:rPr>
          <w:rFonts w:cs="Calibri"/>
          <w:sz w:val="24"/>
        </w:rPr>
      </w:pPr>
      <w:r w:rsidRPr="00952FC6">
        <w:rPr>
          <w:rFonts w:cs="Calibri"/>
          <w:sz w:val="24"/>
        </w:rPr>
        <w:t>The</w:t>
      </w:r>
      <w:r>
        <w:rPr>
          <w:rFonts w:cs="Calibri"/>
          <w:sz w:val="24"/>
        </w:rPr>
        <w:t xml:space="preserve"> EBac</w:t>
      </w:r>
      <w:r w:rsidRPr="00952FC6">
        <w:rPr>
          <w:rFonts w:cs="Calibri"/>
          <w:sz w:val="24"/>
        </w:rPr>
        <w:t xml:space="preserve">, with </w:t>
      </w:r>
      <w:r>
        <w:rPr>
          <w:rFonts w:cs="Calibri"/>
          <w:sz w:val="24"/>
        </w:rPr>
        <w:t>its</w:t>
      </w:r>
      <w:r w:rsidRPr="00952FC6">
        <w:rPr>
          <w:rFonts w:cs="Calibri"/>
          <w:sz w:val="24"/>
        </w:rPr>
        <w:t xml:space="preserve"> focus on a narrow, traditional</w:t>
      </w:r>
      <w:r>
        <w:rPr>
          <w:rFonts w:cs="Calibri"/>
          <w:sz w:val="24"/>
        </w:rPr>
        <w:t>,</w:t>
      </w:r>
      <w:r w:rsidRPr="00952FC6">
        <w:rPr>
          <w:rFonts w:cs="Calibri"/>
          <w:sz w:val="24"/>
        </w:rPr>
        <w:t xml:space="preserve"> academic set of subjects and assessment</w:t>
      </w:r>
      <w:r w:rsidR="0077210F">
        <w:rPr>
          <w:rFonts w:cs="Calibri"/>
          <w:sz w:val="24"/>
        </w:rPr>
        <w:t xml:space="preserve"> methods</w:t>
      </w:r>
      <w:r>
        <w:rPr>
          <w:rFonts w:cs="Calibri"/>
          <w:sz w:val="24"/>
        </w:rPr>
        <w:t>,</w:t>
      </w:r>
      <w:r w:rsidRPr="00952FC6">
        <w:rPr>
          <w:rFonts w:cs="Calibri"/>
          <w:sz w:val="24"/>
        </w:rPr>
        <w:t xml:space="preserve"> ideally match</w:t>
      </w:r>
      <w:r>
        <w:rPr>
          <w:rFonts w:cs="Calibri"/>
          <w:sz w:val="24"/>
        </w:rPr>
        <w:t>es</w:t>
      </w:r>
      <w:r w:rsidRPr="00952FC6">
        <w:rPr>
          <w:rFonts w:cs="Calibri"/>
          <w:sz w:val="24"/>
        </w:rPr>
        <w:t xml:space="preserve"> the curriculum </w:t>
      </w:r>
      <w:r>
        <w:rPr>
          <w:rFonts w:cs="Calibri"/>
          <w:sz w:val="24"/>
        </w:rPr>
        <w:t xml:space="preserve">on </w:t>
      </w:r>
      <w:r w:rsidRPr="00952FC6">
        <w:rPr>
          <w:rFonts w:cs="Calibri"/>
          <w:sz w:val="24"/>
        </w:rPr>
        <w:t>offer in a certain sector of schools within the English system. Th</w:t>
      </w:r>
      <w:r>
        <w:rPr>
          <w:rFonts w:cs="Calibri"/>
          <w:sz w:val="24"/>
        </w:rPr>
        <w:t>e</w:t>
      </w:r>
      <w:r w:rsidRPr="00952FC6">
        <w:rPr>
          <w:rFonts w:cs="Calibri"/>
          <w:sz w:val="24"/>
        </w:rPr>
        <w:t xml:space="preserve"> range of subjects corresponds to the educational ambitions of middle class</w:t>
      </w:r>
      <w:r>
        <w:rPr>
          <w:rStyle w:val="FootnoteReference"/>
          <w:rFonts w:cs="Calibri"/>
          <w:sz w:val="24"/>
        </w:rPr>
        <w:footnoteReference w:id="17"/>
      </w:r>
      <w:r w:rsidR="0077210F">
        <w:rPr>
          <w:rFonts w:cs="Calibri"/>
          <w:sz w:val="24"/>
        </w:rPr>
        <w:t xml:space="preserve"> parents</w:t>
      </w:r>
      <w:r w:rsidRPr="00952FC6">
        <w:rPr>
          <w:rFonts w:cs="Calibri"/>
          <w:sz w:val="24"/>
        </w:rPr>
        <w:t>, for whom this curriculum often resona</w:t>
      </w:r>
      <w:r w:rsidR="008534EB">
        <w:rPr>
          <w:rFonts w:cs="Calibri"/>
          <w:sz w:val="24"/>
        </w:rPr>
        <w:t>tes</w:t>
      </w:r>
      <w:r w:rsidRPr="00952FC6">
        <w:rPr>
          <w:rFonts w:cs="Calibri"/>
          <w:sz w:val="24"/>
        </w:rPr>
        <w:t xml:space="preserve"> with their own education</w:t>
      </w:r>
      <w:r>
        <w:rPr>
          <w:rFonts w:cs="Calibri"/>
          <w:sz w:val="24"/>
        </w:rPr>
        <w:t xml:space="preserve">al experiences </w:t>
      </w:r>
      <w:r w:rsidRPr="00952FC6">
        <w:rPr>
          <w:rFonts w:cs="Calibri"/>
          <w:sz w:val="24"/>
        </w:rPr>
        <w:t>and is seen as a route to university</w:t>
      </w:r>
      <w:r>
        <w:rPr>
          <w:rFonts w:cs="Calibri"/>
          <w:sz w:val="24"/>
        </w:rPr>
        <w:t xml:space="preserve"> (Reay</w:t>
      </w:r>
      <w:r w:rsidR="0077210F">
        <w:rPr>
          <w:rFonts w:cs="Calibri"/>
          <w:sz w:val="24"/>
        </w:rPr>
        <w:t xml:space="preserve"> et al., </w:t>
      </w:r>
      <w:r>
        <w:rPr>
          <w:rFonts w:cs="Calibri"/>
          <w:sz w:val="24"/>
        </w:rPr>
        <w:t>2005)</w:t>
      </w:r>
      <w:r w:rsidRPr="00952FC6">
        <w:rPr>
          <w:rFonts w:cs="Calibri"/>
          <w:sz w:val="24"/>
        </w:rPr>
        <w:t xml:space="preserve">. I </w:t>
      </w:r>
      <w:r>
        <w:rPr>
          <w:rFonts w:cs="Calibri"/>
          <w:sz w:val="24"/>
        </w:rPr>
        <w:t xml:space="preserve">suspect </w:t>
      </w:r>
      <w:r w:rsidRPr="00952FC6">
        <w:rPr>
          <w:rFonts w:cs="Calibri"/>
          <w:sz w:val="24"/>
        </w:rPr>
        <w:t xml:space="preserve">that using the EBac as a performance measure will enhance the educational chances and opportunities of some schools and students and conversely disadvantage others. I therefore argue that the EBac presents a number of social justice issues which warrant identification, discussion and evaluation. </w:t>
      </w:r>
    </w:p>
    <w:p w14:paraId="10B29A34" w14:textId="426DEB50" w:rsidR="00A75A8F" w:rsidRPr="00952FC6" w:rsidRDefault="00A75A8F" w:rsidP="00A23EDF">
      <w:pPr>
        <w:pStyle w:val="Default"/>
        <w:spacing w:after="200" w:line="360" w:lineRule="auto"/>
        <w:rPr>
          <w:rFonts w:ascii="Calibri" w:hAnsi="Calibri" w:cs="Calibri"/>
        </w:rPr>
      </w:pPr>
      <w:r w:rsidRPr="00952FC6">
        <w:rPr>
          <w:rFonts w:ascii="Calibri" w:hAnsi="Calibri" w:cs="Calibri"/>
        </w:rPr>
        <w:lastRenderedPageBreak/>
        <w:t xml:space="preserve"> </w:t>
      </w:r>
      <w:r>
        <w:rPr>
          <w:rFonts w:ascii="Calibri" w:hAnsi="Calibri" w:cs="Calibri"/>
        </w:rPr>
        <w:t>After considering the complex educational and political context in which the EBac policy is situated</w:t>
      </w:r>
      <w:r w:rsidR="008534EB">
        <w:rPr>
          <w:rFonts w:ascii="Calibri" w:hAnsi="Calibri" w:cs="Calibri"/>
        </w:rPr>
        <w:t>,</w:t>
      </w:r>
      <w:r>
        <w:rPr>
          <w:rFonts w:ascii="Calibri" w:hAnsi="Calibri" w:cs="Calibri"/>
        </w:rPr>
        <w:t xml:space="preserve"> I now consider the particular focus of my study.</w:t>
      </w:r>
    </w:p>
    <w:p w14:paraId="2ED2729E" w14:textId="77777777" w:rsidR="00A75A8F" w:rsidRPr="00952FC6" w:rsidRDefault="00A75A8F" w:rsidP="00531995">
      <w:pPr>
        <w:pStyle w:val="Heading2"/>
      </w:pPr>
      <w:bookmarkStart w:id="6" w:name="_Toc452316291"/>
      <w:r w:rsidRPr="00952FC6">
        <w:t>1.3 Focus of the study</w:t>
      </w:r>
      <w:bookmarkEnd w:id="6"/>
    </w:p>
    <w:p w14:paraId="5EAA5C76" w14:textId="77777777" w:rsidR="00990CDE" w:rsidRDefault="00A75A8F" w:rsidP="00A75A8F">
      <w:pPr>
        <w:tabs>
          <w:tab w:val="left" w:pos="1485"/>
        </w:tabs>
        <w:spacing w:line="360" w:lineRule="auto"/>
        <w:rPr>
          <w:rFonts w:cs="Calibri"/>
          <w:sz w:val="24"/>
        </w:rPr>
      </w:pPr>
      <w:r w:rsidRPr="00952FC6">
        <w:rPr>
          <w:rFonts w:cs="Calibri"/>
          <w:sz w:val="24"/>
        </w:rPr>
        <w:t>O’Leary argues that “moving from a problem suitable to research to a research question is an essential starting point” (2005</w:t>
      </w:r>
      <w:r w:rsidR="008534EB">
        <w:rPr>
          <w:rFonts w:cs="Calibri"/>
          <w:sz w:val="24"/>
        </w:rPr>
        <w:t>,</w:t>
      </w:r>
      <w:r w:rsidRPr="00952FC6">
        <w:rPr>
          <w:rFonts w:cs="Calibri"/>
          <w:sz w:val="24"/>
        </w:rPr>
        <w:t xml:space="preserve"> p.32). While this may seem self-evident, the process of moving from one position to the other is not straightforward. The EBac</w:t>
      </w:r>
      <w:r>
        <w:rPr>
          <w:rFonts w:cs="Calibri"/>
          <w:sz w:val="24"/>
        </w:rPr>
        <w:t xml:space="preserve"> is </w:t>
      </w:r>
      <w:r w:rsidRPr="00952FC6">
        <w:rPr>
          <w:rFonts w:cs="Calibri"/>
          <w:sz w:val="24"/>
        </w:rPr>
        <w:t>a collection of five GCSE subjects</w:t>
      </w:r>
      <w:r w:rsidR="008534EB">
        <w:rPr>
          <w:rFonts w:cs="Calibri"/>
          <w:sz w:val="24"/>
        </w:rPr>
        <w:t>,</w:t>
      </w:r>
      <w:r>
        <w:rPr>
          <w:rFonts w:cs="Calibri"/>
          <w:sz w:val="24"/>
        </w:rPr>
        <w:t xml:space="preserve"> </w:t>
      </w:r>
      <w:r w:rsidRPr="00952FC6">
        <w:rPr>
          <w:rFonts w:cs="Calibri"/>
          <w:sz w:val="24"/>
        </w:rPr>
        <w:t xml:space="preserve">all of which must be achieved at grade C or above. </w:t>
      </w:r>
      <w:r>
        <w:rPr>
          <w:rFonts w:cs="Calibri"/>
          <w:sz w:val="24"/>
        </w:rPr>
        <w:t>Achieving success in a</w:t>
      </w:r>
      <w:r w:rsidRPr="00952FC6">
        <w:rPr>
          <w:rFonts w:cs="Calibri"/>
          <w:sz w:val="24"/>
        </w:rPr>
        <w:t xml:space="preserve">ny </w:t>
      </w:r>
      <w:r>
        <w:rPr>
          <w:rFonts w:cs="Calibri"/>
          <w:sz w:val="24"/>
        </w:rPr>
        <w:t xml:space="preserve">one </w:t>
      </w:r>
      <w:r w:rsidRPr="00952FC6">
        <w:rPr>
          <w:rFonts w:cs="Calibri"/>
          <w:sz w:val="24"/>
        </w:rPr>
        <w:t>of these subjects individually is not necessarily a problem for either students or schools</w:t>
      </w:r>
      <w:r w:rsidR="008534EB">
        <w:rPr>
          <w:rFonts w:cs="Calibri"/>
          <w:sz w:val="24"/>
        </w:rPr>
        <w:t>,</w:t>
      </w:r>
      <w:r>
        <w:rPr>
          <w:rFonts w:cs="Calibri"/>
          <w:sz w:val="24"/>
        </w:rPr>
        <w:t xml:space="preserve"> as the majority of schools </w:t>
      </w:r>
      <w:r w:rsidR="008534EB">
        <w:rPr>
          <w:rFonts w:cs="Calibri"/>
          <w:sz w:val="24"/>
        </w:rPr>
        <w:t xml:space="preserve">allow </w:t>
      </w:r>
      <w:r>
        <w:rPr>
          <w:rFonts w:cs="Calibri"/>
          <w:sz w:val="24"/>
        </w:rPr>
        <w:t>students to select these subjects</w:t>
      </w:r>
      <w:r w:rsidR="008534EB">
        <w:rPr>
          <w:rFonts w:cs="Calibri"/>
          <w:sz w:val="24"/>
        </w:rPr>
        <w:t>:</w:t>
      </w:r>
      <w:r>
        <w:rPr>
          <w:rFonts w:cs="Calibri"/>
          <w:sz w:val="24"/>
        </w:rPr>
        <w:t xml:space="preserve"> “98% of schools offered the choice of subjects that enable their pupils to study towards the EBac” (Greevy et al 2012, p.24)</w:t>
      </w:r>
      <w:r w:rsidRPr="00952FC6">
        <w:rPr>
          <w:rFonts w:cs="Calibri"/>
          <w:sz w:val="24"/>
        </w:rPr>
        <w:t>. It is the combination of what</w:t>
      </w:r>
      <w:r>
        <w:rPr>
          <w:rFonts w:cs="Calibri"/>
          <w:sz w:val="24"/>
        </w:rPr>
        <w:t>,</w:t>
      </w:r>
      <w:r w:rsidRPr="00952FC6">
        <w:rPr>
          <w:rFonts w:cs="Calibri"/>
          <w:sz w:val="24"/>
        </w:rPr>
        <w:t xml:space="preserve"> for some students</w:t>
      </w:r>
      <w:r w:rsidR="008534EB">
        <w:rPr>
          <w:rFonts w:cs="Calibri"/>
          <w:sz w:val="24"/>
        </w:rPr>
        <w:t>,</w:t>
      </w:r>
      <w:r w:rsidRPr="00952FC6">
        <w:rPr>
          <w:rFonts w:cs="Calibri"/>
          <w:sz w:val="24"/>
        </w:rPr>
        <w:t xml:space="preserve"> </w:t>
      </w:r>
      <w:r w:rsidR="008534EB">
        <w:rPr>
          <w:rFonts w:cs="Calibri"/>
          <w:sz w:val="24"/>
        </w:rPr>
        <w:t>is</w:t>
      </w:r>
      <w:r>
        <w:rPr>
          <w:rFonts w:cs="Calibri"/>
          <w:sz w:val="24"/>
        </w:rPr>
        <w:t xml:space="preserve"> </w:t>
      </w:r>
      <w:r w:rsidRPr="00952FC6">
        <w:rPr>
          <w:rFonts w:cs="Calibri"/>
          <w:sz w:val="24"/>
        </w:rPr>
        <w:t xml:space="preserve">an arbitrary collection of GCSE subjects that </w:t>
      </w:r>
      <w:r>
        <w:rPr>
          <w:rFonts w:cs="Calibri"/>
          <w:sz w:val="24"/>
        </w:rPr>
        <w:t>potentially</w:t>
      </w:r>
      <w:r w:rsidRPr="00952FC6">
        <w:rPr>
          <w:rFonts w:cs="Calibri"/>
          <w:sz w:val="24"/>
        </w:rPr>
        <w:t xml:space="preserve"> prove</w:t>
      </w:r>
      <w:r>
        <w:rPr>
          <w:rFonts w:cs="Calibri"/>
          <w:sz w:val="24"/>
        </w:rPr>
        <w:t>s</w:t>
      </w:r>
      <w:r w:rsidRPr="00952FC6">
        <w:rPr>
          <w:rFonts w:cs="Calibri"/>
          <w:sz w:val="24"/>
        </w:rPr>
        <w:t xml:space="preserve"> problematic.</w:t>
      </w:r>
      <w:r>
        <w:rPr>
          <w:rFonts w:cs="Calibri"/>
          <w:sz w:val="24"/>
        </w:rPr>
        <w:t xml:space="preserve"> </w:t>
      </w:r>
    </w:p>
    <w:p w14:paraId="21A0DE24" w14:textId="57914073" w:rsidR="00F90E8D" w:rsidRDefault="00A75A8F" w:rsidP="00A23EDF">
      <w:pPr>
        <w:tabs>
          <w:tab w:val="left" w:pos="1485"/>
        </w:tabs>
        <w:spacing w:line="360" w:lineRule="auto"/>
        <w:rPr>
          <w:rFonts w:cs="Calibri"/>
          <w:sz w:val="24"/>
        </w:rPr>
      </w:pPr>
      <w:r>
        <w:rPr>
          <w:rFonts w:cs="Calibri"/>
          <w:sz w:val="24"/>
        </w:rPr>
        <w:t>The move by the Labour administration to classify all qualifications studied at age 16 as GCSE</w:t>
      </w:r>
      <w:r w:rsidR="008534EB">
        <w:rPr>
          <w:rFonts w:cs="Calibri"/>
          <w:sz w:val="24"/>
        </w:rPr>
        <w:t xml:space="preserve"> equivalents</w:t>
      </w:r>
      <w:r>
        <w:rPr>
          <w:rFonts w:cs="Calibri"/>
          <w:sz w:val="24"/>
        </w:rPr>
        <w:t xml:space="preserve"> ensured the equal treatment of different qualifications by the performance tables. All qualifications were allocated a set number of points and could therefore be equated and compared. </w:t>
      </w:r>
      <w:r w:rsidR="008534EB">
        <w:rPr>
          <w:rFonts w:cs="Calibri"/>
          <w:sz w:val="24"/>
        </w:rPr>
        <w:t>T</w:t>
      </w:r>
      <w:r w:rsidRPr="00952FC6">
        <w:rPr>
          <w:rFonts w:cs="Calibri"/>
          <w:sz w:val="24"/>
        </w:rPr>
        <w:t>he EBac has</w:t>
      </w:r>
      <w:r w:rsidR="008534EB">
        <w:rPr>
          <w:rFonts w:cs="Calibri"/>
          <w:sz w:val="24"/>
        </w:rPr>
        <w:t>, however,</w:t>
      </w:r>
      <w:r w:rsidRPr="00952FC6">
        <w:rPr>
          <w:rFonts w:cs="Calibri"/>
          <w:sz w:val="24"/>
        </w:rPr>
        <w:t xml:space="preserve"> changed the value placed on particular subjects and type of qualification</w:t>
      </w:r>
      <w:r>
        <w:rPr>
          <w:rFonts w:cs="Calibri"/>
          <w:sz w:val="24"/>
        </w:rPr>
        <w:t xml:space="preserve"> in the sense that EBac subjects </w:t>
      </w:r>
      <w:r w:rsidR="00F835A2">
        <w:rPr>
          <w:rFonts w:cs="Calibri"/>
          <w:sz w:val="24"/>
        </w:rPr>
        <w:t>are</w:t>
      </w:r>
      <w:r>
        <w:rPr>
          <w:rFonts w:cs="Calibri"/>
          <w:sz w:val="24"/>
        </w:rPr>
        <w:t xml:space="preserve"> of greater value </w:t>
      </w:r>
      <w:r w:rsidR="00F835A2">
        <w:rPr>
          <w:rFonts w:cs="Calibri"/>
          <w:sz w:val="24"/>
        </w:rPr>
        <w:t xml:space="preserve">within the performance tables </w:t>
      </w:r>
      <w:r>
        <w:rPr>
          <w:rFonts w:cs="Calibri"/>
          <w:sz w:val="24"/>
        </w:rPr>
        <w:t>than non</w:t>
      </w:r>
      <w:r w:rsidR="00CB1972">
        <w:rPr>
          <w:rFonts w:cs="Calibri"/>
          <w:sz w:val="24"/>
        </w:rPr>
        <w:t>-</w:t>
      </w:r>
      <w:r>
        <w:rPr>
          <w:rFonts w:cs="Calibri"/>
          <w:sz w:val="24"/>
        </w:rPr>
        <w:t xml:space="preserve">EBac subjects or </w:t>
      </w:r>
      <w:r w:rsidR="000E555A">
        <w:rPr>
          <w:rFonts w:cs="Calibri"/>
          <w:sz w:val="24"/>
        </w:rPr>
        <w:t xml:space="preserve">vocational </w:t>
      </w:r>
      <w:r>
        <w:rPr>
          <w:rFonts w:cs="Calibri"/>
          <w:sz w:val="24"/>
        </w:rPr>
        <w:t>qualifications</w:t>
      </w:r>
      <w:r w:rsidRPr="00952FC6">
        <w:rPr>
          <w:rFonts w:cs="Calibri"/>
          <w:sz w:val="24"/>
        </w:rPr>
        <w:t xml:space="preserve">. </w:t>
      </w:r>
      <w:r>
        <w:rPr>
          <w:rFonts w:cs="Calibri"/>
          <w:sz w:val="24"/>
        </w:rPr>
        <w:t xml:space="preserve">Furthermore, the EBac introduces </w:t>
      </w:r>
      <w:r w:rsidRPr="00952FC6">
        <w:rPr>
          <w:rFonts w:cs="Calibri"/>
          <w:sz w:val="24"/>
        </w:rPr>
        <w:t xml:space="preserve">the possibility that alternative options </w:t>
      </w:r>
      <w:r>
        <w:rPr>
          <w:rFonts w:cs="Calibri"/>
          <w:sz w:val="24"/>
        </w:rPr>
        <w:t>to GCSE</w:t>
      </w:r>
      <w:r w:rsidR="00C152C2">
        <w:rPr>
          <w:rFonts w:cs="Calibri"/>
          <w:sz w:val="24"/>
        </w:rPr>
        <w:t>s</w:t>
      </w:r>
      <w:r>
        <w:rPr>
          <w:rFonts w:cs="Calibri"/>
          <w:sz w:val="24"/>
        </w:rPr>
        <w:t xml:space="preserve"> </w:t>
      </w:r>
      <w:r w:rsidRPr="00952FC6">
        <w:rPr>
          <w:rFonts w:cs="Calibri"/>
          <w:sz w:val="24"/>
        </w:rPr>
        <w:t>will be removed altogether</w:t>
      </w:r>
      <w:r>
        <w:rPr>
          <w:rFonts w:cs="Calibri"/>
          <w:sz w:val="24"/>
        </w:rPr>
        <w:t xml:space="preserve"> from school curricula as schools move towards a more EBac</w:t>
      </w:r>
      <w:r w:rsidR="004933EC">
        <w:rPr>
          <w:rFonts w:cs="Calibri"/>
          <w:sz w:val="24"/>
        </w:rPr>
        <w:t>-</w:t>
      </w:r>
      <w:r>
        <w:rPr>
          <w:rFonts w:cs="Calibri"/>
          <w:sz w:val="24"/>
        </w:rPr>
        <w:t xml:space="preserve">orientated curriculum model for the majority of their students. </w:t>
      </w:r>
      <w:r w:rsidR="00C152C2">
        <w:rPr>
          <w:rFonts w:cs="Calibri"/>
          <w:sz w:val="24"/>
        </w:rPr>
        <w:t>M</w:t>
      </w:r>
      <w:r w:rsidRPr="00952FC6">
        <w:rPr>
          <w:rFonts w:cs="Calibri"/>
          <w:sz w:val="24"/>
        </w:rPr>
        <w:t>y study aims to investigate who will benefit from the EBac policy and who will be disadvantaged</w:t>
      </w:r>
      <w:r w:rsidR="00C152C2">
        <w:rPr>
          <w:rFonts w:cs="Calibri"/>
          <w:sz w:val="24"/>
        </w:rPr>
        <w:t>.</w:t>
      </w:r>
      <w:r w:rsidRPr="00952FC6">
        <w:rPr>
          <w:rFonts w:cs="Calibri"/>
          <w:sz w:val="24"/>
        </w:rPr>
        <w:t xml:space="preserve"> </w:t>
      </w:r>
      <w:r>
        <w:rPr>
          <w:rFonts w:cs="Calibri"/>
          <w:sz w:val="24"/>
        </w:rPr>
        <w:t xml:space="preserve"> My specific research aims and questions are considered </w:t>
      </w:r>
      <w:r w:rsidR="00C152C2">
        <w:rPr>
          <w:rFonts w:cs="Calibri"/>
          <w:sz w:val="24"/>
        </w:rPr>
        <w:t>in the following section</w:t>
      </w:r>
      <w:r>
        <w:rPr>
          <w:rFonts w:cs="Calibri"/>
          <w:sz w:val="24"/>
        </w:rPr>
        <w:t>.</w:t>
      </w:r>
    </w:p>
    <w:p w14:paraId="0E669567" w14:textId="77777777" w:rsidR="00A75A8F" w:rsidRPr="00952FC6" w:rsidRDefault="00A75A8F" w:rsidP="00531995">
      <w:pPr>
        <w:pStyle w:val="Heading2"/>
      </w:pPr>
      <w:bookmarkStart w:id="7" w:name="_Toc452316292"/>
      <w:r w:rsidRPr="00952FC6">
        <w:t xml:space="preserve">1.4 Research aims and </w:t>
      </w:r>
      <w:r>
        <w:t>questions</w:t>
      </w:r>
      <w:bookmarkEnd w:id="7"/>
      <w:r>
        <w:tab/>
      </w:r>
    </w:p>
    <w:p w14:paraId="107E4386" w14:textId="7FE495E3" w:rsidR="00A75A8F" w:rsidRDefault="00A75A8F" w:rsidP="00A75A8F">
      <w:pPr>
        <w:tabs>
          <w:tab w:val="left" w:pos="1485"/>
        </w:tabs>
        <w:spacing w:line="360" w:lineRule="auto"/>
        <w:rPr>
          <w:rFonts w:cs="Calibri"/>
          <w:sz w:val="24"/>
        </w:rPr>
      </w:pPr>
      <w:r w:rsidRPr="00B238BF">
        <w:rPr>
          <w:rFonts w:cs="Calibri"/>
          <w:sz w:val="24"/>
        </w:rPr>
        <w:t xml:space="preserve">My research aims are to investigate how and why the EBac was introduced in England in 2010 as part of the inaugural education policy of the Coalition </w:t>
      </w:r>
      <w:r>
        <w:rPr>
          <w:rFonts w:cs="Calibri"/>
          <w:sz w:val="24"/>
        </w:rPr>
        <w:t>g</w:t>
      </w:r>
      <w:r w:rsidRPr="00B238BF">
        <w:rPr>
          <w:rFonts w:cs="Calibri"/>
          <w:sz w:val="24"/>
        </w:rPr>
        <w:t xml:space="preserve">overnment and to identify </w:t>
      </w:r>
      <w:r w:rsidR="00C152C2">
        <w:rPr>
          <w:rFonts w:cs="Calibri"/>
          <w:sz w:val="24"/>
        </w:rPr>
        <w:t xml:space="preserve">the </w:t>
      </w:r>
      <w:r w:rsidRPr="00B238BF">
        <w:rPr>
          <w:rFonts w:cs="Calibri"/>
          <w:sz w:val="24"/>
        </w:rPr>
        <w:t xml:space="preserve">potential winners and losers of this policy. </w:t>
      </w:r>
      <w:r w:rsidRPr="00952FC6">
        <w:rPr>
          <w:rFonts w:cs="Calibri"/>
          <w:sz w:val="24"/>
        </w:rPr>
        <w:t xml:space="preserve">O’Leary </w:t>
      </w:r>
      <w:r w:rsidR="00C152C2">
        <w:rPr>
          <w:rFonts w:cs="Calibri"/>
          <w:sz w:val="24"/>
        </w:rPr>
        <w:t>(</w:t>
      </w:r>
      <w:r w:rsidRPr="00952FC6">
        <w:rPr>
          <w:rFonts w:cs="Calibri"/>
          <w:sz w:val="24"/>
        </w:rPr>
        <w:t>2005</w:t>
      </w:r>
      <w:r w:rsidR="00C152C2">
        <w:rPr>
          <w:rFonts w:cs="Calibri"/>
          <w:sz w:val="24"/>
        </w:rPr>
        <w:t xml:space="preserve">, </w:t>
      </w:r>
      <w:r w:rsidRPr="00952FC6">
        <w:rPr>
          <w:rFonts w:cs="Calibri"/>
          <w:sz w:val="24"/>
        </w:rPr>
        <w:t>p.34) suggest</w:t>
      </w:r>
      <w:r w:rsidR="00C152C2">
        <w:rPr>
          <w:rFonts w:cs="Calibri"/>
          <w:sz w:val="24"/>
        </w:rPr>
        <w:t>s</w:t>
      </w:r>
      <w:r w:rsidRPr="00952FC6">
        <w:rPr>
          <w:rFonts w:cs="Calibri"/>
          <w:sz w:val="24"/>
        </w:rPr>
        <w:t xml:space="preserve"> five elements to consider when formulating research questions: </w:t>
      </w:r>
    </w:p>
    <w:p w14:paraId="2951A8AA" w14:textId="77777777" w:rsidR="005260BE" w:rsidRPr="00952FC6" w:rsidRDefault="005260BE" w:rsidP="00A75A8F">
      <w:pPr>
        <w:tabs>
          <w:tab w:val="left" w:pos="1485"/>
        </w:tabs>
        <w:spacing w:line="360" w:lineRule="auto"/>
        <w:rPr>
          <w:rFonts w:cs="Calibri"/>
          <w:sz w:val="24"/>
        </w:rPr>
      </w:pPr>
    </w:p>
    <w:p w14:paraId="56F11A82" w14:textId="77777777" w:rsidR="00A75A8F" w:rsidRPr="00651CEA" w:rsidRDefault="00A75A8F" w:rsidP="00530D6A">
      <w:pPr>
        <w:pStyle w:val="ListParagraph"/>
        <w:numPr>
          <w:ilvl w:val="0"/>
          <w:numId w:val="40"/>
        </w:numPr>
        <w:tabs>
          <w:tab w:val="left" w:pos="1485"/>
        </w:tabs>
        <w:spacing w:after="0" w:line="240" w:lineRule="auto"/>
        <w:rPr>
          <w:sz w:val="24"/>
        </w:rPr>
      </w:pPr>
      <w:r w:rsidRPr="00651CEA">
        <w:rPr>
          <w:sz w:val="24"/>
        </w:rPr>
        <w:lastRenderedPageBreak/>
        <w:t>What is your topic?</w:t>
      </w:r>
    </w:p>
    <w:p w14:paraId="7A92DB38" w14:textId="77777777" w:rsidR="00A75A8F" w:rsidRPr="00651CEA" w:rsidRDefault="00A75A8F" w:rsidP="00530D6A">
      <w:pPr>
        <w:pStyle w:val="ListParagraph"/>
        <w:numPr>
          <w:ilvl w:val="0"/>
          <w:numId w:val="40"/>
        </w:numPr>
        <w:tabs>
          <w:tab w:val="left" w:pos="1485"/>
        </w:tabs>
        <w:spacing w:after="0" w:line="240" w:lineRule="auto"/>
        <w:rPr>
          <w:sz w:val="24"/>
        </w:rPr>
      </w:pPr>
      <w:r w:rsidRPr="00651CEA">
        <w:rPr>
          <w:sz w:val="24"/>
        </w:rPr>
        <w:t>What is the context?</w:t>
      </w:r>
    </w:p>
    <w:p w14:paraId="6EF0E60E" w14:textId="77777777" w:rsidR="00A75A8F" w:rsidRPr="00651CEA" w:rsidRDefault="00A75A8F" w:rsidP="00530D6A">
      <w:pPr>
        <w:pStyle w:val="ListParagraph"/>
        <w:numPr>
          <w:ilvl w:val="0"/>
          <w:numId w:val="40"/>
        </w:numPr>
        <w:tabs>
          <w:tab w:val="left" w:pos="1485"/>
        </w:tabs>
        <w:spacing w:after="0" w:line="240" w:lineRule="auto"/>
        <w:rPr>
          <w:sz w:val="24"/>
        </w:rPr>
      </w:pPr>
      <w:r w:rsidRPr="00651CEA">
        <w:rPr>
          <w:sz w:val="24"/>
        </w:rPr>
        <w:t>What do you want to achieve?</w:t>
      </w:r>
    </w:p>
    <w:p w14:paraId="2AB6AAE3" w14:textId="77777777" w:rsidR="00A75A8F" w:rsidRPr="00651CEA" w:rsidRDefault="00A75A8F" w:rsidP="00530D6A">
      <w:pPr>
        <w:pStyle w:val="ListParagraph"/>
        <w:numPr>
          <w:ilvl w:val="0"/>
          <w:numId w:val="40"/>
        </w:numPr>
        <w:tabs>
          <w:tab w:val="left" w:pos="1485"/>
        </w:tabs>
        <w:spacing w:after="0" w:line="240" w:lineRule="auto"/>
        <w:rPr>
          <w:sz w:val="24"/>
        </w:rPr>
      </w:pPr>
      <w:r w:rsidRPr="00651CEA">
        <w:rPr>
          <w:sz w:val="24"/>
        </w:rPr>
        <w:t>What is the nature of your question?</w:t>
      </w:r>
    </w:p>
    <w:p w14:paraId="3CC68D6C" w14:textId="77777777" w:rsidR="00A75A8F" w:rsidRPr="00651CEA" w:rsidRDefault="00A75A8F" w:rsidP="00530D6A">
      <w:pPr>
        <w:pStyle w:val="ListParagraph"/>
        <w:numPr>
          <w:ilvl w:val="0"/>
          <w:numId w:val="40"/>
        </w:numPr>
        <w:tabs>
          <w:tab w:val="left" w:pos="1485"/>
        </w:tabs>
        <w:spacing w:after="0" w:line="240" w:lineRule="auto"/>
        <w:rPr>
          <w:sz w:val="24"/>
        </w:rPr>
      </w:pPr>
      <w:r w:rsidRPr="00651CEA">
        <w:rPr>
          <w:sz w:val="24"/>
        </w:rPr>
        <w:t>Are there any potential relationships you want to explore?</w:t>
      </w:r>
    </w:p>
    <w:p w14:paraId="282C429A" w14:textId="77777777" w:rsidR="00A75A8F" w:rsidRDefault="00A75A8F" w:rsidP="00A75A8F">
      <w:pPr>
        <w:tabs>
          <w:tab w:val="left" w:pos="1485"/>
        </w:tabs>
        <w:spacing w:after="0" w:line="240" w:lineRule="auto"/>
        <w:rPr>
          <w:rFonts w:cs="Calibri"/>
          <w:sz w:val="24"/>
        </w:rPr>
      </w:pPr>
    </w:p>
    <w:p w14:paraId="1B5E36E4" w14:textId="4FF5E6D8" w:rsidR="00C152C2" w:rsidRDefault="00A75A8F" w:rsidP="00A75A8F">
      <w:pPr>
        <w:tabs>
          <w:tab w:val="left" w:pos="1485"/>
        </w:tabs>
        <w:spacing w:after="0" w:line="360" w:lineRule="auto"/>
        <w:rPr>
          <w:rFonts w:cs="Calibri"/>
          <w:sz w:val="24"/>
        </w:rPr>
      </w:pPr>
      <w:r>
        <w:rPr>
          <w:rFonts w:cs="Calibri"/>
          <w:sz w:val="24"/>
        </w:rPr>
        <w:t>Rudestam et al (1992, p.17)</w:t>
      </w:r>
      <w:r w:rsidR="00C152C2">
        <w:rPr>
          <w:rFonts w:cs="Calibri"/>
          <w:sz w:val="24"/>
        </w:rPr>
        <w:t>, however</w:t>
      </w:r>
      <w:r>
        <w:rPr>
          <w:rFonts w:cs="Calibri"/>
          <w:sz w:val="24"/>
        </w:rPr>
        <w:t xml:space="preserve"> pose</w:t>
      </w:r>
      <w:r w:rsidR="00C152C2">
        <w:rPr>
          <w:rFonts w:cs="Calibri"/>
          <w:sz w:val="24"/>
        </w:rPr>
        <w:t xml:space="preserve"> the following</w:t>
      </w:r>
      <w:r>
        <w:rPr>
          <w:rFonts w:cs="Calibri"/>
          <w:sz w:val="24"/>
        </w:rPr>
        <w:t xml:space="preserve"> three questions to consider</w:t>
      </w:r>
      <w:r w:rsidR="00C152C2">
        <w:rPr>
          <w:rFonts w:cs="Calibri"/>
          <w:sz w:val="24"/>
        </w:rPr>
        <w:t>:</w:t>
      </w:r>
      <w:r>
        <w:rPr>
          <w:rFonts w:cs="Calibri"/>
          <w:sz w:val="24"/>
        </w:rPr>
        <w:t xml:space="preserve"> </w:t>
      </w:r>
    </w:p>
    <w:p w14:paraId="3EC9B2C0" w14:textId="21504CDC" w:rsidR="00C152C2" w:rsidRPr="00530D6A" w:rsidRDefault="00C152C2" w:rsidP="007D3586">
      <w:pPr>
        <w:pStyle w:val="ListParagraph"/>
        <w:numPr>
          <w:ilvl w:val="0"/>
          <w:numId w:val="41"/>
        </w:numPr>
        <w:tabs>
          <w:tab w:val="left" w:pos="1485"/>
        </w:tabs>
        <w:spacing w:after="0" w:line="240" w:lineRule="auto"/>
        <w:ind w:left="714" w:hanging="357"/>
        <w:rPr>
          <w:rFonts w:cs="Calibri"/>
          <w:sz w:val="24"/>
        </w:rPr>
      </w:pPr>
      <w:r w:rsidRPr="00530D6A">
        <w:rPr>
          <w:rFonts w:cs="Calibri"/>
          <w:sz w:val="24"/>
        </w:rPr>
        <w:t>I</w:t>
      </w:r>
      <w:r w:rsidR="00A75A8F" w:rsidRPr="00651CEA">
        <w:rPr>
          <w:sz w:val="24"/>
        </w:rPr>
        <w:t xml:space="preserve">s the question clear and researchable? </w:t>
      </w:r>
    </w:p>
    <w:p w14:paraId="296C59FC" w14:textId="6925643B" w:rsidR="00C152C2" w:rsidRPr="00530D6A" w:rsidRDefault="00C152C2" w:rsidP="007D3586">
      <w:pPr>
        <w:pStyle w:val="ListParagraph"/>
        <w:numPr>
          <w:ilvl w:val="0"/>
          <w:numId w:val="41"/>
        </w:numPr>
        <w:tabs>
          <w:tab w:val="left" w:pos="1485"/>
        </w:tabs>
        <w:spacing w:after="0" w:line="240" w:lineRule="auto"/>
        <w:ind w:left="714" w:hanging="357"/>
        <w:rPr>
          <w:rFonts w:cs="Calibri"/>
          <w:sz w:val="24"/>
        </w:rPr>
      </w:pPr>
      <w:r w:rsidRPr="00530D6A">
        <w:rPr>
          <w:rFonts w:cs="Calibri"/>
          <w:sz w:val="24"/>
        </w:rPr>
        <w:t>I</w:t>
      </w:r>
      <w:r w:rsidR="00A75A8F" w:rsidRPr="00651CEA">
        <w:rPr>
          <w:sz w:val="24"/>
        </w:rPr>
        <w:t xml:space="preserve">s the question located within the context of previous study? </w:t>
      </w:r>
    </w:p>
    <w:p w14:paraId="4503C3AB" w14:textId="7062751B" w:rsidR="00A75A8F" w:rsidRPr="00651CEA" w:rsidRDefault="00C152C2" w:rsidP="007D3586">
      <w:pPr>
        <w:pStyle w:val="ListParagraph"/>
        <w:numPr>
          <w:ilvl w:val="0"/>
          <w:numId w:val="41"/>
        </w:numPr>
        <w:tabs>
          <w:tab w:val="left" w:pos="1485"/>
        </w:tabs>
        <w:spacing w:after="0" w:line="240" w:lineRule="auto"/>
        <w:ind w:left="714" w:hanging="357"/>
        <w:rPr>
          <w:sz w:val="24"/>
        </w:rPr>
      </w:pPr>
      <w:r w:rsidRPr="00530D6A">
        <w:rPr>
          <w:rFonts w:cs="Calibri"/>
          <w:sz w:val="24"/>
        </w:rPr>
        <w:t>I</w:t>
      </w:r>
      <w:r w:rsidR="00A75A8F" w:rsidRPr="00651CEA">
        <w:rPr>
          <w:sz w:val="24"/>
        </w:rPr>
        <w:t xml:space="preserve">s the proposed method suitable? </w:t>
      </w:r>
    </w:p>
    <w:p w14:paraId="3C765A07" w14:textId="77777777" w:rsidR="00A75A8F" w:rsidRPr="00952FC6" w:rsidRDefault="00A75A8F" w:rsidP="00A75A8F">
      <w:pPr>
        <w:tabs>
          <w:tab w:val="left" w:pos="1485"/>
        </w:tabs>
        <w:spacing w:after="0" w:line="240" w:lineRule="auto"/>
        <w:rPr>
          <w:rFonts w:cs="Calibri"/>
          <w:sz w:val="24"/>
        </w:rPr>
      </w:pPr>
    </w:p>
    <w:p w14:paraId="23688F65" w14:textId="71CD724B" w:rsidR="00A75A8F" w:rsidRDefault="00A75A8F" w:rsidP="00A75A8F">
      <w:pPr>
        <w:tabs>
          <w:tab w:val="left" w:pos="1485"/>
        </w:tabs>
        <w:spacing w:line="360" w:lineRule="auto"/>
        <w:rPr>
          <w:rFonts w:cs="Calibri"/>
          <w:sz w:val="24"/>
          <w:szCs w:val="24"/>
        </w:rPr>
      </w:pPr>
      <w:r w:rsidRPr="00952FC6">
        <w:rPr>
          <w:rFonts w:cs="Calibri"/>
          <w:sz w:val="24"/>
        </w:rPr>
        <w:t>O’Leary argue</w:t>
      </w:r>
      <w:r>
        <w:rPr>
          <w:rFonts w:cs="Calibri"/>
          <w:sz w:val="24"/>
        </w:rPr>
        <w:t>s</w:t>
      </w:r>
      <w:r w:rsidRPr="00952FC6">
        <w:rPr>
          <w:rFonts w:cs="Calibri"/>
          <w:sz w:val="24"/>
        </w:rPr>
        <w:t xml:space="preserve"> that it is important to “narrow and clarify until your question is as concise and well-articulated as possible” (</w:t>
      </w:r>
      <w:r w:rsidR="00C152C2">
        <w:rPr>
          <w:rFonts w:cs="Calibri"/>
          <w:sz w:val="24"/>
        </w:rPr>
        <w:t xml:space="preserve">ibid, </w:t>
      </w:r>
      <w:r w:rsidRPr="00952FC6">
        <w:rPr>
          <w:rFonts w:cs="Calibri"/>
          <w:sz w:val="24"/>
        </w:rPr>
        <w:t xml:space="preserve">p.34). As a result, I am clear that my research is exploratory and my intention is to examine one aspect of education policy and practice within the Coalition </w:t>
      </w:r>
      <w:r>
        <w:rPr>
          <w:rFonts w:cs="Calibri"/>
          <w:sz w:val="24"/>
        </w:rPr>
        <w:t>g</w:t>
      </w:r>
      <w:r w:rsidRPr="00952FC6">
        <w:rPr>
          <w:rFonts w:cs="Calibri"/>
          <w:sz w:val="24"/>
        </w:rPr>
        <w:t>overnment era.</w:t>
      </w:r>
      <w:r>
        <w:rPr>
          <w:rFonts w:cs="Calibri"/>
          <w:sz w:val="24"/>
        </w:rPr>
        <w:t xml:space="preserve"> The White Paper (2010</w:t>
      </w:r>
      <w:r w:rsidR="00996538">
        <w:rPr>
          <w:rFonts w:cs="Calibri"/>
          <w:sz w:val="24"/>
        </w:rPr>
        <w:t>a</w:t>
      </w:r>
      <w:r>
        <w:rPr>
          <w:rFonts w:cs="Calibri"/>
          <w:sz w:val="24"/>
        </w:rPr>
        <w:t>) contained a range of policy initiatives and reforms</w:t>
      </w:r>
      <w:r w:rsidR="00C152C2">
        <w:rPr>
          <w:rFonts w:cs="Calibri"/>
          <w:sz w:val="24"/>
        </w:rPr>
        <w:t>,</w:t>
      </w:r>
      <w:r>
        <w:rPr>
          <w:rFonts w:cs="Calibri"/>
          <w:sz w:val="24"/>
        </w:rPr>
        <w:t xml:space="preserve"> of which the EBac was only one. Others include</w:t>
      </w:r>
      <w:r w:rsidR="00C152C2">
        <w:rPr>
          <w:rFonts w:cs="Calibri"/>
          <w:sz w:val="24"/>
        </w:rPr>
        <w:t>d</w:t>
      </w:r>
      <w:r>
        <w:rPr>
          <w:rFonts w:cs="Calibri"/>
          <w:sz w:val="24"/>
        </w:rPr>
        <w:t xml:space="preserve"> the creation of a wide</w:t>
      </w:r>
      <w:r w:rsidR="00996538">
        <w:rPr>
          <w:rFonts w:cs="Calibri"/>
          <w:sz w:val="24"/>
        </w:rPr>
        <w:t>r</w:t>
      </w:r>
      <w:r>
        <w:rPr>
          <w:rFonts w:cs="Calibri"/>
          <w:sz w:val="24"/>
        </w:rPr>
        <w:t xml:space="preserve"> range of academies, the introduction of the Pupil Premium</w:t>
      </w:r>
      <w:r w:rsidR="00990CDE">
        <w:rPr>
          <w:rFonts w:cs="Calibri"/>
          <w:sz w:val="24"/>
        </w:rPr>
        <w:t>,</w:t>
      </w:r>
      <w:r>
        <w:rPr>
          <w:rStyle w:val="FootnoteReference"/>
          <w:rFonts w:cs="Calibri"/>
          <w:sz w:val="24"/>
        </w:rPr>
        <w:footnoteReference w:id="18"/>
      </w:r>
      <w:r>
        <w:rPr>
          <w:rFonts w:cs="Calibri"/>
          <w:sz w:val="24"/>
        </w:rPr>
        <w:t xml:space="preserve"> and the reduction of vocational qualifications available in secondary schools. </w:t>
      </w:r>
    </w:p>
    <w:p w14:paraId="7D51C8CA" w14:textId="793531E6" w:rsidR="00A75A8F" w:rsidRPr="00973A53" w:rsidRDefault="007C077D" w:rsidP="00A75A8F">
      <w:pPr>
        <w:tabs>
          <w:tab w:val="left" w:pos="1485"/>
        </w:tabs>
        <w:spacing w:line="360" w:lineRule="auto"/>
        <w:rPr>
          <w:rFonts w:cs="Calibri"/>
          <w:sz w:val="24"/>
          <w:szCs w:val="24"/>
        </w:rPr>
      </w:pPr>
      <w:r>
        <w:rPr>
          <w:rFonts w:cs="Calibri"/>
          <w:sz w:val="24"/>
          <w:szCs w:val="24"/>
        </w:rPr>
        <w:t>These aims</w:t>
      </w:r>
      <w:r w:rsidR="00A75A8F">
        <w:rPr>
          <w:rFonts w:cs="Calibri"/>
          <w:sz w:val="24"/>
          <w:szCs w:val="24"/>
        </w:rPr>
        <w:t xml:space="preserve"> </w:t>
      </w:r>
      <w:r w:rsidR="00A75A8F" w:rsidRPr="00973A53">
        <w:rPr>
          <w:rFonts w:cs="Calibri"/>
          <w:sz w:val="24"/>
          <w:szCs w:val="24"/>
        </w:rPr>
        <w:t>have led to the construction of the following specific research questions:</w:t>
      </w:r>
    </w:p>
    <w:p w14:paraId="4590E8F1" w14:textId="77777777" w:rsidR="00A75A8F" w:rsidRPr="00D23D84" w:rsidRDefault="00A75A8F" w:rsidP="00C06040">
      <w:pPr>
        <w:pStyle w:val="Heading4"/>
      </w:pPr>
      <w:r w:rsidRPr="00990CDE">
        <w:t xml:space="preserve">1) What is the EBac policy and how and why was it introduced as part of a wider policy framework? </w:t>
      </w:r>
    </w:p>
    <w:p w14:paraId="63452D41" w14:textId="5A70F506" w:rsidR="00A75A8F" w:rsidRPr="00952FC6" w:rsidRDefault="00A75A8F" w:rsidP="00C06040">
      <w:pPr>
        <w:tabs>
          <w:tab w:val="left" w:pos="1485"/>
        </w:tabs>
        <w:spacing w:after="0" w:line="360" w:lineRule="auto"/>
        <w:rPr>
          <w:rFonts w:cs="Calibri"/>
          <w:sz w:val="24"/>
        </w:rPr>
      </w:pPr>
      <w:r w:rsidRPr="00952FC6">
        <w:rPr>
          <w:rFonts w:cs="Calibri"/>
          <w:sz w:val="24"/>
        </w:rPr>
        <w:t xml:space="preserve">The EBac policy was one of the first major policy statements by the incoming </w:t>
      </w:r>
      <w:r>
        <w:rPr>
          <w:rFonts w:cs="Calibri"/>
          <w:sz w:val="24"/>
        </w:rPr>
        <w:t>Coalition g</w:t>
      </w:r>
      <w:r w:rsidRPr="00952FC6">
        <w:rPr>
          <w:rFonts w:cs="Calibri"/>
          <w:sz w:val="24"/>
        </w:rPr>
        <w:t xml:space="preserve">overnment </w:t>
      </w:r>
      <w:r>
        <w:rPr>
          <w:rFonts w:cs="Calibri"/>
          <w:sz w:val="24"/>
        </w:rPr>
        <w:t xml:space="preserve">in 2010 </w:t>
      </w:r>
      <w:r w:rsidRPr="00952FC6">
        <w:rPr>
          <w:rFonts w:cs="Calibri"/>
          <w:sz w:val="24"/>
        </w:rPr>
        <w:t xml:space="preserve">and the first major educational policy </w:t>
      </w:r>
      <w:r w:rsidR="00C152C2">
        <w:rPr>
          <w:rFonts w:cs="Calibri"/>
          <w:sz w:val="24"/>
        </w:rPr>
        <w:t xml:space="preserve">implemented by </w:t>
      </w:r>
      <w:r w:rsidR="000458FA">
        <w:rPr>
          <w:rFonts w:cs="Calibri"/>
          <w:sz w:val="24"/>
        </w:rPr>
        <w:t xml:space="preserve">Michael </w:t>
      </w:r>
      <w:r w:rsidRPr="00952FC6">
        <w:rPr>
          <w:rFonts w:cs="Calibri"/>
          <w:sz w:val="24"/>
        </w:rPr>
        <w:t xml:space="preserve">Gove, the </w:t>
      </w:r>
      <w:r>
        <w:rPr>
          <w:rFonts w:cs="Calibri"/>
          <w:sz w:val="24"/>
        </w:rPr>
        <w:t xml:space="preserve">then </w:t>
      </w:r>
      <w:r w:rsidRPr="00952FC6">
        <w:rPr>
          <w:rFonts w:cs="Calibri"/>
          <w:sz w:val="24"/>
        </w:rPr>
        <w:t xml:space="preserve">Secretary of State for Education. </w:t>
      </w:r>
      <w:r>
        <w:rPr>
          <w:rFonts w:cs="Calibri"/>
          <w:sz w:val="24"/>
        </w:rPr>
        <w:t>Using CDA (</w:t>
      </w:r>
      <w:r w:rsidR="00996538">
        <w:rPr>
          <w:rFonts w:cs="Calibri"/>
          <w:sz w:val="24"/>
        </w:rPr>
        <w:t xml:space="preserve">see </w:t>
      </w:r>
      <w:r w:rsidR="00C152C2">
        <w:rPr>
          <w:rFonts w:cs="Calibri"/>
          <w:sz w:val="24"/>
        </w:rPr>
        <w:t>C</w:t>
      </w:r>
      <w:r>
        <w:rPr>
          <w:rFonts w:cs="Calibri"/>
          <w:sz w:val="24"/>
        </w:rPr>
        <w:t xml:space="preserve">hapter 3) I analyse the text of the White Paper and related documents to research the EBac policy introduction and presentation. </w:t>
      </w:r>
    </w:p>
    <w:p w14:paraId="6FE6104B" w14:textId="77777777" w:rsidR="00A75A8F" w:rsidRPr="00530D6A" w:rsidRDefault="00A75A8F" w:rsidP="00C06040">
      <w:pPr>
        <w:pStyle w:val="Heading4"/>
      </w:pPr>
      <w:r w:rsidRPr="00530D6A">
        <w:t>2) What are teachers’ perspectives on the constitution and implementation of the EBac?</w:t>
      </w:r>
    </w:p>
    <w:p w14:paraId="680C0CD9" w14:textId="4DDFDC93" w:rsidR="00A75A8F" w:rsidRPr="00952FC6" w:rsidRDefault="00A75A8F" w:rsidP="00A75A8F">
      <w:pPr>
        <w:tabs>
          <w:tab w:val="left" w:pos="1485"/>
        </w:tabs>
        <w:spacing w:line="360" w:lineRule="auto"/>
        <w:rPr>
          <w:rFonts w:cs="Calibri"/>
          <w:sz w:val="24"/>
        </w:rPr>
      </w:pPr>
      <w:r w:rsidRPr="00952FC6">
        <w:rPr>
          <w:rFonts w:cs="Calibri"/>
          <w:sz w:val="24"/>
        </w:rPr>
        <w:t xml:space="preserve">The </w:t>
      </w:r>
      <w:r>
        <w:rPr>
          <w:rFonts w:cs="Calibri"/>
          <w:sz w:val="24"/>
        </w:rPr>
        <w:t xml:space="preserve">EBac </w:t>
      </w:r>
      <w:r w:rsidRPr="00952FC6">
        <w:rPr>
          <w:rFonts w:cs="Calibri"/>
          <w:sz w:val="24"/>
        </w:rPr>
        <w:t>policy exists within the official text of the White Paper</w:t>
      </w:r>
      <w:r w:rsidR="001F4D9F">
        <w:rPr>
          <w:rFonts w:cs="Calibri"/>
          <w:sz w:val="24"/>
        </w:rPr>
        <w:t>. A</w:t>
      </w:r>
      <w:r w:rsidRPr="00952FC6">
        <w:rPr>
          <w:rFonts w:cs="Calibri"/>
          <w:sz w:val="24"/>
        </w:rPr>
        <w:t xml:space="preserve">n understanding of the perspectives of </w:t>
      </w:r>
      <w:r>
        <w:rPr>
          <w:rFonts w:cs="Calibri"/>
          <w:sz w:val="24"/>
        </w:rPr>
        <w:t>a sample of</w:t>
      </w:r>
      <w:r w:rsidRPr="00952FC6">
        <w:rPr>
          <w:rFonts w:cs="Calibri"/>
          <w:sz w:val="24"/>
        </w:rPr>
        <w:t xml:space="preserve"> educational practitioners within </w:t>
      </w:r>
      <w:r>
        <w:rPr>
          <w:rFonts w:cs="Calibri"/>
          <w:sz w:val="24"/>
        </w:rPr>
        <w:t>case</w:t>
      </w:r>
      <w:r w:rsidR="009000A9">
        <w:rPr>
          <w:rFonts w:cs="Calibri"/>
          <w:sz w:val="24"/>
        </w:rPr>
        <w:t>-</w:t>
      </w:r>
      <w:r>
        <w:rPr>
          <w:rFonts w:cs="Calibri"/>
          <w:sz w:val="24"/>
        </w:rPr>
        <w:t xml:space="preserve">study </w:t>
      </w:r>
      <w:r w:rsidRPr="00952FC6">
        <w:rPr>
          <w:rFonts w:cs="Calibri"/>
          <w:sz w:val="24"/>
        </w:rPr>
        <w:t>school</w:t>
      </w:r>
      <w:r>
        <w:rPr>
          <w:rFonts w:cs="Calibri"/>
          <w:sz w:val="24"/>
        </w:rPr>
        <w:t>s</w:t>
      </w:r>
      <w:r w:rsidRPr="00952FC6">
        <w:rPr>
          <w:rFonts w:cs="Calibri"/>
          <w:sz w:val="24"/>
        </w:rPr>
        <w:t xml:space="preserve"> regarding the policy is also required</w:t>
      </w:r>
      <w:r w:rsidR="00C152C2">
        <w:rPr>
          <w:rFonts w:cs="Calibri"/>
          <w:sz w:val="24"/>
        </w:rPr>
        <w:t>,</w:t>
      </w:r>
      <w:r>
        <w:rPr>
          <w:rFonts w:cs="Calibri"/>
          <w:sz w:val="24"/>
        </w:rPr>
        <w:t xml:space="preserve"> </w:t>
      </w:r>
      <w:r w:rsidR="001F4D9F">
        <w:rPr>
          <w:rFonts w:cs="Calibri"/>
          <w:sz w:val="24"/>
        </w:rPr>
        <w:t xml:space="preserve">however, </w:t>
      </w:r>
      <w:r>
        <w:rPr>
          <w:rFonts w:cs="Calibri"/>
          <w:sz w:val="24"/>
        </w:rPr>
        <w:t>as these professionals are expected to translate policy into practice</w:t>
      </w:r>
      <w:r w:rsidRPr="00952FC6">
        <w:rPr>
          <w:rFonts w:cs="Calibri"/>
          <w:sz w:val="24"/>
        </w:rPr>
        <w:t xml:space="preserve">. </w:t>
      </w:r>
    </w:p>
    <w:p w14:paraId="3155C78F" w14:textId="77777777" w:rsidR="00A75A8F" w:rsidRPr="00530D6A" w:rsidRDefault="00A75A8F" w:rsidP="00C06040">
      <w:pPr>
        <w:pStyle w:val="Heading4"/>
      </w:pPr>
      <w:r w:rsidRPr="00530D6A">
        <w:lastRenderedPageBreak/>
        <w:t xml:space="preserve">3) Does the EBac have implications for educational equality? </w:t>
      </w:r>
    </w:p>
    <w:p w14:paraId="49CB10FD" w14:textId="190F251C" w:rsidR="00CD4DF1" w:rsidRPr="00B42AA7" w:rsidRDefault="00A75A8F" w:rsidP="00A23EDF">
      <w:pPr>
        <w:tabs>
          <w:tab w:val="left" w:pos="1485"/>
          <w:tab w:val="left" w:pos="8364"/>
        </w:tabs>
        <w:spacing w:line="360" w:lineRule="auto"/>
        <w:rPr>
          <w:rFonts w:cs="Calibri"/>
          <w:sz w:val="24"/>
        </w:rPr>
      </w:pPr>
      <w:r w:rsidRPr="00952FC6">
        <w:rPr>
          <w:rFonts w:cs="Calibri"/>
          <w:sz w:val="24"/>
        </w:rPr>
        <w:t xml:space="preserve">However well-intentioned or informed a policy might be, any major shift in thinking </w:t>
      </w:r>
      <w:r>
        <w:rPr>
          <w:rFonts w:cs="Calibri"/>
          <w:sz w:val="24"/>
        </w:rPr>
        <w:t xml:space="preserve">after </w:t>
      </w:r>
      <w:r w:rsidR="00990CDE">
        <w:rPr>
          <w:rFonts w:cs="Calibri"/>
          <w:sz w:val="24"/>
        </w:rPr>
        <w:t xml:space="preserve">13 </w:t>
      </w:r>
      <w:r>
        <w:rPr>
          <w:rFonts w:cs="Calibri"/>
          <w:sz w:val="24"/>
        </w:rPr>
        <w:t xml:space="preserve">years of a Labour administration </w:t>
      </w:r>
      <w:r w:rsidRPr="00952FC6">
        <w:rPr>
          <w:rFonts w:cs="Calibri"/>
          <w:sz w:val="24"/>
        </w:rPr>
        <w:t xml:space="preserve">will be perceived by some </w:t>
      </w:r>
      <w:r>
        <w:rPr>
          <w:rFonts w:cs="Calibri"/>
          <w:sz w:val="24"/>
        </w:rPr>
        <w:t>as</w:t>
      </w:r>
      <w:r w:rsidRPr="00952FC6">
        <w:rPr>
          <w:rFonts w:cs="Calibri"/>
          <w:sz w:val="24"/>
        </w:rPr>
        <w:t xml:space="preserve"> </w:t>
      </w:r>
      <w:r>
        <w:rPr>
          <w:rFonts w:cs="Calibri"/>
          <w:sz w:val="24"/>
        </w:rPr>
        <w:t xml:space="preserve">having the potential </w:t>
      </w:r>
      <w:r w:rsidR="00183499">
        <w:rPr>
          <w:rFonts w:cs="Calibri"/>
          <w:sz w:val="24"/>
        </w:rPr>
        <w:t xml:space="preserve">to </w:t>
      </w:r>
      <w:r w:rsidRPr="00952FC6">
        <w:rPr>
          <w:rFonts w:cs="Calibri"/>
          <w:sz w:val="24"/>
        </w:rPr>
        <w:t>create or compound other problems</w:t>
      </w:r>
      <w:r>
        <w:rPr>
          <w:rFonts w:cs="Calibri"/>
          <w:sz w:val="24"/>
        </w:rPr>
        <w:t xml:space="preserve">, as well as generate </w:t>
      </w:r>
      <w:r w:rsidR="00996538">
        <w:rPr>
          <w:rFonts w:cs="Calibri"/>
          <w:sz w:val="24"/>
        </w:rPr>
        <w:t xml:space="preserve">possible </w:t>
      </w:r>
      <w:r>
        <w:rPr>
          <w:rFonts w:cs="Calibri"/>
          <w:sz w:val="24"/>
        </w:rPr>
        <w:t>solutions to</w:t>
      </w:r>
      <w:r w:rsidR="00996538">
        <w:rPr>
          <w:rFonts w:cs="Calibri"/>
          <w:sz w:val="24"/>
        </w:rPr>
        <w:t xml:space="preserve"> issues </w:t>
      </w:r>
      <w:r>
        <w:rPr>
          <w:rFonts w:cs="Calibri"/>
          <w:sz w:val="24"/>
        </w:rPr>
        <w:t>such as the underachievement of some students</w:t>
      </w:r>
      <w:r w:rsidRPr="00952FC6">
        <w:rPr>
          <w:rFonts w:cs="Calibri"/>
          <w:sz w:val="24"/>
        </w:rPr>
        <w:t xml:space="preserve">. The implementation of the policy may also </w:t>
      </w:r>
      <w:r>
        <w:rPr>
          <w:rFonts w:cs="Calibri"/>
          <w:sz w:val="24"/>
        </w:rPr>
        <w:t>create</w:t>
      </w:r>
      <w:r w:rsidRPr="00952FC6">
        <w:rPr>
          <w:rFonts w:cs="Calibri"/>
          <w:sz w:val="24"/>
        </w:rPr>
        <w:t xml:space="preserve"> further equality issues</w:t>
      </w:r>
      <w:r>
        <w:rPr>
          <w:rFonts w:cs="Calibri"/>
          <w:sz w:val="24"/>
        </w:rPr>
        <w:t xml:space="preserve"> and/or additional hierarchies</w:t>
      </w:r>
      <w:r w:rsidRPr="00952FC6">
        <w:rPr>
          <w:rFonts w:cs="Calibri"/>
          <w:sz w:val="24"/>
        </w:rPr>
        <w:t xml:space="preserve"> for different schools, different subjects and groups of students</w:t>
      </w:r>
      <w:r>
        <w:rPr>
          <w:rFonts w:cs="Calibri"/>
          <w:sz w:val="24"/>
        </w:rPr>
        <w:t xml:space="preserve"> with different </w:t>
      </w:r>
      <w:r w:rsidRPr="00952FC6">
        <w:rPr>
          <w:rFonts w:cs="Calibri"/>
          <w:sz w:val="24"/>
        </w:rPr>
        <w:t>social class</w:t>
      </w:r>
      <w:r w:rsidR="00183499">
        <w:rPr>
          <w:rFonts w:cs="Calibri"/>
          <w:sz w:val="24"/>
        </w:rPr>
        <w:t>es</w:t>
      </w:r>
      <w:r w:rsidRPr="00952FC6">
        <w:rPr>
          <w:rFonts w:cs="Calibri"/>
          <w:sz w:val="24"/>
        </w:rPr>
        <w:t>, ethnicity</w:t>
      </w:r>
      <w:r w:rsidR="00996538">
        <w:rPr>
          <w:rFonts w:cs="Calibri"/>
          <w:sz w:val="24"/>
        </w:rPr>
        <w:t xml:space="preserve">, </w:t>
      </w:r>
      <w:r w:rsidRPr="00952FC6">
        <w:rPr>
          <w:rFonts w:cs="Calibri"/>
          <w:sz w:val="24"/>
        </w:rPr>
        <w:t>gender</w:t>
      </w:r>
      <w:r>
        <w:rPr>
          <w:rFonts w:cs="Calibri"/>
          <w:sz w:val="24"/>
        </w:rPr>
        <w:t xml:space="preserve"> </w:t>
      </w:r>
      <w:r w:rsidR="00996538">
        <w:rPr>
          <w:rFonts w:cs="Calibri"/>
          <w:sz w:val="24"/>
        </w:rPr>
        <w:t>and Special Educational Needs and Disability (SEND)</w:t>
      </w:r>
      <w:r w:rsidR="00996538">
        <w:rPr>
          <w:rStyle w:val="FootnoteReference"/>
          <w:rFonts w:cs="Calibri"/>
          <w:sz w:val="24"/>
        </w:rPr>
        <w:footnoteReference w:id="19"/>
      </w:r>
      <w:r w:rsidR="00996538">
        <w:rPr>
          <w:rFonts w:cs="Calibri"/>
          <w:sz w:val="24"/>
        </w:rPr>
        <w:t xml:space="preserve"> </w:t>
      </w:r>
      <w:r>
        <w:rPr>
          <w:rFonts w:cs="Calibri"/>
          <w:sz w:val="24"/>
        </w:rPr>
        <w:t>characteristics</w:t>
      </w:r>
      <w:r w:rsidRPr="00952FC6">
        <w:rPr>
          <w:rFonts w:cs="Calibri"/>
          <w:sz w:val="24"/>
        </w:rPr>
        <w:t xml:space="preserve">. </w:t>
      </w:r>
      <w:r>
        <w:rPr>
          <w:rFonts w:cs="Calibri"/>
          <w:sz w:val="24"/>
        </w:rPr>
        <w:t>It is unlikely that the EBac will impact on all groups of students in an identical way. Policy research</w:t>
      </w:r>
      <w:r w:rsidR="00183499">
        <w:rPr>
          <w:rFonts w:cs="Calibri"/>
          <w:sz w:val="24"/>
        </w:rPr>
        <w:t>,</w:t>
      </w:r>
      <w:r>
        <w:rPr>
          <w:rFonts w:cs="Calibri"/>
          <w:sz w:val="24"/>
        </w:rPr>
        <w:t xml:space="preserve"> including Reay </w:t>
      </w:r>
      <w:r w:rsidR="00990CDE">
        <w:rPr>
          <w:rFonts w:cs="Calibri"/>
          <w:sz w:val="24"/>
        </w:rPr>
        <w:t>(</w:t>
      </w:r>
      <w:r>
        <w:rPr>
          <w:rFonts w:cs="Calibri"/>
          <w:sz w:val="24"/>
        </w:rPr>
        <w:t>2006</w:t>
      </w:r>
      <w:r w:rsidR="00990CDE">
        <w:rPr>
          <w:rFonts w:cs="Calibri"/>
          <w:sz w:val="24"/>
        </w:rPr>
        <w:t>)</w:t>
      </w:r>
      <w:r>
        <w:rPr>
          <w:rFonts w:cs="Calibri"/>
          <w:sz w:val="24"/>
        </w:rPr>
        <w:t>; Reay et al</w:t>
      </w:r>
      <w:r w:rsidR="00990CDE">
        <w:rPr>
          <w:rFonts w:cs="Calibri"/>
          <w:sz w:val="24"/>
        </w:rPr>
        <w:t>.</w:t>
      </w:r>
      <w:r>
        <w:rPr>
          <w:rFonts w:cs="Calibri"/>
          <w:sz w:val="24"/>
        </w:rPr>
        <w:t xml:space="preserve"> </w:t>
      </w:r>
      <w:r w:rsidR="00990CDE">
        <w:rPr>
          <w:rFonts w:cs="Calibri"/>
          <w:sz w:val="24"/>
        </w:rPr>
        <w:t>(</w:t>
      </w:r>
      <w:r>
        <w:rPr>
          <w:rFonts w:cs="Calibri"/>
          <w:sz w:val="24"/>
        </w:rPr>
        <w:t>2005</w:t>
      </w:r>
      <w:r w:rsidR="00990CDE">
        <w:rPr>
          <w:rFonts w:cs="Calibri"/>
          <w:sz w:val="24"/>
        </w:rPr>
        <w:t>)</w:t>
      </w:r>
      <w:r>
        <w:rPr>
          <w:rFonts w:cs="Calibri"/>
          <w:sz w:val="24"/>
        </w:rPr>
        <w:t>; Gillborn</w:t>
      </w:r>
      <w:r w:rsidR="00990CDE">
        <w:rPr>
          <w:rFonts w:cs="Calibri"/>
          <w:sz w:val="24"/>
        </w:rPr>
        <w:t xml:space="preserve"> (</w:t>
      </w:r>
      <w:r>
        <w:rPr>
          <w:rFonts w:cs="Calibri"/>
          <w:sz w:val="24"/>
        </w:rPr>
        <w:t>2011</w:t>
      </w:r>
      <w:r w:rsidR="00910597">
        <w:rPr>
          <w:rFonts w:cs="Calibri"/>
          <w:sz w:val="24"/>
        </w:rPr>
        <w:t>b</w:t>
      </w:r>
      <w:r w:rsidR="00990CDE">
        <w:rPr>
          <w:rFonts w:cs="Calibri"/>
          <w:sz w:val="24"/>
        </w:rPr>
        <w:t>)</w:t>
      </w:r>
      <w:r w:rsidR="00183499">
        <w:rPr>
          <w:rFonts w:cs="Calibri"/>
          <w:sz w:val="24"/>
        </w:rPr>
        <w:t>,</w:t>
      </w:r>
      <w:r>
        <w:rPr>
          <w:rFonts w:cs="Calibri"/>
          <w:sz w:val="24"/>
        </w:rPr>
        <w:t xml:space="preserve"> and DfE </w:t>
      </w:r>
      <w:r w:rsidR="00990CDE">
        <w:rPr>
          <w:rFonts w:cs="Calibri"/>
          <w:sz w:val="24"/>
        </w:rPr>
        <w:t>(</w:t>
      </w:r>
      <w:r>
        <w:rPr>
          <w:rFonts w:cs="Calibri"/>
          <w:sz w:val="24"/>
        </w:rPr>
        <w:t>2013</w:t>
      </w:r>
      <w:r w:rsidR="00990CDE">
        <w:rPr>
          <w:rFonts w:cs="Calibri"/>
          <w:sz w:val="24"/>
        </w:rPr>
        <w:t>),</w:t>
      </w:r>
      <w:r>
        <w:rPr>
          <w:rFonts w:cs="Calibri"/>
          <w:sz w:val="24"/>
        </w:rPr>
        <w:t xml:space="preserve"> </w:t>
      </w:r>
      <w:r w:rsidR="00183499">
        <w:rPr>
          <w:rFonts w:cs="Calibri"/>
          <w:sz w:val="24"/>
        </w:rPr>
        <w:t xml:space="preserve">has </w:t>
      </w:r>
      <w:r>
        <w:rPr>
          <w:rFonts w:cs="Calibri"/>
          <w:sz w:val="24"/>
        </w:rPr>
        <w:t>suggest</w:t>
      </w:r>
      <w:r w:rsidR="00183499">
        <w:rPr>
          <w:rFonts w:cs="Calibri"/>
          <w:sz w:val="24"/>
        </w:rPr>
        <w:t>ed</w:t>
      </w:r>
      <w:r>
        <w:rPr>
          <w:rFonts w:cs="Calibri"/>
          <w:sz w:val="24"/>
        </w:rPr>
        <w:t xml:space="preserve"> that the impact of policies such as the EBac</w:t>
      </w:r>
      <w:r w:rsidR="00183499">
        <w:rPr>
          <w:rFonts w:cs="Calibri"/>
          <w:sz w:val="24"/>
        </w:rPr>
        <w:t xml:space="preserve"> will be unequally distributed</w:t>
      </w:r>
      <w:r>
        <w:rPr>
          <w:rFonts w:cs="Calibri"/>
          <w:sz w:val="24"/>
        </w:rPr>
        <w:t xml:space="preserve">. These </w:t>
      </w:r>
      <w:r w:rsidR="00183499">
        <w:rPr>
          <w:rFonts w:cs="Calibri"/>
          <w:sz w:val="24"/>
        </w:rPr>
        <w:t>studies</w:t>
      </w:r>
      <w:r>
        <w:rPr>
          <w:rFonts w:cs="Calibri"/>
          <w:sz w:val="24"/>
        </w:rPr>
        <w:t xml:space="preserve"> will be considered in greater detail in </w:t>
      </w:r>
      <w:r w:rsidR="00183499">
        <w:rPr>
          <w:rFonts w:cs="Calibri"/>
          <w:sz w:val="24"/>
        </w:rPr>
        <w:t>C</w:t>
      </w:r>
      <w:r>
        <w:rPr>
          <w:rFonts w:cs="Calibri"/>
          <w:sz w:val="24"/>
        </w:rPr>
        <w:t xml:space="preserve">hapter 2. </w:t>
      </w:r>
      <w:r w:rsidR="00183499">
        <w:rPr>
          <w:rFonts w:cs="Calibri"/>
          <w:sz w:val="24"/>
        </w:rPr>
        <w:t>S</w:t>
      </w:r>
      <w:r>
        <w:rPr>
          <w:rFonts w:cs="Calibri"/>
          <w:sz w:val="24"/>
        </w:rPr>
        <w:t xml:space="preserve">chools </w:t>
      </w:r>
      <w:r w:rsidR="00183499">
        <w:rPr>
          <w:rFonts w:cs="Calibri"/>
          <w:sz w:val="24"/>
        </w:rPr>
        <w:t xml:space="preserve">also </w:t>
      </w:r>
      <w:r>
        <w:rPr>
          <w:rFonts w:cs="Calibri"/>
          <w:sz w:val="24"/>
        </w:rPr>
        <w:t>continue to be driven by the accountability system and the importance attached to different measures within this system</w:t>
      </w:r>
      <w:r w:rsidR="00183499">
        <w:rPr>
          <w:rFonts w:cs="Calibri"/>
          <w:sz w:val="24"/>
        </w:rPr>
        <w:t>,</w:t>
      </w:r>
      <w:r>
        <w:rPr>
          <w:rFonts w:cs="Calibri"/>
          <w:sz w:val="24"/>
        </w:rPr>
        <w:t xml:space="preserve"> irrespective of new policy inclusions such as the EBac.</w:t>
      </w:r>
      <w:r w:rsidR="00996538">
        <w:rPr>
          <w:rFonts w:cs="Calibri"/>
          <w:sz w:val="24"/>
        </w:rPr>
        <w:t xml:space="preserve"> </w:t>
      </w:r>
      <w:r w:rsidRPr="00952FC6">
        <w:rPr>
          <w:rFonts w:cs="Calibri"/>
          <w:sz w:val="24"/>
        </w:rPr>
        <w:t xml:space="preserve">All decisions </w:t>
      </w:r>
      <w:r>
        <w:rPr>
          <w:rFonts w:cs="Calibri"/>
          <w:sz w:val="24"/>
        </w:rPr>
        <w:t xml:space="preserve">and actions </w:t>
      </w:r>
      <w:r w:rsidRPr="00952FC6">
        <w:rPr>
          <w:rFonts w:cs="Calibri"/>
          <w:sz w:val="24"/>
        </w:rPr>
        <w:t xml:space="preserve">relating to the research </w:t>
      </w:r>
      <w:r>
        <w:rPr>
          <w:rFonts w:cs="Calibri"/>
          <w:sz w:val="24"/>
        </w:rPr>
        <w:t xml:space="preserve">are </w:t>
      </w:r>
      <w:r w:rsidRPr="00952FC6">
        <w:rPr>
          <w:rFonts w:cs="Calibri"/>
          <w:sz w:val="24"/>
        </w:rPr>
        <w:t>influenced by my positionality</w:t>
      </w:r>
      <w:r>
        <w:rPr>
          <w:rFonts w:cs="Calibri"/>
          <w:sz w:val="24"/>
        </w:rPr>
        <w:t xml:space="preserve"> as a researcher</w:t>
      </w:r>
      <w:r w:rsidRPr="00952FC6">
        <w:rPr>
          <w:rFonts w:cs="Calibri"/>
          <w:sz w:val="24"/>
        </w:rPr>
        <w:t xml:space="preserve">, </w:t>
      </w:r>
      <w:r>
        <w:rPr>
          <w:rFonts w:cs="Calibri"/>
          <w:sz w:val="24"/>
        </w:rPr>
        <w:t>which I</w:t>
      </w:r>
      <w:r w:rsidR="00183499">
        <w:rPr>
          <w:rFonts w:cs="Calibri"/>
          <w:sz w:val="24"/>
        </w:rPr>
        <w:t xml:space="preserve"> now address</w:t>
      </w:r>
      <w:r>
        <w:rPr>
          <w:rFonts w:cs="Calibri"/>
          <w:sz w:val="24"/>
        </w:rPr>
        <w:t xml:space="preserve">. </w:t>
      </w:r>
    </w:p>
    <w:p w14:paraId="69BA23D5" w14:textId="77777777" w:rsidR="00A75A8F" w:rsidRPr="00952FC6" w:rsidRDefault="00A75A8F" w:rsidP="00531995">
      <w:pPr>
        <w:pStyle w:val="Heading2"/>
      </w:pPr>
      <w:bookmarkStart w:id="8" w:name="_Toc452316293"/>
      <w:r w:rsidRPr="00952FC6">
        <w:t>1.5 Researcher positionality</w:t>
      </w:r>
      <w:bookmarkEnd w:id="8"/>
    </w:p>
    <w:p w14:paraId="065CDA8A" w14:textId="77777777" w:rsidR="001E54EB" w:rsidRDefault="00A75A8F" w:rsidP="001E54EB">
      <w:pPr>
        <w:tabs>
          <w:tab w:val="left" w:pos="1485"/>
        </w:tabs>
        <w:spacing w:after="0" w:line="360" w:lineRule="auto"/>
        <w:rPr>
          <w:rFonts w:cs="Calibri"/>
          <w:sz w:val="24"/>
        </w:rPr>
      </w:pPr>
      <w:r w:rsidRPr="00952FC6">
        <w:rPr>
          <w:rFonts w:cs="Calibri"/>
          <w:sz w:val="24"/>
        </w:rPr>
        <w:t>All researchers approach research with their own particular world view and opinions. In this section, I discuss the issues surrounding positionality, why it is considered important and the place it has within research</w:t>
      </w:r>
      <w:r w:rsidR="00D5564B">
        <w:rPr>
          <w:rFonts w:cs="Calibri"/>
          <w:sz w:val="24"/>
        </w:rPr>
        <w:t>,</w:t>
      </w:r>
      <w:r w:rsidRPr="00952FC6">
        <w:rPr>
          <w:rFonts w:cs="Calibri"/>
          <w:sz w:val="24"/>
        </w:rPr>
        <w:t xml:space="preserve"> as well as the possible difficulties it creates, before reflecting on my own position</w:t>
      </w:r>
      <w:r>
        <w:rPr>
          <w:rFonts w:cs="Calibri"/>
          <w:sz w:val="24"/>
        </w:rPr>
        <w:t>ality</w:t>
      </w:r>
      <w:r w:rsidRPr="00952FC6">
        <w:rPr>
          <w:rFonts w:cs="Calibri"/>
          <w:sz w:val="24"/>
        </w:rPr>
        <w:t xml:space="preserve"> in relation to this research topic. </w:t>
      </w:r>
      <w:r w:rsidR="00771F94">
        <w:rPr>
          <w:rFonts w:cs="Calibri"/>
          <w:sz w:val="24"/>
        </w:rPr>
        <w:t>‘</w:t>
      </w:r>
      <w:r w:rsidRPr="00952FC6">
        <w:rPr>
          <w:rFonts w:cs="Calibri"/>
          <w:sz w:val="24"/>
        </w:rPr>
        <w:t>Positionality</w:t>
      </w:r>
      <w:r w:rsidR="00771F94">
        <w:rPr>
          <w:rFonts w:cs="Calibri"/>
          <w:sz w:val="24"/>
        </w:rPr>
        <w:t>’</w:t>
      </w:r>
      <w:r w:rsidRPr="00952FC6">
        <w:rPr>
          <w:rFonts w:cs="Calibri"/>
          <w:sz w:val="24"/>
        </w:rPr>
        <w:t xml:space="preserve"> is derived from experiences and events which impact upon an individual and it </w:t>
      </w:r>
      <w:r>
        <w:rPr>
          <w:rFonts w:cs="Calibri"/>
          <w:sz w:val="24"/>
        </w:rPr>
        <w:t xml:space="preserve">is </w:t>
      </w:r>
      <w:r w:rsidRPr="00952FC6">
        <w:rPr>
          <w:rFonts w:cs="Calibri"/>
          <w:sz w:val="24"/>
        </w:rPr>
        <w:t xml:space="preserve">difficult to consider </w:t>
      </w:r>
      <w:r>
        <w:rPr>
          <w:rFonts w:cs="Calibri"/>
          <w:sz w:val="24"/>
        </w:rPr>
        <w:t>one’s ‘</w:t>
      </w:r>
      <w:r w:rsidRPr="00952FC6">
        <w:rPr>
          <w:rFonts w:cs="Calibri"/>
          <w:sz w:val="24"/>
        </w:rPr>
        <w:t>position</w:t>
      </w:r>
      <w:r>
        <w:rPr>
          <w:rFonts w:cs="Calibri"/>
          <w:sz w:val="24"/>
        </w:rPr>
        <w:t>’</w:t>
      </w:r>
      <w:r w:rsidRPr="00952FC6">
        <w:rPr>
          <w:rFonts w:cs="Calibri"/>
          <w:sz w:val="24"/>
        </w:rPr>
        <w:t xml:space="preserve"> outside of this lived experience. Takacs (2002) challeng</w:t>
      </w:r>
      <w:r>
        <w:rPr>
          <w:rFonts w:cs="Calibri"/>
          <w:sz w:val="24"/>
        </w:rPr>
        <w:t>es</w:t>
      </w:r>
      <w:r w:rsidRPr="00952FC6">
        <w:rPr>
          <w:rFonts w:cs="Calibri"/>
          <w:sz w:val="24"/>
        </w:rPr>
        <w:t xml:space="preserve"> </w:t>
      </w:r>
      <w:r>
        <w:rPr>
          <w:rFonts w:cs="Calibri"/>
          <w:sz w:val="24"/>
        </w:rPr>
        <w:t>researchers</w:t>
      </w:r>
      <w:r w:rsidRPr="00952FC6">
        <w:rPr>
          <w:rFonts w:cs="Calibri"/>
          <w:sz w:val="24"/>
        </w:rPr>
        <w:t xml:space="preserve"> to consider their own positionality</w:t>
      </w:r>
      <w:r w:rsidR="00771F94">
        <w:rPr>
          <w:rFonts w:cs="Calibri"/>
          <w:sz w:val="24"/>
        </w:rPr>
        <w:t>,</w:t>
      </w:r>
      <w:r w:rsidRPr="00952FC6">
        <w:rPr>
          <w:rFonts w:cs="Calibri"/>
          <w:sz w:val="24"/>
        </w:rPr>
        <w:t xml:space="preserve"> as well as</w:t>
      </w:r>
      <w:r>
        <w:rPr>
          <w:rFonts w:cs="Calibri"/>
          <w:sz w:val="24"/>
        </w:rPr>
        <w:t xml:space="preserve"> to </w:t>
      </w:r>
      <w:r w:rsidRPr="00952FC6">
        <w:rPr>
          <w:rFonts w:cs="Calibri"/>
          <w:sz w:val="24"/>
        </w:rPr>
        <w:t xml:space="preserve">develop empathy for the position of others. He argues that the quest for social justice within research requires the opening of minds to the perspectives of others and </w:t>
      </w:r>
      <w:r>
        <w:rPr>
          <w:rFonts w:cs="Calibri"/>
          <w:sz w:val="24"/>
        </w:rPr>
        <w:t xml:space="preserve">to an </w:t>
      </w:r>
      <w:r w:rsidRPr="00952FC6">
        <w:rPr>
          <w:rFonts w:cs="Calibri"/>
          <w:sz w:val="24"/>
        </w:rPr>
        <w:t xml:space="preserve">understanding </w:t>
      </w:r>
      <w:r>
        <w:rPr>
          <w:rFonts w:cs="Calibri"/>
          <w:sz w:val="24"/>
        </w:rPr>
        <w:t xml:space="preserve">of </w:t>
      </w:r>
      <w:r w:rsidRPr="00952FC6">
        <w:rPr>
          <w:rFonts w:cs="Calibri"/>
          <w:sz w:val="24"/>
        </w:rPr>
        <w:t>how we are positioned in relation to others.</w:t>
      </w:r>
    </w:p>
    <w:p w14:paraId="306D0A26" w14:textId="3338A2E5" w:rsidR="00A75A8F" w:rsidRDefault="00A75A8F" w:rsidP="001E54EB">
      <w:pPr>
        <w:tabs>
          <w:tab w:val="left" w:pos="1485"/>
        </w:tabs>
        <w:spacing w:after="0" w:line="360" w:lineRule="auto"/>
        <w:rPr>
          <w:rFonts w:cs="Calibri"/>
          <w:sz w:val="24"/>
        </w:rPr>
      </w:pPr>
      <w:r>
        <w:rPr>
          <w:rFonts w:cs="Calibri"/>
          <w:sz w:val="24"/>
        </w:rPr>
        <w:lastRenderedPageBreak/>
        <w:t>Historically</w:t>
      </w:r>
      <w:r w:rsidR="00771F94">
        <w:rPr>
          <w:rFonts w:cs="Calibri"/>
          <w:sz w:val="24"/>
        </w:rPr>
        <w:t>,</w:t>
      </w:r>
      <w:r>
        <w:rPr>
          <w:rFonts w:cs="Calibri"/>
          <w:sz w:val="24"/>
        </w:rPr>
        <w:t xml:space="preserve"> t</w:t>
      </w:r>
      <w:r w:rsidRPr="00952FC6">
        <w:rPr>
          <w:rFonts w:cs="Calibri"/>
          <w:sz w:val="24"/>
        </w:rPr>
        <w:t xml:space="preserve">he quest for objective </w:t>
      </w:r>
      <w:r w:rsidR="00771F94">
        <w:rPr>
          <w:rFonts w:cs="Calibri"/>
          <w:sz w:val="24"/>
        </w:rPr>
        <w:t>‘value-</w:t>
      </w:r>
      <w:r w:rsidR="00771F94" w:rsidRPr="00952FC6">
        <w:rPr>
          <w:rFonts w:cs="Calibri"/>
          <w:sz w:val="24"/>
        </w:rPr>
        <w:t>free</w:t>
      </w:r>
      <w:r w:rsidR="00771F94">
        <w:rPr>
          <w:rFonts w:cs="Calibri"/>
          <w:sz w:val="24"/>
        </w:rPr>
        <w:t>’</w:t>
      </w:r>
      <w:r w:rsidR="00771F94" w:rsidRPr="00952FC6">
        <w:rPr>
          <w:rFonts w:cs="Calibri"/>
          <w:sz w:val="24"/>
        </w:rPr>
        <w:t xml:space="preserve"> </w:t>
      </w:r>
      <w:r w:rsidRPr="00952FC6">
        <w:rPr>
          <w:rFonts w:cs="Calibri"/>
          <w:sz w:val="24"/>
        </w:rPr>
        <w:t xml:space="preserve">research was considered to be the role of the </w:t>
      </w:r>
      <w:r>
        <w:rPr>
          <w:rFonts w:cs="Calibri"/>
          <w:sz w:val="24"/>
        </w:rPr>
        <w:t xml:space="preserve">scientific </w:t>
      </w:r>
      <w:r w:rsidRPr="00952FC6">
        <w:rPr>
          <w:rFonts w:cs="Calibri"/>
          <w:sz w:val="24"/>
        </w:rPr>
        <w:t>researcher</w:t>
      </w:r>
      <w:r>
        <w:rPr>
          <w:rFonts w:cs="Calibri"/>
          <w:sz w:val="24"/>
        </w:rPr>
        <w:t xml:space="preserve"> (Maykut and Morehouse, 1994)</w:t>
      </w:r>
      <w:r w:rsidRPr="00952FC6">
        <w:rPr>
          <w:rFonts w:cs="Calibri"/>
          <w:sz w:val="24"/>
        </w:rPr>
        <w:t xml:space="preserve">. Wellington states that it is now generally accepted that the researcher in educational research is the key </w:t>
      </w:r>
      <w:r w:rsidR="00771F94">
        <w:rPr>
          <w:rFonts w:cs="Calibri"/>
          <w:sz w:val="24"/>
        </w:rPr>
        <w:t>“</w:t>
      </w:r>
      <w:r w:rsidRPr="00952FC6">
        <w:rPr>
          <w:rFonts w:cs="Calibri"/>
          <w:sz w:val="24"/>
        </w:rPr>
        <w:t>instrument</w:t>
      </w:r>
      <w:r w:rsidR="00771F94">
        <w:rPr>
          <w:rFonts w:cs="Calibri"/>
          <w:sz w:val="24"/>
        </w:rPr>
        <w:t>”</w:t>
      </w:r>
      <w:r w:rsidRPr="00952FC6">
        <w:rPr>
          <w:rFonts w:cs="Calibri"/>
          <w:sz w:val="24"/>
        </w:rPr>
        <w:t xml:space="preserve"> (</w:t>
      </w:r>
      <w:r>
        <w:rPr>
          <w:rFonts w:cs="Calibri"/>
          <w:sz w:val="24"/>
        </w:rPr>
        <w:t xml:space="preserve">2000, </w:t>
      </w:r>
      <w:r w:rsidRPr="00952FC6">
        <w:rPr>
          <w:rFonts w:cs="Calibri"/>
          <w:sz w:val="24"/>
        </w:rPr>
        <w:t>p.41). A researcher impact</w:t>
      </w:r>
      <w:r>
        <w:rPr>
          <w:rFonts w:cs="Calibri"/>
          <w:sz w:val="24"/>
        </w:rPr>
        <w:t>s</w:t>
      </w:r>
      <w:r w:rsidRPr="00952FC6">
        <w:rPr>
          <w:rFonts w:cs="Calibri"/>
          <w:sz w:val="24"/>
        </w:rPr>
        <w:t xml:space="preserve"> on the social world and the position that the researcher adopts affect</w:t>
      </w:r>
      <w:r>
        <w:rPr>
          <w:rFonts w:cs="Calibri"/>
          <w:sz w:val="24"/>
        </w:rPr>
        <w:t>s</w:t>
      </w:r>
      <w:r w:rsidRPr="00952FC6">
        <w:rPr>
          <w:rFonts w:cs="Calibri"/>
          <w:sz w:val="24"/>
        </w:rPr>
        <w:t xml:space="preserve"> </w:t>
      </w:r>
      <w:r w:rsidR="001E51A2">
        <w:rPr>
          <w:rFonts w:cs="Calibri"/>
          <w:sz w:val="24"/>
        </w:rPr>
        <w:t xml:space="preserve">all aspects of the research process. </w:t>
      </w:r>
      <w:r>
        <w:rPr>
          <w:rFonts w:cs="Calibri"/>
          <w:sz w:val="24"/>
        </w:rPr>
        <w:t>I</w:t>
      </w:r>
      <w:r w:rsidRPr="00952FC6">
        <w:rPr>
          <w:rFonts w:cs="Calibri"/>
          <w:sz w:val="24"/>
        </w:rPr>
        <w:t>t is vital that researcher</w:t>
      </w:r>
      <w:r>
        <w:rPr>
          <w:rFonts w:cs="Calibri"/>
          <w:sz w:val="24"/>
        </w:rPr>
        <w:t>s</w:t>
      </w:r>
      <w:r w:rsidRPr="00952FC6">
        <w:rPr>
          <w:rFonts w:cs="Calibri"/>
          <w:sz w:val="24"/>
        </w:rPr>
        <w:t xml:space="preserve"> consider </w:t>
      </w:r>
      <w:r w:rsidR="00F536C0">
        <w:rPr>
          <w:rFonts w:cs="Calibri"/>
          <w:sz w:val="24"/>
        </w:rPr>
        <w:t xml:space="preserve">and acknowledge </w:t>
      </w:r>
      <w:r w:rsidRPr="00952FC6">
        <w:rPr>
          <w:rFonts w:cs="Calibri"/>
          <w:sz w:val="24"/>
        </w:rPr>
        <w:t>their own positionality, reflect</w:t>
      </w:r>
      <w:r w:rsidR="00F536C0">
        <w:rPr>
          <w:rFonts w:cs="Calibri"/>
          <w:sz w:val="24"/>
        </w:rPr>
        <w:t>ing</w:t>
      </w:r>
      <w:r w:rsidRPr="00952FC6">
        <w:rPr>
          <w:rFonts w:cs="Calibri"/>
          <w:sz w:val="24"/>
        </w:rPr>
        <w:t xml:space="preserve"> before, during</w:t>
      </w:r>
      <w:r w:rsidR="00F536C0">
        <w:rPr>
          <w:rFonts w:cs="Calibri"/>
          <w:sz w:val="24"/>
        </w:rPr>
        <w:t>,</w:t>
      </w:r>
      <w:r w:rsidRPr="00952FC6">
        <w:rPr>
          <w:rFonts w:cs="Calibri"/>
          <w:sz w:val="24"/>
        </w:rPr>
        <w:t xml:space="preserve"> and after research</w:t>
      </w:r>
      <w:r>
        <w:rPr>
          <w:rFonts w:cs="Calibri"/>
          <w:sz w:val="24"/>
        </w:rPr>
        <w:t>,</w:t>
      </w:r>
      <w:r w:rsidRPr="00952FC6">
        <w:rPr>
          <w:rFonts w:cs="Calibri"/>
          <w:sz w:val="24"/>
        </w:rPr>
        <w:t xml:space="preserve"> on the possible impact on their work. </w:t>
      </w:r>
      <w:r w:rsidR="00F536C0">
        <w:rPr>
          <w:rFonts w:cs="Calibri"/>
          <w:sz w:val="24"/>
        </w:rPr>
        <w:t>S</w:t>
      </w:r>
      <w:r w:rsidRPr="00952FC6">
        <w:rPr>
          <w:rFonts w:cs="Calibri"/>
          <w:sz w:val="24"/>
        </w:rPr>
        <w:t>uch a reflexive position</w:t>
      </w:r>
      <w:r w:rsidR="00F536C0">
        <w:rPr>
          <w:rFonts w:cs="Calibri"/>
          <w:sz w:val="24"/>
        </w:rPr>
        <w:t>,</w:t>
      </w:r>
      <w:r w:rsidRPr="00952FC6">
        <w:rPr>
          <w:rFonts w:cs="Calibri"/>
          <w:sz w:val="24"/>
        </w:rPr>
        <w:t xml:space="preserve"> if not contained, </w:t>
      </w:r>
      <w:r w:rsidR="00F536C0">
        <w:rPr>
          <w:rFonts w:cs="Calibri"/>
          <w:sz w:val="24"/>
        </w:rPr>
        <w:t xml:space="preserve">however, </w:t>
      </w:r>
      <w:r w:rsidRPr="00952FC6">
        <w:rPr>
          <w:rFonts w:cs="Calibri"/>
          <w:sz w:val="24"/>
        </w:rPr>
        <w:t>run</w:t>
      </w:r>
      <w:r>
        <w:rPr>
          <w:rFonts w:cs="Calibri"/>
          <w:sz w:val="24"/>
        </w:rPr>
        <w:t>s</w:t>
      </w:r>
      <w:r w:rsidRPr="00952FC6">
        <w:rPr>
          <w:rFonts w:cs="Calibri"/>
          <w:sz w:val="24"/>
        </w:rPr>
        <w:t xml:space="preserve"> the risk of becoming a self-indulgent confession (Wellington</w:t>
      </w:r>
      <w:r>
        <w:rPr>
          <w:rFonts w:cs="Calibri"/>
          <w:sz w:val="24"/>
        </w:rPr>
        <w:t>, 2000</w:t>
      </w:r>
      <w:r w:rsidR="001E51A2">
        <w:rPr>
          <w:rFonts w:cs="Calibri"/>
          <w:sz w:val="24"/>
        </w:rPr>
        <w:t>,</w:t>
      </w:r>
      <w:r w:rsidRPr="00952FC6">
        <w:rPr>
          <w:rFonts w:cs="Calibri"/>
          <w:sz w:val="24"/>
        </w:rPr>
        <w:t xml:space="preserve"> p.43). I intend to consider my positionality </w:t>
      </w:r>
      <w:r w:rsidR="00F536C0">
        <w:rPr>
          <w:rFonts w:cs="Calibri"/>
          <w:sz w:val="24"/>
        </w:rPr>
        <w:t xml:space="preserve">throughout </w:t>
      </w:r>
      <w:r w:rsidRPr="00952FC6">
        <w:rPr>
          <w:rFonts w:cs="Calibri"/>
          <w:sz w:val="24"/>
        </w:rPr>
        <w:t>my research</w:t>
      </w:r>
      <w:r>
        <w:rPr>
          <w:rFonts w:cs="Calibri"/>
          <w:sz w:val="24"/>
        </w:rPr>
        <w:t>,</w:t>
      </w:r>
      <w:r w:rsidRPr="00952FC6">
        <w:rPr>
          <w:rFonts w:cs="Calibri"/>
          <w:sz w:val="24"/>
        </w:rPr>
        <w:t xml:space="preserve"> present</w:t>
      </w:r>
      <w:r>
        <w:rPr>
          <w:rFonts w:cs="Calibri"/>
          <w:sz w:val="24"/>
        </w:rPr>
        <w:t>ing</w:t>
      </w:r>
      <w:r w:rsidRPr="00952FC6">
        <w:rPr>
          <w:rFonts w:cs="Calibri"/>
          <w:sz w:val="24"/>
        </w:rPr>
        <w:t xml:space="preserve"> the elements I </w:t>
      </w:r>
      <w:r>
        <w:rPr>
          <w:rFonts w:cs="Calibri"/>
          <w:sz w:val="24"/>
        </w:rPr>
        <w:t xml:space="preserve">believe </w:t>
      </w:r>
      <w:r w:rsidRPr="00952FC6">
        <w:rPr>
          <w:rFonts w:cs="Calibri"/>
          <w:sz w:val="24"/>
        </w:rPr>
        <w:t>the reader require</w:t>
      </w:r>
      <w:r>
        <w:rPr>
          <w:rFonts w:cs="Calibri"/>
          <w:sz w:val="24"/>
        </w:rPr>
        <w:t>s</w:t>
      </w:r>
      <w:r w:rsidRPr="00952FC6">
        <w:rPr>
          <w:rFonts w:cs="Calibri"/>
          <w:sz w:val="24"/>
        </w:rPr>
        <w:t xml:space="preserve"> to</w:t>
      </w:r>
      <w:r>
        <w:rPr>
          <w:rFonts w:cs="Calibri"/>
          <w:sz w:val="24"/>
        </w:rPr>
        <w:t xml:space="preserve"> consider </w:t>
      </w:r>
      <w:r w:rsidRPr="00952FC6">
        <w:rPr>
          <w:rFonts w:cs="Calibri"/>
          <w:sz w:val="24"/>
        </w:rPr>
        <w:t xml:space="preserve">my standpoint. </w:t>
      </w:r>
      <w:r>
        <w:rPr>
          <w:rFonts w:cs="Calibri"/>
          <w:sz w:val="24"/>
        </w:rPr>
        <w:t xml:space="preserve">Mine </w:t>
      </w:r>
      <w:r w:rsidRPr="00952FC6">
        <w:rPr>
          <w:rFonts w:cs="Calibri"/>
          <w:sz w:val="24"/>
        </w:rPr>
        <w:t>will be a critically self-reflexive stance</w:t>
      </w:r>
      <w:r w:rsidR="009478CD">
        <w:rPr>
          <w:rFonts w:cs="Calibri"/>
          <w:sz w:val="24"/>
        </w:rPr>
        <w:t>,</w:t>
      </w:r>
      <w:r>
        <w:rPr>
          <w:rFonts w:cs="Calibri"/>
          <w:sz w:val="24"/>
        </w:rPr>
        <w:t xml:space="preserve"> with the aim of</w:t>
      </w:r>
      <w:r w:rsidRPr="00952FC6">
        <w:rPr>
          <w:rFonts w:cs="Calibri"/>
          <w:sz w:val="24"/>
        </w:rPr>
        <w:t xml:space="preserve"> ensur</w:t>
      </w:r>
      <w:r>
        <w:rPr>
          <w:rFonts w:cs="Calibri"/>
          <w:sz w:val="24"/>
        </w:rPr>
        <w:t>ing</w:t>
      </w:r>
      <w:r w:rsidRPr="00952FC6">
        <w:rPr>
          <w:rFonts w:cs="Calibri"/>
          <w:sz w:val="24"/>
        </w:rPr>
        <w:t xml:space="preserve"> that the research is trustworthy. </w:t>
      </w:r>
    </w:p>
    <w:p w14:paraId="08C82EF5" w14:textId="77777777" w:rsidR="007C077D" w:rsidRPr="00952FC6" w:rsidRDefault="007C077D" w:rsidP="001E54EB">
      <w:pPr>
        <w:tabs>
          <w:tab w:val="left" w:pos="1485"/>
        </w:tabs>
        <w:spacing w:after="0" w:line="360" w:lineRule="auto"/>
        <w:rPr>
          <w:rFonts w:cs="Calibri"/>
          <w:sz w:val="24"/>
        </w:rPr>
      </w:pPr>
    </w:p>
    <w:p w14:paraId="622B1D9B" w14:textId="261D15E7" w:rsidR="00A75A8F" w:rsidRPr="00952FC6" w:rsidRDefault="00A75A8F" w:rsidP="00A75A8F">
      <w:pPr>
        <w:spacing w:line="360" w:lineRule="auto"/>
        <w:rPr>
          <w:rFonts w:cs="Calibri"/>
          <w:sz w:val="24"/>
        </w:rPr>
      </w:pPr>
      <w:r w:rsidRPr="00952FC6">
        <w:rPr>
          <w:rFonts w:cs="Calibri"/>
          <w:sz w:val="24"/>
        </w:rPr>
        <w:t xml:space="preserve">My research background is in </w:t>
      </w:r>
      <w:r>
        <w:rPr>
          <w:rFonts w:cs="Calibri"/>
          <w:sz w:val="24"/>
        </w:rPr>
        <w:t>S</w:t>
      </w:r>
      <w:r w:rsidRPr="00952FC6">
        <w:rPr>
          <w:rFonts w:cs="Calibri"/>
          <w:sz w:val="24"/>
        </w:rPr>
        <w:t xml:space="preserve">ociology. </w:t>
      </w:r>
      <w:r>
        <w:rPr>
          <w:rFonts w:cs="Calibri"/>
          <w:sz w:val="24"/>
        </w:rPr>
        <w:t xml:space="preserve"> </w:t>
      </w:r>
      <w:r w:rsidRPr="00952FC6">
        <w:rPr>
          <w:rFonts w:cs="Calibri"/>
          <w:sz w:val="24"/>
        </w:rPr>
        <w:t xml:space="preserve">My early introduction to </w:t>
      </w:r>
      <w:r w:rsidR="00530D6A">
        <w:rPr>
          <w:rFonts w:cs="Calibri"/>
          <w:sz w:val="24"/>
        </w:rPr>
        <w:t>the subject</w:t>
      </w:r>
      <w:r w:rsidRPr="00952FC6">
        <w:rPr>
          <w:rFonts w:cs="Calibri"/>
          <w:sz w:val="24"/>
        </w:rPr>
        <w:t xml:space="preserve"> was filled with the classic works of Illich</w:t>
      </w:r>
      <w:r w:rsidR="00201C0C">
        <w:rPr>
          <w:rFonts w:cs="Calibri"/>
          <w:sz w:val="24"/>
        </w:rPr>
        <w:t>, such as</w:t>
      </w:r>
      <w:r w:rsidRPr="00952FC6">
        <w:rPr>
          <w:rFonts w:cs="Calibri"/>
          <w:sz w:val="24"/>
        </w:rPr>
        <w:t xml:space="preserve"> </w:t>
      </w:r>
      <w:r w:rsidRPr="00952FC6">
        <w:rPr>
          <w:rFonts w:cs="Calibri"/>
          <w:i/>
          <w:sz w:val="24"/>
        </w:rPr>
        <w:t>Deschooling Society</w:t>
      </w:r>
      <w:r w:rsidRPr="00952FC6">
        <w:rPr>
          <w:rFonts w:cs="Calibri"/>
          <w:sz w:val="24"/>
        </w:rPr>
        <w:t xml:space="preserve"> (1971) and Bowles and Gintis </w:t>
      </w:r>
      <w:r w:rsidRPr="00952FC6">
        <w:rPr>
          <w:rFonts w:cs="Calibri"/>
          <w:i/>
          <w:sz w:val="24"/>
        </w:rPr>
        <w:t>Schooling in Capitalist America</w:t>
      </w:r>
      <w:r w:rsidRPr="00952FC6">
        <w:rPr>
          <w:rFonts w:cs="Calibri"/>
          <w:sz w:val="24"/>
        </w:rPr>
        <w:t xml:space="preserve"> (1976)</w:t>
      </w:r>
      <w:r>
        <w:rPr>
          <w:rFonts w:cs="Calibri"/>
          <w:sz w:val="24"/>
        </w:rPr>
        <w:t>. Illich (</w:t>
      </w:r>
      <w:r w:rsidRPr="00491B59">
        <w:rPr>
          <w:rFonts w:cs="Calibri"/>
          <w:sz w:val="24"/>
        </w:rPr>
        <w:t>1971</w:t>
      </w:r>
      <w:r>
        <w:rPr>
          <w:rFonts w:cs="Calibri"/>
          <w:sz w:val="24"/>
        </w:rPr>
        <w:t>) argues that children are taught in school to conform to societal expectations</w:t>
      </w:r>
      <w:r w:rsidR="00201C0C">
        <w:rPr>
          <w:rFonts w:cs="Calibri"/>
          <w:sz w:val="24"/>
        </w:rPr>
        <w:t>,</w:t>
      </w:r>
      <w:r>
        <w:rPr>
          <w:rFonts w:cs="Calibri"/>
          <w:sz w:val="24"/>
        </w:rPr>
        <w:t xml:space="preserve"> </w:t>
      </w:r>
      <w:r w:rsidR="00201C0C">
        <w:rPr>
          <w:rFonts w:cs="Calibri"/>
          <w:sz w:val="24"/>
        </w:rPr>
        <w:t>led</w:t>
      </w:r>
      <w:r>
        <w:rPr>
          <w:rFonts w:cs="Calibri"/>
          <w:sz w:val="24"/>
        </w:rPr>
        <w:t xml:space="preserve"> by </w:t>
      </w:r>
      <w:r w:rsidR="00201C0C">
        <w:rPr>
          <w:rFonts w:cs="Calibri"/>
          <w:sz w:val="24"/>
        </w:rPr>
        <w:t xml:space="preserve">predetermined </w:t>
      </w:r>
      <w:r>
        <w:rPr>
          <w:rFonts w:cs="Calibri"/>
          <w:sz w:val="24"/>
        </w:rPr>
        <w:t>social inequalities, thus ultimately denying children the opportunity to develop as free thinkers. Bowles and Gintis (1976) claim that school teaches children how to operate in a market</w:t>
      </w:r>
      <w:r w:rsidR="00201C0C">
        <w:rPr>
          <w:rFonts w:cs="Calibri"/>
          <w:sz w:val="24"/>
        </w:rPr>
        <w:t>-</w:t>
      </w:r>
      <w:r>
        <w:rPr>
          <w:rFonts w:cs="Calibri"/>
          <w:sz w:val="24"/>
        </w:rPr>
        <w:t xml:space="preserve">driven economy, with middle class children taught leadership skills to equip them for managerial positions and working class children prepared for manual labour, all within the false premise of a meritocratic system which </w:t>
      </w:r>
      <w:r w:rsidR="00201C0C">
        <w:rPr>
          <w:rFonts w:cs="Calibri"/>
          <w:sz w:val="24"/>
        </w:rPr>
        <w:t xml:space="preserve">supposedly </w:t>
      </w:r>
      <w:r>
        <w:rPr>
          <w:rFonts w:cs="Calibri"/>
          <w:sz w:val="24"/>
        </w:rPr>
        <w:t>rewards talent and abilit</w:t>
      </w:r>
      <w:r w:rsidR="00201C0C">
        <w:rPr>
          <w:rFonts w:cs="Calibri"/>
          <w:sz w:val="24"/>
        </w:rPr>
        <w:t>y</w:t>
      </w:r>
      <w:r w:rsidRPr="00952FC6">
        <w:rPr>
          <w:rFonts w:cs="Calibri"/>
          <w:sz w:val="24"/>
        </w:rPr>
        <w:t>. These works excited me</w:t>
      </w:r>
      <w:r w:rsidR="00990CDE">
        <w:rPr>
          <w:rFonts w:cs="Calibri"/>
          <w:sz w:val="24"/>
        </w:rPr>
        <w:t>.</w:t>
      </w:r>
      <w:r w:rsidRPr="00952FC6">
        <w:rPr>
          <w:rFonts w:cs="Calibri"/>
          <w:sz w:val="24"/>
        </w:rPr>
        <w:t xml:space="preserve"> </w:t>
      </w:r>
      <w:r w:rsidR="00990CDE">
        <w:rPr>
          <w:rFonts w:cs="Calibri"/>
          <w:sz w:val="24"/>
        </w:rPr>
        <w:t>A</w:t>
      </w:r>
      <w:r w:rsidRPr="00952FC6">
        <w:rPr>
          <w:rFonts w:cs="Calibri"/>
          <w:sz w:val="24"/>
        </w:rPr>
        <w:t>fter years within the education system as a student, it was refreshing to consider what I had taken at face value</w:t>
      </w:r>
      <w:r w:rsidR="00990CDE">
        <w:rPr>
          <w:rFonts w:cs="Calibri"/>
          <w:sz w:val="24"/>
        </w:rPr>
        <w:t>;</w:t>
      </w:r>
      <w:r w:rsidRPr="00952FC6">
        <w:rPr>
          <w:rFonts w:cs="Calibri"/>
          <w:sz w:val="24"/>
        </w:rPr>
        <w:t xml:space="preserve"> </w:t>
      </w:r>
      <w:r w:rsidR="00990CDE">
        <w:rPr>
          <w:rFonts w:cs="Calibri"/>
          <w:sz w:val="24"/>
        </w:rPr>
        <w:t>that</w:t>
      </w:r>
      <w:r w:rsidRPr="00952FC6">
        <w:rPr>
          <w:rFonts w:cs="Calibri"/>
          <w:sz w:val="24"/>
        </w:rPr>
        <w:t xml:space="preserve"> </w:t>
      </w:r>
      <w:r>
        <w:rPr>
          <w:rFonts w:cs="Calibri"/>
          <w:sz w:val="24"/>
        </w:rPr>
        <w:t>‘</w:t>
      </w:r>
      <w:r w:rsidRPr="00952FC6">
        <w:rPr>
          <w:rFonts w:cs="Calibri"/>
          <w:sz w:val="24"/>
        </w:rPr>
        <w:t>school</w:t>
      </w:r>
      <w:r>
        <w:rPr>
          <w:rFonts w:cs="Calibri"/>
          <w:sz w:val="24"/>
        </w:rPr>
        <w:t>’</w:t>
      </w:r>
      <w:r w:rsidRPr="00952FC6">
        <w:rPr>
          <w:rFonts w:cs="Calibri"/>
          <w:sz w:val="24"/>
        </w:rPr>
        <w:t xml:space="preserve"> and </w:t>
      </w:r>
      <w:r>
        <w:rPr>
          <w:rFonts w:cs="Calibri"/>
          <w:sz w:val="24"/>
        </w:rPr>
        <w:t>‘</w:t>
      </w:r>
      <w:r w:rsidRPr="00952FC6">
        <w:rPr>
          <w:rFonts w:cs="Calibri"/>
          <w:sz w:val="24"/>
        </w:rPr>
        <w:t>education</w:t>
      </w:r>
      <w:r>
        <w:rPr>
          <w:rFonts w:cs="Calibri"/>
          <w:sz w:val="24"/>
        </w:rPr>
        <w:t>’</w:t>
      </w:r>
      <w:r w:rsidRPr="00952FC6">
        <w:rPr>
          <w:rFonts w:cs="Calibri"/>
          <w:sz w:val="24"/>
        </w:rPr>
        <w:t xml:space="preserve"> may actually have been devices to achieve completely different ends to th</w:t>
      </w:r>
      <w:r>
        <w:rPr>
          <w:rFonts w:cs="Calibri"/>
          <w:sz w:val="24"/>
        </w:rPr>
        <w:t>ose</w:t>
      </w:r>
      <w:r w:rsidRPr="00952FC6">
        <w:rPr>
          <w:rFonts w:cs="Calibri"/>
          <w:sz w:val="24"/>
        </w:rPr>
        <w:t xml:space="preserve"> I </w:t>
      </w:r>
      <w:r w:rsidR="00990CDE">
        <w:rPr>
          <w:rFonts w:cs="Calibri"/>
          <w:sz w:val="24"/>
        </w:rPr>
        <w:t xml:space="preserve">had </w:t>
      </w:r>
      <w:r w:rsidRPr="00952FC6">
        <w:rPr>
          <w:rFonts w:cs="Calibri"/>
          <w:sz w:val="24"/>
        </w:rPr>
        <w:t xml:space="preserve">believed. </w:t>
      </w:r>
      <w:r w:rsidR="00201C0C">
        <w:rPr>
          <w:rFonts w:cs="Calibri"/>
          <w:sz w:val="24"/>
        </w:rPr>
        <w:t>I</w:t>
      </w:r>
      <w:r w:rsidRPr="00952FC6">
        <w:rPr>
          <w:rFonts w:cs="Calibri"/>
          <w:sz w:val="24"/>
        </w:rPr>
        <w:t>n more recent times,</w:t>
      </w:r>
      <w:r w:rsidR="00201C0C">
        <w:rPr>
          <w:rFonts w:cs="Calibri"/>
          <w:sz w:val="24"/>
        </w:rPr>
        <w:t xml:space="preserve"> however,</w:t>
      </w:r>
      <w:r w:rsidRPr="00952FC6">
        <w:rPr>
          <w:rFonts w:cs="Calibri"/>
          <w:sz w:val="24"/>
        </w:rPr>
        <w:t xml:space="preserve"> as I have </w:t>
      </w:r>
      <w:r>
        <w:rPr>
          <w:rFonts w:cs="Calibri"/>
          <w:sz w:val="24"/>
        </w:rPr>
        <w:t>adopted</w:t>
      </w:r>
      <w:r w:rsidRPr="00952FC6">
        <w:rPr>
          <w:rFonts w:cs="Calibri"/>
          <w:sz w:val="24"/>
        </w:rPr>
        <w:t xml:space="preserve"> school leadership roles and </w:t>
      </w:r>
      <w:r>
        <w:rPr>
          <w:rFonts w:cs="Calibri"/>
          <w:sz w:val="24"/>
        </w:rPr>
        <w:t>(</w:t>
      </w:r>
      <w:r w:rsidRPr="00952FC6">
        <w:rPr>
          <w:rFonts w:cs="Calibri"/>
          <w:sz w:val="24"/>
        </w:rPr>
        <w:t>possibly</w:t>
      </w:r>
      <w:r>
        <w:rPr>
          <w:rFonts w:cs="Calibri"/>
          <w:sz w:val="24"/>
        </w:rPr>
        <w:t>)</w:t>
      </w:r>
      <w:r w:rsidRPr="00952FC6">
        <w:rPr>
          <w:rFonts w:cs="Calibri"/>
          <w:sz w:val="24"/>
        </w:rPr>
        <w:t xml:space="preserve"> become part of the educational </w:t>
      </w:r>
      <w:r w:rsidR="00A55BF6">
        <w:rPr>
          <w:rFonts w:cs="Calibri"/>
          <w:sz w:val="24"/>
        </w:rPr>
        <w:t>establishment</w:t>
      </w:r>
      <w:r w:rsidR="00A55BF6" w:rsidRPr="00952FC6">
        <w:rPr>
          <w:rFonts w:cs="Calibri"/>
          <w:sz w:val="24"/>
        </w:rPr>
        <w:t xml:space="preserve"> </w:t>
      </w:r>
      <w:r w:rsidRPr="00952FC6">
        <w:rPr>
          <w:rFonts w:cs="Calibri"/>
          <w:sz w:val="24"/>
        </w:rPr>
        <w:t xml:space="preserve">machinery, I have not had cause to consider </w:t>
      </w:r>
      <w:r>
        <w:rPr>
          <w:rFonts w:cs="Calibri"/>
          <w:sz w:val="24"/>
        </w:rPr>
        <w:t>these works</w:t>
      </w:r>
      <w:r w:rsidR="008F0991">
        <w:rPr>
          <w:rFonts w:cs="Calibri"/>
          <w:sz w:val="24"/>
        </w:rPr>
        <w:t xml:space="preserve"> as much</w:t>
      </w:r>
      <w:r w:rsidR="00A55BF6">
        <w:rPr>
          <w:rFonts w:cs="Calibri"/>
          <w:sz w:val="24"/>
        </w:rPr>
        <w:t>,</w:t>
      </w:r>
      <w:r>
        <w:rPr>
          <w:rFonts w:cs="Calibri"/>
          <w:sz w:val="24"/>
        </w:rPr>
        <w:t xml:space="preserve"> </w:t>
      </w:r>
      <w:r w:rsidR="00A55BF6">
        <w:rPr>
          <w:rFonts w:cs="Calibri"/>
          <w:sz w:val="24"/>
        </w:rPr>
        <w:t>so</w:t>
      </w:r>
      <w:r w:rsidRPr="00952FC6">
        <w:rPr>
          <w:rFonts w:cs="Calibri"/>
          <w:sz w:val="24"/>
        </w:rPr>
        <w:t xml:space="preserve"> their message</w:t>
      </w:r>
      <w:r>
        <w:rPr>
          <w:rFonts w:cs="Calibri"/>
          <w:sz w:val="24"/>
        </w:rPr>
        <w:t>s</w:t>
      </w:r>
      <w:r w:rsidRPr="00952FC6">
        <w:rPr>
          <w:rFonts w:cs="Calibri"/>
          <w:sz w:val="24"/>
        </w:rPr>
        <w:t xml:space="preserve"> have declined in importance in my thinking. I am keen to re</w:t>
      </w:r>
      <w:r>
        <w:rPr>
          <w:rFonts w:cs="Calibri"/>
          <w:sz w:val="24"/>
        </w:rPr>
        <w:t>-</w:t>
      </w:r>
      <w:r w:rsidRPr="00952FC6">
        <w:rPr>
          <w:rFonts w:cs="Calibri"/>
          <w:sz w:val="24"/>
        </w:rPr>
        <w:t>acquaint myself with the</w:t>
      </w:r>
      <w:r>
        <w:rPr>
          <w:rFonts w:cs="Calibri"/>
          <w:sz w:val="24"/>
        </w:rPr>
        <w:t xml:space="preserve">se and other </w:t>
      </w:r>
      <w:r w:rsidRPr="00952FC6">
        <w:rPr>
          <w:rFonts w:cs="Calibri"/>
          <w:sz w:val="24"/>
        </w:rPr>
        <w:t>theories</w:t>
      </w:r>
      <w:r>
        <w:rPr>
          <w:rFonts w:cs="Calibri"/>
          <w:sz w:val="24"/>
        </w:rPr>
        <w:t xml:space="preserve"> </w:t>
      </w:r>
      <w:r w:rsidRPr="00952FC6">
        <w:rPr>
          <w:rFonts w:cs="Calibri"/>
          <w:sz w:val="24"/>
        </w:rPr>
        <w:t xml:space="preserve">and to apply </w:t>
      </w:r>
      <w:r>
        <w:rPr>
          <w:rFonts w:cs="Calibri"/>
          <w:sz w:val="24"/>
        </w:rPr>
        <w:t>them</w:t>
      </w:r>
      <w:r w:rsidRPr="00952FC6">
        <w:rPr>
          <w:rFonts w:cs="Calibri"/>
          <w:sz w:val="24"/>
        </w:rPr>
        <w:t xml:space="preserve"> to </w:t>
      </w:r>
      <w:r w:rsidR="00A55BF6">
        <w:rPr>
          <w:rFonts w:cs="Calibri"/>
          <w:sz w:val="24"/>
        </w:rPr>
        <w:t>my research on the</w:t>
      </w:r>
      <w:r w:rsidRPr="00952FC6">
        <w:rPr>
          <w:rFonts w:cs="Calibri"/>
          <w:sz w:val="24"/>
        </w:rPr>
        <w:t xml:space="preserve"> EBac. </w:t>
      </w:r>
    </w:p>
    <w:p w14:paraId="2B1BC04A" w14:textId="493C249A" w:rsidR="00A75A8F" w:rsidRPr="00952FC6" w:rsidRDefault="00A75A8F" w:rsidP="00A75A8F">
      <w:pPr>
        <w:tabs>
          <w:tab w:val="left" w:pos="8222"/>
          <w:tab w:val="left" w:pos="8505"/>
        </w:tabs>
        <w:spacing w:after="0" w:line="360" w:lineRule="auto"/>
        <w:rPr>
          <w:rFonts w:cs="Calibri"/>
          <w:sz w:val="24"/>
        </w:rPr>
      </w:pPr>
      <w:r w:rsidRPr="00952FC6">
        <w:rPr>
          <w:rFonts w:cs="Calibri"/>
          <w:sz w:val="24"/>
        </w:rPr>
        <w:t xml:space="preserve">I started my </w:t>
      </w:r>
      <w:r>
        <w:rPr>
          <w:rFonts w:cs="Calibri"/>
          <w:sz w:val="24"/>
        </w:rPr>
        <w:t xml:space="preserve">teaching </w:t>
      </w:r>
      <w:r w:rsidRPr="00952FC6">
        <w:rPr>
          <w:rFonts w:cs="Calibri"/>
          <w:sz w:val="24"/>
        </w:rPr>
        <w:t>career in 1994 as an A</w:t>
      </w:r>
      <w:r w:rsidR="008F0991">
        <w:rPr>
          <w:rFonts w:cs="Calibri"/>
          <w:sz w:val="24"/>
        </w:rPr>
        <w:t>-</w:t>
      </w:r>
      <w:r w:rsidRPr="00952FC6">
        <w:rPr>
          <w:rFonts w:cs="Calibri"/>
          <w:sz w:val="24"/>
        </w:rPr>
        <w:t xml:space="preserve">Level </w:t>
      </w:r>
      <w:r>
        <w:rPr>
          <w:rFonts w:cs="Calibri"/>
          <w:sz w:val="24"/>
        </w:rPr>
        <w:t>S</w:t>
      </w:r>
      <w:r w:rsidRPr="00952FC6">
        <w:rPr>
          <w:rFonts w:cs="Calibri"/>
          <w:sz w:val="24"/>
        </w:rPr>
        <w:t xml:space="preserve">ociology teacher in an </w:t>
      </w:r>
      <w:r>
        <w:rPr>
          <w:rFonts w:cs="Calibri"/>
          <w:sz w:val="24"/>
        </w:rPr>
        <w:t>i</w:t>
      </w:r>
      <w:r w:rsidRPr="00952FC6">
        <w:rPr>
          <w:rFonts w:cs="Calibri"/>
          <w:sz w:val="24"/>
        </w:rPr>
        <w:t xml:space="preserve">ndependent, selective girls’ school. I then followed a curriculum career route within the state sector </w:t>
      </w:r>
      <w:r w:rsidRPr="00952FC6">
        <w:rPr>
          <w:rFonts w:cs="Calibri"/>
          <w:sz w:val="24"/>
        </w:rPr>
        <w:lastRenderedPageBreak/>
        <w:t xml:space="preserve">before moving to an educational charity as Head of Curriculum Research for </w:t>
      </w:r>
      <w:r w:rsidR="008F0991">
        <w:rPr>
          <w:rFonts w:cs="Calibri"/>
          <w:sz w:val="24"/>
        </w:rPr>
        <w:t xml:space="preserve">27 </w:t>
      </w:r>
      <w:r w:rsidRPr="00952FC6">
        <w:rPr>
          <w:rFonts w:cs="Calibri"/>
          <w:sz w:val="24"/>
        </w:rPr>
        <w:t xml:space="preserve">schools spanning the </w:t>
      </w:r>
      <w:r>
        <w:rPr>
          <w:rFonts w:cs="Calibri"/>
          <w:sz w:val="24"/>
        </w:rPr>
        <w:t xml:space="preserve">independent </w:t>
      </w:r>
      <w:r w:rsidRPr="00952FC6">
        <w:rPr>
          <w:rFonts w:cs="Calibri"/>
          <w:sz w:val="24"/>
        </w:rPr>
        <w:t xml:space="preserve">and </w:t>
      </w:r>
      <w:r>
        <w:rPr>
          <w:rFonts w:cs="Calibri"/>
          <w:sz w:val="24"/>
        </w:rPr>
        <w:t>academy</w:t>
      </w:r>
      <w:r w:rsidRPr="00952FC6">
        <w:rPr>
          <w:rFonts w:cs="Calibri"/>
          <w:sz w:val="24"/>
        </w:rPr>
        <w:t xml:space="preserve"> sector</w:t>
      </w:r>
      <w:r w:rsidR="008F0991">
        <w:rPr>
          <w:rFonts w:cs="Calibri"/>
          <w:sz w:val="24"/>
        </w:rPr>
        <w:t>s</w:t>
      </w:r>
      <w:r w:rsidRPr="00952FC6">
        <w:rPr>
          <w:rFonts w:cs="Calibri"/>
          <w:sz w:val="24"/>
        </w:rPr>
        <w:t xml:space="preserve">. The move out of a single school allowed me a unique opportunity to visit, consider, evaluate and reflect on the nature of differing curricula and the impact that </w:t>
      </w:r>
      <w:r>
        <w:rPr>
          <w:rFonts w:cs="Calibri"/>
          <w:sz w:val="24"/>
        </w:rPr>
        <w:t xml:space="preserve">curriculum </w:t>
      </w:r>
      <w:r w:rsidRPr="00952FC6">
        <w:rPr>
          <w:rFonts w:cs="Calibri"/>
          <w:sz w:val="24"/>
        </w:rPr>
        <w:t xml:space="preserve">policy decisions have on students, teachers and schools, </w:t>
      </w:r>
      <w:r>
        <w:rPr>
          <w:rFonts w:cs="Calibri"/>
          <w:sz w:val="24"/>
        </w:rPr>
        <w:t xml:space="preserve">ranging </w:t>
      </w:r>
      <w:r w:rsidRPr="00952FC6">
        <w:rPr>
          <w:rFonts w:cs="Calibri"/>
          <w:sz w:val="24"/>
        </w:rPr>
        <w:t xml:space="preserve">from the most </w:t>
      </w:r>
      <w:r>
        <w:rPr>
          <w:rFonts w:cs="Calibri"/>
          <w:sz w:val="24"/>
        </w:rPr>
        <w:t xml:space="preserve">academically </w:t>
      </w:r>
      <w:r w:rsidRPr="00952FC6">
        <w:rPr>
          <w:rFonts w:cs="Calibri"/>
          <w:sz w:val="24"/>
        </w:rPr>
        <w:t>selective</w:t>
      </w:r>
      <w:r>
        <w:rPr>
          <w:rStyle w:val="FootnoteReference"/>
          <w:rFonts w:cs="Calibri"/>
          <w:sz w:val="24"/>
        </w:rPr>
        <w:footnoteReference w:id="20"/>
      </w:r>
      <w:r w:rsidRPr="00952FC6">
        <w:rPr>
          <w:rFonts w:cs="Calibri"/>
          <w:sz w:val="24"/>
        </w:rPr>
        <w:t xml:space="preserve"> to those deemed to be </w:t>
      </w:r>
      <w:r>
        <w:rPr>
          <w:rFonts w:cs="Calibri"/>
          <w:sz w:val="24"/>
        </w:rPr>
        <w:t>‘</w:t>
      </w:r>
      <w:r w:rsidRPr="00952FC6">
        <w:rPr>
          <w:rFonts w:cs="Calibri"/>
          <w:sz w:val="24"/>
        </w:rPr>
        <w:t>failing</w:t>
      </w:r>
      <w:r>
        <w:rPr>
          <w:rFonts w:cs="Calibri"/>
          <w:sz w:val="24"/>
        </w:rPr>
        <w:t>’</w:t>
      </w:r>
      <w:r w:rsidRPr="00952FC6">
        <w:rPr>
          <w:rFonts w:cs="Calibri"/>
          <w:sz w:val="24"/>
        </w:rPr>
        <w:t xml:space="preserve">. The curricular approach </w:t>
      </w:r>
      <w:r>
        <w:rPr>
          <w:rFonts w:cs="Calibri"/>
          <w:sz w:val="24"/>
        </w:rPr>
        <w:t>of</w:t>
      </w:r>
      <w:r w:rsidRPr="00952FC6">
        <w:rPr>
          <w:rFonts w:cs="Calibri"/>
          <w:sz w:val="24"/>
        </w:rPr>
        <w:t xml:space="preserve"> each school was different and subjected to contrasting pressures and encouragements</w:t>
      </w:r>
      <w:r w:rsidR="006336E6">
        <w:rPr>
          <w:rFonts w:cs="Calibri"/>
          <w:sz w:val="24"/>
        </w:rPr>
        <w:t>.</w:t>
      </w:r>
      <w:r w:rsidR="008F0991">
        <w:rPr>
          <w:rFonts w:cs="Calibri"/>
          <w:sz w:val="24"/>
        </w:rPr>
        <w:t xml:space="preserve"> </w:t>
      </w:r>
      <w:r w:rsidR="006336E6">
        <w:rPr>
          <w:rFonts w:cs="Calibri"/>
          <w:sz w:val="24"/>
        </w:rPr>
        <w:t>M</w:t>
      </w:r>
      <w:r w:rsidRPr="00952FC6">
        <w:rPr>
          <w:rFonts w:cs="Calibri"/>
          <w:sz w:val="24"/>
        </w:rPr>
        <w:t xml:space="preserve">any </w:t>
      </w:r>
      <w:r>
        <w:rPr>
          <w:rFonts w:cs="Calibri"/>
          <w:sz w:val="24"/>
        </w:rPr>
        <w:t>a</w:t>
      </w:r>
      <w:r w:rsidRPr="00952FC6">
        <w:rPr>
          <w:rFonts w:cs="Calibri"/>
          <w:sz w:val="24"/>
        </w:rPr>
        <w:t>cademies were</w:t>
      </w:r>
      <w:r w:rsidR="006336E6">
        <w:rPr>
          <w:rFonts w:cs="Calibri"/>
          <w:sz w:val="24"/>
        </w:rPr>
        <w:t>,</w:t>
      </w:r>
      <w:r w:rsidR="008F0991">
        <w:rPr>
          <w:rFonts w:cs="Calibri"/>
          <w:sz w:val="24"/>
        </w:rPr>
        <w:t xml:space="preserve"> in my opinion</w:t>
      </w:r>
      <w:r w:rsidR="006336E6">
        <w:rPr>
          <w:rFonts w:cs="Calibri"/>
          <w:sz w:val="24"/>
        </w:rPr>
        <w:t>,</w:t>
      </w:r>
      <w:r w:rsidRPr="00952FC6">
        <w:rPr>
          <w:rFonts w:cs="Calibri"/>
          <w:sz w:val="24"/>
        </w:rPr>
        <w:t xml:space="preserve"> quick to play the </w:t>
      </w:r>
      <w:r>
        <w:rPr>
          <w:rFonts w:cs="Calibri"/>
          <w:sz w:val="24"/>
        </w:rPr>
        <w:t>‘</w:t>
      </w:r>
      <w:r w:rsidR="000458FA">
        <w:rPr>
          <w:rFonts w:cs="Calibri"/>
          <w:sz w:val="24"/>
        </w:rPr>
        <w:t>performance</w:t>
      </w:r>
      <w:r w:rsidRPr="00952FC6">
        <w:rPr>
          <w:rFonts w:cs="Calibri"/>
          <w:sz w:val="24"/>
        </w:rPr>
        <w:t xml:space="preserve"> table game</w:t>
      </w:r>
      <w:r>
        <w:rPr>
          <w:rFonts w:cs="Calibri"/>
          <w:sz w:val="24"/>
        </w:rPr>
        <w:t>’</w:t>
      </w:r>
      <w:r w:rsidRPr="00952FC6">
        <w:rPr>
          <w:rStyle w:val="FootnoteReference1"/>
          <w:rFonts w:cs="Calibri"/>
          <w:sz w:val="24"/>
        </w:rPr>
        <w:footnoteReference w:id="21"/>
      </w:r>
      <w:r w:rsidR="008F0991">
        <w:rPr>
          <w:rFonts w:cs="Calibri"/>
          <w:sz w:val="24"/>
        </w:rPr>
        <w:t>. These schools would</w:t>
      </w:r>
      <w:r w:rsidRPr="00952FC6">
        <w:rPr>
          <w:rFonts w:cs="Calibri"/>
          <w:sz w:val="24"/>
        </w:rPr>
        <w:t xml:space="preserve"> introduc</w:t>
      </w:r>
      <w:r w:rsidR="008F0991">
        <w:rPr>
          <w:rFonts w:cs="Calibri"/>
          <w:sz w:val="24"/>
        </w:rPr>
        <w:t>e</w:t>
      </w:r>
      <w:r w:rsidRPr="00952FC6">
        <w:rPr>
          <w:rFonts w:cs="Calibri"/>
          <w:sz w:val="24"/>
        </w:rPr>
        <w:t xml:space="preserve"> a wide range of vocational qualifications f</w:t>
      </w:r>
      <w:r w:rsidR="000458FA">
        <w:rPr>
          <w:rFonts w:cs="Calibri"/>
          <w:sz w:val="24"/>
        </w:rPr>
        <w:t>or students which ensured performance</w:t>
      </w:r>
      <w:r w:rsidRPr="00952FC6">
        <w:rPr>
          <w:rFonts w:cs="Calibri"/>
          <w:sz w:val="24"/>
        </w:rPr>
        <w:t xml:space="preserve"> table success</w:t>
      </w:r>
      <w:r w:rsidR="000458FA">
        <w:rPr>
          <w:rFonts w:cs="Calibri"/>
          <w:sz w:val="24"/>
        </w:rPr>
        <w:t xml:space="preserve"> for the school</w:t>
      </w:r>
      <w:r w:rsidR="008F0991">
        <w:rPr>
          <w:rFonts w:cs="Calibri"/>
          <w:sz w:val="24"/>
        </w:rPr>
        <w:t>,</w:t>
      </w:r>
      <w:r w:rsidRPr="00952FC6">
        <w:rPr>
          <w:rFonts w:cs="Calibri"/>
          <w:sz w:val="24"/>
        </w:rPr>
        <w:t xml:space="preserve"> </w:t>
      </w:r>
      <w:r w:rsidR="008F0991">
        <w:rPr>
          <w:rFonts w:cs="Calibri"/>
          <w:sz w:val="24"/>
        </w:rPr>
        <w:t xml:space="preserve">but </w:t>
      </w:r>
      <w:r w:rsidR="006336E6">
        <w:rPr>
          <w:rFonts w:cs="Calibri"/>
          <w:sz w:val="24"/>
        </w:rPr>
        <w:t>not always</w:t>
      </w:r>
      <w:r w:rsidR="008F0991">
        <w:rPr>
          <w:rFonts w:cs="Calibri"/>
          <w:sz w:val="24"/>
        </w:rPr>
        <w:t xml:space="preserve"> </w:t>
      </w:r>
      <w:r w:rsidRPr="00952FC6">
        <w:rPr>
          <w:rFonts w:cs="Calibri"/>
          <w:sz w:val="24"/>
        </w:rPr>
        <w:t>provid</w:t>
      </w:r>
      <w:r w:rsidR="008F0991">
        <w:rPr>
          <w:rFonts w:cs="Calibri"/>
          <w:sz w:val="24"/>
        </w:rPr>
        <w:t xml:space="preserve">ing </w:t>
      </w:r>
      <w:r w:rsidRPr="00952FC6">
        <w:rPr>
          <w:rFonts w:cs="Calibri"/>
          <w:sz w:val="24"/>
        </w:rPr>
        <w:t xml:space="preserve">clear progression routes </w:t>
      </w:r>
      <w:r>
        <w:rPr>
          <w:rFonts w:cs="Calibri"/>
          <w:sz w:val="24"/>
        </w:rPr>
        <w:t xml:space="preserve">to </w:t>
      </w:r>
      <w:r w:rsidRPr="00952FC6">
        <w:rPr>
          <w:rFonts w:cs="Calibri"/>
          <w:sz w:val="24"/>
        </w:rPr>
        <w:t>the next stage of education</w:t>
      </w:r>
      <w:r w:rsidR="008F0991">
        <w:rPr>
          <w:rFonts w:cs="Calibri"/>
          <w:sz w:val="24"/>
        </w:rPr>
        <w:t xml:space="preserve"> </w:t>
      </w:r>
      <w:r w:rsidR="000458FA">
        <w:rPr>
          <w:rFonts w:cs="Calibri"/>
          <w:sz w:val="24"/>
        </w:rPr>
        <w:t xml:space="preserve">for students </w:t>
      </w:r>
      <w:r w:rsidRPr="00952FC6">
        <w:rPr>
          <w:rFonts w:cs="Calibri"/>
          <w:sz w:val="24"/>
        </w:rPr>
        <w:t xml:space="preserve">(Wolf 2011). In contrast, many </w:t>
      </w:r>
      <w:r>
        <w:rPr>
          <w:rFonts w:cs="Calibri"/>
          <w:sz w:val="24"/>
        </w:rPr>
        <w:t xml:space="preserve">independent </w:t>
      </w:r>
      <w:r w:rsidRPr="00952FC6">
        <w:rPr>
          <w:rFonts w:cs="Calibri"/>
          <w:sz w:val="24"/>
        </w:rPr>
        <w:t>and academically successful schools offer</w:t>
      </w:r>
      <w:r w:rsidR="006336E6">
        <w:rPr>
          <w:rFonts w:cs="Calibri"/>
          <w:sz w:val="24"/>
        </w:rPr>
        <w:t>ed</w:t>
      </w:r>
      <w:r w:rsidRPr="00952FC6">
        <w:rPr>
          <w:rFonts w:cs="Calibri"/>
          <w:sz w:val="24"/>
        </w:rPr>
        <w:t xml:space="preserve"> a traditional </w:t>
      </w:r>
      <w:r>
        <w:rPr>
          <w:rFonts w:cs="Calibri"/>
          <w:sz w:val="24"/>
        </w:rPr>
        <w:t xml:space="preserve">academic </w:t>
      </w:r>
      <w:r w:rsidRPr="00952FC6">
        <w:rPr>
          <w:rFonts w:cs="Calibri"/>
          <w:sz w:val="24"/>
        </w:rPr>
        <w:t>GCSE curriculum</w:t>
      </w:r>
      <w:r>
        <w:rPr>
          <w:rFonts w:cs="Calibri"/>
          <w:sz w:val="24"/>
        </w:rPr>
        <w:t>, for example the EBac subjects with additional languages</w:t>
      </w:r>
      <w:r w:rsidR="008F0991">
        <w:rPr>
          <w:rFonts w:cs="Calibri"/>
          <w:sz w:val="24"/>
        </w:rPr>
        <w:t>,</w:t>
      </w:r>
      <w:r>
        <w:rPr>
          <w:rFonts w:cs="Calibri"/>
          <w:sz w:val="24"/>
        </w:rPr>
        <w:t xml:space="preserve"> often including Latin</w:t>
      </w:r>
      <w:r w:rsidR="008F0991">
        <w:rPr>
          <w:rFonts w:cs="Calibri"/>
          <w:sz w:val="24"/>
        </w:rPr>
        <w:t>,</w:t>
      </w:r>
      <w:r>
        <w:rPr>
          <w:rFonts w:cs="Calibri"/>
          <w:sz w:val="24"/>
        </w:rPr>
        <w:t xml:space="preserve"> whilst excluding subjects such as Media, Design Technology, Drama and vocational subjects.</w:t>
      </w:r>
      <w:r w:rsidRPr="00952FC6">
        <w:rPr>
          <w:rFonts w:cs="Calibri"/>
          <w:sz w:val="24"/>
        </w:rPr>
        <w:t xml:space="preserve"> While this </w:t>
      </w:r>
      <w:r>
        <w:rPr>
          <w:rFonts w:cs="Calibri"/>
          <w:sz w:val="24"/>
        </w:rPr>
        <w:t xml:space="preserve">traditional curriculum </w:t>
      </w:r>
      <w:r w:rsidRPr="00952FC6">
        <w:rPr>
          <w:rFonts w:cs="Calibri"/>
          <w:sz w:val="24"/>
        </w:rPr>
        <w:t xml:space="preserve">now fits well with the EBac, </w:t>
      </w:r>
      <w:r w:rsidR="006336E6">
        <w:rPr>
          <w:rFonts w:cs="Calibri"/>
          <w:sz w:val="24"/>
        </w:rPr>
        <w:t xml:space="preserve">it </w:t>
      </w:r>
      <w:r w:rsidRPr="00952FC6">
        <w:rPr>
          <w:rFonts w:cs="Calibri"/>
          <w:sz w:val="24"/>
        </w:rPr>
        <w:t>may not have allowed all students to flourish or explore alternative routes which may have been more interest</w:t>
      </w:r>
      <w:r w:rsidR="008F0991">
        <w:rPr>
          <w:rFonts w:cs="Calibri"/>
          <w:sz w:val="24"/>
        </w:rPr>
        <w:t>ing</w:t>
      </w:r>
      <w:r w:rsidRPr="00952FC6">
        <w:rPr>
          <w:rFonts w:cs="Calibri"/>
          <w:sz w:val="24"/>
        </w:rPr>
        <w:t xml:space="preserve"> or more directed towards their career ambitions</w:t>
      </w:r>
      <w:r>
        <w:rPr>
          <w:rFonts w:cs="Calibri"/>
          <w:sz w:val="24"/>
        </w:rPr>
        <w:t xml:space="preserve"> (Education Committee, July 2011)</w:t>
      </w:r>
      <w:r w:rsidRPr="00952FC6">
        <w:rPr>
          <w:rFonts w:cs="Calibri"/>
          <w:sz w:val="24"/>
        </w:rPr>
        <w:t>.</w:t>
      </w:r>
    </w:p>
    <w:p w14:paraId="62ACAFD2" w14:textId="77777777" w:rsidR="00A75A8F" w:rsidRPr="00952FC6" w:rsidRDefault="00A75A8F" w:rsidP="00A75A8F">
      <w:pPr>
        <w:spacing w:after="0" w:line="360" w:lineRule="auto"/>
        <w:rPr>
          <w:rFonts w:cs="Calibri"/>
          <w:sz w:val="24"/>
        </w:rPr>
      </w:pPr>
    </w:p>
    <w:p w14:paraId="199DEC71" w14:textId="5FC07D27" w:rsidR="00A75A8F" w:rsidRPr="00952FC6" w:rsidRDefault="00A75A8F" w:rsidP="00A23EDF">
      <w:pPr>
        <w:spacing w:line="360" w:lineRule="auto"/>
        <w:rPr>
          <w:rFonts w:cs="Calibri"/>
          <w:sz w:val="24"/>
        </w:rPr>
      </w:pPr>
      <w:r w:rsidRPr="00952FC6">
        <w:rPr>
          <w:rFonts w:cs="Calibri"/>
          <w:sz w:val="24"/>
        </w:rPr>
        <w:t>I</w:t>
      </w:r>
      <w:r>
        <w:rPr>
          <w:rFonts w:cs="Calibri"/>
          <w:sz w:val="24"/>
        </w:rPr>
        <w:t>n 2010</w:t>
      </w:r>
      <w:r w:rsidR="00990CDE">
        <w:rPr>
          <w:rFonts w:cs="Calibri"/>
          <w:sz w:val="24"/>
        </w:rPr>
        <w:t>,</w:t>
      </w:r>
      <w:r>
        <w:rPr>
          <w:rFonts w:cs="Calibri"/>
          <w:sz w:val="24"/>
        </w:rPr>
        <w:t xml:space="preserve"> I returned</w:t>
      </w:r>
      <w:r w:rsidRPr="00952FC6">
        <w:rPr>
          <w:rFonts w:cs="Calibri"/>
          <w:sz w:val="24"/>
        </w:rPr>
        <w:t xml:space="preserve"> to a school position as Deputy</w:t>
      </w:r>
      <w:r w:rsidR="00AB523C">
        <w:rPr>
          <w:rFonts w:cs="Calibri"/>
          <w:sz w:val="24"/>
        </w:rPr>
        <w:t xml:space="preserve"> </w:t>
      </w:r>
      <w:r w:rsidRPr="00952FC6">
        <w:rPr>
          <w:rFonts w:cs="Calibri"/>
          <w:sz w:val="24"/>
        </w:rPr>
        <w:t>Head</w:t>
      </w:r>
      <w:r>
        <w:rPr>
          <w:rFonts w:cs="Calibri"/>
          <w:sz w:val="24"/>
        </w:rPr>
        <w:t xml:space="preserve"> in charge of</w:t>
      </w:r>
      <w:r w:rsidRPr="00952FC6">
        <w:rPr>
          <w:rFonts w:cs="Calibri"/>
          <w:sz w:val="24"/>
        </w:rPr>
        <w:t xml:space="preserve"> Curriculum</w:t>
      </w:r>
      <w:r w:rsidR="000A052F">
        <w:rPr>
          <w:rFonts w:cs="Calibri"/>
          <w:sz w:val="24"/>
        </w:rPr>
        <w:t>, where I</w:t>
      </w:r>
      <w:r w:rsidRPr="00952FC6">
        <w:rPr>
          <w:rFonts w:cs="Calibri"/>
          <w:sz w:val="24"/>
        </w:rPr>
        <w:t xml:space="preserve"> faced many curricula</w:t>
      </w:r>
      <w:r>
        <w:rPr>
          <w:rFonts w:cs="Calibri"/>
          <w:sz w:val="24"/>
        </w:rPr>
        <w:t>r</w:t>
      </w:r>
      <w:r w:rsidRPr="00952FC6">
        <w:rPr>
          <w:rFonts w:cs="Calibri"/>
          <w:sz w:val="24"/>
        </w:rPr>
        <w:t xml:space="preserve"> decisions and pressures, including responding to the EBac </w:t>
      </w:r>
      <w:r>
        <w:rPr>
          <w:rFonts w:cs="Calibri"/>
          <w:sz w:val="24"/>
        </w:rPr>
        <w:t xml:space="preserve">policy </w:t>
      </w:r>
      <w:r w:rsidRPr="00952FC6">
        <w:rPr>
          <w:rFonts w:cs="Calibri"/>
          <w:sz w:val="24"/>
        </w:rPr>
        <w:t xml:space="preserve">as a performance measure </w:t>
      </w:r>
      <w:r>
        <w:rPr>
          <w:rFonts w:cs="Calibri"/>
          <w:sz w:val="24"/>
        </w:rPr>
        <w:t>by</w:t>
      </w:r>
      <w:r w:rsidRPr="00952FC6">
        <w:rPr>
          <w:rFonts w:cs="Calibri"/>
          <w:sz w:val="24"/>
        </w:rPr>
        <w:t xml:space="preserve"> which my school w</w:t>
      </w:r>
      <w:r w:rsidR="000A052F">
        <w:rPr>
          <w:rFonts w:cs="Calibri"/>
          <w:sz w:val="24"/>
        </w:rPr>
        <w:t>ould</w:t>
      </w:r>
      <w:r w:rsidRPr="00952FC6">
        <w:rPr>
          <w:rFonts w:cs="Calibri"/>
          <w:sz w:val="24"/>
        </w:rPr>
        <w:t xml:space="preserve"> be judged. I</w:t>
      </w:r>
      <w:r>
        <w:rPr>
          <w:rFonts w:cs="Calibri"/>
          <w:sz w:val="24"/>
        </w:rPr>
        <w:t xml:space="preserve">n undertaking this research study, I </w:t>
      </w:r>
      <w:r w:rsidRPr="00952FC6">
        <w:rPr>
          <w:rFonts w:cs="Calibri"/>
          <w:sz w:val="24"/>
        </w:rPr>
        <w:t xml:space="preserve">wish to pursue my academic interests </w:t>
      </w:r>
      <w:r>
        <w:rPr>
          <w:rFonts w:cs="Calibri"/>
          <w:sz w:val="24"/>
        </w:rPr>
        <w:t xml:space="preserve">by </w:t>
      </w:r>
      <w:r w:rsidRPr="00952FC6">
        <w:rPr>
          <w:rFonts w:cs="Calibri"/>
          <w:sz w:val="24"/>
        </w:rPr>
        <w:t>reflect</w:t>
      </w:r>
      <w:r>
        <w:rPr>
          <w:rFonts w:cs="Calibri"/>
          <w:sz w:val="24"/>
        </w:rPr>
        <w:t xml:space="preserve">ing on and </w:t>
      </w:r>
      <w:r w:rsidRPr="00952FC6">
        <w:rPr>
          <w:rFonts w:cs="Calibri"/>
          <w:sz w:val="24"/>
        </w:rPr>
        <w:t>question</w:t>
      </w:r>
      <w:r>
        <w:rPr>
          <w:rFonts w:cs="Calibri"/>
          <w:sz w:val="24"/>
        </w:rPr>
        <w:t>ing</w:t>
      </w:r>
      <w:r w:rsidRPr="00952FC6">
        <w:rPr>
          <w:rFonts w:cs="Calibri"/>
          <w:sz w:val="24"/>
        </w:rPr>
        <w:t xml:space="preserve"> </w:t>
      </w:r>
      <w:r>
        <w:rPr>
          <w:rFonts w:cs="Calibri"/>
          <w:sz w:val="24"/>
        </w:rPr>
        <w:t xml:space="preserve">education policy </w:t>
      </w:r>
      <w:r w:rsidRPr="00952FC6">
        <w:rPr>
          <w:rFonts w:cs="Calibri"/>
          <w:sz w:val="24"/>
        </w:rPr>
        <w:t>and generat</w:t>
      </w:r>
      <w:r>
        <w:rPr>
          <w:rFonts w:cs="Calibri"/>
          <w:sz w:val="24"/>
        </w:rPr>
        <w:t>ing</w:t>
      </w:r>
      <w:r w:rsidRPr="00952FC6">
        <w:rPr>
          <w:rFonts w:cs="Calibri"/>
          <w:sz w:val="24"/>
        </w:rPr>
        <w:t xml:space="preserve"> </w:t>
      </w:r>
      <w:r>
        <w:rPr>
          <w:rFonts w:cs="Calibri"/>
          <w:sz w:val="24"/>
        </w:rPr>
        <w:t xml:space="preserve">knowledge and </w:t>
      </w:r>
      <w:r w:rsidRPr="00952FC6">
        <w:rPr>
          <w:rFonts w:cs="Calibri"/>
          <w:sz w:val="24"/>
        </w:rPr>
        <w:t>further questions</w:t>
      </w:r>
      <w:r w:rsidR="00AD2C8B">
        <w:rPr>
          <w:rFonts w:cs="Calibri"/>
          <w:sz w:val="24"/>
        </w:rPr>
        <w:t xml:space="preserve"> that will </w:t>
      </w:r>
      <w:r w:rsidRPr="00952FC6">
        <w:rPr>
          <w:rFonts w:cs="Calibri"/>
          <w:sz w:val="24"/>
        </w:rPr>
        <w:t>contribut</w:t>
      </w:r>
      <w:r>
        <w:rPr>
          <w:rFonts w:cs="Calibri"/>
          <w:sz w:val="24"/>
        </w:rPr>
        <w:t>e</w:t>
      </w:r>
      <w:r w:rsidRPr="00952FC6">
        <w:rPr>
          <w:rFonts w:cs="Calibri"/>
          <w:sz w:val="24"/>
        </w:rPr>
        <w:t xml:space="preserve"> to educational and academic </w:t>
      </w:r>
      <w:r w:rsidR="004648AA">
        <w:rPr>
          <w:rFonts w:cs="Calibri"/>
          <w:sz w:val="24"/>
        </w:rPr>
        <w:t>debate</w:t>
      </w:r>
      <w:r w:rsidRPr="00952FC6">
        <w:rPr>
          <w:rFonts w:cs="Calibri"/>
          <w:sz w:val="24"/>
        </w:rPr>
        <w:t xml:space="preserve">. </w:t>
      </w:r>
      <w:r w:rsidR="00AD2C8B">
        <w:rPr>
          <w:rFonts w:cs="Calibri"/>
          <w:sz w:val="24"/>
        </w:rPr>
        <w:t>Next, I</w:t>
      </w:r>
      <w:r w:rsidR="00530D6A">
        <w:rPr>
          <w:rFonts w:cs="Calibri"/>
          <w:sz w:val="24"/>
        </w:rPr>
        <w:t xml:space="preserve"> </w:t>
      </w:r>
      <w:r w:rsidR="00AD2C8B">
        <w:rPr>
          <w:rFonts w:cs="Calibri"/>
          <w:sz w:val="24"/>
        </w:rPr>
        <w:t>explore the significance of t</w:t>
      </w:r>
      <w:r w:rsidRPr="00952FC6">
        <w:rPr>
          <w:rFonts w:cs="Calibri"/>
          <w:sz w:val="24"/>
        </w:rPr>
        <w:t xml:space="preserve">he EBac </w:t>
      </w:r>
      <w:r w:rsidR="00AD2C8B">
        <w:rPr>
          <w:rFonts w:cs="Calibri"/>
          <w:sz w:val="24"/>
        </w:rPr>
        <w:t>a</w:t>
      </w:r>
      <w:r w:rsidRPr="00952FC6">
        <w:rPr>
          <w:rFonts w:cs="Calibri"/>
          <w:sz w:val="24"/>
        </w:rPr>
        <w:t xml:space="preserve">s a key component of the Coalition </w:t>
      </w:r>
      <w:r>
        <w:rPr>
          <w:rFonts w:cs="Calibri"/>
          <w:sz w:val="24"/>
        </w:rPr>
        <w:t>g</w:t>
      </w:r>
      <w:r w:rsidRPr="00952FC6">
        <w:rPr>
          <w:rFonts w:cs="Calibri"/>
          <w:sz w:val="24"/>
        </w:rPr>
        <w:t>overnment’s first education policy</w:t>
      </w:r>
      <w:r>
        <w:rPr>
          <w:rFonts w:cs="Calibri"/>
          <w:sz w:val="24"/>
        </w:rPr>
        <w:t>.</w:t>
      </w:r>
    </w:p>
    <w:p w14:paraId="5A8474C7" w14:textId="77777777" w:rsidR="00A75A8F" w:rsidRPr="00952FC6" w:rsidRDefault="00A75A8F" w:rsidP="00531995">
      <w:pPr>
        <w:pStyle w:val="Heading2"/>
      </w:pPr>
      <w:bookmarkStart w:id="9" w:name="_Toc452316294"/>
      <w:r w:rsidRPr="00952FC6">
        <w:lastRenderedPageBreak/>
        <w:t>1.6 Significance</w:t>
      </w:r>
      <w:bookmarkEnd w:id="9"/>
    </w:p>
    <w:p w14:paraId="561C5D11" w14:textId="1D65B355" w:rsidR="00331552" w:rsidRPr="00D74EAD" w:rsidRDefault="00A75A8F" w:rsidP="00A23EDF">
      <w:pPr>
        <w:tabs>
          <w:tab w:val="left" w:pos="8364"/>
        </w:tabs>
        <w:spacing w:line="360" w:lineRule="auto"/>
        <w:rPr>
          <w:rFonts w:cs="Calibri"/>
          <w:sz w:val="24"/>
          <w:szCs w:val="24"/>
        </w:rPr>
      </w:pPr>
      <w:r>
        <w:rPr>
          <w:rFonts w:cs="Calibri"/>
          <w:sz w:val="24"/>
        </w:rPr>
        <w:t>My research is a contemporary study of the education policy of the Coalition government</w:t>
      </w:r>
      <w:r w:rsidR="009C2185">
        <w:rPr>
          <w:rFonts w:cs="Calibri"/>
          <w:sz w:val="24"/>
        </w:rPr>
        <w:t xml:space="preserve">. </w:t>
      </w:r>
      <w:r w:rsidRPr="00952FC6">
        <w:rPr>
          <w:rFonts w:cs="Calibri"/>
          <w:sz w:val="24"/>
        </w:rPr>
        <w:t xml:space="preserve">The 2010 White Paper, </w:t>
      </w:r>
      <w:r w:rsidRPr="00952FC6">
        <w:rPr>
          <w:rFonts w:cs="Calibri"/>
          <w:i/>
          <w:sz w:val="24"/>
        </w:rPr>
        <w:t>The Importance of Teaching</w:t>
      </w:r>
      <w:r w:rsidR="0066747A">
        <w:rPr>
          <w:rFonts w:cs="Calibri"/>
          <w:i/>
          <w:sz w:val="24"/>
        </w:rPr>
        <w:t>,</w:t>
      </w:r>
      <w:r w:rsidRPr="00952FC6">
        <w:rPr>
          <w:rFonts w:cs="Calibri"/>
          <w:sz w:val="24"/>
        </w:rPr>
        <w:t xml:space="preserve"> allowed the new </w:t>
      </w:r>
      <w:r>
        <w:rPr>
          <w:rFonts w:cs="Calibri"/>
          <w:sz w:val="24"/>
        </w:rPr>
        <w:t>g</w:t>
      </w:r>
      <w:r w:rsidRPr="00952FC6">
        <w:rPr>
          <w:rFonts w:cs="Calibri"/>
          <w:sz w:val="24"/>
        </w:rPr>
        <w:t>overnment to</w:t>
      </w:r>
      <w:r>
        <w:rPr>
          <w:rFonts w:cs="Calibri"/>
          <w:sz w:val="24"/>
        </w:rPr>
        <w:t xml:space="preserve"> </w:t>
      </w:r>
      <w:r w:rsidRPr="00952FC6">
        <w:rPr>
          <w:rFonts w:cs="Calibri"/>
          <w:sz w:val="24"/>
        </w:rPr>
        <w:t xml:space="preserve">articulate its position </w:t>
      </w:r>
      <w:r w:rsidR="004648AA">
        <w:rPr>
          <w:rFonts w:cs="Calibri"/>
          <w:sz w:val="24"/>
        </w:rPr>
        <w:t>and future direction for</w:t>
      </w:r>
      <w:r w:rsidRPr="00952FC6">
        <w:rPr>
          <w:rFonts w:cs="Calibri"/>
          <w:sz w:val="24"/>
        </w:rPr>
        <w:t xml:space="preserve"> education in England. This w</w:t>
      </w:r>
      <w:r w:rsidR="0066747A">
        <w:rPr>
          <w:rFonts w:cs="Calibri"/>
          <w:sz w:val="24"/>
        </w:rPr>
        <w:t>ould</w:t>
      </w:r>
      <w:r w:rsidRPr="00952FC6">
        <w:rPr>
          <w:rFonts w:cs="Calibri"/>
          <w:sz w:val="24"/>
        </w:rPr>
        <w:t xml:space="preserve"> </w:t>
      </w:r>
      <w:r w:rsidR="0066747A">
        <w:rPr>
          <w:rFonts w:cs="Calibri"/>
          <w:sz w:val="24"/>
        </w:rPr>
        <w:t xml:space="preserve">extend beyond </w:t>
      </w:r>
      <w:r w:rsidRPr="00952FC6">
        <w:rPr>
          <w:rFonts w:cs="Calibri"/>
          <w:sz w:val="24"/>
        </w:rPr>
        <w:t>the life of the Parliament</w:t>
      </w:r>
      <w:r w:rsidR="0066747A">
        <w:rPr>
          <w:rFonts w:cs="Calibri"/>
          <w:sz w:val="24"/>
        </w:rPr>
        <w:t xml:space="preserve"> </w:t>
      </w:r>
      <w:r w:rsidRPr="00952FC6">
        <w:rPr>
          <w:rFonts w:cs="Calibri"/>
          <w:sz w:val="24"/>
        </w:rPr>
        <w:t xml:space="preserve">by </w:t>
      </w:r>
      <w:r>
        <w:rPr>
          <w:rFonts w:cs="Calibri"/>
          <w:sz w:val="24"/>
        </w:rPr>
        <w:t xml:space="preserve">introducing </w:t>
      </w:r>
      <w:r w:rsidRPr="00952FC6">
        <w:rPr>
          <w:rFonts w:cs="Calibri"/>
          <w:sz w:val="24"/>
        </w:rPr>
        <w:t xml:space="preserve">changes </w:t>
      </w:r>
      <w:r w:rsidR="0066747A">
        <w:rPr>
          <w:rFonts w:cs="Calibri"/>
          <w:sz w:val="24"/>
        </w:rPr>
        <w:t xml:space="preserve">in the legal status of </w:t>
      </w:r>
      <w:r w:rsidRPr="00952FC6">
        <w:rPr>
          <w:rFonts w:cs="Calibri"/>
          <w:sz w:val="24"/>
        </w:rPr>
        <w:t xml:space="preserve">schools </w:t>
      </w:r>
      <w:r w:rsidR="0066747A">
        <w:rPr>
          <w:rFonts w:cs="Calibri"/>
          <w:sz w:val="24"/>
        </w:rPr>
        <w:t>(</w:t>
      </w:r>
      <w:r w:rsidRPr="00952FC6">
        <w:rPr>
          <w:rFonts w:cs="Calibri"/>
          <w:sz w:val="24"/>
        </w:rPr>
        <w:t xml:space="preserve">such as the new </w:t>
      </w:r>
      <w:r>
        <w:rPr>
          <w:rFonts w:cs="Calibri"/>
          <w:sz w:val="24"/>
        </w:rPr>
        <w:t>academy</w:t>
      </w:r>
      <w:r w:rsidRPr="00952FC6">
        <w:rPr>
          <w:rFonts w:cs="Calibri"/>
          <w:sz w:val="24"/>
        </w:rPr>
        <w:t xml:space="preserve"> status</w:t>
      </w:r>
      <w:r w:rsidR="0066747A">
        <w:rPr>
          <w:rFonts w:cs="Calibri"/>
          <w:sz w:val="24"/>
        </w:rPr>
        <w:t>)</w:t>
      </w:r>
      <w:r>
        <w:rPr>
          <w:rFonts w:cs="Calibri"/>
          <w:sz w:val="24"/>
        </w:rPr>
        <w:t>,</w:t>
      </w:r>
      <w:r w:rsidRPr="00952FC6">
        <w:rPr>
          <w:rFonts w:cs="Calibri"/>
          <w:sz w:val="24"/>
        </w:rPr>
        <w:t xml:space="preserve"> which w</w:t>
      </w:r>
      <w:r w:rsidR="0066747A">
        <w:rPr>
          <w:rFonts w:cs="Calibri"/>
          <w:sz w:val="24"/>
        </w:rPr>
        <w:t>ould</w:t>
      </w:r>
      <w:r w:rsidRPr="00952FC6">
        <w:rPr>
          <w:rFonts w:cs="Calibri"/>
          <w:sz w:val="24"/>
        </w:rPr>
        <w:t xml:space="preserve"> be very difficult for future governments to overturn.</w:t>
      </w:r>
      <w:r w:rsidRPr="00952FC6">
        <w:rPr>
          <w:rStyle w:val="FootnoteReference1"/>
          <w:rFonts w:cs="Calibri"/>
          <w:sz w:val="24"/>
        </w:rPr>
        <w:footnoteReference w:id="22"/>
      </w:r>
      <w:r w:rsidRPr="00952FC6">
        <w:rPr>
          <w:rFonts w:cs="Calibri"/>
          <w:sz w:val="24"/>
        </w:rPr>
        <w:t xml:space="preserve"> Within this lengthy </w:t>
      </w:r>
      <w:r>
        <w:rPr>
          <w:rFonts w:cs="Calibri"/>
          <w:sz w:val="24"/>
        </w:rPr>
        <w:t>polic</w:t>
      </w:r>
      <w:r w:rsidR="004648AA">
        <w:rPr>
          <w:rFonts w:cs="Calibri"/>
          <w:sz w:val="24"/>
        </w:rPr>
        <w:t>y</w:t>
      </w:r>
      <w:r w:rsidRPr="00952FC6">
        <w:rPr>
          <w:rFonts w:cs="Calibri"/>
          <w:sz w:val="24"/>
        </w:rPr>
        <w:t xml:space="preserve"> was the official announcement of the EBac</w:t>
      </w:r>
      <w:r w:rsidR="001F4216">
        <w:rPr>
          <w:rFonts w:cs="Calibri"/>
          <w:sz w:val="24"/>
        </w:rPr>
        <w:t>,</w:t>
      </w:r>
      <w:r w:rsidRPr="00952FC6">
        <w:rPr>
          <w:rFonts w:cs="Calibri"/>
          <w:sz w:val="24"/>
        </w:rPr>
        <w:t xml:space="preserve"> which stated that the</w:t>
      </w:r>
      <w:r>
        <w:rPr>
          <w:rFonts w:cs="Calibri"/>
          <w:sz w:val="24"/>
        </w:rPr>
        <w:t xml:space="preserve"> government</w:t>
      </w:r>
      <w:r w:rsidRPr="00952FC6">
        <w:rPr>
          <w:rFonts w:cs="Calibri"/>
          <w:sz w:val="24"/>
        </w:rPr>
        <w:t xml:space="preserve"> would “encourage schools to offer a broad set of academic subjects to age </w:t>
      </w:r>
      <w:r w:rsidR="001F4216">
        <w:rPr>
          <w:rFonts w:cs="Calibri"/>
          <w:sz w:val="24"/>
        </w:rPr>
        <w:t>16</w:t>
      </w:r>
      <w:r w:rsidRPr="00952FC6">
        <w:rPr>
          <w:rFonts w:cs="Calibri"/>
          <w:sz w:val="24"/>
        </w:rPr>
        <w:t>, by introducing the English Baccalaureate” (p.41). This was stated to b</w:t>
      </w:r>
      <w:r w:rsidRPr="00D74EAD">
        <w:rPr>
          <w:rFonts w:cs="Calibri"/>
          <w:sz w:val="24"/>
          <w:szCs w:val="24"/>
        </w:rPr>
        <w:t xml:space="preserve">e a way of ensuring “breadth” within the curriculum and a “properly rounded academic education” as well as ensuring that schools prioritised </w:t>
      </w:r>
      <w:r w:rsidR="001F4216">
        <w:rPr>
          <w:rFonts w:cs="Calibri"/>
          <w:sz w:val="24"/>
          <w:szCs w:val="24"/>
        </w:rPr>
        <w:t>l</w:t>
      </w:r>
      <w:r>
        <w:rPr>
          <w:rFonts w:cs="Calibri"/>
          <w:sz w:val="24"/>
          <w:szCs w:val="24"/>
        </w:rPr>
        <w:t>anguages</w:t>
      </w:r>
      <w:r w:rsidRPr="00D74EAD">
        <w:rPr>
          <w:rFonts w:cs="Calibri"/>
          <w:sz w:val="24"/>
          <w:szCs w:val="24"/>
        </w:rPr>
        <w:t xml:space="preserve">, </w:t>
      </w:r>
      <w:r>
        <w:rPr>
          <w:rFonts w:cs="Calibri"/>
          <w:sz w:val="24"/>
          <w:szCs w:val="24"/>
        </w:rPr>
        <w:t>History</w:t>
      </w:r>
      <w:r w:rsidRPr="00D74EAD">
        <w:rPr>
          <w:rFonts w:cs="Calibri"/>
          <w:sz w:val="24"/>
          <w:szCs w:val="24"/>
        </w:rPr>
        <w:t xml:space="preserve"> and </w:t>
      </w:r>
      <w:r>
        <w:rPr>
          <w:rFonts w:cs="Calibri"/>
          <w:sz w:val="24"/>
          <w:szCs w:val="24"/>
        </w:rPr>
        <w:t>Geography</w:t>
      </w:r>
      <w:r w:rsidRPr="00D74EAD">
        <w:rPr>
          <w:rFonts w:cs="Calibri"/>
          <w:sz w:val="24"/>
          <w:szCs w:val="24"/>
        </w:rPr>
        <w:t xml:space="preserve">, subjects </w:t>
      </w:r>
      <w:r w:rsidR="00FA25C5">
        <w:rPr>
          <w:rFonts w:cs="Calibri"/>
          <w:sz w:val="24"/>
          <w:szCs w:val="24"/>
        </w:rPr>
        <w:t xml:space="preserve">that were </w:t>
      </w:r>
      <w:r w:rsidRPr="00D74EAD">
        <w:rPr>
          <w:rFonts w:cs="Calibri"/>
          <w:sz w:val="24"/>
          <w:szCs w:val="24"/>
        </w:rPr>
        <w:t>declin</w:t>
      </w:r>
      <w:r w:rsidR="00FA25C5">
        <w:rPr>
          <w:rFonts w:cs="Calibri"/>
          <w:sz w:val="24"/>
          <w:szCs w:val="24"/>
        </w:rPr>
        <w:t>ing in popularity</w:t>
      </w:r>
      <w:r w:rsidRPr="00D74EAD">
        <w:rPr>
          <w:rFonts w:cs="Calibri"/>
          <w:sz w:val="24"/>
          <w:szCs w:val="24"/>
        </w:rPr>
        <w:t xml:space="preserve"> (p.44). It was also stated that the EBac w</w:t>
      </w:r>
      <w:r>
        <w:rPr>
          <w:rFonts w:cs="Calibri"/>
          <w:sz w:val="24"/>
          <w:szCs w:val="24"/>
        </w:rPr>
        <w:t>as only</w:t>
      </w:r>
      <w:r w:rsidRPr="00D74EAD">
        <w:rPr>
          <w:rFonts w:cs="Calibri"/>
          <w:sz w:val="24"/>
          <w:szCs w:val="24"/>
        </w:rPr>
        <w:t xml:space="preserve"> one performance measure and that it should “not be the limit of the schools’ ambitions for their students” (p.45). Despite such claims, </w:t>
      </w:r>
      <w:r w:rsidR="00FA25C5">
        <w:rPr>
          <w:rFonts w:cs="Calibri"/>
          <w:sz w:val="24"/>
          <w:szCs w:val="24"/>
        </w:rPr>
        <w:t>a number of schools made</w:t>
      </w:r>
      <w:r w:rsidR="00FA25C5" w:rsidRPr="00D74EAD">
        <w:rPr>
          <w:rFonts w:cs="Calibri"/>
          <w:sz w:val="24"/>
          <w:szCs w:val="24"/>
        </w:rPr>
        <w:t xml:space="preserve"> immediate and sometimes quite radical changes to their curriculum </w:t>
      </w:r>
      <w:r w:rsidR="00FA25C5">
        <w:rPr>
          <w:rFonts w:cs="Calibri"/>
          <w:sz w:val="24"/>
          <w:szCs w:val="24"/>
        </w:rPr>
        <w:t xml:space="preserve">as a result of </w:t>
      </w:r>
      <w:r w:rsidRPr="00D74EAD">
        <w:rPr>
          <w:rFonts w:cs="Calibri"/>
          <w:sz w:val="24"/>
          <w:szCs w:val="24"/>
        </w:rPr>
        <w:t xml:space="preserve">the EBac </w:t>
      </w:r>
      <w:r>
        <w:rPr>
          <w:rFonts w:cs="Calibri"/>
          <w:sz w:val="24"/>
          <w:szCs w:val="24"/>
        </w:rPr>
        <w:t xml:space="preserve">policy </w:t>
      </w:r>
      <w:r w:rsidR="00FA25C5">
        <w:rPr>
          <w:rFonts w:cs="Calibri"/>
          <w:sz w:val="24"/>
          <w:szCs w:val="24"/>
        </w:rPr>
        <w:t>being</w:t>
      </w:r>
      <w:r w:rsidRPr="00D74EAD">
        <w:rPr>
          <w:rFonts w:cs="Calibri"/>
          <w:sz w:val="24"/>
          <w:szCs w:val="24"/>
        </w:rPr>
        <w:t xml:space="preserve"> i</w:t>
      </w:r>
      <w:r>
        <w:rPr>
          <w:rFonts w:cs="Calibri"/>
          <w:sz w:val="24"/>
          <w:szCs w:val="24"/>
        </w:rPr>
        <w:t>mplemented</w:t>
      </w:r>
      <w:r w:rsidRPr="00D74EAD">
        <w:rPr>
          <w:rFonts w:cs="Calibri"/>
          <w:sz w:val="24"/>
          <w:szCs w:val="24"/>
        </w:rPr>
        <w:t xml:space="preserve"> immediately and retrospectively as a measure of school performance for the summer 2010 examination results (Taylor</w:t>
      </w:r>
      <w:r w:rsidR="00FA25C5">
        <w:rPr>
          <w:rFonts w:cs="Calibri"/>
          <w:sz w:val="24"/>
          <w:szCs w:val="24"/>
        </w:rPr>
        <w:t>,</w:t>
      </w:r>
      <w:r w:rsidRPr="00D74EAD">
        <w:rPr>
          <w:rFonts w:cs="Calibri"/>
          <w:sz w:val="24"/>
          <w:szCs w:val="24"/>
        </w:rPr>
        <w:t xml:space="preserve"> 2011).  </w:t>
      </w:r>
      <w:r>
        <w:rPr>
          <w:rFonts w:cs="Calibri"/>
          <w:sz w:val="24"/>
          <w:szCs w:val="24"/>
        </w:rPr>
        <w:t>I believe that m</w:t>
      </w:r>
      <w:r w:rsidRPr="00D74EAD">
        <w:rPr>
          <w:rFonts w:cs="Calibri"/>
          <w:sz w:val="24"/>
          <w:szCs w:val="24"/>
        </w:rPr>
        <w:t>y research is important for four key reasons</w:t>
      </w:r>
      <w:r w:rsidR="00D0297E">
        <w:rPr>
          <w:rFonts w:cs="Calibri"/>
          <w:sz w:val="24"/>
          <w:szCs w:val="24"/>
        </w:rPr>
        <w:t>,</w:t>
      </w:r>
      <w:r>
        <w:rPr>
          <w:rFonts w:cs="Calibri"/>
          <w:sz w:val="24"/>
          <w:szCs w:val="24"/>
        </w:rPr>
        <w:t xml:space="preserve"> which I</w:t>
      </w:r>
      <w:r w:rsidR="00D0297E">
        <w:rPr>
          <w:rFonts w:cs="Calibri"/>
          <w:sz w:val="24"/>
          <w:szCs w:val="24"/>
        </w:rPr>
        <w:t xml:space="preserve"> </w:t>
      </w:r>
      <w:r>
        <w:rPr>
          <w:rFonts w:cs="Calibri"/>
          <w:sz w:val="24"/>
          <w:szCs w:val="24"/>
        </w:rPr>
        <w:t>now explore</w:t>
      </w:r>
      <w:r w:rsidRPr="00D74EAD">
        <w:rPr>
          <w:rFonts w:cs="Calibri"/>
          <w:sz w:val="24"/>
          <w:szCs w:val="24"/>
        </w:rPr>
        <w:t xml:space="preserve">. </w:t>
      </w:r>
    </w:p>
    <w:p w14:paraId="156A9876" w14:textId="77777777" w:rsidR="00A75A8F" w:rsidRPr="000D42DD" w:rsidRDefault="00A75A8F" w:rsidP="00531995">
      <w:pPr>
        <w:pStyle w:val="Heading3"/>
      </w:pPr>
      <w:bookmarkStart w:id="10" w:name="_Toc452316295"/>
      <w:r w:rsidRPr="000D42DD">
        <w:t xml:space="preserve">1.6.1 </w:t>
      </w:r>
      <w:r>
        <w:t xml:space="preserve">The </w:t>
      </w:r>
      <w:r w:rsidRPr="000D42DD">
        <w:t xml:space="preserve">Coalition </w:t>
      </w:r>
      <w:r>
        <w:t xml:space="preserve">government’s </w:t>
      </w:r>
      <w:r w:rsidRPr="000D42DD">
        <w:t>first education policy</w:t>
      </w:r>
      <w:bookmarkEnd w:id="10"/>
    </w:p>
    <w:p w14:paraId="1ECDFEF7" w14:textId="02BE1DC9" w:rsidR="001E54EB" w:rsidRPr="00A23EDF" w:rsidRDefault="00A75A8F" w:rsidP="00A23EDF">
      <w:pPr>
        <w:spacing w:line="360" w:lineRule="auto"/>
        <w:rPr>
          <w:rFonts w:cs="Calibri"/>
          <w:sz w:val="24"/>
          <w:szCs w:val="24"/>
        </w:rPr>
      </w:pPr>
      <w:r>
        <w:rPr>
          <w:rFonts w:cs="Calibri"/>
          <w:sz w:val="24"/>
          <w:szCs w:val="24"/>
        </w:rPr>
        <w:t>My study</w:t>
      </w:r>
      <w:r w:rsidRPr="00D74EAD">
        <w:rPr>
          <w:rFonts w:cs="Calibri"/>
          <w:sz w:val="24"/>
          <w:szCs w:val="24"/>
        </w:rPr>
        <w:t xml:space="preserve"> provides a contemporary analysis of the constitution of the </w:t>
      </w:r>
      <w:r w:rsidR="00A951AA">
        <w:rPr>
          <w:rFonts w:cs="Calibri"/>
          <w:sz w:val="24"/>
          <w:szCs w:val="24"/>
        </w:rPr>
        <w:t xml:space="preserve">EBac </w:t>
      </w:r>
      <w:r w:rsidRPr="00D74EAD">
        <w:rPr>
          <w:rFonts w:cs="Calibri"/>
          <w:sz w:val="24"/>
          <w:szCs w:val="24"/>
        </w:rPr>
        <w:t xml:space="preserve">policy and </w:t>
      </w:r>
      <w:r>
        <w:rPr>
          <w:rFonts w:cs="Calibri"/>
          <w:sz w:val="24"/>
          <w:szCs w:val="24"/>
        </w:rPr>
        <w:t>its</w:t>
      </w:r>
      <w:r w:rsidRPr="00D74EAD">
        <w:rPr>
          <w:rFonts w:cs="Calibri"/>
          <w:sz w:val="24"/>
          <w:szCs w:val="24"/>
        </w:rPr>
        <w:t xml:space="preserve"> implementation within </w:t>
      </w:r>
      <w:r>
        <w:rPr>
          <w:rFonts w:cs="Calibri"/>
          <w:sz w:val="24"/>
          <w:szCs w:val="24"/>
        </w:rPr>
        <w:t>case</w:t>
      </w:r>
      <w:r w:rsidR="003C3CA8">
        <w:rPr>
          <w:rFonts w:cs="Calibri"/>
          <w:sz w:val="24"/>
          <w:szCs w:val="24"/>
        </w:rPr>
        <w:t>-</w:t>
      </w:r>
      <w:r>
        <w:rPr>
          <w:rFonts w:cs="Calibri"/>
          <w:sz w:val="24"/>
          <w:szCs w:val="24"/>
        </w:rPr>
        <w:t>study</w:t>
      </w:r>
      <w:r w:rsidRPr="00D74EAD">
        <w:rPr>
          <w:rFonts w:cs="Calibri"/>
          <w:sz w:val="24"/>
          <w:szCs w:val="24"/>
        </w:rPr>
        <w:t xml:space="preserve"> schools. The opportunity to study the immediate context and impact of th</w:t>
      </w:r>
      <w:r w:rsidR="00A951AA">
        <w:rPr>
          <w:rFonts w:cs="Calibri"/>
          <w:sz w:val="24"/>
          <w:szCs w:val="24"/>
        </w:rPr>
        <w:t>is</w:t>
      </w:r>
      <w:r w:rsidRPr="00D74EAD">
        <w:rPr>
          <w:rFonts w:cs="Calibri"/>
          <w:sz w:val="24"/>
          <w:szCs w:val="24"/>
        </w:rPr>
        <w:t xml:space="preserve"> policy is one that will only be available for a short period of time. Whil</w:t>
      </w:r>
      <w:r w:rsidR="001B13B0">
        <w:rPr>
          <w:rFonts w:cs="Calibri"/>
          <w:sz w:val="24"/>
          <w:szCs w:val="24"/>
        </w:rPr>
        <w:t>st</w:t>
      </w:r>
      <w:r w:rsidRPr="00D74EAD">
        <w:rPr>
          <w:rFonts w:cs="Calibri"/>
          <w:sz w:val="24"/>
          <w:szCs w:val="24"/>
        </w:rPr>
        <w:t xml:space="preserve"> later stud</w:t>
      </w:r>
      <w:r>
        <w:rPr>
          <w:rFonts w:cs="Calibri"/>
          <w:sz w:val="24"/>
          <w:szCs w:val="24"/>
        </w:rPr>
        <w:t>ies will</w:t>
      </w:r>
      <w:r w:rsidRPr="00D74EAD">
        <w:rPr>
          <w:rFonts w:cs="Calibri"/>
          <w:sz w:val="24"/>
          <w:szCs w:val="24"/>
        </w:rPr>
        <w:t xml:space="preserve"> yield </w:t>
      </w:r>
      <w:r>
        <w:rPr>
          <w:rFonts w:cs="Calibri"/>
          <w:sz w:val="24"/>
          <w:szCs w:val="24"/>
        </w:rPr>
        <w:t>important</w:t>
      </w:r>
      <w:r w:rsidRPr="00D74EAD">
        <w:rPr>
          <w:rFonts w:cs="Calibri"/>
          <w:sz w:val="24"/>
          <w:szCs w:val="24"/>
        </w:rPr>
        <w:t xml:space="preserve"> findings</w:t>
      </w:r>
      <w:r w:rsidR="001B13B0">
        <w:rPr>
          <w:rFonts w:cs="Calibri"/>
          <w:sz w:val="24"/>
          <w:szCs w:val="24"/>
        </w:rPr>
        <w:t>,</w:t>
      </w:r>
      <w:r w:rsidRPr="00D74EAD">
        <w:rPr>
          <w:rFonts w:cs="Calibri"/>
          <w:sz w:val="24"/>
          <w:szCs w:val="24"/>
        </w:rPr>
        <w:t xml:space="preserve"> </w:t>
      </w:r>
      <w:r>
        <w:rPr>
          <w:rFonts w:cs="Calibri"/>
          <w:sz w:val="24"/>
          <w:szCs w:val="24"/>
        </w:rPr>
        <w:t>the</w:t>
      </w:r>
      <w:r w:rsidR="001B13B0">
        <w:rPr>
          <w:rFonts w:cs="Calibri"/>
          <w:sz w:val="24"/>
          <w:szCs w:val="24"/>
        </w:rPr>
        <w:t xml:space="preserve"> accounts of respondents will be </w:t>
      </w:r>
      <w:r w:rsidRPr="00D74EAD">
        <w:rPr>
          <w:rFonts w:cs="Calibri"/>
          <w:sz w:val="24"/>
          <w:szCs w:val="24"/>
        </w:rPr>
        <w:t xml:space="preserve">retrospective. </w:t>
      </w:r>
      <w:r w:rsidR="001B13B0">
        <w:rPr>
          <w:rFonts w:cs="Calibri"/>
          <w:sz w:val="24"/>
          <w:szCs w:val="24"/>
        </w:rPr>
        <w:t>Having been</w:t>
      </w:r>
      <w:r w:rsidRPr="00D74EAD">
        <w:rPr>
          <w:rFonts w:cs="Calibri"/>
          <w:sz w:val="24"/>
          <w:szCs w:val="24"/>
        </w:rPr>
        <w:t xml:space="preserve"> part of these changes and </w:t>
      </w:r>
      <w:r w:rsidR="001B13B0">
        <w:rPr>
          <w:rFonts w:cs="Calibri"/>
          <w:sz w:val="24"/>
          <w:szCs w:val="24"/>
        </w:rPr>
        <w:t xml:space="preserve">been able to </w:t>
      </w:r>
      <w:r w:rsidRPr="00D74EAD">
        <w:rPr>
          <w:rFonts w:cs="Calibri"/>
          <w:sz w:val="24"/>
          <w:szCs w:val="24"/>
        </w:rPr>
        <w:t xml:space="preserve">elicit the thoughts and actions of respondents at the </w:t>
      </w:r>
      <w:r w:rsidR="001B13B0">
        <w:rPr>
          <w:rFonts w:cs="Calibri"/>
          <w:sz w:val="24"/>
          <w:szCs w:val="24"/>
        </w:rPr>
        <w:t>time</w:t>
      </w:r>
      <w:r w:rsidRPr="00D74EAD">
        <w:rPr>
          <w:rFonts w:cs="Calibri"/>
          <w:sz w:val="24"/>
          <w:szCs w:val="24"/>
        </w:rPr>
        <w:t xml:space="preserve"> of implementation, </w:t>
      </w:r>
      <w:r>
        <w:rPr>
          <w:rFonts w:cs="Calibri"/>
          <w:sz w:val="24"/>
          <w:szCs w:val="24"/>
        </w:rPr>
        <w:t>my</w:t>
      </w:r>
      <w:r w:rsidRPr="00D74EAD">
        <w:rPr>
          <w:rFonts w:cs="Calibri"/>
          <w:sz w:val="24"/>
          <w:szCs w:val="24"/>
        </w:rPr>
        <w:t xml:space="preserve"> research provide</w:t>
      </w:r>
      <w:r>
        <w:rPr>
          <w:rFonts w:cs="Calibri"/>
          <w:sz w:val="24"/>
          <w:szCs w:val="24"/>
        </w:rPr>
        <w:t>s</w:t>
      </w:r>
      <w:r w:rsidRPr="00D74EAD">
        <w:rPr>
          <w:rFonts w:cs="Calibri"/>
          <w:sz w:val="24"/>
          <w:szCs w:val="24"/>
        </w:rPr>
        <w:t xml:space="preserve"> an important reflection on </w:t>
      </w:r>
      <w:r>
        <w:rPr>
          <w:rFonts w:cs="Calibri"/>
          <w:sz w:val="24"/>
          <w:szCs w:val="24"/>
        </w:rPr>
        <w:t xml:space="preserve">contemporary </w:t>
      </w:r>
      <w:r w:rsidRPr="00D74EAD">
        <w:rPr>
          <w:rFonts w:cs="Calibri"/>
          <w:sz w:val="24"/>
          <w:szCs w:val="24"/>
        </w:rPr>
        <w:t>reaction</w:t>
      </w:r>
      <w:r>
        <w:rPr>
          <w:rFonts w:cs="Calibri"/>
          <w:sz w:val="24"/>
          <w:szCs w:val="24"/>
        </w:rPr>
        <w:t>s</w:t>
      </w:r>
      <w:r w:rsidRPr="00D74EAD">
        <w:rPr>
          <w:rFonts w:cs="Calibri"/>
          <w:sz w:val="24"/>
          <w:szCs w:val="24"/>
        </w:rPr>
        <w:t xml:space="preserve"> to the introduction of this policy. </w:t>
      </w:r>
      <w:r>
        <w:rPr>
          <w:rFonts w:cs="Calibri"/>
          <w:sz w:val="24"/>
          <w:szCs w:val="24"/>
        </w:rPr>
        <w:t>A</w:t>
      </w:r>
      <w:r w:rsidRPr="00D74EAD">
        <w:rPr>
          <w:rFonts w:cs="Calibri"/>
          <w:sz w:val="24"/>
          <w:szCs w:val="24"/>
        </w:rPr>
        <w:t xml:space="preserve">pplying </w:t>
      </w:r>
      <w:r w:rsidR="00A41646">
        <w:rPr>
          <w:rFonts w:cs="Calibri"/>
          <w:sz w:val="24"/>
          <w:szCs w:val="24"/>
        </w:rPr>
        <w:t xml:space="preserve">Scheurich’s </w:t>
      </w:r>
      <w:r w:rsidR="00A951AA">
        <w:rPr>
          <w:rFonts w:cs="Calibri"/>
          <w:sz w:val="24"/>
          <w:szCs w:val="24"/>
        </w:rPr>
        <w:t xml:space="preserve">policy analysis </w:t>
      </w:r>
      <w:r w:rsidRPr="00D74EAD">
        <w:rPr>
          <w:rFonts w:cs="Calibri"/>
          <w:sz w:val="24"/>
          <w:szCs w:val="24"/>
        </w:rPr>
        <w:t xml:space="preserve">framework and </w:t>
      </w:r>
      <w:r>
        <w:rPr>
          <w:rFonts w:cs="Calibri"/>
          <w:sz w:val="24"/>
          <w:szCs w:val="24"/>
        </w:rPr>
        <w:t xml:space="preserve">using </w:t>
      </w:r>
      <w:r w:rsidRPr="00D74EAD">
        <w:rPr>
          <w:rFonts w:cs="Calibri"/>
          <w:sz w:val="24"/>
          <w:szCs w:val="24"/>
        </w:rPr>
        <w:t>CDA techniques</w:t>
      </w:r>
      <w:r w:rsidR="001B13B0">
        <w:rPr>
          <w:rFonts w:cs="Calibri"/>
          <w:sz w:val="24"/>
          <w:szCs w:val="24"/>
        </w:rPr>
        <w:t>,</w:t>
      </w:r>
      <w:r w:rsidRPr="00D74EAD">
        <w:rPr>
          <w:rFonts w:cs="Calibri"/>
          <w:sz w:val="24"/>
          <w:szCs w:val="24"/>
        </w:rPr>
        <w:t xml:space="preserve"> as well as considering the implementation at </w:t>
      </w:r>
      <w:r w:rsidRPr="00D74EAD">
        <w:rPr>
          <w:rFonts w:cs="Calibri"/>
          <w:sz w:val="24"/>
          <w:szCs w:val="24"/>
        </w:rPr>
        <w:lastRenderedPageBreak/>
        <w:t>school level, my study aim</w:t>
      </w:r>
      <w:r>
        <w:rPr>
          <w:rFonts w:cs="Calibri"/>
          <w:sz w:val="24"/>
          <w:szCs w:val="24"/>
        </w:rPr>
        <w:t>s</w:t>
      </w:r>
      <w:r w:rsidRPr="00D74EAD">
        <w:rPr>
          <w:rFonts w:cs="Calibri"/>
          <w:sz w:val="24"/>
          <w:szCs w:val="24"/>
        </w:rPr>
        <w:t xml:space="preserve"> to provide an in-depth understanding of </w:t>
      </w:r>
      <w:r w:rsidR="001B13B0">
        <w:rPr>
          <w:rFonts w:cs="Calibri"/>
          <w:sz w:val="24"/>
          <w:szCs w:val="24"/>
        </w:rPr>
        <w:t>this</w:t>
      </w:r>
      <w:r w:rsidRPr="00D74EAD">
        <w:rPr>
          <w:rFonts w:cs="Calibri"/>
          <w:sz w:val="24"/>
          <w:szCs w:val="24"/>
        </w:rPr>
        <w:t xml:space="preserve"> aspect of the </w:t>
      </w:r>
      <w:r w:rsidR="009000A9">
        <w:rPr>
          <w:rFonts w:cs="Calibri"/>
          <w:sz w:val="24"/>
          <w:szCs w:val="24"/>
        </w:rPr>
        <w:t xml:space="preserve">2010 </w:t>
      </w:r>
      <w:r w:rsidRPr="00D74EAD">
        <w:rPr>
          <w:rFonts w:cs="Calibri"/>
          <w:sz w:val="24"/>
          <w:szCs w:val="24"/>
        </w:rPr>
        <w:t xml:space="preserve">education policy. </w:t>
      </w:r>
    </w:p>
    <w:p w14:paraId="04C1B949" w14:textId="38410AA0" w:rsidR="00A75A8F" w:rsidRPr="00D74EAD" w:rsidRDefault="00A75A8F" w:rsidP="00531995">
      <w:pPr>
        <w:pStyle w:val="Heading3"/>
      </w:pPr>
      <w:bookmarkStart w:id="11" w:name="_Toc452316296"/>
      <w:r w:rsidRPr="000D42DD">
        <w:t>1.6.2 Anti-democratic political tool</w:t>
      </w:r>
      <w:bookmarkEnd w:id="11"/>
    </w:p>
    <w:p w14:paraId="16EDDDCB" w14:textId="604BE856" w:rsidR="00A75A8F" w:rsidRPr="00D74EAD" w:rsidRDefault="001B13B0" w:rsidP="00A75A8F">
      <w:pPr>
        <w:spacing w:after="0" w:line="360" w:lineRule="auto"/>
        <w:rPr>
          <w:rFonts w:cs="Calibri"/>
          <w:sz w:val="24"/>
          <w:szCs w:val="24"/>
        </w:rPr>
      </w:pPr>
      <w:r>
        <w:rPr>
          <w:rFonts w:cs="Calibri"/>
          <w:sz w:val="24"/>
          <w:szCs w:val="24"/>
        </w:rPr>
        <w:t>M</w:t>
      </w:r>
      <w:r w:rsidR="00A75A8F" w:rsidRPr="00D74EAD">
        <w:rPr>
          <w:rFonts w:cs="Calibri"/>
          <w:sz w:val="24"/>
          <w:szCs w:val="24"/>
        </w:rPr>
        <w:t xml:space="preserve">y research </w:t>
      </w:r>
      <w:r w:rsidR="00A75A8F">
        <w:rPr>
          <w:rFonts w:cs="Calibri"/>
          <w:sz w:val="24"/>
          <w:szCs w:val="24"/>
        </w:rPr>
        <w:t>is important</w:t>
      </w:r>
      <w:r>
        <w:rPr>
          <w:rFonts w:cs="Calibri"/>
          <w:sz w:val="24"/>
          <w:szCs w:val="24"/>
        </w:rPr>
        <w:t xml:space="preserve"> also because this</w:t>
      </w:r>
      <w:r w:rsidR="00A75A8F">
        <w:rPr>
          <w:rFonts w:cs="Calibri"/>
          <w:sz w:val="24"/>
          <w:szCs w:val="24"/>
        </w:rPr>
        <w:t xml:space="preserve"> </w:t>
      </w:r>
      <w:r w:rsidR="00A75A8F" w:rsidRPr="00D74EAD">
        <w:rPr>
          <w:rFonts w:cs="Calibri"/>
          <w:sz w:val="24"/>
          <w:szCs w:val="24"/>
        </w:rPr>
        <w:t xml:space="preserve">is </w:t>
      </w:r>
      <w:r>
        <w:rPr>
          <w:rFonts w:cs="Calibri"/>
          <w:sz w:val="24"/>
          <w:szCs w:val="24"/>
        </w:rPr>
        <w:t xml:space="preserve">an </w:t>
      </w:r>
      <w:r w:rsidR="00A75A8F" w:rsidRPr="00D74EAD">
        <w:rPr>
          <w:rFonts w:cs="Calibri"/>
          <w:sz w:val="24"/>
          <w:szCs w:val="24"/>
        </w:rPr>
        <w:t xml:space="preserve">opportunity to investigate whether the EBac will make education more or less democratic. </w:t>
      </w:r>
      <w:r w:rsidR="00A75A8F">
        <w:rPr>
          <w:rFonts w:cs="Calibri"/>
          <w:sz w:val="24"/>
          <w:szCs w:val="24"/>
        </w:rPr>
        <w:t>T</w:t>
      </w:r>
      <w:r w:rsidR="00A75A8F" w:rsidRPr="00D74EAD">
        <w:rPr>
          <w:rFonts w:cs="Calibri"/>
          <w:sz w:val="24"/>
          <w:szCs w:val="24"/>
        </w:rPr>
        <w:t xml:space="preserve">aken </w:t>
      </w:r>
      <w:r w:rsidR="000F575B">
        <w:rPr>
          <w:rFonts w:cs="Calibri"/>
          <w:sz w:val="24"/>
          <w:szCs w:val="24"/>
        </w:rPr>
        <w:t>at</w:t>
      </w:r>
      <w:r w:rsidR="00A75A8F" w:rsidRPr="00D74EAD">
        <w:rPr>
          <w:rFonts w:cs="Calibri"/>
          <w:sz w:val="24"/>
          <w:szCs w:val="24"/>
        </w:rPr>
        <w:t xml:space="preserve"> face value</w:t>
      </w:r>
      <w:r>
        <w:rPr>
          <w:rFonts w:cs="Calibri"/>
          <w:sz w:val="24"/>
          <w:szCs w:val="24"/>
        </w:rPr>
        <w:t>,</w:t>
      </w:r>
      <w:r w:rsidR="00A75A8F" w:rsidRPr="00D74EAD">
        <w:rPr>
          <w:rFonts w:cs="Calibri"/>
          <w:sz w:val="24"/>
          <w:szCs w:val="24"/>
        </w:rPr>
        <w:t xml:space="preserve"> the EBac </w:t>
      </w:r>
      <w:r w:rsidR="00A75A8F">
        <w:rPr>
          <w:rFonts w:cs="Calibri"/>
          <w:sz w:val="24"/>
          <w:szCs w:val="24"/>
        </w:rPr>
        <w:t>is</w:t>
      </w:r>
      <w:r w:rsidR="00A75A8F" w:rsidRPr="00D74EAD">
        <w:rPr>
          <w:rFonts w:cs="Calibri"/>
          <w:sz w:val="24"/>
          <w:szCs w:val="24"/>
        </w:rPr>
        <w:t xml:space="preserve"> just a collection of rather traditional GCSE subjects already on offer in the majority of schools</w:t>
      </w:r>
      <w:r>
        <w:rPr>
          <w:rFonts w:cs="Calibri"/>
          <w:sz w:val="24"/>
          <w:szCs w:val="24"/>
        </w:rPr>
        <w:t>.</w:t>
      </w:r>
      <w:r w:rsidR="00A75A8F" w:rsidRPr="00D74EAD">
        <w:rPr>
          <w:rFonts w:cs="Calibri"/>
          <w:sz w:val="24"/>
          <w:szCs w:val="24"/>
        </w:rPr>
        <w:t xml:space="preserve"> </w:t>
      </w:r>
      <w:r>
        <w:rPr>
          <w:rFonts w:cs="Calibri"/>
          <w:sz w:val="24"/>
          <w:szCs w:val="24"/>
        </w:rPr>
        <w:t>I</w:t>
      </w:r>
      <w:r w:rsidR="00A75A8F" w:rsidRPr="00D74EAD">
        <w:rPr>
          <w:rFonts w:cs="Calibri"/>
          <w:sz w:val="24"/>
          <w:szCs w:val="24"/>
        </w:rPr>
        <w:t>t</w:t>
      </w:r>
      <w:r w:rsidR="00A75A8F">
        <w:rPr>
          <w:rFonts w:cs="Calibri"/>
          <w:sz w:val="24"/>
          <w:szCs w:val="24"/>
        </w:rPr>
        <w:t xml:space="preserve"> may</w:t>
      </w:r>
      <w:r w:rsidR="00A75A8F" w:rsidRPr="00D74EAD">
        <w:rPr>
          <w:rFonts w:cs="Calibri"/>
          <w:sz w:val="24"/>
          <w:szCs w:val="24"/>
        </w:rPr>
        <w:t xml:space="preserve"> </w:t>
      </w:r>
      <w:r w:rsidR="00A75A8F">
        <w:rPr>
          <w:rFonts w:cs="Calibri"/>
          <w:sz w:val="24"/>
          <w:szCs w:val="24"/>
        </w:rPr>
        <w:t xml:space="preserve">also </w:t>
      </w:r>
      <w:r w:rsidR="00A75A8F" w:rsidRPr="00D74EAD">
        <w:rPr>
          <w:rFonts w:cs="Calibri"/>
          <w:sz w:val="24"/>
          <w:szCs w:val="24"/>
        </w:rPr>
        <w:t xml:space="preserve">be </w:t>
      </w:r>
      <w:r w:rsidR="00A75A8F">
        <w:rPr>
          <w:rFonts w:cs="Calibri"/>
          <w:sz w:val="24"/>
          <w:szCs w:val="24"/>
        </w:rPr>
        <w:t>interpreted</w:t>
      </w:r>
      <w:r>
        <w:rPr>
          <w:rFonts w:cs="Calibri"/>
          <w:sz w:val="24"/>
          <w:szCs w:val="24"/>
        </w:rPr>
        <w:t>, however,</w:t>
      </w:r>
      <w:r w:rsidR="00A75A8F">
        <w:rPr>
          <w:rFonts w:cs="Calibri"/>
          <w:sz w:val="24"/>
          <w:szCs w:val="24"/>
        </w:rPr>
        <w:t xml:space="preserve"> as</w:t>
      </w:r>
      <w:r w:rsidR="00A75A8F" w:rsidRPr="00D74EAD">
        <w:rPr>
          <w:rFonts w:cs="Calibri"/>
          <w:sz w:val="24"/>
          <w:szCs w:val="24"/>
        </w:rPr>
        <w:t xml:space="preserve"> an anti-democratic political tool</w:t>
      </w:r>
      <w:r>
        <w:rPr>
          <w:rFonts w:cs="Calibri"/>
          <w:sz w:val="24"/>
          <w:szCs w:val="24"/>
        </w:rPr>
        <w:t>,</w:t>
      </w:r>
      <w:r w:rsidR="00A75A8F" w:rsidRPr="00D74EAD">
        <w:rPr>
          <w:rFonts w:cs="Calibri"/>
          <w:sz w:val="24"/>
          <w:szCs w:val="24"/>
        </w:rPr>
        <w:t xml:space="preserve"> enhanc</w:t>
      </w:r>
      <w:r>
        <w:rPr>
          <w:rFonts w:cs="Calibri"/>
          <w:sz w:val="24"/>
          <w:szCs w:val="24"/>
        </w:rPr>
        <w:t>ing</w:t>
      </w:r>
      <w:r w:rsidR="00A75A8F" w:rsidRPr="00D74EAD">
        <w:rPr>
          <w:rFonts w:cs="Calibri"/>
          <w:sz w:val="24"/>
          <w:szCs w:val="24"/>
        </w:rPr>
        <w:t xml:space="preserve"> the educational chances and prospects of </w:t>
      </w:r>
      <w:r w:rsidR="009000A9">
        <w:rPr>
          <w:rFonts w:cs="Calibri"/>
          <w:sz w:val="24"/>
          <w:szCs w:val="24"/>
        </w:rPr>
        <w:t>those</w:t>
      </w:r>
      <w:r w:rsidR="00A75A8F" w:rsidRPr="00D74EAD">
        <w:rPr>
          <w:rFonts w:cs="Calibri"/>
          <w:sz w:val="24"/>
          <w:szCs w:val="24"/>
        </w:rPr>
        <w:t xml:space="preserve"> </w:t>
      </w:r>
      <w:r w:rsidR="00A75A8F">
        <w:rPr>
          <w:rFonts w:cs="Calibri"/>
          <w:sz w:val="24"/>
          <w:szCs w:val="24"/>
        </w:rPr>
        <w:t>with</w:t>
      </w:r>
      <w:r w:rsidR="009000A9">
        <w:rPr>
          <w:rFonts w:cs="Calibri"/>
          <w:sz w:val="24"/>
          <w:szCs w:val="24"/>
        </w:rPr>
        <w:t xml:space="preserve"> </w:t>
      </w:r>
      <w:r w:rsidR="00A75A8F" w:rsidRPr="00D74EAD">
        <w:rPr>
          <w:rFonts w:cs="Calibri"/>
          <w:sz w:val="24"/>
          <w:szCs w:val="24"/>
        </w:rPr>
        <w:t xml:space="preserve">appropriate cultural capital (Bourdieu </w:t>
      </w:r>
      <w:r w:rsidR="00142508">
        <w:rPr>
          <w:rFonts w:cs="Calibri"/>
          <w:sz w:val="24"/>
          <w:szCs w:val="24"/>
        </w:rPr>
        <w:t>and</w:t>
      </w:r>
      <w:r w:rsidR="00A75A8F" w:rsidRPr="00D74EAD">
        <w:rPr>
          <w:rFonts w:cs="Calibri"/>
          <w:sz w:val="24"/>
          <w:szCs w:val="24"/>
        </w:rPr>
        <w:t xml:space="preserve"> Passeron</w:t>
      </w:r>
      <w:r w:rsidR="00142508">
        <w:rPr>
          <w:rFonts w:cs="Calibri"/>
          <w:sz w:val="24"/>
          <w:szCs w:val="24"/>
        </w:rPr>
        <w:t>,</w:t>
      </w:r>
      <w:r w:rsidR="00A75A8F" w:rsidRPr="00D74EAD">
        <w:rPr>
          <w:rFonts w:cs="Calibri"/>
          <w:sz w:val="24"/>
          <w:szCs w:val="24"/>
        </w:rPr>
        <w:t xml:space="preserve"> 1977) and disadvantag</w:t>
      </w:r>
      <w:r>
        <w:rPr>
          <w:rFonts w:cs="Calibri"/>
          <w:sz w:val="24"/>
          <w:szCs w:val="24"/>
        </w:rPr>
        <w:t>ing</w:t>
      </w:r>
      <w:r w:rsidR="00A75A8F" w:rsidRPr="00D74EAD">
        <w:rPr>
          <w:rFonts w:cs="Calibri"/>
          <w:sz w:val="24"/>
          <w:szCs w:val="24"/>
        </w:rPr>
        <w:t xml:space="preserve"> others. </w:t>
      </w:r>
      <w:r w:rsidR="00A75A8F">
        <w:rPr>
          <w:rFonts w:cs="Calibri"/>
          <w:sz w:val="24"/>
          <w:szCs w:val="24"/>
        </w:rPr>
        <w:t>By</w:t>
      </w:r>
      <w:r w:rsidR="00A75A8F" w:rsidRPr="00D74EAD">
        <w:rPr>
          <w:rFonts w:cs="Calibri"/>
          <w:sz w:val="24"/>
          <w:szCs w:val="24"/>
        </w:rPr>
        <w:t xml:space="preserve"> selecti</w:t>
      </w:r>
      <w:r w:rsidR="00A75A8F">
        <w:rPr>
          <w:rFonts w:cs="Calibri"/>
          <w:sz w:val="24"/>
          <w:szCs w:val="24"/>
        </w:rPr>
        <w:t>ng</w:t>
      </w:r>
      <w:r w:rsidR="00A75A8F" w:rsidRPr="00D74EAD">
        <w:rPr>
          <w:rFonts w:cs="Calibri"/>
          <w:sz w:val="24"/>
          <w:szCs w:val="24"/>
        </w:rPr>
        <w:t xml:space="preserve"> GCSE qualifications</w:t>
      </w:r>
      <w:r>
        <w:rPr>
          <w:rFonts w:cs="Calibri"/>
          <w:sz w:val="24"/>
          <w:szCs w:val="24"/>
        </w:rPr>
        <w:t xml:space="preserve"> and excluding vocational ones</w:t>
      </w:r>
      <w:r w:rsidR="00A75A8F" w:rsidRPr="00D74EAD">
        <w:rPr>
          <w:rFonts w:cs="Calibri"/>
          <w:sz w:val="24"/>
          <w:szCs w:val="24"/>
        </w:rPr>
        <w:t xml:space="preserve"> as the only method of achieving the EBac</w:t>
      </w:r>
      <w:r w:rsidR="00A75A8F">
        <w:rPr>
          <w:rFonts w:cs="Calibri"/>
          <w:sz w:val="24"/>
          <w:szCs w:val="24"/>
        </w:rPr>
        <w:t>,</w:t>
      </w:r>
      <w:r w:rsidR="00A75A8F" w:rsidRPr="00D74EAD">
        <w:rPr>
          <w:rFonts w:cs="Calibri"/>
          <w:sz w:val="24"/>
          <w:szCs w:val="24"/>
        </w:rPr>
        <w:t xml:space="preserve"> little freedom </w:t>
      </w:r>
      <w:r w:rsidR="00A75A8F">
        <w:rPr>
          <w:rFonts w:cs="Calibri"/>
          <w:sz w:val="24"/>
          <w:szCs w:val="24"/>
        </w:rPr>
        <w:t>is granted to</w:t>
      </w:r>
      <w:r w:rsidR="00A75A8F" w:rsidRPr="00D74EAD">
        <w:rPr>
          <w:rFonts w:cs="Calibri"/>
          <w:sz w:val="24"/>
          <w:szCs w:val="24"/>
        </w:rPr>
        <w:t xml:space="preserve"> </w:t>
      </w:r>
      <w:r w:rsidR="00EC10C0">
        <w:rPr>
          <w:rFonts w:cs="Calibri"/>
          <w:sz w:val="24"/>
          <w:szCs w:val="24"/>
        </w:rPr>
        <w:t>students</w:t>
      </w:r>
      <w:r w:rsidR="00A75A8F" w:rsidRPr="00D74EAD">
        <w:rPr>
          <w:rFonts w:cs="Calibri"/>
          <w:sz w:val="24"/>
          <w:szCs w:val="24"/>
        </w:rPr>
        <w:t xml:space="preserve"> to select </w:t>
      </w:r>
      <w:r w:rsidR="00A75A8F">
        <w:rPr>
          <w:rFonts w:cs="Calibri"/>
          <w:sz w:val="24"/>
          <w:szCs w:val="24"/>
        </w:rPr>
        <w:t xml:space="preserve">other </w:t>
      </w:r>
      <w:r w:rsidR="00A75A8F" w:rsidRPr="00D74EAD">
        <w:rPr>
          <w:rFonts w:cs="Calibri"/>
          <w:sz w:val="24"/>
          <w:szCs w:val="24"/>
        </w:rPr>
        <w:t xml:space="preserve">courses of personal interest. My research considers why these subjects have been selected and </w:t>
      </w:r>
      <w:r w:rsidR="00A75A8F">
        <w:rPr>
          <w:rFonts w:cs="Calibri"/>
          <w:sz w:val="24"/>
          <w:szCs w:val="24"/>
        </w:rPr>
        <w:t xml:space="preserve">the </w:t>
      </w:r>
      <w:r w:rsidR="00A75A8F" w:rsidRPr="00D74EAD">
        <w:rPr>
          <w:rFonts w:cs="Calibri"/>
          <w:sz w:val="24"/>
          <w:szCs w:val="24"/>
        </w:rPr>
        <w:t xml:space="preserve">impact of the EBac on the educational decisions, outcomes and possible future educational choices for different groups of children. </w:t>
      </w:r>
    </w:p>
    <w:p w14:paraId="3E627808" w14:textId="77777777" w:rsidR="00A75A8F" w:rsidRPr="00952FC6" w:rsidRDefault="00A75A8F" w:rsidP="00A75A8F">
      <w:pPr>
        <w:pStyle w:val="Default"/>
        <w:spacing w:line="360" w:lineRule="auto"/>
        <w:rPr>
          <w:rFonts w:ascii="Calibri" w:hAnsi="Calibri" w:cs="Calibri"/>
        </w:rPr>
      </w:pPr>
    </w:p>
    <w:p w14:paraId="62A3A917" w14:textId="0F21D65E" w:rsidR="00A75A8F" w:rsidRPr="00952FC6" w:rsidRDefault="00A75A8F" w:rsidP="00531995">
      <w:pPr>
        <w:pStyle w:val="Default"/>
        <w:spacing w:after="120" w:line="360" w:lineRule="auto"/>
        <w:rPr>
          <w:rFonts w:ascii="Calibri" w:hAnsi="Calibri" w:cs="Calibri"/>
        </w:rPr>
      </w:pPr>
      <w:r w:rsidRPr="00952FC6">
        <w:rPr>
          <w:rFonts w:ascii="Calibri" w:hAnsi="Calibri" w:cs="Calibri"/>
        </w:rPr>
        <w:t xml:space="preserve">The </w:t>
      </w:r>
      <w:r>
        <w:rPr>
          <w:rFonts w:ascii="Calibri" w:hAnsi="Calibri" w:cs="Calibri"/>
        </w:rPr>
        <w:t>g</w:t>
      </w:r>
      <w:r w:rsidRPr="00952FC6">
        <w:rPr>
          <w:rFonts w:ascii="Calibri" w:hAnsi="Calibri" w:cs="Calibri"/>
        </w:rPr>
        <w:t xml:space="preserve">overnment </w:t>
      </w:r>
      <w:r>
        <w:rPr>
          <w:rFonts w:ascii="Calibri" w:hAnsi="Calibri" w:cs="Calibri"/>
        </w:rPr>
        <w:t xml:space="preserve">argues </w:t>
      </w:r>
      <w:r w:rsidRPr="00952FC6">
        <w:rPr>
          <w:rFonts w:ascii="Calibri" w:hAnsi="Calibri" w:cs="Calibri"/>
        </w:rPr>
        <w:t xml:space="preserve">that </w:t>
      </w:r>
      <w:r>
        <w:rPr>
          <w:rFonts w:ascii="Calibri" w:hAnsi="Calibri" w:cs="Calibri"/>
        </w:rPr>
        <w:t xml:space="preserve">the EBac </w:t>
      </w:r>
      <w:r w:rsidRPr="00952FC6">
        <w:rPr>
          <w:rFonts w:ascii="Calibri" w:hAnsi="Calibri" w:cs="Calibri"/>
        </w:rPr>
        <w:t>ensur</w:t>
      </w:r>
      <w:r>
        <w:rPr>
          <w:rFonts w:ascii="Calibri" w:hAnsi="Calibri" w:cs="Calibri"/>
        </w:rPr>
        <w:t>es</w:t>
      </w:r>
      <w:r w:rsidRPr="00952FC6">
        <w:rPr>
          <w:rFonts w:ascii="Calibri" w:hAnsi="Calibri" w:cs="Calibri"/>
        </w:rPr>
        <w:t xml:space="preserve"> all children </w:t>
      </w:r>
      <w:r w:rsidR="009000A9">
        <w:rPr>
          <w:rFonts w:ascii="Calibri" w:hAnsi="Calibri" w:cs="Calibri"/>
        </w:rPr>
        <w:t xml:space="preserve">are encouraged to </w:t>
      </w:r>
      <w:r>
        <w:rPr>
          <w:rFonts w:ascii="Calibri" w:hAnsi="Calibri" w:cs="Calibri"/>
        </w:rPr>
        <w:t xml:space="preserve">study </w:t>
      </w:r>
      <w:r w:rsidRPr="00952FC6">
        <w:rPr>
          <w:rFonts w:ascii="Calibri" w:hAnsi="Calibri" w:cs="Calibri"/>
        </w:rPr>
        <w:t>the same subjects</w:t>
      </w:r>
      <w:r>
        <w:rPr>
          <w:rFonts w:ascii="Calibri" w:hAnsi="Calibri" w:cs="Calibri"/>
        </w:rPr>
        <w:t xml:space="preserve"> </w:t>
      </w:r>
      <w:r w:rsidR="009000A9">
        <w:rPr>
          <w:rFonts w:ascii="Calibri" w:hAnsi="Calibri" w:cs="Calibri"/>
        </w:rPr>
        <w:t>up to age 16</w:t>
      </w:r>
      <w:r w:rsidR="00996CDC">
        <w:rPr>
          <w:rFonts w:ascii="Calibri" w:hAnsi="Calibri" w:cs="Calibri"/>
        </w:rPr>
        <w:t>, which</w:t>
      </w:r>
      <w:r w:rsidR="009000A9">
        <w:rPr>
          <w:rFonts w:ascii="Calibri" w:hAnsi="Calibri" w:cs="Calibri"/>
        </w:rPr>
        <w:t xml:space="preserve"> </w:t>
      </w:r>
      <w:r w:rsidRPr="00952FC6">
        <w:rPr>
          <w:rFonts w:ascii="Calibri" w:hAnsi="Calibri" w:cs="Calibri"/>
        </w:rPr>
        <w:t>create</w:t>
      </w:r>
      <w:r>
        <w:rPr>
          <w:rFonts w:ascii="Calibri" w:hAnsi="Calibri" w:cs="Calibri"/>
        </w:rPr>
        <w:t>s</w:t>
      </w:r>
      <w:r w:rsidRPr="00952FC6">
        <w:rPr>
          <w:rFonts w:ascii="Calibri" w:hAnsi="Calibri" w:cs="Calibri"/>
        </w:rPr>
        <w:t xml:space="preserve"> </w:t>
      </w:r>
      <w:r w:rsidR="00996CDC">
        <w:rPr>
          <w:rFonts w:ascii="Calibri" w:hAnsi="Calibri" w:cs="Calibri"/>
        </w:rPr>
        <w:t>‘</w:t>
      </w:r>
      <w:r w:rsidRPr="00952FC6">
        <w:rPr>
          <w:rFonts w:ascii="Calibri" w:hAnsi="Calibri" w:cs="Calibri"/>
        </w:rPr>
        <w:t>equality of opportunity</w:t>
      </w:r>
      <w:r w:rsidR="00996CDC">
        <w:rPr>
          <w:rFonts w:ascii="Calibri" w:hAnsi="Calibri" w:cs="Calibri"/>
        </w:rPr>
        <w:t>’</w:t>
      </w:r>
      <w:r>
        <w:rPr>
          <w:rFonts w:ascii="Calibri" w:hAnsi="Calibri" w:cs="Calibri"/>
        </w:rPr>
        <w:t xml:space="preserve">.  A greater number of children will have the option to pursue these </w:t>
      </w:r>
      <w:r w:rsidR="00996CDC">
        <w:rPr>
          <w:rFonts w:ascii="Calibri" w:hAnsi="Calibri" w:cs="Calibri"/>
        </w:rPr>
        <w:t>‘</w:t>
      </w:r>
      <w:r>
        <w:rPr>
          <w:rFonts w:ascii="Calibri" w:hAnsi="Calibri" w:cs="Calibri"/>
        </w:rPr>
        <w:t>core</w:t>
      </w:r>
      <w:r w:rsidR="00996CDC">
        <w:rPr>
          <w:rFonts w:ascii="Calibri" w:hAnsi="Calibri" w:cs="Calibri"/>
        </w:rPr>
        <w:t>’</w:t>
      </w:r>
      <w:r>
        <w:rPr>
          <w:rFonts w:ascii="Calibri" w:hAnsi="Calibri" w:cs="Calibri"/>
        </w:rPr>
        <w:t xml:space="preserve"> or </w:t>
      </w:r>
      <w:r w:rsidR="00996CDC">
        <w:rPr>
          <w:rFonts w:ascii="Calibri" w:hAnsi="Calibri" w:cs="Calibri"/>
        </w:rPr>
        <w:t>‘</w:t>
      </w:r>
      <w:r>
        <w:rPr>
          <w:rFonts w:ascii="Calibri" w:hAnsi="Calibri" w:cs="Calibri"/>
        </w:rPr>
        <w:t>high status</w:t>
      </w:r>
      <w:r w:rsidR="00996CDC">
        <w:rPr>
          <w:rFonts w:ascii="Calibri" w:hAnsi="Calibri" w:cs="Calibri"/>
        </w:rPr>
        <w:t>’</w:t>
      </w:r>
      <w:r>
        <w:rPr>
          <w:rFonts w:ascii="Calibri" w:hAnsi="Calibri" w:cs="Calibri"/>
        </w:rPr>
        <w:t xml:space="preserve"> </w:t>
      </w:r>
      <w:r w:rsidR="00996CDC">
        <w:rPr>
          <w:rFonts w:ascii="Calibri" w:hAnsi="Calibri" w:cs="Calibri"/>
        </w:rPr>
        <w:t>subjects</w:t>
      </w:r>
      <w:r>
        <w:rPr>
          <w:rFonts w:ascii="Calibri" w:hAnsi="Calibri" w:cs="Calibri"/>
        </w:rPr>
        <w:t xml:space="preserve">, which then allows </w:t>
      </w:r>
      <w:r w:rsidR="00996CDC">
        <w:rPr>
          <w:rFonts w:ascii="Calibri" w:hAnsi="Calibri" w:cs="Calibri"/>
        </w:rPr>
        <w:t xml:space="preserve">them </w:t>
      </w:r>
      <w:r>
        <w:rPr>
          <w:rFonts w:ascii="Calibri" w:hAnsi="Calibri" w:cs="Calibri"/>
        </w:rPr>
        <w:t>access to prestigious universities and c</w:t>
      </w:r>
      <w:r w:rsidR="009000A9">
        <w:rPr>
          <w:rFonts w:ascii="Calibri" w:hAnsi="Calibri" w:cs="Calibri"/>
        </w:rPr>
        <w:t>areers</w:t>
      </w:r>
      <w:r w:rsidRPr="00952FC6">
        <w:rPr>
          <w:rFonts w:ascii="Calibri" w:hAnsi="Calibri" w:cs="Calibri"/>
        </w:rPr>
        <w:t xml:space="preserve">. Bourdieu and Passeron (1977) argue that the possession of </w:t>
      </w:r>
      <w:r w:rsidR="00996CDC">
        <w:rPr>
          <w:rFonts w:ascii="Calibri" w:hAnsi="Calibri" w:cs="Calibri"/>
        </w:rPr>
        <w:t>‘</w:t>
      </w:r>
      <w:r w:rsidRPr="00952FC6">
        <w:rPr>
          <w:rFonts w:ascii="Calibri" w:hAnsi="Calibri" w:cs="Calibri"/>
        </w:rPr>
        <w:t>cultural capital</w:t>
      </w:r>
      <w:r w:rsidR="00996CDC">
        <w:rPr>
          <w:rFonts w:ascii="Calibri" w:hAnsi="Calibri" w:cs="Calibri"/>
        </w:rPr>
        <w:t>’</w:t>
      </w:r>
      <w:r w:rsidRPr="00952FC6">
        <w:rPr>
          <w:rFonts w:ascii="Calibri" w:hAnsi="Calibri" w:cs="Calibri"/>
        </w:rPr>
        <w:t xml:space="preserve">, </w:t>
      </w:r>
      <w:r w:rsidR="00996CDC">
        <w:rPr>
          <w:rFonts w:ascii="Calibri" w:hAnsi="Calibri" w:cs="Calibri"/>
        </w:rPr>
        <w:t>i.e.</w:t>
      </w:r>
      <w:r w:rsidRPr="00952FC6">
        <w:rPr>
          <w:rFonts w:ascii="Calibri" w:hAnsi="Calibri" w:cs="Calibri"/>
        </w:rPr>
        <w:t xml:space="preserve"> knowledge of the components of society that are considered to be more important and valuable than others, means that some students, usually middle </w:t>
      </w:r>
      <w:r w:rsidR="00996CDC">
        <w:rPr>
          <w:rFonts w:ascii="Calibri" w:hAnsi="Calibri" w:cs="Calibri"/>
        </w:rPr>
        <w:t xml:space="preserve">and upper </w:t>
      </w:r>
      <w:r w:rsidRPr="00952FC6">
        <w:rPr>
          <w:rFonts w:ascii="Calibri" w:hAnsi="Calibri" w:cs="Calibri"/>
        </w:rPr>
        <w:t>class, are able to take better advantage of the educational opportunities on offer at any given time. This appear</w:t>
      </w:r>
      <w:r>
        <w:rPr>
          <w:rFonts w:ascii="Calibri" w:hAnsi="Calibri" w:cs="Calibri"/>
        </w:rPr>
        <w:t>s</w:t>
      </w:r>
      <w:r w:rsidRPr="00952FC6">
        <w:rPr>
          <w:rFonts w:ascii="Calibri" w:hAnsi="Calibri" w:cs="Calibri"/>
        </w:rPr>
        <w:t xml:space="preserve"> to be borne out by the fact that </w:t>
      </w:r>
      <w:r w:rsidR="00996CDC">
        <w:rPr>
          <w:rFonts w:ascii="Calibri" w:hAnsi="Calibri" w:cs="Calibri"/>
        </w:rPr>
        <w:t xml:space="preserve">independent and selective </w:t>
      </w:r>
      <w:r w:rsidRPr="00952FC6">
        <w:rPr>
          <w:rFonts w:ascii="Calibri" w:hAnsi="Calibri" w:cs="Calibri"/>
        </w:rPr>
        <w:t>schools</w:t>
      </w:r>
      <w:r w:rsidR="00996CDC">
        <w:rPr>
          <w:rFonts w:ascii="Calibri" w:hAnsi="Calibri" w:cs="Calibri"/>
        </w:rPr>
        <w:t>,</w:t>
      </w:r>
      <w:r w:rsidRPr="00952FC6">
        <w:rPr>
          <w:rFonts w:ascii="Calibri" w:hAnsi="Calibri" w:cs="Calibri"/>
        </w:rPr>
        <w:t xml:space="preserve"> which traditionally attract middle class students, </w:t>
      </w:r>
      <w:r w:rsidR="009000A9">
        <w:rPr>
          <w:rFonts w:ascii="Calibri" w:hAnsi="Calibri" w:cs="Calibri"/>
        </w:rPr>
        <w:t>already provide</w:t>
      </w:r>
      <w:r w:rsidRPr="00952FC6">
        <w:rPr>
          <w:rFonts w:ascii="Calibri" w:hAnsi="Calibri" w:cs="Calibri"/>
        </w:rPr>
        <w:t xml:space="preserve"> th</w:t>
      </w:r>
      <w:r>
        <w:rPr>
          <w:rFonts w:ascii="Calibri" w:hAnsi="Calibri" w:cs="Calibri"/>
        </w:rPr>
        <w:t>e</w:t>
      </w:r>
      <w:r w:rsidRPr="00952FC6">
        <w:rPr>
          <w:rFonts w:ascii="Calibri" w:hAnsi="Calibri" w:cs="Calibri"/>
        </w:rPr>
        <w:t xml:space="preserve"> </w:t>
      </w:r>
      <w:r>
        <w:rPr>
          <w:rFonts w:ascii="Calibri" w:hAnsi="Calibri" w:cs="Calibri"/>
        </w:rPr>
        <w:t xml:space="preserve">EBac </w:t>
      </w:r>
      <w:r w:rsidRPr="00952FC6">
        <w:rPr>
          <w:rFonts w:ascii="Calibri" w:hAnsi="Calibri" w:cs="Calibri"/>
        </w:rPr>
        <w:t xml:space="preserve">curriculum. </w:t>
      </w:r>
      <w:r>
        <w:rPr>
          <w:rFonts w:ascii="Calibri" w:hAnsi="Calibri" w:cs="Calibri"/>
        </w:rPr>
        <w:t>E</w:t>
      </w:r>
      <w:r w:rsidRPr="00952FC6">
        <w:rPr>
          <w:rFonts w:ascii="Calibri" w:hAnsi="Calibri" w:cs="Calibri"/>
        </w:rPr>
        <w:t xml:space="preserve">ven if the same subjects are offered to all </w:t>
      </w:r>
      <w:r w:rsidR="009000A9">
        <w:rPr>
          <w:rFonts w:ascii="Calibri" w:hAnsi="Calibri" w:cs="Calibri"/>
        </w:rPr>
        <w:t>students</w:t>
      </w:r>
      <w:r w:rsidR="00996CDC">
        <w:rPr>
          <w:rFonts w:ascii="Calibri" w:hAnsi="Calibri" w:cs="Calibri"/>
        </w:rPr>
        <w:t>,</w:t>
      </w:r>
      <w:r w:rsidRPr="00952FC6">
        <w:rPr>
          <w:rFonts w:ascii="Calibri" w:hAnsi="Calibri" w:cs="Calibri"/>
        </w:rPr>
        <w:t xml:space="preserve"> this does not </w:t>
      </w:r>
      <w:r>
        <w:rPr>
          <w:rFonts w:ascii="Calibri" w:hAnsi="Calibri" w:cs="Calibri"/>
        </w:rPr>
        <w:t xml:space="preserve">necessarily </w:t>
      </w:r>
      <w:r w:rsidRPr="00952FC6">
        <w:rPr>
          <w:rFonts w:ascii="Calibri" w:hAnsi="Calibri" w:cs="Calibri"/>
        </w:rPr>
        <w:t>ensure equality of outcome or of opportunity. Carr and Hartnett argue that due to the many division</w:t>
      </w:r>
      <w:r>
        <w:rPr>
          <w:rFonts w:ascii="Calibri" w:hAnsi="Calibri" w:cs="Calibri"/>
        </w:rPr>
        <w:t>s</w:t>
      </w:r>
      <w:r w:rsidRPr="00952FC6">
        <w:rPr>
          <w:rFonts w:ascii="Calibri" w:hAnsi="Calibri" w:cs="Calibri"/>
        </w:rPr>
        <w:t xml:space="preserve"> in society, children are not able to take identical advantage or achieve identical outcome</w:t>
      </w:r>
      <w:r>
        <w:rPr>
          <w:rFonts w:ascii="Calibri" w:hAnsi="Calibri" w:cs="Calibri"/>
        </w:rPr>
        <w:t>s</w:t>
      </w:r>
      <w:r w:rsidRPr="00952FC6">
        <w:rPr>
          <w:rFonts w:ascii="Calibri" w:hAnsi="Calibri" w:cs="Calibri"/>
        </w:rPr>
        <w:t xml:space="preserve"> from the curriculum presented to them</w:t>
      </w:r>
      <w:r>
        <w:rPr>
          <w:rFonts w:ascii="Calibri" w:hAnsi="Calibri" w:cs="Calibri"/>
        </w:rPr>
        <w:t>:</w:t>
      </w:r>
    </w:p>
    <w:p w14:paraId="3B9ABD8F" w14:textId="64C1302B" w:rsidR="00A75A8F" w:rsidRPr="00952FC6" w:rsidRDefault="00A75A8F" w:rsidP="00531995">
      <w:pPr>
        <w:pStyle w:val="Default"/>
        <w:spacing w:after="120"/>
        <w:ind w:left="720"/>
        <w:rPr>
          <w:rFonts w:ascii="Calibri" w:hAnsi="Calibri" w:cs="Calibri"/>
        </w:rPr>
      </w:pPr>
      <w:r w:rsidRPr="00952FC6">
        <w:rPr>
          <w:rFonts w:ascii="Calibri" w:hAnsi="Calibri" w:cs="Calibri"/>
        </w:rPr>
        <w:t>To select a subject-based traditional curriculum and to argue that it is appropriate to everybody is bound to disadvantage those children who do not share its explicit and implicit cultural assumptions (</w:t>
      </w:r>
      <w:r>
        <w:rPr>
          <w:rFonts w:ascii="Calibri" w:hAnsi="Calibri" w:cs="Calibri"/>
        </w:rPr>
        <w:t xml:space="preserve">1996, </w:t>
      </w:r>
      <w:r w:rsidRPr="00952FC6">
        <w:rPr>
          <w:rFonts w:ascii="Calibri" w:hAnsi="Calibri" w:cs="Calibri"/>
        </w:rPr>
        <w:t>p.173).</w:t>
      </w:r>
    </w:p>
    <w:p w14:paraId="3A66E77F" w14:textId="77777777" w:rsidR="00A75A8F" w:rsidRPr="00952FC6" w:rsidRDefault="00A75A8F" w:rsidP="00A75A8F">
      <w:pPr>
        <w:pStyle w:val="Default"/>
        <w:spacing w:line="360" w:lineRule="auto"/>
        <w:rPr>
          <w:rFonts w:ascii="Calibri" w:hAnsi="Calibri" w:cs="Calibri"/>
        </w:rPr>
      </w:pPr>
    </w:p>
    <w:p w14:paraId="18CBD718" w14:textId="6CAD7F1B" w:rsidR="00A75A8F" w:rsidRDefault="00A75A8F" w:rsidP="00A75A8F">
      <w:pPr>
        <w:spacing w:after="0" w:line="360" w:lineRule="auto"/>
        <w:rPr>
          <w:rFonts w:cs="Calibri"/>
          <w:sz w:val="24"/>
        </w:rPr>
      </w:pPr>
      <w:r>
        <w:rPr>
          <w:rFonts w:cs="Calibri"/>
          <w:sz w:val="24"/>
          <w:szCs w:val="24"/>
        </w:rPr>
        <w:lastRenderedPageBreak/>
        <w:t>T</w:t>
      </w:r>
      <w:r w:rsidRPr="00F74B01">
        <w:rPr>
          <w:rFonts w:cs="Calibri"/>
          <w:sz w:val="24"/>
          <w:szCs w:val="24"/>
        </w:rPr>
        <w:t>his statement was written about the 1988 National Curriculum</w:t>
      </w:r>
      <w:r w:rsidR="00996CDC">
        <w:rPr>
          <w:rFonts w:cs="Calibri"/>
          <w:sz w:val="24"/>
          <w:szCs w:val="24"/>
        </w:rPr>
        <w:t>, but</w:t>
      </w:r>
      <w:r>
        <w:rPr>
          <w:rFonts w:cs="Calibri"/>
          <w:sz w:val="24"/>
          <w:szCs w:val="24"/>
        </w:rPr>
        <w:t xml:space="preserve"> </w:t>
      </w:r>
      <w:r w:rsidR="00482F52">
        <w:rPr>
          <w:rFonts w:cs="Calibri"/>
          <w:sz w:val="24"/>
          <w:szCs w:val="24"/>
        </w:rPr>
        <w:t xml:space="preserve">I argue </w:t>
      </w:r>
      <w:r w:rsidR="00996CDC">
        <w:rPr>
          <w:rFonts w:cs="Calibri"/>
          <w:sz w:val="24"/>
          <w:szCs w:val="24"/>
        </w:rPr>
        <w:t xml:space="preserve">that it </w:t>
      </w:r>
      <w:r>
        <w:rPr>
          <w:rFonts w:cs="Calibri"/>
          <w:sz w:val="24"/>
          <w:szCs w:val="24"/>
        </w:rPr>
        <w:t>can</w:t>
      </w:r>
      <w:r w:rsidRPr="00F74B01">
        <w:rPr>
          <w:rFonts w:cs="Calibri"/>
          <w:sz w:val="24"/>
          <w:szCs w:val="24"/>
        </w:rPr>
        <w:t xml:space="preserve"> be applied to the EBac. It may be politically convenient to attempt to teach, assess and compare everyone according to the same range of qualifications and subjects</w:t>
      </w:r>
      <w:r w:rsidR="00996CDC">
        <w:rPr>
          <w:rFonts w:cs="Calibri"/>
          <w:sz w:val="24"/>
          <w:szCs w:val="24"/>
        </w:rPr>
        <w:t>,</w:t>
      </w:r>
      <w:r w:rsidRPr="00F74B01">
        <w:rPr>
          <w:rFonts w:cs="Calibri"/>
          <w:sz w:val="24"/>
          <w:szCs w:val="24"/>
        </w:rPr>
        <w:t xml:space="preserve"> but this </w:t>
      </w:r>
      <w:r>
        <w:rPr>
          <w:rFonts w:cs="Calibri"/>
          <w:sz w:val="24"/>
          <w:szCs w:val="24"/>
        </w:rPr>
        <w:t xml:space="preserve">does </w:t>
      </w:r>
      <w:r w:rsidRPr="00F74B01">
        <w:rPr>
          <w:rFonts w:cs="Calibri"/>
          <w:sz w:val="24"/>
          <w:szCs w:val="24"/>
        </w:rPr>
        <w:t xml:space="preserve">not necessarily ensure equality, </w:t>
      </w:r>
      <w:r w:rsidR="00996CDC">
        <w:rPr>
          <w:rFonts w:cs="Calibri"/>
          <w:sz w:val="24"/>
          <w:szCs w:val="24"/>
        </w:rPr>
        <w:t xml:space="preserve">rather it </w:t>
      </w:r>
      <w:r w:rsidRPr="00F74B01">
        <w:rPr>
          <w:rFonts w:cs="Calibri"/>
          <w:sz w:val="24"/>
          <w:szCs w:val="24"/>
        </w:rPr>
        <w:t>continue</w:t>
      </w:r>
      <w:r w:rsidR="00996CDC">
        <w:rPr>
          <w:rFonts w:cs="Calibri"/>
          <w:sz w:val="24"/>
          <w:szCs w:val="24"/>
        </w:rPr>
        <w:t>s</w:t>
      </w:r>
      <w:r w:rsidRPr="00F74B01">
        <w:rPr>
          <w:rFonts w:cs="Calibri"/>
          <w:sz w:val="24"/>
          <w:szCs w:val="24"/>
        </w:rPr>
        <w:t xml:space="preserve"> to replicate, reinforce and legitimise</w:t>
      </w:r>
      <w:r w:rsidR="00996CDC">
        <w:rPr>
          <w:rFonts w:cs="Calibri"/>
          <w:sz w:val="24"/>
          <w:szCs w:val="24"/>
        </w:rPr>
        <w:t xml:space="preserve"> inequalities</w:t>
      </w:r>
      <w:r w:rsidRPr="00F74B01">
        <w:rPr>
          <w:rFonts w:cs="Calibri"/>
          <w:sz w:val="24"/>
          <w:szCs w:val="24"/>
        </w:rPr>
        <w:t>. Reay (2006) argues that while social mobility is declining in Britain, consideration of the inequalities associated with social class are missing from the discourse of teacher training</w:t>
      </w:r>
      <w:r w:rsidRPr="00457675">
        <w:rPr>
          <w:rFonts w:cs="Calibri"/>
          <w:sz w:val="24"/>
          <w:szCs w:val="24"/>
        </w:rPr>
        <w:t>, leaving new teachers ill-informed and ill-equipped</w:t>
      </w:r>
      <w:r>
        <w:rPr>
          <w:rFonts w:cs="Calibri"/>
          <w:sz w:val="24"/>
        </w:rPr>
        <w:t xml:space="preserve"> to address </w:t>
      </w:r>
      <w:r w:rsidR="000458FA">
        <w:rPr>
          <w:rFonts w:cs="Calibri"/>
          <w:sz w:val="24"/>
        </w:rPr>
        <w:t xml:space="preserve">social </w:t>
      </w:r>
      <w:r>
        <w:rPr>
          <w:rFonts w:cs="Calibri"/>
          <w:sz w:val="24"/>
        </w:rPr>
        <w:t>class inequalities fac</w:t>
      </w:r>
      <w:r w:rsidR="00996CDC">
        <w:rPr>
          <w:rFonts w:cs="Calibri"/>
          <w:sz w:val="24"/>
        </w:rPr>
        <w:t>ing</w:t>
      </w:r>
      <w:r>
        <w:rPr>
          <w:rFonts w:cs="Calibri"/>
          <w:sz w:val="24"/>
        </w:rPr>
        <w:t xml:space="preserve"> children</w:t>
      </w:r>
      <w:r w:rsidR="00996CDC">
        <w:rPr>
          <w:rFonts w:cs="Calibri"/>
          <w:sz w:val="24"/>
        </w:rPr>
        <w:t xml:space="preserve"> in their classrooms</w:t>
      </w:r>
      <w:r>
        <w:rPr>
          <w:rFonts w:cs="Calibri"/>
          <w:sz w:val="24"/>
        </w:rPr>
        <w:t>. Whil</w:t>
      </w:r>
      <w:r w:rsidR="004C3920">
        <w:rPr>
          <w:rFonts w:cs="Calibri"/>
          <w:sz w:val="24"/>
        </w:rPr>
        <w:t>st</w:t>
      </w:r>
      <w:r>
        <w:rPr>
          <w:rFonts w:cs="Calibri"/>
          <w:sz w:val="24"/>
        </w:rPr>
        <w:t xml:space="preserve"> the White Paper appears to be </w:t>
      </w:r>
      <w:r w:rsidR="004C3920">
        <w:rPr>
          <w:rFonts w:cs="Calibri"/>
          <w:sz w:val="24"/>
        </w:rPr>
        <w:t xml:space="preserve">concerned about </w:t>
      </w:r>
      <w:r>
        <w:rPr>
          <w:rFonts w:cs="Calibri"/>
          <w:sz w:val="24"/>
        </w:rPr>
        <w:t>social class inequalities in education</w:t>
      </w:r>
      <w:r w:rsidR="004C3920">
        <w:rPr>
          <w:rFonts w:cs="Calibri"/>
          <w:sz w:val="24"/>
        </w:rPr>
        <w:t>,</w:t>
      </w:r>
      <w:r>
        <w:rPr>
          <w:rFonts w:cs="Calibri"/>
          <w:sz w:val="24"/>
        </w:rPr>
        <w:t xml:space="preserve"> it does not address any of the wider social and school</w:t>
      </w:r>
      <w:r w:rsidR="004C3920">
        <w:rPr>
          <w:rFonts w:cs="Calibri"/>
          <w:sz w:val="24"/>
        </w:rPr>
        <w:t>-</w:t>
      </w:r>
      <w:r>
        <w:rPr>
          <w:rFonts w:cs="Calibri"/>
          <w:sz w:val="24"/>
        </w:rPr>
        <w:t xml:space="preserve">based issues which lead to and perpetuate </w:t>
      </w:r>
      <w:r w:rsidR="004C3920">
        <w:rPr>
          <w:rFonts w:cs="Calibri"/>
          <w:sz w:val="24"/>
        </w:rPr>
        <w:t>such</w:t>
      </w:r>
      <w:r>
        <w:rPr>
          <w:rFonts w:cs="Calibri"/>
          <w:sz w:val="24"/>
        </w:rPr>
        <w:t xml:space="preserve"> inequalities. </w:t>
      </w:r>
    </w:p>
    <w:p w14:paraId="5F077308" w14:textId="77777777" w:rsidR="00A75A8F" w:rsidRDefault="00A75A8F" w:rsidP="00A75A8F">
      <w:pPr>
        <w:spacing w:after="0" w:line="360" w:lineRule="auto"/>
        <w:rPr>
          <w:rFonts w:cs="Calibri"/>
          <w:sz w:val="24"/>
        </w:rPr>
      </w:pPr>
    </w:p>
    <w:p w14:paraId="7197D7DB" w14:textId="02B49583" w:rsidR="00A75A8F" w:rsidRPr="00FF27DB" w:rsidRDefault="00A75A8F" w:rsidP="00A23EDF">
      <w:pPr>
        <w:tabs>
          <w:tab w:val="left" w:pos="8364"/>
        </w:tabs>
        <w:spacing w:line="360" w:lineRule="auto"/>
        <w:rPr>
          <w:rFonts w:cs="Calibri"/>
          <w:sz w:val="24"/>
          <w:szCs w:val="24"/>
        </w:rPr>
      </w:pPr>
      <w:r w:rsidRPr="00661042">
        <w:rPr>
          <w:rFonts w:cs="Calibri"/>
          <w:sz w:val="24"/>
          <w:szCs w:val="24"/>
        </w:rPr>
        <w:t xml:space="preserve">It would be easy to frame this study solely within an analysis and evaluation of social class inequalities. It is also important to consider the impact </w:t>
      </w:r>
      <w:r>
        <w:rPr>
          <w:rFonts w:cs="Calibri"/>
          <w:sz w:val="24"/>
          <w:szCs w:val="24"/>
        </w:rPr>
        <w:t xml:space="preserve">of the EBac </w:t>
      </w:r>
      <w:r w:rsidRPr="00661042">
        <w:rPr>
          <w:rFonts w:cs="Calibri"/>
          <w:sz w:val="24"/>
          <w:szCs w:val="24"/>
        </w:rPr>
        <w:t xml:space="preserve">on </w:t>
      </w:r>
      <w:r>
        <w:rPr>
          <w:rFonts w:cs="Calibri"/>
          <w:sz w:val="24"/>
          <w:szCs w:val="24"/>
        </w:rPr>
        <w:t xml:space="preserve">different </w:t>
      </w:r>
      <w:r w:rsidRPr="00661042">
        <w:rPr>
          <w:rFonts w:cs="Calibri"/>
          <w:sz w:val="24"/>
          <w:szCs w:val="24"/>
        </w:rPr>
        <w:t>ethnic</w:t>
      </w:r>
      <w:r>
        <w:rPr>
          <w:rFonts w:cs="Calibri"/>
          <w:sz w:val="24"/>
          <w:szCs w:val="24"/>
        </w:rPr>
        <w:t xml:space="preserve"> groups of students. </w:t>
      </w:r>
      <w:r w:rsidRPr="00661042">
        <w:rPr>
          <w:rFonts w:cs="Calibri"/>
          <w:sz w:val="24"/>
          <w:szCs w:val="24"/>
        </w:rPr>
        <w:t>Gillborn</w:t>
      </w:r>
      <w:r w:rsidR="00556DF9">
        <w:rPr>
          <w:rFonts w:cs="Calibri"/>
          <w:sz w:val="24"/>
          <w:szCs w:val="24"/>
        </w:rPr>
        <w:t xml:space="preserve"> (2011a) </w:t>
      </w:r>
      <w:r w:rsidRPr="00661042">
        <w:rPr>
          <w:rFonts w:cs="Calibri"/>
          <w:sz w:val="24"/>
          <w:szCs w:val="24"/>
        </w:rPr>
        <w:t>stat</w:t>
      </w:r>
      <w:r>
        <w:rPr>
          <w:rFonts w:cs="Calibri"/>
          <w:sz w:val="24"/>
          <w:szCs w:val="24"/>
        </w:rPr>
        <w:t>es</w:t>
      </w:r>
      <w:r w:rsidRPr="00661042">
        <w:rPr>
          <w:rFonts w:cs="Calibri"/>
          <w:sz w:val="24"/>
          <w:szCs w:val="24"/>
        </w:rPr>
        <w:t xml:space="preserve"> that black Caribbean students </w:t>
      </w:r>
      <w:r>
        <w:rPr>
          <w:rFonts w:cs="Calibri"/>
          <w:sz w:val="24"/>
          <w:szCs w:val="24"/>
        </w:rPr>
        <w:t>a</w:t>
      </w:r>
      <w:r w:rsidRPr="00661042">
        <w:rPr>
          <w:rFonts w:cs="Calibri"/>
          <w:sz w:val="24"/>
          <w:szCs w:val="24"/>
        </w:rPr>
        <w:t xml:space="preserve">re less likely to be entered </w:t>
      </w:r>
      <w:r>
        <w:rPr>
          <w:rFonts w:cs="Calibri"/>
          <w:sz w:val="24"/>
          <w:szCs w:val="24"/>
        </w:rPr>
        <w:t xml:space="preserve">for </w:t>
      </w:r>
      <w:r w:rsidRPr="00661042">
        <w:rPr>
          <w:rFonts w:cs="Calibri"/>
          <w:sz w:val="24"/>
          <w:szCs w:val="24"/>
        </w:rPr>
        <w:t xml:space="preserve">the EBac than white students. In 2010, 6.8% </w:t>
      </w:r>
      <w:r w:rsidR="004A33A2">
        <w:rPr>
          <w:rFonts w:cs="Calibri"/>
          <w:sz w:val="24"/>
          <w:szCs w:val="24"/>
        </w:rPr>
        <w:t xml:space="preserve">of </w:t>
      </w:r>
      <w:r w:rsidRPr="00661042">
        <w:rPr>
          <w:rFonts w:cs="Calibri"/>
          <w:sz w:val="24"/>
          <w:szCs w:val="24"/>
        </w:rPr>
        <w:t>black Caribbean students achieved the EBac compared to 15.8% of white British students</w:t>
      </w:r>
      <w:r>
        <w:rPr>
          <w:rFonts w:cs="Calibri"/>
          <w:sz w:val="24"/>
          <w:szCs w:val="24"/>
        </w:rPr>
        <w:t xml:space="preserve">. This is an extension of </w:t>
      </w:r>
      <w:r w:rsidR="002422D6">
        <w:rPr>
          <w:rFonts w:cs="Calibri"/>
          <w:sz w:val="24"/>
          <w:szCs w:val="24"/>
        </w:rPr>
        <w:t xml:space="preserve">Gillborn’s </w:t>
      </w:r>
      <w:r>
        <w:rPr>
          <w:rFonts w:cs="Calibri"/>
          <w:sz w:val="24"/>
          <w:szCs w:val="24"/>
        </w:rPr>
        <w:t>earlier findings</w:t>
      </w:r>
      <w:r w:rsidR="002422D6">
        <w:rPr>
          <w:rFonts w:cs="Calibri"/>
          <w:sz w:val="24"/>
          <w:szCs w:val="24"/>
        </w:rPr>
        <w:t>;</w:t>
      </w:r>
      <w:r>
        <w:rPr>
          <w:rFonts w:cs="Calibri"/>
          <w:sz w:val="24"/>
          <w:szCs w:val="24"/>
        </w:rPr>
        <w:t xml:space="preserve"> “the imperative to raise </w:t>
      </w:r>
      <w:r w:rsidR="002422D6">
        <w:rPr>
          <w:rFonts w:cs="Calibri"/>
          <w:sz w:val="24"/>
          <w:szCs w:val="24"/>
        </w:rPr>
        <w:t>‘</w:t>
      </w:r>
      <w:r>
        <w:rPr>
          <w:rFonts w:cs="Calibri"/>
          <w:sz w:val="24"/>
          <w:szCs w:val="24"/>
        </w:rPr>
        <w:t>standards</w:t>
      </w:r>
      <w:r w:rsidR="002422D6">
        <w:rPr>
          <w:rFonts w:cs="Calibri"/>
          <w:sz w:val="24"/>
          <w:szCs w:val="24"/>
        </w:rPr>
        <w:t>’</w:t>
      </w:r>
      <w:r>
        <w:rPr>
          <w:rFonts w:cs="Calibri"/>
          <w:sz w:val="24"/>
          <w:szCs w:val="24"/>
        </w:rPr>
        <w:t xml:space="preserve"> in this crude form has led to the increased use of internal selection between different teaching groups and the impact has been particularly negative for black students, who find themselves disproportionality placed in the lowest groups, facing a restricted curriculum and lower teacher expectations” (</w:t>
      </w:r>
      <w:r w:rsidR="003151F3">
        <w:rPr>
          <w:rFonts w:cs="Calibri"/>
          <w:sz w:val="24"/>
          <w:szCs w:val="24"/>
        </w:rPr>
        <w:t>2006</w:t>
      </w:r>
      <w:r w:rsidR="002422D6">
        <w:rPr>
          <w:rFonts w:cs="Calibri"/>
          <w:sz w:val="24"/>
          <w:szCs w:val="24"/>
        </w:rPr>
        <w:t>,</w:t>
      </w:r>
      <w:r w:rsidR="003151F3">
        <w:rPr>
          <w:rFonts w:cs="Calibri"/>
          <w:sz w:val="24"/>
          <w:szCs w:val="24"/>
        </w:rPr>
        <w:t xml:space="preserve"> </w:t>
      </w:r>
      <w:r>
        <w:rPr>
          <w:rFonts w:cs="Calibri"/>
          <w:sz w:val="24"/>
          <w:szCs w:val="24"/>
        </w:rPr>
        <w:t>p.6)</w:t>
      </w:r>
      <w:r w:rsidRPr="00661042">
        <w:rPr>
          <w:rFonts w:cs="Calibri"/>
          <w:sz w:val="24"/>
          <w:szCs w:val="24"/>
        </w:rPr>
        <w:t xml:space="preserve">. </w:t>
      </w:r>
      <w:r w:rsidRPr="00556DF9">
        <w:rPr>
          <w:i/>
          <w:sz w:val="24"/>
        </w:rPr>
        <w:t xml:space="preserve">The Statistical First </w:t>
      </w:r>
      <w:r w:rsidR="002422D6" w:rsidRPr="00556DF9">
        <w:rPr>
          <w:rFonts w:cs="Calibri"/>
          <w:i/>
          <w:sz w:val="24"/>
          <w:szCs w:val="24"/>
        </w:rPr>
        <w:t>R</w:t>
      </w:r>
      <w:r w:rsidRPr="00556DF9">
        <w:rPr>
          <w:i/>
          <w:sz w:val="24"/>
        </w:rPr>
        <w:t>elease</w:t>
      </w:r>
      <w:r w:rsidRPr="00661042">
        <w:rPr>
          <w:rFonts w:cs="Calibri"/>
          <w:sz w:val="24"/>
          <w:szCs w:val="24"/>
        </w:rPr>
        <w:t xml:space="preserve"> (</w:t>
      </w:r>
      <w:r>
        <w:rPr>
          <w:rFonts w:cs="Calibri"/>
          <w:sz w:val="24"/>
          <w:szCs w:val="24"/>
        </w:rPr>
        <w:t>DfE</w:t>
      </w:r>
      <w:r w:rsidR="00BA14CF">
        <w:rPr>
          <w:rFonts w:cs="Calibri"/>
          <w:sz w:val="24"/>
          <w:szCs w:val="24"/>
        </w:rPr>
        <w:t>,</w:t>
      </w:r>
      <w:r>
        <w:rPr>
          <w:rFonts w:cs="Calibri"/>
          <w:sz w:val="24"/>
          <w:szCs w:val="24"/>
        </w:rPr>
        <w:t xml:space="preserve"> </w:t>
      </w:r>
      <w:r w:rsidRPr="00661042">
        <w:rPr>
          <w:rFonts w:cs="Calibri"/>
          <w:sz w:val="24"/>
          <w:szCs w:val="24"/>
        </w:rPr>
        <w:t>201</w:t>
      </w:r>
      <w:r>
        <w:rPr>
          <w:rFonts w:cs="Calibri"/>
          <w:sz w:val="24"/>
          <w:szCs w:val="24"/>
        </w:rPr>
        <w:t>4</w:t>
      </w:r>
      <w:r w:rsidR="00CD2F36">
        <w:rPr>
          <w:rFonts w:cs="Calibri"/>
          <w:sz w:val="24"/>
          <w:szCs w:val="24"/>
        </w:rPr>
        <w:t>d</w:t>
      </w:r>
      <w:r w:rsidRPr="00661042">
        <w:rPr>
          <w:rFonts w:cs="Calibri"/>
          <w:sz w:val="24"/>
          <w:szCs w:val="24"/>
        </w:rPr>
        <w:t>)</w:t>
      </w:r>
      <w:r>
        <w:rPr>
          <w:rStyle w:val="FootnoteReference"/>
          <w:rFonts w:cs="Calibri"/>
          <w:sz w:val="24"/>
          <w:szCs w:val="24"/>
        </w:rPr>
        <w:footnoteReference w:id="23"/>
      </w:r>
      <w:r w:rsidRPr="00661042">
        <w:rPr>
          <w:rFonts w:cs="Calibri"/>
          <w:sz w:val="24"/>
          <w:szCs w:val="24"/>
        </w:rPr>
        <w:t xml:space="preserve"> </w:t>
      </w:r>
      <w:r w:rsidRPr="00527799">
        <w:rPr>
          <w:rFonts w:cs="Calibri"/>
          <w:sz w:val="24"/>
          <w:szCs w:val="24"/>
        </w:rPr>
        <w:t>demonstrates that girls are taking the EBac in larger numbers than boys</w:t>
      </w:r>
      <w:r w:rsidR="002422D6">
        <w:rPr>
          <w:rFonts w:cs="Calibri"/>
          <w:sz w:val="24"/>
          <w:szCs w:val="24"/>
        </w:rPr>
        <w:t>. T</w:t>
      </w:r>
      <w:r w:rsidRPr="00527799">
        <w:rPr>
          <w:rFonts w:cs="Calibri"/>
          <w:sz w:val="24"/>
          <w:szCs w:val="24"/>
        </w:rPr>
        <w:t>his gap gr</w:t>
      </w:r>
      <w:r w:rsidR="00060744">
        <w:rPr>
          <w:rFonts w:cs="Calibri"/>
          <w:sz w:val="24"/>
          <w:szCs w:val="24"/>
        </w:rPr>
        <w:t>ew</w:t>
      </w:r>
      <w:r w:rsidRPr="00527799">
        <w:rPr>
          <w:rFonts w:cs="Calibri"/>
          <w:sz w:val="24"/>
          <w:szCs w:val="24"/>
        </w:rPr>
        <w:t xml:space="preserve"> from a 4.9% gap in 2009</w:t>
      </w:r>
      <w:r w:rsidR="00060744">
        <w:rPr>
          <w:rFonts w:cs="Calibri"/>
          <w:sz w:val="24"/>
          <w:szCs w:val="24"/>
        </w:rPr>
        <w:t>-</w:t>
      </w:r>
      <w:r w:rsidRPr="00527799">
        <w:rPr>
          <w:rFonts w:cs="Calibri"/>
          <w:sz w:val="24"/>
          <w:szCs w:val="24"/>
        </w:rPr>
        <w:t>10 to a</w:t>
      </w:r>
      <w:r>
        <w:rPr>
          <w:rFonts w:cs="Calibri"/>
          <w:sz w:val="24"/>
          <w:szCs w:val="24"/>
        </w:rPr>
        <w:t>n</w:t>
      </w:r>
      <w:r w:rsidRPr="00527799">
        <w:rPr>
          <w:rFonts w:cs="Calibri"/>
          <w:sz w:val="24"/>
          <w:szCs w:val="24"/>
        </w:rPr>
        <w:t xml:space="preserve"> 8.6% gap in 2012</w:t>
      </w:r>
      <w:r w:rsidR="00060744">
        <w:rPr>
          <w:rFonts w:cs="Calibri"/>
          <w:sz w:val="24"/>
          <w:szCs w:val="24"/>
        </w:rPr>
        <w:t>-</w:t>
      </w:r>
      <w:r w:rsidRPr="00527799">
        <w:rPr>
          <w:rFonts w:cs="Calibri"/>
          <w:sz w:val="24"/>
          <w:szCs w:val="24"/>
        </w:rPr>
        <w:t>13.</w:t>
      </w:r>
      <w:r>
        <w:rPr>
          <w:rFonts w:cs="Calibri"/>
          <w:sz w:val="24"/>
          <w:szCs w:val="24"/>
        </w:rPr>
        <w:t xml:space="preserve"> My study aims to identify </w:t>
      </w:r>
      <w:r w:rsidR="00060744">
        <w:rPr>
          <w:rFonts w:cs="Calibri"/>
          <w:sz w:val="24"/>
          <w:szCs w:val="24"/>
        </w:rPr>
        <w:t>which</w:t>
      </w:r>
      <w:r>
        <w:rPr>
          <w:rFonts w:cs="Calibri"/>
          <w:sz w:val="24"/>
          <w:szCs w:val="24"/>
        </w:rPr>
        <w:t xml:space="preserve"> social groups may face inequalities arising from </w:t>
      </w:r>
      <w:r w:rsidR="00060744">
        <w:rPr>
          <w:rFonts w:cs="Calibri"/>
          <w:sz w:val="24"/>
          <w:szCs w:val="24"/>
        </w:rPr>
        <w:t xml:space="preserve">the </w:t>
      </w:r>
      <w:r>
        <w:rPr>
          <w:rFonts w:cs="Calibri"/>
          <w:sz w:val="24"/>
          <w:szCs w:val="24"/>
        </w:rPr>
        <w:t xml:space="preserve">EBac implementation. </w:t>
      </w:r>
    </w:p>
    <w:p w14:paraId="3C9359B1" w14:textId="77777777" w:rsidR="00CB1972" w:rsidRDefault="00A75A8F" w:rsidP="00531995">
      <w:pPr>
        <w:pStyle w:val="Heading3"/>
      </w:pPr>
      <w:bookmarkStart w:id="12" w:name="_Toc452316297"/>
      <w:r>
        <w:t>1.6.3 Governance and Neo</w:t>
      </w:r>
      <w:r w:rsidR="00163C74">
        <w:t>l</w:t>
      </w:r>
      <w:r>
        <w:t>iberalism</w:t>
      </w:r>
      <w:bookmarkEnd w:id="12"/>
    </w:p>
    <w:p w14:paraId="766998F7" w14:textId="4423A6C2" w:rsidR="00A75A8F" w:rsidRDefault="00A75A8F" w:rsidP="00CB1972">
      <w:pPr>
        <w:spacing w:after="0" w:line="360" w:lineRule="auto"/>
        <w:rPr>
          <w:rFonts w:cs="Calibri"/>
          <w:sz w:val="24"/>
          <w:szCs w:val="24"/>
        </w:rPr>
      </w:pPr>
      <w:r>
        <w:rPr>
          <w:rFonts w:cs="Calibri"/>
          <w:sz w:val="24"/>
          <w:szCs w:val="24"/>
        </w:rPr>
        <w:t>The third reason I believe that my study is important is that it reflects on the current debate about accountability systems in education</w:t>
      </w:r>
      <w:r w:rsidR="00A97631">
        <w:rPr>
          <w:rFonts w:cs="Calibri"/>
          <w:sz w:val="24"/>
          <w:szCs w:val="24"/>
        </w:rPr>
        <w:t>,</w:t>
      </w:r>
      <w:r>
        <w:rPr>
          <w:rFonts w:cs="Calibri"/>
          <w:sz w:val="24"/>
          <w:szCs w:val="24"/>
        </w:rPr>
        <w:t xml:space="preserve"> which act as surveillance and control devices over</w:t>
      </w:r>
      <w:r w:rsidR="00A951AA">
        <w:rPr>
          <w:rFonts w:cs="Calibri"/>
          <w:sz w:val="24"/>
          <w:szCs w:val="24"/>
        </w:rPr>
        <w:t xml:space="preserve"> te</w:t>
      </w:r>
      <w:r>
        <w:rPr>
          <w:rFonts w:cs="Calibri"/>
          <w:sz w:val="24"/>
          <w:szCs w:val="24"/>
        </w:rPr>
        <w:t>achers and children</w:t>
      </w:r>
      <w:r w:rsidR="00A97631">
        <w:rPr>
          <w:rFonts w:cs="Calibri"/>
          <w:sz w:val="24"/>
          <w:szCs w:val="24"/>
        </w:rPr>
        <w:t>,</w:t>
      </w:r>
      <w:r>
        <w:rPr>
          <w:rFonts w:cs="Calibri"/>
          <w:sz w:val="24"/>
          <w:szCs w:val="24"/>
        </w:rPr>
        <w:t xml:space="preserve"> through the use of data, testing and reporting. Apple (1996) </w:t>
      </w:r>
      <w:r>
        <w:rPr>
          <w:rFonts w:cs="Calibri"/>
          <w:sz w:val="24"/>
          <w:szCs w:val="24"/>
        </w:rPr>
        <w:lastRenderedPageBreak/>
        <w:t>discusses the re</w:t>
      </w:r>
      <w:r w:rsidR="00E11EE7">
        <w:rPr>
          <w:rFonts w:cs="Calibri"/>
          <w:sz w:val="24"/>
          <w:szCs w:val="24"/>
        </w:rPr>
        <w:t>cent link in the USA and Britain</w:t>
      </w:r>
      <w:r>
        <w:rPr>
          <w:rFonts w:cs="Calibri"/>
          <w:sz w:val="24"/>
          <w:szCs w:val="24"/>
        </w:rPr>
        <w:t xml:space="preserve"> between neoconservativism and neoliberalism</w:t>
      </w:r>
      <w:r w:rsidR="00A97631">
        <w:rPr>
          <w:rFonts w:cs="Calibri"/>
          <w:sz w:val="24"/>
          <w:szCs w:val="24"/>
        </w:rPr>
        <w:t>,</w:t>
      </w:r>
      <w:r>
        <w:rPr>
          <w:rFonts w:cs="Calibri"/>
          <w:sz w:val="24"/>
          <w:szCs w:val="24"/>
        </w:rPr>
        <w:t xml:space="preserve"> which aims to increase international competitiveness using fixed knowledge and rigorous testing systems combined with a return to notion</w:t>
      </w:r>
      <w:r w:rsidR="00A97631">
        <w:rPr>
          <w:rFonts w:cs="Calibri"/>
          <w:sz w:val="24"/>
          <w:szCs w:val="24"/>
        </w:rPr>
        <w:t>s of</w:t>
      </w:r>
      <w:r>
        <w:rPr>
          <w:rFonts w:cs="Calibri"/>
          <w:sz w:val="24"/>
          <w:szCs w:val="24"/>
        </w:rPr>
        <w:t xml:space="preserve"> </w:t>
      </w:r>
      <w:r w:rsidR="00A97631">
        <w:rPr>
          <w:rFonts w:cs="Calibri"/>
          <w:sz w:val="24"/>
          <w:szCs w:val="24"/>
        </w:rPr>
        <w:t>a past “golden age”</w:t>
      </w:r>
      <w:r>
        <w:rPr>
          <w:rFonts w:cs="Calibri"/>
          <w:sz w:val="24"/>
          <w:szCs w:val="24"/>
        </w:rPr>
        <w:t>. Lingard et al</w:t>
      </w:r>
      <w:r w:rsidR="00127615">
        <w:rPr>
          <w:rFonts w:cs="Calibri"/>
          <w:sz w:val="24"/>
          <w:szCs w:val="24"/>
        </w:rPr>
        <w:t>.</w:t>
      </w:r>
      <w:r w:rsidR="00176CD4">
        <w:rPr>
          <w:rFonts w:cs="Calibri"/>
          <w:sz w:val="24"/>
          <w:szCs w:val="24"/>
        </w:rPr>
        <w:t xml:space="preserve"> (2013</w:t>
      </w:r>
      <w:r w:rsidR="00A97631">
        <w:rPr>
          <w:rFonts w:cs="Calibri"/>
          <w:sz w:val="24"/>
          <w:szCs w:val="24"/>
        </w:rPr>
        <w:t>)</w:t>
      </w:r>
      <w:r>
        <w:rPr>
          <w:rFonts w:cs="Calibri"/>
          <w:sz w:val="24"/>
          <w:szCs w:val="24"/>
        </w:rPr>
        <w:t xml:space="preserve"> highlight that this move is a global trend and comment that a “global panopticism”</w:t>
      </w:r>
      <w:r w:rsidR="00556DF9">
        <w:rPr>
          <w:rFonts w:cs="Calibri"/>
          <w:sz w:val="24"/>
          <w:szCs w:val="24"/>
        </w:rPr>
        <w:t xml:space="preserve"> </w:t>
      </w:r>
      <w:r w:rsidR="00A97631">
        <w:rPr>
          <w:rFonts w:cs="Calibri"/>
          <w:sz w:val="24"/>
          <w:szCs w:val="24"/>
        </w:rPr>
        <w:t>of testing is now in operation</w:t>
      </w:r>
      <w:r>
        <w:rPr>
          <w:rFonts w:cs="Calibri"/>
          <w:sz w:val="24"/>
          <w:szCs w:val="24"/>
        </w:rPr>
        <w:t xml:space="preserve"> (p.540) in an attempt to drive up standards. The concern expressed by countries such as England</w:t>
      </w:r>
      <w:r w:rsidR="00A97631">
        <w:rPr>
          <w:rFonts w:cs="Calibri"/>
          <w:sz w:val="24"/>
          <w:szCs w:val="24"/>
        </w:rPr>
        <w:t xml:space="preserve"> over </w:t>
      </w:r>
      <w:r w:rsidR="007A1E23">
        <w:rPr>
          <w:rFonts w:cs="Calibri"/>
          <w:sz w:val="24"/>
          <w:szCs w:val="24"/>
        </w:rPr>
        <w:t xml:space="preserve">the </w:t>
      </w:r>
      <w:r w:rsidR="00A97631">
        <w:rPr>
          <w:rFonts w:cs="Calibri"/>
          <w:sz w:val="24"/>
          <w:szCs w:val="24"/>
        </w:rPr>
        <w:t xml:space="preserve">PISA test </w:t>
      </w:r>
      <w:r>
        <w:rPr>
          <w:rFonts w:cs="Calibri"/>
          <w:sz w:val="24"/>
          <w:szCs w:val="24"/>
        </w:rPr>
        <w:t>results appear</w:t>
      </w:r>
      <w:r w:rsidR="007A1E23">
        <w:rPr>
          <w:rFonts w:cs="Calibri"/>
          <w:sz w:val="24"/>
          <w:szCs w:val="24"/>
        </w:rPr>
        <w:t>ing</w:t>
      </w:r>
      <w:r>
        <w:rPr>
          <w:rFonts w:cs="Calibri"/>
          <w:sz w:val="24"/>
          <w:szCs w:val="24"/>
        </w:rPr>
        <w:t xml:space="preserve"> to show a decline in standards in comparison to other countries highlight</w:t>
      </w:r>
      <w:r w:rsidR="007A1E23">
        <w:rPr>
          <w:rFonts w:cs="Calibri"/>
          <w:sz w:val="24"/>
          <w:szCs w:val="24"/>
        </w:rPr>
        <w:t>s</w:t>
      </w:r>
      <w:r>
        <w:rPr>
          <w:rFonts w:cs="Calibri"/>
          <w:sz w:val="24"/>
          <w:szCs w:val="24"/>
        </w:rPr>
        <w:t xml:space="preserve"> the importance that politicians and others attach to </w:t>
      </w:r>
      <w:r w:rsidR="007A1E23">
        <w:rPr>
          <w:rFonts w:cs="Calibri"/>
          <w:sz w:val="24"/>
          <w:szCs w:val="24"/>
        </w:rPr>
        <w:t>such</w:t>
      </w:r>
      <w:r>
        <w:rPr>
          <w:rFonts w:cs="Calibri"/>
          <w:sz w:val="24"/>
          <w:szCs w:val="24"/>
        </w:rPr>
        <w:t xml:space="preserve"> global monitoring and surveillance.</w:t>
      </w:r>
    </w:p>
    <w:p w14:paraId="4C1E4141" w14:textId="77777777" w:rsidR="00A75A8F" w:rsidRDefault="00A75A8F" w:rsidP="00A75A8F">
      <w:pPr>
        <w:tabs>
          <w:tab w:val="left" w:pos="7797"/>
        </w:tabs>
        <w:spacing w:after="0" w:line="360" w:lineRule="auto"/>
        <w:rPr>
          <w:rFonts w:cs="Calibri"/>
          <w:sz w:val="24"/>
          <w:szCs w:val="24"/>
        </w:rPr>
      </w:pPr>
    </w:p>
    <w:p w14:paraId="63AF2C81" w14:textId="4D7058CD" w:rsidR="00A75A8F" w:rsidRPr="00A23EDF" w:rsidRDefault="00A75A8F" w:rsidP="00A23EDF">
      <w:pPr>
        <w:tabs>
          <w:tab w:val="left" w:pos="7797"/>
        </w:tabs>
        <w:spacing w:line="360" w:lineRule="auto"/>
        <w:rPr>
          <w:rFonts w:cs="Calibri"/>
          <w:sz w:val="24"/>
          <w:szCs w:val="24"/>
        </w:rPr>
      </w:pPr>
      <w:r>
        <w:rPr>
          <w:rFonts w:cs="Calibri"/>
          <w:sz w:val="24"/>
          <w:szCs w:val="24"/>
        </w:rPr>
        <w:t xml:space="preserve">Foucault’s concept of </w:t>
      </w:r>
      <w:r w:rsidR="00C41B83">
        <w:rPr>
          <w:rFonts w:cs="Calibri"/>
          <w:sz w:val="24"/>
          <w:szCs w:val="24"/>
        </w:rPr>
        <w:t>‘</w:t>
      </w:r>
      <w:r>
        <w:rPr>
          <w:rFonts w:cs="Calibri"/>
          <w:sz w:val="24"/>
          <w:szCs w:val="24"/>
        </w:rPr>
        <w:t>governmentality</w:t>
      </w:r>
      <w:r w:rsidR="00C41B83">
        <w:rPr>
          <w:rFonts w:cs="Calibri"/>
          <w:sz w:val="24"/>
          <w:szCs w:val="24"/>
        </w:rPr>
        <w:t>’</w:t>
      </w:r>
      <w:r>
        <w:rPr>
          <w:rFonts w:cs="Calibri"/>
          <w:sz w:val="24"/>
          <w:szCs w:val="24"/>
        </w:rPr>
        <w:t xml:space="preserve"> demonstrates how control </w:t>
      </w:r>
      <w:r w:rsidR="00C41B83">
        <w:rPr>
          <w:rFonts w:cs="Calibri"/>
          <w:sz w:val="24"/>
          <w:szCs w:val="24"/>
        </w:rPr>
        <w:t xml:space="preserve">is </w:t>
      </w:r>
      <w:r>
        <w:rPr>
          <w:rFonts w:cs="Calibri"/>
          <w:sz w:val="24"/>
          <w:szCs w:val="24"/>
        </w:rPr>
        <w:t>exercised not merely through external control such as performance tables and inspectorate</w:t>
      </w:r>
      <w:r w:rsidR="00C41B83">
        <w:rPr>
          <w:rFonts w:cs="Calibri"/>
          <w:sz w:val="24"/>
          <w:szCs w:val="24"/>
        </w:rPr>
        <w:t>,</w:t>
      </w:r>
      <w:r>
        <w:rPr>
          <w:rFonts w:cs="Calibri"/>
          <w:sz w:val="24"/>
          <w:szCs w:val="24"/>
        </w:rPr>
        <w:t xml:space="preserve"> but through self-surveillance and internalised behaviour</w:t>
      </w:r>
      <w:r w:rsidR="00C41B83">
        <w:rPr>
          <w:rFonts w:cs="Calibri"/>
          <w:sz w:val="24"/>
          <w:szCs w:val="24"/>
        </w:rPr>
        <w:t>,</w:t>
      </w:r>
      <w:r>
        <w:rPr>
          <w:rFonts w:cs="Calibri"/>
          <w:sz w:val="24"/>
          <w:szCs w:val="24"/>
        </w:rPr>
        <w:t xml:space="preserve"> in this case</w:t>
      </w:r>
      <w:r w:rsidR="00C41B83">
        <w:rPr>
          <w:rFonts w:cs="Calibri"/>
          <w:sz w:val="24"/>
          <w:szCs w:val="24"/>
        </w:rPr>
        <w:t xml:space="preserve"> relating</w:t>
      </w:r>
      <w:r>
        <w:rPr>
          <w:rFonts w:cs="Calibri"/>
          <w:sz w:val="24"/>
          <w:szCs w:val="24"/>
        </w:rPr>
        <w:t xml:space="preserve"> both </w:t>
      </w:r>
      <w:r w:rsidR="00C41B83">
        <w:rPr>
          <w:rFonts w:cs="Calibri"/>
          <w:sz w:val="24"/>
          <w:szCs w:val="24"/>
        </w:rPr>
        <w:t xml:space="preserve">to </w:t>
      </w:r>
      <w:r>
        <w:rPr>
          <w:rFonts w:cs="Calibri"/>
          <w:sz w:val="24"/>
          <w:szCs w:val="24"/>
        </w:rPr>
        <w:t xml:space="preserve">students and teachers. My study aims to consider the impact of such accountability measures and </w:t>
      </w:r>
      <w:r w:rsidR="00C41B83">
        <w:rPr>
          <w:rFonts w:cs="Calibri"/>
          <w:sz w:val="24"/>
          <w:szCs w:val="24"/>
        </w:rPr>
        <w:t xml:space="preserve">the resulting </w:t>
      </w:r>
      <w:r>
        <w:rPr>
          <w:rFonts w:cs="Calibri"/>
          <w:sz w:val="24"/>
          <w:szCs w:val="24"/>
        </w:rPr>
        <w:t>internalised behaviour</w:t>
      </w:r>
      <w:r w:rsidR="00C41B83">
        <w:rPr>
          <w:rFonts w:cs="Calibri"/>
          <w:sz w:val="24"/>
          <w:szCs w:val="24"/>
        </w:rPr>
        <w:t>s</w:t>
      </w:r>
      <w:r>
        <w:rPr>
          <w:rFonts w:cs="Calibri"/>
          <w:sz w:val="24"/>
          <w:szCs w:val="24"/>
        </w:rPr>
        <w:t xml:space="preserve"> on the curricula options provided by schools and teachers to different children.</w:t>
      </w:r>
    </w:p>
    <w:p w14:paraId="524B3172" w14:textId="77777777" w:rsidR="00A75A8F" w:rsidRPr="000D42DD" w:rsidRDefault="00A75A8F" w:rsidP="00331552">
      <w:pPr>
        <w:pStyle w:val="Heading3"/>
      </w:pPr>
      <w:bookmarkStart w:id="13" w:name="_Toc452316298"/>
      <w:r w:rsidRPr="000D42DD">
        <w:t>1.6.</w:t>
      </w:r>
      <w:r>
        <w:t>4</w:t>
      </w:r>
      <w:r w:rsidRPr="000D42DD">
        <w:t xml:space="preserve"> Critical educational research</w:t>
      </w:r>
      <w:bookmarkEnd w:id="13"/>
    </w:p>
    <w:p w14:paraId="166D325D" w14:textId="0F434557" w:rsidR="00A75A8F" w:rsidRPr="00952FC6" w:rsidRDefault="00A75A8F" w:rsidP="00331552">
      <w:pPr>
        <w:spacing w:after="0" w:line="360" w:lineRule="auto"/>
        <w:rPr>
          <w:rFonts w:cs="Calibri"/>
          <w:sz w:val="24"/>
        </w:rPr>
      </w:pPr>
      <w:r w:rsidRPr="00661042">
        <w:rPr>
          <w:rFonts w:cs="Calibri"/>
          <w:sz w:val="24"/>
          <w:szCs w:val="24"/>
        </w:rPr>
        <w:t xml:space="preserve">Finally, </w:t>
      </w:r>
      <w:r w:rsidRPr="00952FC6">
        <w:rPr>
          <w:rFonts w:cs="Calibri"/>
          <w:sz w:val="24"/>
        </w:rPr>
        <w:t>my research continue</w:t>
      </w:r>
      <w:r>
        <w:rPr>
          <w:rFonts w:cs="Calibri"/>
          <w:sz w:val="24"/>
        </w:rPr>
        <w:t>s</w:t>
      </w:r>
      <w:r w:rsidRPr="00952FC6">
        <w:rPr>
          <w:rFonts w:cs="Calibri"/>
          <w:sz w:val="24"/>
        </w:rPr>
        <w:t xml:space="preserve"> the tradition of critical educational research with the intention of </w:t>
      </w:r>
      <w:r>
        <w:rPr>
          <w:rFonts w:cs="Calibri"/>
          <w:sz w:val="24"/>
        </w:rPr>
        <w:t xml:space="preserve">encouraging </w:t>
      </w:r>
      <w:r w:rsidRPr="00952FC6">
        <w:rPr>
          <w:rFonts w:cs="Calibri"/>
          <w:sz w:val="24"/>
        </w:rPr>
        <w:t>change and rectif</w:t>
      </w:r>
      <w:r w:rsidR="00BF4AF0">
        <w:rPr>
          <w:rFonts w:cs="Calibri"/>
          <w:sz w:val="24"/>
        </w:rPr>
        <w:t>ying</w:t>
      </w:r>
      <w:r w:rsidRPr="00952FC6">
        <w:rPr>
          <w:rFonts w:cs="Calibri"/>
          <w:sz w:val="24"/>
        </w:rPr>
        <w:t xml:space="preserve"> identified inequalities in </w:t>
      </w:r>
      <w:r>
        <w:rPr>
          <w:rFonts w:cs="Calibri"/>
          <w:sz w:val="24"/>
        </w:rPr>
        <w:t xml:space="preserve">educational </w:t>
      </w:r>
      <w:r w:rsidRPr="00952FC6">
        <w:rPr>
          <w:rFonts w:cs="Calibri"/>
          <w:sz w:val="24"/>
        </w:rPr>
        <w:t>access (Taylor et al</w:t>
      </w:r>
      <w:r w:rsidR="00607DE7">
        <w:rPr>
          <w:rFonts w:cs="Calibri"/>
          <w:sz w:val="24"/>
        </w:rPr>
        <w:t>.,</w:t>
      </w:r>
      <w:r w:rsidRPr="00952FC6">
        <w:rPr>
          <w:rFonts w:cs="Calibri"/>
          <w:sz w:val="24"/>
        </w:rPr>
        <w:t xml:space="preserve"> 1997). The pace of educational change</w:t>
      </w:r>
      <w:r>
        <w:rPr>
          <w:rFonts w:cs="Calibri"/>
          <w:sz w:val="24"/>
        </w:rPr>
        <w:t xml:space="preserve"> </w:t>
      </w:r>
      <w:r w:rsidR="00A057CF">
        <w:rPr>
          <w:rFonts w:cs="Calibri"/>
          <w:sz w:val="24"/>
        </w:rPr>
        <w:t>during</w:t>
      </w:r>
      <w:r w:rsidRPr="00952FC6">
        <w:rPr>
          <w:rFonts w:cs="Calibri"/>
          <w:sz w:val="24"/>
        </w:rPr>
        <w:t xml:space="preserve"> the </w:t>
      </w:r>
      <w:r>
        <w:rPr>
          <w:rFonts w:cs="Calibri"/>
          <w:sz w:val="24"/>
        </w:rPr>
        <w:t>C</w:t>
      </w:r>
      <w:r w:rsidRPr="00952FC6">
        <w:rPr>
          <w:rFonts w:cs="Calibri"/>
          <w:sz w:val="24"/>
        </w:rPr>
        <w:t xml:space="preserve">oalition </w:t>
      </w:r>
      <w:r>
        <w:rPr>
          <w:rFonts w:cs="Calibri"/>
          <w:sz w:val="24"/>
        </w:rPr>
        <w:t>g</w:t>
      </w:r>
      <w:r w:rsidRPr="00952FC6">
        <w:rPr>
          <w:rFonts w:cs="Calibri"/>
          <w:sz w:val="24"/>
        </w:rPr>
        <w:t>overnment</w:t>
      </w:r>
      <w:r>
        <w:rPr>
          <w:rFonts w:cs="Calibri"/>
          <w:sz w:val="24"/>
        </w:rPr>
        <w:t xml:space="preserve"> was</w:t>
      </w:r>
      <w:r w:rsidRPr="00952FC6">
        <w:rPr>
          <w:rFonts w:cs="Calibri"/>
          <w:sz w:val="24"/>
        </w:rPr>
        <w:t xml:space="preserve"> rapid</w:t>
      </w:r>
      <w:r>
        <w:rPr>
          <w:rFonts w:cs="Calibri"/>
          <w:sz w:val="24"/>
        </w:rPr>
        <w:t xml:space="preserve"> and sustained. The </w:t>
      </w:r>
      <w:r w:rsidRPr="00952FC6">
        <w:rPr>
          <w:rFonts w:cs="Calibri"/>
          <w:sz w:val="24"/>
        </w:rPr>
        <w:t xml:space="preserve">seeming desire </w:t>
      </w:r>
      <w:r>
        <w:rPr>
          <w:rFonts w:cs="Calibri"/>
          <w:sz w:val="24"/>
        </w:rPr>
        <w:t xml:space="preserve">of the government </w:t>
      </w:r>
      <w:r w:rsidRPr="00952FC6">
        <w:rPr>
          <w:rFonts w:cs="Calibri"/>
          <w:sz w:val="24"/>
        </w:rPr>
        <w:t xml:space="preserve">to change the educational landscape </w:t>
      </w:r>
      <w:r w:rsidR="00A057CF" w:rsidRPr="00952FC6">
        <w:rPr>
          <w:rFonts w:cs="Calibri"/>
          <w:sz w:val="24"/>
        </w:rPr>
        <w:t xml:space="preserve">irrevocably </w:t>
      </w:r>
      <w:r w:rsidRPr="00952FC6">
        <w:rPr>
          <w:rFonts w:cs="Calibri"/>
          <w:sz w:val="24"/>
        </w:rPr>
        <w:t>enhance</w:t>
      </w:r>
      <w:r>
        <w:rPr>
          <w:rFonts w:cs="Calibri"/>
          <w:sz w:val="24"/>
        </w:rPr>
        <w:t>d</w:t>
      </w:r>
      <w:r w:rsidRPr="00952FC6">
        <w:rPr>
          <w:rFonts w:cs="Calibri"/>
          <w:sz w:val="24"/>
        </w:rPr>
        <w:t xml:space="preserve"> the need for contemporary educational research, analysis, commentary and critical evaluation</w:t>
      </w:r>
      <w:r>
        <w:rPr>
          <w:rFonts w:cs="Calibri"/>
          <w:sz w:val="24"/>
        </w:rPr>
        <w:t xml:space="preserve">, as </w:t>
      </w:r>
      <w:r w:rsidRPr="00952FC6">
        <w:rPr>
          <w:rFonts w:cs="Calibri"/>
          <w:sz w:val="24"/>
        </w:rPr>
        <w:t xml:space="preserve">Hodgson </w:t>
      </w:r>
      <w:r w:rsidR="00A057CF">
        <w:rPr>
          <w:rFonts w:cs="Calibri"/>
          <w:sz w:val="24"/>
        </w:rPr>
        <w:t>and</w:t>
      </w:r>
      <w:r w:rsidRPr="00952FC6">
        <w:rPr>
          <w:rFonts w:cs="Calibri"/>
          <w:sz w:val="24"/>
        </w:rPr>
        <w:t xml:space="preserve"> Spours</w:t>
      </w:r>
      <w:r>
        <w:rPr>
          <w:rFonts w:cs="Calibri"/>
          <w:sz w:val="24"/>
        </w:rPr>
        <w:t xml:space="preserve"> observe:</w:t>
      </w:r>
    </w:p>
    <w:p w14:paraId="7631E35D" w14:textId="77777777" w:rsidR="00A75A8F" w:rsidRPr="00952FC6" w:rsidRDefault="00A75A8F" w:rsidP="00A75A8F">
      <w:pPr>
        <w:spacing w:line="240" w:lineRule="auto"/>
        <w:ind w:left="720"/>
        <w:rPr>
          <w:rFonts w:cs="Calibri"/>
          <w:sz w:val="24"/>
        </w:rPr>
      </w:pPr>
      <w:r w:rsidRPr="00952FC6">
        <w:rPr>
          <w:rFonts w:cs="Calibri"/>
          <w:sz w:val="24"/>
        </w:rPr>
        <w:t>There is currently little national research that evaluates the changes in this [14-19 policy] area of education and training because events are happening so fast that they are outstripping the capacity to assess their impact (2012, p.5)</w:t>
      </w:r>
    </w:p>
    <w:p w14:paraId="7748C46D" w14:textId="3DA48681" w:rsidR="00940CBB" w:rsidRPr="00A25890" w:rsidRDefault="00A75A8F" w:rsidP="00A75A8F">
      <w:pPr>
        <w:tabs>
          <w:tab w:val="left" w:pos="1485"/>
        </w:tabs>
        <w:spacing w:line="360" w:lineRule="auto"/>
        <w:rPr>
          <w:sz w:val="24"/>
        </w:rPr>
      </w:pPr>
      <w:r>
        <w:rPr>
          <w:rFonts w:cs="Calibri"/>
          <w:sz w:val="24"/>
        </w:rPr>
        <w:t>M</w:t>
      </w:r>
      <w:r w:rsidRPr="00952FC6">
        <w:rPr>
          <w:rFonts w:cs="Calibri"/>
          <w:sz w:val="24"/>
        </w:rPr>
        <w:t xml:space="preserve">y </w:t>
      </w:r>
      <w:r>
        <w:rPr>
          <w:rFonts w:cs="Calibri"/>
          <w:sz w:val="24"/>
        </w:rPr>
        <w:t>study</w:t>
      </w:r>
      <w:r w:rsidRPr="00952FC6">
        <w:rPr>
          <w:rFonts w:cs="Calibri"/>
          <w:sz w:val="24"/>
        </w:rPr>
        <w:t xml:space="preserve"> </w:t>
      </w:r>
      <w:r>
        <w:rPr>
          <w:rFonts w:cs="Calibri"/>
          <w:sz w:val="24"/>
        </w:rPr>
        <w:t>will</w:t>
      </w:r>
      <w:r w:rsidRPr="00952FC6">
        <w:rPr>
          <w:rFonts w:cs="Calibri"/>
          <w:sz w:val="24"/>
        </w:rPr>
        <w:t xml:space="preserve"> become part of </w:t>
      </w:r>
      <w:r>
        <w:rPr>
          <w:rFonts w:cs="Calibri"/>
          <w:sz w:val="24"/>
        </w:rPr>
        <w:t xml:space="preserve">the body of </w:t>
      </w:r>
      <w:r w:rsidRPr="00952FC6">
        <w:rPr>
          <w:rFonts w:cs="Calibri"/>
          <w:sz w:val="24"/>
        </w:rPr>
        <w:t xml:space="preserve">current educational research, providing additional </w:t>
      </w:r>
      <w:r>
        <w:rPr>
          <w:rFonts w:cs="Calibri"/>
          <w:sz w:val="24"/>
        </w:rPr>
        <w:t>input</w:t>
      </w:r>
      <w:r w:rsidRPr="00952FC6">
        <w:rPr>
          <w:rFonts w:cs="Calibri"/>
          <w:sz w:val="24"/>
        </w:rPr>
        <w:t xml:space="preserve"> to the evaluation and assessment of </w:t>
      </w:r>
      <w:r>
        <w:rPr>
          <w:rFonts w:cs="Calibri"/>
          <w:sz w:val="24"/>
        </w:rPr>
        <w:t xml:space="preserve">the </w:t>
      </w:r>
      <w:r w:rsidRPr="00952FC6">
        <w:rPr>
          <w:rFonts w:cs="Calibri"/>
          <w:sz w:val="24"/>
        </w:rPr>
        <w:t>impact of the EBac policy.</w:t>
      </w:r>
      <w:r>
        <w:rPr>
          <w:rFonts w:cs="Calibri"/>
          <w:sz w:val="24"/>
        </w:rPr>
        <w:t xml:space="preserve"> </w:t>
      </w:r>
    </w:p>
    <w:p w14:paraId="6E9A334C" w14:textId="77777777" w:rsidR="00A75A8F" w:rsidRPr="00952FC6" w:rsidRDefault="00A75A8F" w:rsidP="00531995">
      <w:pPr>
        <w:pStyle w:val="Heading2"/>
      </w:pPr>
      <w:bookmarkStart w:id="14" w:name="_Toc452316299"/>
      <w:r w:rsidRPr="00952FC6">
        <w:t>1.7 Structure of the thesis</w:t>
      </w:r>
      <w:bookmarkEnd w:id="14"/>
    </w:p>
    <w:p w14:paraId="2CAEE1AC" w14:textId="684B74D0" w:rsidR="00A75A8F" w:rsidRPr="00952FC6" w:rsidRDefault="00A75A8F" w:rsidP="00A75A8F">
      <w:pPr>
        <w:tabs>
          <w:tab w:val="left" w:pos="1485"/>
          <w:tab w:val="left" w:pos="7371"/>
        </w:tabs>
        <w:spacing w:line="360" w:lineRule="auto"/>
        <w:rPr>
          <w:rFonts w:cs="Calibri"/>
          <w:sz w:val="24"/>
        </w:rPr>
      </w:pPr>
      <w:r>
        <w:rPr>
          <w:rFonts w:cs="Calibri"/>
          <w:sz w:val="24"/>
        </w:rPr>
        <w:t>Th</w:t>
      </w:r>
      <w:r w:rsidR="00A057CF">
        <w:rPr>
          <w:rFonts w:cs="Calibri"/>
          <w:sz w:val="24"/>
        </w:rPr>
        <w:t>is</w:t>
      </w:r>
      <w:r>
        <w:rPr>
          <w:rFonts w:cs="Calibri"/>
          <w:sz w:val="24"/>
        </w:rPr>
        <w:t xml:space="preserve"> thesis is divided into five chapters. In the second chapter</w:t>
      </w:r>
      <w:r w:rsidR="00A057CF">
        <w:rPr>
          <w:rFonts w:cs="Calibri"/>
          <w:sz w:val="24"/>
        </w:rPr>
        <w:t>,</w:t>
      </w:r>
      <w:r>
        <w:rPr>
          <w:rFonts w:cs="Calibri"/>
          <w:sz w:val="24"/>
        </w:rPr>
        <w:t xml:space="preserve"> I critically review the literature relating to six areas: educational equality and democracy; social and cultural reproduction; the concept of curriculum; curriculum knowledge; educational policy and</w:t>
      </w:r>
      <w:r w:rsidR="00DF24E7">
        <w:rPr>
          <w:rFonts w:cs="Calibri"/>
          <w:sz w:val="24"/>
        </w:rPr>
        <w:t xml:space="preserve"> </w:t>
      </w:r>
      <w:r w:rsidR="00FC68C6">
        <w:rPr>
          <w:rFonts w:cs="Calibri"/>
          <w:sz w:val="24"/>
        </w:rPr>
        <w:t>PA</w:t>
      </w:r>
      <w:r>
        <w:rPr>
          <w:rFonts w:cs="Calibri"/>
          <w:sz w:val="24"/>
        </w:rPr>
        <w:t xml:space="preserve">; </w:t>
      </w:r>
      <w:r>
        <w:rPr>
          <w:rFonts w:cs="Calibri"/>
          <w:sz w:val="24"/>
        </w:rPr>
        <w:lastRenderedPageBreak/>
        <w:t>and the EBac. This leads to a discussion of my theoretical framework</w:t>
      </w:r>
      <w:r w:rsidR="00A057CF">
        <w:rPr>
          <w:rFonts w:cs="Calibri"/>
          <w:sz w:val="24"/>
        </w:rPr>
        <w:t>,</w:t>
      </w:r>
      <w:r>
        <w:rPr>
          <w:rFonts w:cs="Calibri"/>
          <w:sz w:val="24"/>
        </w:rPr>
        <w:t xml:space="preserve"> aris</w:t>
      </w:r>
      <w:r w:rsidR="00A057CF">
        <w:rPr>
          <w:rFonts w:cs="Calibri"/>
          <w:sz w:val="24"/>
        </w:rPr>
        <w:t>ing</w:t>
      </w:r>
      <w:r>
        <w:rPr>
          <w:rFonts w:cs="Calibri"/>
          <w:sz w:val="24"/>
        </w:rPr>
        <w:t xml:space="preserve"> from my engagement with previous research and theoretical positions. </w:t>
      </w:r>
      <w:r w:rsidRPr="00952FC6">
        <w:rPr>
          <w:rFonts w:cs="Calibri"/>
          <w:sz w:val="24"/>
        </w:rPr>
        <w:t xml:space="preserve">My theoretical framework </w:t>
      </w:r>
      <w:r>
        <w:rPr>
          <w:rFonts w:cs="Calibri"/>
          <w:sz w:val="24"/>
        </w:rPr>
        <w:t xml:space="preserve">is </w:t>
      </w:r>
      <w:r w:rsidRPr="00952FC6">
        <w:rPr>
          <w:rFonts w:cs="Calibri"/>
          <w:sz w:val="24"/>
        </w:rPr>
        <w:t>based on a poststructuralist approach using the work of Carlson (2006)</w:t>
      </w:r>
      <w:r>
        <w:rPr>
          <w:rFonts w:cs="Calibri"/>
          <w:sz w:val="24"/>
        </w:rPr>
        <w:t xml:space="preserve">. I demonstrate how Carlson </w:t>
      </w:r>
      <w:r w:rsidRPr="00952FC6">
        <w:rPr>
          <w:rFonts w:cs="Calibri"/>
          <w:sz w:val="24"/>
        </w:rPr>
        <w:t>combine</w:t>
      </w:r>
      <w:r>
        <w:rPr>
          <w:rFonts w:cs="Calibri"/>
          <w:sz w:val="24"/>
        </w:rPr>
        <w:t>s</w:t>
      </w:r>
      <w:r w:rsidRPr="00952FC6">
        <w:rPr>
          <w:rFonts w:cs="Calibri"/>
          <w:sz w:val="24"/>
        </w:rPr>
        <w:t xml:space="preserve"> the structuralist approach of Bowles and Gintis (1976), Bourdieu and Passeron (1977), Apple (1982, 1990) and the poststructural approach of Foucault. </w:t>
      </w:r>
    </w:p>
    <w:p w14:paraId="4C144F16" w14:textId="7FD43DB7" w:rsidR="00A75A8F" w:rsidRDefault="00A75A8F" w:rsidP="00A75A8F">
      <w:pPr>
        <w:tabs>
          <w:tab w:val="left" w:pos="1485"/>
          <w:tab w:val="left" w:pos="7513"/>
        </w:tabs>
        <w:spacing w:line="360" w:lineRule="auto"/>
        <w:rPr>
          <w:rFonts w:cs="Calibri"/>
          <w:sz w:val="24"/>
        </w:rPr>
      </w:pPr>
      <w:r>
        <w:rPr>
          <w:rFonts w:cs="Calibri"/>
          <w:sz w:val="24"/>
        </w:rPr>
        <w:t>In t</w:t>
      </w:r>
      <w:r w:rsidRPr="00952FC6">
        <w:rPr>
          <w:rFonts w:cs="Calibri"/>
          <w:sz w:val="24"/>
        </w:rPr>
        <w:t xml:space="preserve">he </w:t>
      </w:r>
      <w:r>
        <w:rPr>
          <w:rFonts w:cs="Calibri"/>
          <w:sz w:val="24"/>
        </w:rPr>
        <w:t xml:space="preserve">third </w:t>
      </w:r>
      <w:r w:rsidRPr="00952FC6">
        <w:rPr>
          <w:rFonts w:cs="Calibri"/>
          <w:sz w:val="24"/>
        </w:rPr>
        <w:t>chapter</w:t>
      </w:r>
      <w:r>
        <w:rPr>
          <w:rFonts w:cs="Calibri"/>
          <w:sz w:val="24"/>
        </w:rPr>
        <w:t>, focusing</w:t>
      </w:r>
      <w:r w:rsidRPr="00952FC6">
        <w:rPr>
          <w:rFonts w:cs="Calibri"/>
          <w:sz w:val="24"/>
        </w:rPr>
        <w:t xml:space="preserve"> on methodology and methods</w:t>
      </w:r>
      <w:r>
        <w:rPr>
          <w:rFonts w:cs="Calibri"/>
          <w:sz w:val="24"/>
        </w:rPr>
        <w:t xml:space="preserve">, I </w:t>
      </w:r>
      <w:r w:rsidRPr="00952FC6">
        <w:rPr>
          <w:rFonts w:cs="Calibri"/>
          <w:sz w:val="24"/>
        </w:rPr>
        <w:t>consider my ontological and epistemological position</w:t>
      </w:r>
      <w:r>
        <w:rPr>
          <w:rFonts w:cs="Calibri"/>
          <w:sz w:val="24"/>
        </w:rPr>
        <w:t xml:space="preserve"> as a researcher in order to explain my methodological stance.</w:t>
      </w:r>
      <w:r w:rsidRPr="00952FC6">
        <w:rPr>
          <w:rFonts w:cs="Calibri"/>
          <w:sz w:val="24"/>
        </w:rPr>
        <w:t xml:space="preserve"> </w:t>
      </w:r>
      <w:r>
        <w:rPr>
          <w:rFonts w:cs="Calibri"/>
          <w:sz w:val="24"/>
        </w:rPr>
        <w:t xml:space="preserve">I draw on </w:t>
      </w:r>
      <w:r w:rsidRPr="00952FC6">
        <w:rPr>
          <w:rFonts w:cs="Calibri"/>
          <w:sz w:val="24"/>
        </w:rPr>
        <w:t xml:space="preserve">Scheurich’s </w:t>
      </w:r>
      <w:r w:rsidR="00DF24E7">
        <w:rPr>
          <w:rFonts w:cs="Calibri"/>
          <w:sz w:val="24"/>
        </w:rPr>
        <w:t xml:space="preserve">PA </w:t>
      </w:r>
      <w:r w:rsidRPr="00952FC6">
        <w:rPr>
          <w:rFonts w:cs="Calibri"/>
          <w:sz w:val="24"/>
        </w:rPr>
        <w:t xml:space="preserve">(1994) </w:t>
      </w:r>
      <w:r>
        <w:rPr>
          <w:rFonts w:cs="Calibri"/>
          <w:sz w:val="24"/>
        </w:rPr>
        <w:t>as</w:t>
      </w:r>
      <w:r w:rsidRPr="00952FC6">
        <w:rPr>
          <w:rFonts w:cs="Calibri"/>
          <w:sz w:val="24"/>
        </w:rPr>
        <w:t xml:space="preserve"> a framework </w:t>
      </w:r>
      <w:r w:rsidR="00A057CF">
        <w:rPr>
          <w:rFonts w:cs="Calibri"/>
          <w:sz w:val="24"/>
        </w:rPr>
        <w:t>through</w:t>
      </w:r>
      <w:r w:rsidRPr="00952FC6">
        <w:rPr>
          <w:rFonts w:cs="Calibri"/>
          <w:sz w:val="24"/>
        </w:rPr>
        <w:t xml:space="preserve"> which the key policy documents can be evaluated and reflected upon. Scheurich’s approach to policy analysis and the subsequent application of his framework (Gale 2001</w:t>
      </w:r>
      <w:r w:rsidR="00A057CF">
        <w:rPr>
          <w:rFonts w:cs="Calibri"/>
          <w:sz w:val="24"/>
        </w:rPr>
        <w:t>;</w:t>
      </w:r>
      <w:r>
        <w:rPr>
          <w:rFonts w:cs="Calibri"/>
          <w:sz w:val="24"/>
        </w:rPr>
        <w:t xml:space="preserve"> Walton 2010</w:t>
      </w:r>
      <w:r w:rsidR="00A057CF">
        <w:rPr>
          <w:rFonts w:cs="Calibri"/>
          <w:sz w:val="24"/>
        </w:rPr>
        <w:t>;</w:t>
      </w:r>
      <w:r w:rsidRPr="00952FC6">
        <w:rPr>
          <w:rFonts w:cs="Calibri"/>
          <w:sz w:val="24"/>
        </w:rPr>
        <w:t xml:space="preserve"> Winter</w:t>
      </w:r>
      <w:r>
        <w:rPr>
          <w:rFonts w:cs="Calibri"/>
          <w:sz w:val="24"/>
        </w:rPr>
        <w:t xml:space="preserve"> </w:t>
      </w:r>
      <w:r w:rsidRPr="00952FC6">
        <w:rPr>
          <w:rFonts w:cs="Calibri"/>
          <w:sz w:val="24"/>
        </w:rPr>
        <w:t xml:space="preserve">2011) </w:t>
      </w:r>
      <w:r>
        <w:rPr>
          <w:rFonts w:cs="Calibri"/>
          <w:sz w:val="24"/>
        </w:rPr>
        <w:t xml:space="preserve">are </w:t>
      </w:r>
      <w:r w:rsidRPr="00952FC6">
        <w:rPr>
          <w:rFonts w:cs="Calibri"/>
          <w:sz w:val="24"/>
        </w:rPr>
        <w:t>discussed and critically considered in relation to the key</w:t>
      </w:r>
      <w:r w:rsidR="00A057CF">
        <w:rPr>
          <w:rFonts w:cs="Calibri"/>
          <w:sz w:val="24"/>
        </w:rPr>
        <w:t xml:space="preserve"> EBac</w:t>
      </w:r>
      <w:r w:rsidRPr="00952FC6">
        <w:rPr>
          <w:rFonts w:cs="Calibri"/>
          <w:sz w:val="24"/>
        </w:rPr>
        <w:t xml:space="preserve"> policy documents. I</w:t>
      </w:r>
      <w:r w:rsidR="003E3164">
        <w:rPr>
          <w:rFonts w:cs="Calibri"/>
          <w:sz w:val="24"/>
        </w:rPr>
        <w:t xml:space="preserve"> also</w:t>
      </w:r>
      <w:r w:rsidRPr="00952FC6">
        <w:rPr>
          <w:rFonts w:cs="Calibri"/>
          <w:sz w:val="24"/>
        </w:rPr>
        <w:t xml:space="preserve"> </w:t>
      </w:r>
      <w:r>
        <w:rPr>
          <w:rFonts w:cs="Calibri"/>
          <w:sz w:val="24"/>
        </w:rPr>
        <w:t>carry out</w:t>
      </w:r>
      <w:r w:rsidRPr="00952FC6">
        <w:rPr>
          <w:rFonts w:cs="Calibri"/>
          <w:sz w:val="24"/>
        </w:rPr>
        <w:t xml:space="preserve"> </w:t>
      </w:r>
      <w:r>
        <w:rPr>
          <w:rFonts w:cs="Calibri"/>
          <w:sz w:val="24"/>
        </w:rPr>
        <w:t>CDA</w:t>
      </w:r>
      <w:r w:rsidRPr="00952FC6">
        <w:rPr>
          <w:rFonts w:cs="Calibri"/>
          <w:sz w:val="24"/>
        </w:rPr>
        <w:t xml:space="preserve"> using the </w:t>
      </w:r>
      <w:r>
        <w:rPr>
          <w:rFonts w:cs="Calibri"/>
          <w:sz w:val="24"/>
        </w:rPr>
        <w:t xml:space="preserve">critical literacy </w:t>
      </w:r>
      <w:r w:rsidRPr="00952FC6">
        <w:rPr>
          <w:rFonts w:cs="Calibri"/>
          <w:sz w:val="24"/>
        </w:rPr>
        <w:t xml:space="preserve">framework put forward by Hyatt (2010). I focus on policy implementation issues at school level </w:t>
      </w:r>
      <w:r>
        <w:rPr>
          <w:rFonts w:cs="Calibri"/>
          <w:sz w:val="24"/>
        </w:rPr>
        <w:t>through the analysis of</w:t>
      </w:r>
      <w:r w:rsidRPr="00952FC6">
        <w:rPr>
          <w:rFonts w:cs="Calibri"/>
          <w:sz w:val="24"/>
        </w:rPr>
        <w:t xml:space="preserve"> semi</w:t>
      </w:r>
      <w:r>
        <w:rPr>
          <w:rFonts w:cs="Calibri"/>
          <w:sz w:val="24"/>
        </w:rPr>
        <w:t>-</w:t>
      </w:r>
      <w:r w:rsidRPr="00952FC6">
        <w:rPr>
          <w:rFonts w:cs="Calibri"/>
          <w:sz w:val="24"/>
        </w:rPr>
        <w:t>structured interviews with</w:t>
      </w:r>
      <w:r>
        <w:rPr>
          <w:rFonts w:cs="Calibri"/>
          <w:sz w:val="24"/>
        </w:rPr>
        <w:t xml:space="preserve"> </w:t>
      </w:r>
      <w:r w:rsidR="003C6EAF">
        <w:rPr>
          <w:rFonts w:cs="Calibri"/>
          <w:sz w:val="24"/>
        </w:rPr>
        <w:t>D</w:t>
      </w:r>
      <w:r>
        <w:rPr>
          <w:rFonts w:cs="Calibri"/>
          <w:sz w:val="24"/>
        </w:rPr>
        <w:t>eput</w:t>
      </w:r>
      <w:r w:rsidR="003C6EAF">
        <w:rPr>
          <w:rFonts w:cs="Calibri"/>
          <w:sz w:val="24"/>
        </w:rPr>
        <w:t xml:space="preserve">y Heads </w:t>
      </w:r>
      <w:r>
        <w:rPr>
          <w:rFonts w:cs="Calibri"/>
          <w:sz w:val="24"/>
        </w:rPr>
        <w:t>in charge of c</w:t>
      </w:r>
      <w:r w:rsidRPr="00952FC6">
        <w:rPr>
          <w:rFonts w:cs="Calibri"/>
          <w:sz w:val="24"/>
        </w:rPr>
        <w:t>urriculum, Heads of EBac subjects</w:t>
      </w:r>
      <w:r w:rsidR="003C6EAF">
        <w:rPr>
          <w:rFonts w:cs="Calibri"/>
          <w:sz w:val="24"/>
        </w:rPr>
        <w:t>,</w:t>
      </w:r>
      <w:r w:rsidRPr="00952FC6">
        <w:rPr>
          <w:rFonts w:cs="Calibri"/>
          <w:sz w:val="24"/>
        </w:rPr>
        <w:t xml:space="preserve"> and Heads of non</w:t>
      </w:r>
      <w:r w:rsidR="00CB1972">
        <w:rPr>
          <w:rFonts w:cs="Calibri"/>
          <w:sz w:val="24"/>
        </w:rPr>
        <w:t>-</w:t>
      </w:r>
      <w:r w:rsidRPr="00952FC6">
        <w:rPr>
          <w:rFonts w:cs="Calibri"/>
          <w:sz w:val="24"/>
        </w:rPr>
        <w:t>EBac subjects</w:t>
      </w:r>
      <w:r>
        <w:rPr>
          <w:rFonts w:cs="Calibri"/>
          <w:sz w:val="24"/>
        </w:rPr>
        <w:t xml:space="preserve"> in</w:t>
      </w:r>
      <w:r w:rsidRPr="00952FC6">
        <w:rPr>
          <w:rFonts w:cs="Calibri"/>
          <w:sz w:val="24"/>
        </w:rPr>
        <w:t xml:space="preserve"> four contrasting English </w:t>
      </w:r>
      <w:r w:rsidR="003C6EAF">
        <w:rPr>
          <w:rFonts w:cs="Calibri"/>
          <w:sz w:val="24"/>
        </w:rPr>
        <w:t>s</w:t>
      </w:r>
      <w:r w:rsidRPr="00952FC6">
        <w:rPr>
          <w:rFonts w:cs="Calibri"/>
          <w:sz w:val="24"/>
        </w:rPr>
        <w:t xml:space="preserve">econdary schools </w:t>
      </w:r>
      <w:r>
        <w:rPr>
          <w:rFonts w:cs="Calibri"/>
          <w:sz w:val="24"/>
        </w:rPr>
        <w:t xml:space="preserve">within one </w:t>
      </w:r>
      <w:r w:rsidR="003C6EAF">
        <w:rPr>
          <w:rFonts w:cs="Calibri"/>
          <w:sz w:val="24"/>
        </w:rPr>
        <w:t>local authority (LA)</w:t>
      </w:r>
      <w:r>
        <w:rPr>
          <w:rFonts w:cs="Calibri"/>
          <w:sz w:val="24"/>
        </w:rPr>
        <w:t>.</w:t>
      </w:r>
      <w:r w:rsidRPr="00952FC6">
        <w:rPr>
          <w:rFonts w:cs="Calibri"/>
          <w:sz w:val="24"/>
        </w:rPr>
        <w:t xml:space="preserve"> Using the concept of Bassey’s </w:t>
      </w:r>
      <w:r>
        <w:rPr>
          <w:rFonts w:cs="Calibri"/>
          <w:sz w:val="24"/>
        </w:rPr>
        <w:t>“f</w:t>
      </w:r>
      <w:r w:rsidRPr="00952FC6">
        <w:rPr>
          <w:rFonts w:cs="Calibri"/>
          <w:sz w:val="24"/>
        </w:rPr>
        <w:t xml:space="preserve">uzzy </w:t>
      </w:r>
      <w:r>
        <w:rPr>
          <w:rFonts w:cs="Calibri"/>
          <w:sz w:val="24"/>
        </w:rPr>
        <w:t>g</w:t>
      </w:r>
      <w:r w:rsidRPr="00952FC6">
        <w:rPr>
          <w:rFonts w:cs="Calibri"/>
          <w:sz w:val="24"/>
        </w:rPr>
        <w:t>eneralisation</w:t>
      </w:r>
      <w:r>
        <w:rPr>
          <w:rFonts w:cs="Calibri"/>
          <w:sz w:val="24"/>
        </w:rPr>
        <w:t>”</w:t>
      </w:r>
      <w:r w:rsidRPr="00952FC6">
        <w:rPr>
          <w:rFonts w:cs="Calibri"/>
          <w:sz w:val="24"/>
        </w:rPr>
        <w:t xml:space="preserve"> (1998), I </w:t>
      </w:r>
      <w:r>
        <w:rPr>
          <w:rFonts w:cs="Calibri"/>
          <w:sz w:val="24"/>
        </w:rPr>
        <w:t>identify</w:t>
      </w:r>
      <w:r w:rsidRPr="00952FC6">
        <w:rPr>
          <w:rFonts w:cs="Calibri"/>
          <w:sz w:val="24"/>
        </w:rPr>
        <w:t xml:space="preserve"> key findings which may resona</w:t>
      </w:r>
      <w:r w:rsidR="003C6EAF">
        <w:rPr>
          <w:rFonts w:cs="Calibri"/>
          <w:sz w:val="24"/>
        </w:rPr>
        <w:t>t</w:t>
      </w:r>
      <w:r w:rsidRPr="00952FC6">
        <w:rPr>
          <w:rFonts w:cs="Calibri"/>
          <w:sz w:val="24"/>
        </w:rPr>
        <w:t xml:space="preserve">e </w:t>
      </w:r>
      <w:r w:rsidR="003C6EAF">
        <w:rPr>
          <w:rFonts w:cs="Calibri"/>
          <w:sz w:val="24"/>
        </w:rPr>
        <w:t>with</w:t>
      </w:r>
      <w:r w:rsidRPr="00952FC6">
        <w:rPr>
          <w:rFonts w:cs="Calibri"/>
          <w:sz w:val="24"/>
        </w:rPr>
        <w:t xml:space="preserve"> teachers in other </w:t>
      </w:r>
      <w:r>
        <w:rPr>
          <w:rFonts w:cs="Calibri"/>
          <w:sz w:val="24"/>
        </w:rPr>
        <w:t>schools</w:t>
      </w:r>
      <w:r w:rsidRPr="00952FC6">
        <w:rPr>
          <w:rFonts w:cs="Calibri"/>
          <w:sz w:val="24"/>
        </w:rPr>
        <w:t xml:space="preserve">. </w:t>
      </w:r>
    </w:p>
    <w:p w14:paraId="422AE365" w14:textId="11D76A75" w:rsidR="00A75A8F" w:rsidRDefault="00A75A8F" w:rsidP="00A75A8F">
      <w:pPr>
        <w:tabs>
          <w:tab w:val="left" w:pos="1485"/>
        </w:tabs>
        <w:spacing w:line="360" w:lineRule="auto"/>
        <w:rPr>
          <w:rFonts w:cs="Calibri"/>
          <w:sz w:val="24"/>
        </w:rPr>
      </w:pPr>
      <w:r>
        <w:rPr>
          <w:rFonts w:cs="Calibri"/>
          <w:sz w:val="24"/>
        </w:rPr>
        <w:t>In chapter</w:t>
      </w:r>
      <w:r w:rsidR="004F6F15">
        <w:rPr>
          <w:rFonts w:cs="Calibri"/>
          <w:sz w:val="24"/>
        </w:rPr>
        <w:t xml:space="preserve"> four</w:t>
      </w:r>
      <w:r>
        <w:rPr>
          <w:rFonts w:cs="Calibri"/>
          <w:sz w:val="24"/>
        </w:rPr>
        <w:t xml:space="preserve">, I combine the CDA and themes from the semi-structured interviews to analyse my data and identify key findings. </w:t>
      </w:r>
      <w:r w:rsidRPr="00952FC6">
        <w:rPr>
          <w:rFonts w:cs="Calibri"/>
          <w:sz w:val="24"/>
        </w:rPr>
        <w:t xml:space="preserve">The research </w:t>
      </w:r>
      <w:r>
        <w:rPr>
          <w:rFonts w:cs="Calibri"/>
          <w:sz w:val="24"/>
        </w:rPr>
        <w:t xml:space="preserve">data </w:t>
      </w:r>
      <w:r w:rsidRPr="00952FC6">
        <w:rPr>
          <w:rFonts w:cs="Calibri"/>
          <w:sz w:val="24"/>
        </w:rPr>
        <w:t>consist</w:t>
      </w:r>
      <w:r>
        <w:rPr>
          <w:rFonts w:cs="Calibri"/>
          <w:sz w:val="24"/>
        </w:rPr>
        <w:t>s</w:t>
      </w:r>
      <w:r w:rsidRPr="00952FC6">
        <w:rPr>
          <w:rFonts w:cs="Calibri"/>
          <w:sz w:val="24"/>
        </w:rPr>
        <w:t xml:space="preserve"> of CDA o</w:t>
      </w:r>
      <w:r w:rsidR="001A199B">
        <w:rPr>
          <w:rFonts w:cs="Calibri"/>
          <w:sz w:val="24"/>
        </w:rPr>
        <w:t>n</w:t>
      </w:r>
      <w:r w:rsidRPr="00952FC6">
        <w:rPr>
          <w:rFonts w:cs="Calibri"/>
          <w:sz w:val="24"/>
        </w:rPr>
        <w:t xml:space="preserve"> key </w:t>
      </w:r>
      <w:r>
        <w:rPr>
          <w:rFonts w:cs="Calibri"/>
          <w:sz w:val="24"/>
        </w:rPr>
        <w:t xml:space="preserve">policy </w:t>
      </w:r>
      <w:r w:rsidRPr="00952FC6">
        <w:rPr>
          <w:rFonts w:cs="Calibri"/>
          <w:sz w:val="24"/>
        </w:rPr>
        <w:t>texts and a thematic analysis of transcripts of the semi</w:t>
      </w:r>
      <w:r w:rsidR="00CB1972">
        <w:rPr>
          <w:rFonts w:cs="Calibri"/>
          <w:sz w:val="24"/>
        </w:rPr>
        <w:t>-</w:t>
      </w:r>
      <w:r w:rsidRPr="00952FC6">
        <w:rPr>
          <w:rFonts w:cs="Calibri"/>
          <w:sz w:val="24"/>
        </w:rPr>
        <w:t xml:space="preserve">structured interviews. </w:t>
      </w:r>
      <w:r>
        <w:rPr>
          <w:rFonts w:cs="Calibri"/>
          <w:sz w:val="24"/>
        </w:rPr>
        <w:t>My analysis is informed by Scheurich’s</w:t>
      </w:r>
      <w:r w:rsidR="00DF24E7">
        <w:rPr>
          <w:rFonts w:cs="Calibri"/>
          <w:sz w:val="24"/>
        </w:rPr>
        <w:t xml:space="preserve"> PA</w:t>
      </w:r>
      <w:r>
        <w:rPr>
          <w:rFonts w:cs="Calibri"/>
          <w:sz w:val="24"/>
        </w:rPr>
        <w:t>. A</w:t>
      </w:r>
      <w:r w:rsidRPr="00952FC6">
        <w:rPr>
          <w:rFonts w:cs="Calibri"/>
          <w:sz w:val="24"/>
        </w:rPr>
        <w:t xml:space="preserve"> process of “continuous refinement” </w:t>
      </w:r>
      <w:r>
        <w:rPr>
          <w:rFonts w:cs="Calibri"/>
          <w:sz w:val="24"/>
        </w:rPr>
        <w:t>is employed</w:t>
      </w:r>
      <w:r w:rsidR="001A199B">
        <w:rPr>
          <w:rFonts w:cs="Calibri"/>
          <w:sz w:val="24"/>
        </w:rPr>
        <w:t>,</w:t>
      </w:r>
      <w:r>
        <w:rPr>
          <w:rFonts w:cs="Calibri"/>
          <w:sz w:val="24"/>
        </w:rPr>
        <w:t xml:space="preserve"> using initial analysis to inform later data collection and analysis </w:t>
      </w:r>
      <w:r w:rsidRPr="00952FC6">
        <w:rPr>
          <w:rFonts w:cs="Calibri"/>
          <w:sz w:val="24"/>
        </w:rPr>
        <w:t>(Wellington</w:t>
      </w:r>
      <w:r w:rsidR="001A199B">
        <w:rPr>
          <w:rFonts w:cs="Calibri"/>
          <w:sz w:val="24"/>
        </w:rPr>
        <w:t>,</w:t>
      </w:r>
      <w:r w:rsidRPr="00952FC6">
        <w:rPr>
          <w:rFonts w:cs="Calibri"/>
          <w:sz w:val="24"/>
        </w:rPr>
        <w:t xml:space="preserve"> 2000</w:t>
      </w:r>
      <w:r w:rsidR="001A199B">
        <w:rPr>
          <w:rFonts w:cs="Calibri"/>
          <w:sz w:val="24"/>
        </w:rPr>
        <w:t>,</w:t>
      </w:r>
      <w:r w:rsidRPr="00952FC6">
        <w:rPr>
          <w:rFonts w:cs="Calibri"/>
          <w:sz w:val="24"/>
        </w:rPr>
        <w:t xml:space="preserve"> p.136). </w:t>
      </w:r>
    </w:p>
    <w:p w14:paraId="026282D2" w14:textId="3067B4D7" w:rsidR="00A75A8F" w:rsidRPr="00952FC6" w:rsidRDefault="00A75A8F" w:rsidP="00A75A8F">
      <w:pPr>
        <w:tabs>
          <w:tab w:val="left" w:pos="1485"/>
        </w:tabs>
        <w:spacing w:line="360" w:lineRule="auto"/>
        <w:rPr>
          <w:rFonts w:cs="Calibri"/>
          <w:sz w:val="24"/>
        </w:rPr>
      </w:pPr>
      <w:r>
        <w:rPr>
          <w:rFonts w:cs="Calibri"/>
          <w:sz w:val="24"/>
        </w:rPr>
        <w:t xml:space="preserve">My research findings are discussed in Chapter 5, </w:t>
      </w:r>
      <w:r w:rsidR="00E8309E">
        <w:rPr>
          <w:rFonts w:cs="Calibri"/>
          <w:sz w:val="24"/>
        </w:rPr>
        <w:t xml:space="preserve">in which </w:t>
      </w:r>
      <w:r>
        <w:rPr>
          <w:rFonts w:cs="Calibri"/>
          <w:sz w:val="24"/>
        </w:rPr>
        <w:t>t</w:t>
      </w:r>
      <w:r w:rsidRPr="00952FC6">
        <w:rPr>
          <w:rFonts w:cs="Calibri"/>
          <w:sz w:val="24"/>
        </w:rPr>
        <w:t xml:space="preserve">he key themes and arguments </w:t>
      </w:r>
      <w:r>
        <w:rPr>
          <w:rFonts w:cs="Calibri"/>
          <w:sz w:val="24"/>
        </w:rPr>
        <w:t>are</w:t>
      </w:r>
      <w:r w:rsidRPr="00952FC6">
        <w:rPr>
          <w:rFonts w:cs="Calibri"/>
          <w:sz w:val="24"/>
        </w:rPr>
        <w:t xml:space="preserve"> presented, critically analysed and evaluated</w:t>
      </w:r>
      <w:r w:rsidR="00E8309E">
        <w:rPr>
          <w:rFonts w:cs="Calibri"/>
          <w:sz w:val="24"/>
        </w:rPr>
        <w:t>, then</w:t>
      </w:r>
      <w:r w:rsidRPr="00952FC6">
        <w:rPr>
          <w:rFonts w:cs="Calibri"/>
          <w:sz w:val="24"/>
        </w:rPr>
        <w:t xml:space="preserve"> relat</w:t>
      </w:r>
      <w:r w:rsidR="00E8309E">
        <w:rPr>
          <w:rFonts w:cs="Calibri"/>
          <w:sz w:val="24"/>
        </w:rPr>
        <w:t>ed</w:t>
      </w:r>
      <w:r w:rsidRPr="00952FC6">
        <w:rPr>
          <w:rFonts w:cs="Calibri"/>
          <w:sz w:val="24"/>
        </w:rPr>
        <w:t xml:space="preserve"> back to the research questions and key literature to draw out elements of comparison.</w:t>
      </w:r>
      <w:r>
        <w:rPr>
          <w:rFonts w:cs="Calibri"/>
          <w:sz w:val="24"/>
        </w:rPr>
        <w:t xml:space="preserve"> </w:t>
      </w:r>
      <w:r w:rsidRPr="00952FC6">
        <w:rPr>
          <w:rFonts w:cs="Calibri"/>
          <w:sz w:val="24"/>
        </w:rPr>
        <w:t xml:space="preserve">In </w:t>
      </w:r>
      <w:r>
        <w:rPr>
          <w:rFonts w:cs="Calibri"/>
          <w:sz w:val="24"/>
        </w:rPr>
        <w:t>the concluding chapter</w:t>
      </w:r>
      <w:r w:rsidR="003B7B51">
        <w:rPr>
          <w:rFonts w:cs="Calibri"/>
          <w:sz w:val="24"/>
        </w:rPr>
        <w:t>,</w:t>
      </w:r>
      <w:r>
        <w:rPr>
          <w:rFonts w:cs="Calibri"/>
          <w:sz w:val="24"/>
        </w:rPr>
        <w:t xml:space="preserve"> </w:t>
      </w:r>
      <w:r w:rsidRPr="00952FC6">
        <w:rPr>
          <w:rFonts w:cs="Calibri"/>
          <w:sz w:val="24"/>
        </w:rPr>
        <w:t xml:space="preserve">the key themes and arguments </w:t>
      </w:r>
      <w:r>
        <w:rPr>
          <w:rFonts w:cs="Calibri"/>
          <w:sz w:val="24"/>
        </w:rPr>
        <w:t>are</w:t>
      </w:r>
      <w:r w:rsidRPr="00952FC6">
        <w:rPr>
          <w:rFonts w:cs="Calibri"/>
          <w:sz w:val="24"/>
        </w:rPr>
        <w:t xml:space="preserve"> presented. Following on from the critical line of enquiry </w:t>
      </w:r>
      <w:r w:rsidR="00E8309E">
        <w:rPr>
          <w:rFonts w:cs="Calibri"/>
          <w:sz w:val="24"/>
        </w:rPr>
        <w:t>in</w:t>
      </w:r>
      <w:r w:rsidRPr="00952FC6">
        <w:rPr>
          <w:rFonts w:cs="Calibri"/>
          <w:sz w:val="24"/>
        </w:rPr>
        <w:t xml:space="preserve"> this research, the conclusion offer</w:t>
      </w:r>
      <w:r>
        <w:rPr>
          <w:rFonts w:cs="Calibri"/>
          <w:sz w:val="24"/>
        </w:rPr>
        <w:t>s</w:t>
      </w:r>
      <w:r w:rsidRPr="00952FC6">
        <w:rPr>
          <w:rFonts w:cs="Calibri"/>
          <w:sz w:val="24"/>
        </w:rPr>
        <w:t xml:space="preserve"> responses to the research questions on the basis of </w:t>
      </w:r>
      <w:r w:rsidR="00E8309E">
        <w:rPr>
          <w:rFonts w:cs="Calibri"/>
          <w:sz w:val="24"/>
        </w:rPr>
        <w:t>my data</w:t>
      </w:r>
      <w:r w:rsidRPr="00952FC6">
        <w:rPr>
          <w:rFonts w:cs="Calibri"/>
          <w:sz w:val="24"/>
        </w:rPr>
        <w:t xml:space="preserve"> </w:t>
      </w:r>
      <w:r>
        <w:rPr>
          <w:rFonts w:cs="Calibri"/>
          <w:sz w:val="24"/>
        </w:rPr>
        <w:t>analysis and the critical review of the literature.</w:t>
      </w:r>
      <w:r w:rsidRPr="00952FC6">
        <w:rPr>
          <w:rFonts w:cs="Calibri"/>
          <w:sz w:val="24"/>
        </w:rPr>
        <w:t xml:space="preserve"> I make recommendations for policy and practice as well as suggesting avenues for future research. The limitations of the study</w:t>
      </w:r>
      <w:r>
        <w:rPr>
          <w:rFonts w:cs="Calibri"/>
          <w:sz w:val="24"/>
        </w:rPr>
        <w:t xml:space="preserve"> are</w:t>
      </w:r>
      <w:r w:rsidRPr="00952FC6">
        <w:rPr>
          <w:rFonts w:cs="Calibri"/>
          <w:sz w:val="24"/>
        </w:rPr>
        <w:t xml:space="preserve"> discussed</w:t>
      </w:r>
      <w:r w:rsidR="00AE3FF3">
        <w:rPr>
          <w:rFonts w:cs="Calibri"/>
          <w:sz w:val="24"/>
        </w:rPr>
        <w:t>,</w:t>
      </w:r>
      <w:r w:rsidRPr="00952FC6">
        <w:rPr>
          <w:rFonts w:cs="Calibri"/>
          <w:sz w:val="24"/>
        </w:rPr>
        <w:t xml:space="preserve"> as well as ways in which the completion of this study has influenced m</w:t>
      </w:r>
      <w:r>
        <w:rPr>
          <w:rFonts w:cs="Calibri"/>
          <w:sz w:val="24"/>
        </w:rPr>
        <w:t xml:space="preserve">e as a </w:t>
      </w:r>
      <w:r>
        <w:rPr>
          <w:rFonts w:cs="Calibri"/>
          <w:sz w:val="24"/>
        </w:rPr>
        <w:lastRenderedPageBreak/>
        <w:t xml:space="preserve">researcher and teacher, </w:t>
      </w:r>
      <w:r w:rsidR="00AE3FF3">
        <w:rPr>
          <w:rFonts w:cs="Calibri"/>
          <w:sz w:val="24"/>
        </w:rPr>
        <w:t>ending with my</w:t>
      </w:r>
      <w:r>
        <w:rPr>
          <w:rFonts w:cs="Calibri"/>
          <w:sz w:val="24"/>
        </w:rPr>
        <w:t xml:space="preserve"> present</w:t>
      </w:r>
      <w:r w:rsidR="00AE3FF3">
        <w:rPr>
          <w:rFonts w:cs="Calibri"/>
          <w:sz w:val="24"/>
        </w:rPr>
        <w:t>ation of the</w:t>
      </w:r>
      <w:r>
        <w:rPr>
          <w:rFonts w:cs="Calibri"/>
          <w:sz w:val="24"/>
        </w:rPr>
        <w:t xml:space="preserve"> original contribution to knowledge</w:t>
      </w:r>
      <w:r w:rsidR="00F0190C">
        <w:rPr>
          <w:rFonts w:cs="Calibri"/>
          <w:sz w:val="24"/>
        </w:rPr>
        <w:t xml:space="preserve"> made by this thesis</w:t>
      </w:r>
      <w:r>
        <w:rPr>
          <w:rFonts w:cs="Calibri"/>
          <w:sz w:val="24"/>
        </w:rPr>
        <w:t>.</w:t>
      </w:r>
    </w:p>
    <w:p w14:paraId="18415FB3" w14:textId="77777777" w:rsidR="00A75A8F" w:rsidRPr="00952FC6" w:rsidRDefault="00A75A8F" w:rsidP="00531995">
      <w:pPr>
        <w:pStyle w:val="Heading2"/>
      </w:pPr>
      <w:bookmarkStart w:id="15" w:name="_Toc452316300"/>
      <w:r w:rsidRPr="00952FC6">
        <w:t>1.8 Conclusion</w:t>
      </w:r>
      <w:bookmarkEnd w:id="15"/>
    </w:p>
    <w:p w14:paraId="1F010C5B" w14:textId="6A99E922" w:rsidR="00A75A8F" w:rsidRDefault="00A75A8F" w:rsidP="00A75A8F">
      <w:pPr>
        <w:spacing w:line="360" w:lineRule="auto"/>
        <w:rPr>
          <w:rFonts w:cs="Calibri"/>
          <w:sz w:val="24"/>
        </w:rPr>
      </w:pPr>
      <w:r w:rsidRPr="00952FC6">
        <w:rPr>
          <w:rFonts w:cs="Calibri"/>
          <w:sz w:val="24"/>
        </w:rPr>
        <w:t xml:space="preserve">The EBac policy </w:t>
      </w:r>
      <w:r>
        <w:rPr>
          <w:rFonts w:cs="Calibri"/>
          <w:sz w:val="24"/>
        </w:rPr>
        <w:t>was and remains</w:t>
      </w:r>
      <w:r w:rsidR="003617E0">
        <w:rPr>
          <w:rFonts w:cs="Calibri"/>
          <w:sz w:val="24"/>
        </w:rPr>
        <w:t xml:space="preserve"> </w:t>
      </w:r>
      <w:r w:rsidRPr="00952FC6">
        <w:rPr>
          <w:rFonts w:cs="Calibri"/>
          <w:sz w:val="24"/>
        </w:rPr>
        <w:t>a key element of curriculum planning within English schools</w:t>
      </w:r>
      <w:r w:rsidR="003617E0">
        <w:rPr>
          <w:rFonts w:cs="Calibri"/>
          <w:sz w:val="24"/>
        </w:rPr>
        <w:t xml:space="preserve"> in 2016</w:t>
      </w:r>
      <w:r w:rsidRPr="00952FC6">
        <w:rPr>
          <w:rFonts w:cs="Calibri"/>
          <w:sz w:val="24"/>
        </w:rPr>
        <w:t xml:space="preserve">. The policy </w:t>
      </w:r>
      <w:r>
        <w:rPr>
          <w:rFonts w:cs="Calibri"/>
          <w:sz w:val="24"/>
        </w:rPr>
        <w:t>purports</w:t>
      </w:r>
      <w:r w:rsidRPr="00952FC6">
        <w:rPr>
          <w:rFonts w:cs="Calibri"/>
          <w:sz w:val="24"/>
        </w:rPr>
        <w:t xml:space="preserve"> to address legitimate concerns over curriculum equality and equality of access. </w:t>
      </w:r>
      <w:r>
        <w:rPr>
          <w:rFonts w:cs="Calibri"/>
          <w:sz w:val="24"/>
        </w:rPr>
        <w:t>I suggest</w:t>
      </w:r>
      <w:r w:rsidR="003617E0">
        <w:rPr>
          <w:rFonts w:cs="Calibri"/>
          <w:sz w:val="24"/>
        </w:rPr>
        <w:t>, however, that</w:t>
      </w:r>
      <w:r w:rsidRPr="00952FC6">
        <w:rPr>
          <w:rFonts w:cs="Calibri"/>
          <w:sz w:val="24"/>
        </w:rPr>
        <w:t xml:space="preserve"> it </w:t>
      </w:r>
      <w:r>
        <w:rPr>
          <w:rFonts w:cs="Calibri"/>
          <w:sz w:val="24"/>
        </w:rPr>
        <w:t>is</w:t>
      </w:r>
      <w:r w:rsidRPr="00952FC6">
        <w:rPr>
          <w:rFonts w:cs="Calibri"/>
          <w:sz w:val="24"/>
        </w:rPr>
        <w:t xml:space="preserve"> a device for the continuation of social and cultural reproduction</w:t>
      </w:r>
      <w:r w:rsidR="003617E0">
        <w:rPr>
          <w:rFonts w:cs="Calibri"/>
          <w:sz w:val="24"/>
        </w:rPr>
        <w:t>, which</w:t>
      </w:r>
      <w:r w:rsidRPr="00952FC6">
        <w:rPr>
          <w:rFonts w:cs="Calibri"/>
          <w:sz w:val="24"/>
        </w:rPr>
        <w:t xml:space="preserve"> act</w:t>
      </w:r>
      <w:r w:rsidR="003617E0">
        <w:rPr>
          <w:rFonts w:cs="Calibri"/>
          <w:sz w:val="24"/>
        </w:rPr>
        <w:t>s</w:t>
      </w:r>
      <w:r w:rsidRPr="00952FC6">
        <w:rPr>
          <w:rFonts w:cs="Calibri"/>
          <w:sz w:val="24"/>
        </w:rPr>
        <w:t xml:space="preserve"> as a barrier to educational progression for certain groups within society. How different schools choose to respond to and shape the EBac policy for their students </w:t>
      </w:r>
      <w:r>
        <w:rPr>
          <w:rFonts w:cs="Calibri"/>
          <w:sz w:val="24"/>
        </w:rPr>
        <w:t xml:space="preserve">has </w:t>
      </w:r>
      <w:r w:rsidRPr="00952FC6">
        <w:rPr>
          <w:rFonts w:cs="Calibri"/>
          <w:sz w:val="24"/>
        </w:rPr>
        <w:t>a fundamental bearing on the impact and consequences of the policy for the</w:t>
      </w:r>
      <w:r w:rsidR="003617E0">
        <w:rPr>
          <w:rFonts w:cs="Calibri"/>
          <w:sz w:val="24"/>
        </w:rPr>
        <w:t xml:space="preserve"> students in their care</w:t>
      </w:r>
      <w:r w:rsidRPr="00952FC6">
        <w:rPr>
          <w:rFonts w:cs="Calibri"/>
          <w:sz w:val="24"/>
        </w:rPr>
        <w:t>. This research provide</w:t>
      </w:r>
      <w:r>
        <w:rPr>
          <w:rFonts w:cs="Calibri"/>
          <w:sz w:val="24"/>
        </w:rPr>
        <w:t>s</w:t>
      </w:r>
      <w:r w:rsidRPr="00952FC6">
        <w:rPr>
          <w:rFonts w:cs="Calibri"/>
          <w:sz w:val="24"/>
        </w:rPr>
        <w:t xml:space="preserve"> a vehicle for research and exploration of an unfolding situation</w:t>
      </w:r>
      <w:r w:rsidR="00910BDC">
        <w:rPr>
          <w:rFonts w:cs="Calibri"/>
          <w:sz w:val="24"/>
        </w:rPr>
        <w:t>,</w:t>
      </w:r>
      <w:r w:rsidRPr="00952FC6">
        <w:rPr>
          <w:rFonts w:cs="Calibri"/>
          <w:sz w:val="24"/>
        </w:rPr>
        <w:t xml:space="preserve"> as well as provid</w:t>
      </w:r>
      <w:r>
        <w:rPr>
          <w:rFonts w:cs="Calibri"/>
          <w:sz w:val="24"/>
        </w:rPr>
        <w:t>ing</w:t>
      </w:r>
      <w:r w:rsidRPr="00952FC6">
        <w:rPr>
          <w:rFonts w:cs="Calibri"/>
          <w:sz w:val="24"/>
        </w:rPr>
        <w:t xml:space="preserve"> a critical reflection and evaluation w</w:t>
      </w:r>
      <w:r>
        <w:rPr>
          <w:rFonts w:cs="Calibri"/>
          <w:sz w:val="24"/>
        </w:rPr>
        <w:t>ith</w:t>
      </w:r>
      <w:r w:rsidRPr="00952FC6">
        <w:rPr>
          <w:rFonts w:cs="Calibri"/>
          <w:sz w:val="24"/>
        </w:rPr>
        <w:t xml:space="preserve"> the potential to influence </w:t>
      </w:r>
      <w:r>
        <w:rPr>
          <w:rFonts w:cs="Calibri"/>
          <w:sz w:val="24"/>
        </w:rPr>
        <w:t xml:space="preserve">future </w:t>
      </w:r>
      <w:r w:rsidRPr="00952FC6">
        <w:rPr>
          <w:rFonts w:cs="Calibri"/>
          <w:sz w:val="24"/>
        </w:rPr>
        <w:t xml:space="preserve">policy and </w:t>
      </w:r>
      <w:r>
        <w:rPr>
          <w:rFonts w:cs="Calibri"/>
          <w:sz w:val="24"/>
        </w:rPr>
        <w:t>its</w:t>
      </w:r>
      <w:r w:rsidRPr="00952FC6">
        <w:rPr>
          <w:rFonts w:cs="Calibri"/>
          <w:sz w:val="24"/>
        </w:rPr>
        <w:t xml:space="preserve"> implementation (Lingard</w:t>
      </w:r>
      <w:r w:rsidR="00910BDC">
        <w:rPr>
          <w:rFonts w:cs="Calibri"/>
          <w:sz w:val="24"/>
        </w:rPr>
        <w:t>,</w:t>
      </w:r>
      <w:r w:rsidRPr="00952FC6">
        <w:rPr>
          <w:rFonts w:cs="Calibri"/>
          <w:sz w:val="24"/>
        </w:rPr>
        <w:t xml:space="preserve"> 2010). </w:t>
      </w:r>
    </w:p>
    <w:p w14:paraId="0643BDA1" w14:textId="77777777" w:rsidR="00A75A8F" w:rsidRDefault="00A75A8F" w:rsidP="00A75A8F">
      <w:pPr>
        <w:spacing w:line="360" w:lineRule="auto"/>
        <w:rPr>
          <w:rFonts w:cs="Calibri"/>
          <w:sz w:val="24"/>
        </w:rPr>
      </w:pPr>
      <w:r>
        <w:rPr>
          <w:rFonts w:cs="Calibri"/>
          <w:sz w:val="24"/>
        </w:rPr>
        <w:br w:type="page"/>
      </w:r>
    </w:p>
    <w:p w14:paraId="6FCE704C" w14:textId="2D91BADC" w:rsidR="00A75A8F" w:rsidRPr="00E63B6F" w:rsidRDefault="00A75A8F" w:rsidP="00531995">
      <w:pPr>
        <w:pStyle w:val="Heading1"/>
        <w:jc w:val="center"/>
      </w:pPr>
      <w:bookmarkStart w:id="16" w:name="_Toc452316301"/>
      <w:r w:rsidRPr="00E63B6F">
        <w:lastRenderedPageBreak/>
        <w:t>Chapter 2 – Literature Review</w:t>
      </w:r>
      <w:bookmarkEnd w:id="16"/>
    </w:p>
    <w:p w14:paraId="5DB71742" w14:textId="77777777" w:rsidR="00A75A8F" w:rsidRPr="00E63B6F" w:rsidRDefault="00A75A8F" w:rsidP="00531995">
      <w:pPr>
        <w:pStyle w:val="Heading2"/>
      </w:pPr>
      <w:bookmarkStart w:id="17" w:name="_Toc452316302"/>
      <w:r w:rsidRPr="00E63B6F">
        <w:t>2.1 Introduction</w:t>
      </w:r>
      <w:bookmarkEnd w:id="17"/>
    </w:p>
    <w:p w14:paraId="54041E5C" w14:textId="51B5E858" w:rsidR="00A75A8F" w:rsidRPr="00E63B6F" w:rsidRDefault="00A75A8F" w:rsidP="00531995">
      <w:pPr>
        <w:spacing w:after="120" w:line="360" w:lineRule="auto"/>
        <w:rPr>
          <w:rFonts w:cs="Calibri"/>
          <w:sz w:val="24"/>
        </w:rPr>
      </w:pPr>
      <w:r>
        <w:rPr>
          <w:rFonts w:cs="Calibri"/>
          <w:sz w:val="24"/>
        </w:rPr>
        <w:t xml:space="preserve">My study is located within the tradition of critical curriculum research. This chapter considers the role and purpose of a literature review, </w:t>
      </w:r>
      <w:r w:rsidR="002B66A7">
        <w:rPr>
          <w:rFonts w:cs="Calibri"/>
          <w:sz w:val="24"/>
        </w:rPr>
        <w:t xml:space="preserve">followed by </w:t>
      </w:r>
      <w:r>
        <w:rPr>
          <w:rFonts w:cs="Calibri"/>
          <w:sz w:val="24"/>
        </w:rPr>
        <w:t>address</w:t>
      </w:r>
      <w:r w:rsidR="002B66A7">
        <w:rPr>
          <w:rFonts w:cs="Calibri"/>
          <w:sz w:val="24"/>
        </w:rPr>
        <w:t>ing</w:t>
      </w:r>
      <w:r>
        <w:rPr>
          <w:rFonts w:cs="Calibri"/>
          <w:sz w:val="24"/>
        </w:rPr>
        <w:t xml:space="preserve"> my research aims and questions through a critical analysis of the key literature. I begin by </w:t>
      </w:r>
      <w:r w:rsidRPr="00E63B6F">
        <w:rPr>
          <w:rFonts w:cs="Calibri"/>
          <w:sz w:val="24"/>
        </w:rPr>
        <w:t>consider</w:t>
      </w:r>
      <w:r>
        <w:rPr>
          <w:rFonts w:cs="Calibri"/>
          <w:sz w:val="24"/>
        </w:rPr>
        <w:t>ing</w:t>
      </w:r>
      <w:r w:rsidRPr="00E63B6F">
        <w:rPr>
          <w:rFonts w:cs="Calibri"/>
          <w:sz w:val="24"/>
        </w:rPr>
        <w:t xml:space="preserve"> </w:t>
      </w:r>
      <w:r w:rsidR="002B66A7">
        <w:rPr>
          <w:rFonts w:cs="Calibri"/>
          <w:sz w:val="24"/>
        </w:rPr>
        <w:t xml:space="preserve">the </w:t>
      </w:r>
      <w:r>
        <w:rPr>
          <w:rFonts w:cs="Calibri"/>
          <w:sz w:val="24"/>
        </w:rPr>
        <w:t xml:space="preserve">purpose a </w:t>
      </w:r>
      <w:r w:rsidRPr="00E63B6F">
        <w:rPr>
          <w:rFonts w:cs="Calibri"/>
          <w:sz w:val="24"/>
        </w:rPr>
        <w:t>critical literature review serves and justify</w:t>
      </w:r>
      <w:r w:rsidR="00C72872">
        <w:rPr>
          <w:rFonts w:cs="Calibri"/>
          <w:sz w:val="24"/>
        </w:rPr>
        <w:t>ing</w:t>
      </w:r>
      <w:r w:rsidRPr="00E63B6F">
        <w:rPr>
          <w:rFonts w:cs="Calibri"/>
          <w:sz w:val="24"/>
        </w:rPr>
        <w:t xml:space="preserve"> </w:t>
      </w:r>
      <w:r>
        <w:rPr>
          <w:rFonts w:cs="Calibri"/>
          <w:sz w:val="24"/>
        </w:rPr>
        <w:t>my</w:t>
      </w:r>
      <w:r w:rsidRPr="00E63B6F">
        <w:rPr>
          <w:rFonts w:cs="Calibri"/>
          <w:sz w:val="24"/>
        </w:rPr>
        <w:t xml:space="preserve"> selection of research in this area.</w:t>
      </w:r>
    </w:p>
    <w:p w14:paraId="3D0D9207" w14:textId="397D8B34" w:rsidR="00A75A8F" w:rsidRPr="00E63B6F" w:rsidRDefault="00A75A8F" w:rsidP="00A75A8F">
      <w:pPr>
        <w:spacing w:line="240" w:lineRule="auto"/>
        <w:ind w:left="720"/>
        <w:rPr>
          <w:rFonts w:cs="Calibri"/>
          <w:sz w:val="24"/>
        </w:rPr>
      </w:pPr>
      <w:r w:rsidRPr="00E63B6F">
        <w:rPr>
          <w:rFonts w:cs="Calibri"/>
          <w:sz w:val="24"/>
        </w:rPr>
        <w:t>The “literature review” is the part of the thesis where there is extensive reference to related research and theory in your field; it is where connections are made between the source texts that you draw on and where you position yourself and your research among these sources</w:t>
      </w:r>
      <w:r>
        <w:rPr>
          <w:rFonts w:cs="Calibri"/>
          <w:sz w:val="24"/>
        </w:rPr>
        <w:t>…</w:t>
      </w:r>
      <w:r w:rsidRPr="00E63B6F">
        <w:rPr>
          <w:rFonts w:cs="Calibri"/>
          <w:sz w:val="24"/>
        </w:rPr>
        <w:t xml:space="preserve"> you identify the theories and previous research which have influenced your choice of topic and the methodology you are choosing to adopt. (Ridley</w:t>
      </w:r>
      <w:r w:rsidR="00241EEA">
        <w:rPr>
          <w:rFonts w:cs="Calibri"/>
          <w:sz w:val="24"/>
        </w:rPr>
        <w:t>,</w:t>
      </w:r>
      <w:r w:rsidRPr="00E63B6F">
        <w:rPr>
          <w:rFonts w:cs="Calibri"/>
          <w:sz w:val="24"/>
        </w:rPr>
        <w:t xml:space="preserve"> 2008, p.2).</w:t>
      </w:r>
    </w:p>
    <w:p w14:paraId="4CA7F1E1" w14:textId="43EEDC3F" w:rsidR="00A75A8F" w:rsidRDefault="00A75A8F" w:rsidP="00A75A8F">
      <w:pPr>
        <w:spacing w:line="360" w:lineRule="auto"/>
        <w:rPr>
          <w:rFonts w:cs="Calibri"/>
          <w:sz w:val="24"/>
        </w:rPr>
      </w:pPr>
      <w:r w:rsidRPr="003F6546">
        <w:rPr>
          <w:rFonts w:cs="Calibri"/>
          <w:sz w:val="24"/>
          <w:szCs w:val="24"/>
        </w:rPr>
        <w:t xml:space="preserve">Taking </w:t>
      </w:r>
      <w:r>
        <w:rPr>
          <w:rFonts w:cs="Calibri"/>
          <w:sz w:val="24"/>
          <w:szCs w:val="24"/>
        </w:rPr>
        <w:t>this</w:t>
      </w:r>
      <w:r w:rsidRPr="003F6546">
        <w:rPr>
          <w:rFonts w:cs="Calibri"/>
          <w:sz w:val="24"/>
          <w:szCs w:val="24"/>
        </w:rPr>
        <w:t xml:space="preserve"> advice, the literature review </w:t>
      </w:r>
      <w:r>
        <w:rPr>
          <w:rFonts w:cs="Calibri"/>
          <w:sz w:val="24"/>
          <w:szCs w:val="24"/>
        </w:rPr>
        <w:t xml:space="preserve">is </w:t>
      </w:r>
      <w:r w:rsidRPr="003F6546">
        <w:rPr>
          <w:rFonts w:cs="Calibri"/>
          <w:sz w:val="24"/>
          <w:szCs w:val="24"/>
        </w:rPr>
        <w:t xml:space="preserve">“the driving force” </w:t>
      </w:r>
      <w:r w:rsidR="006C1ACA">
        <w:rPr>
          <w:rFonts w:cs="Calibri"/>
          <w:sz w:val="24"/>
          <w:szCs w:val="24"/>
        </w:rPr>
        <w:t>behind</w:t>
      </w:r>
      <w:r w:rsidRPr="003F6546">
        <w:rPr>
          <w:rFonts w:cs="Calibri"/>
          <w:sz w:val="24"/>
          <w:szCs w:val="24"/>
        </w:rPr>
        <w:t xml:space="preserve"> my research aims and questions. Ridley comments that the literature review is a product, a finished article, but also a process</w:t>
      </w:r>
      <w:r w:rsidR="006C1ACA">
        <w:rPr>
          <w:rFonts w:cs="Calibri"/>
          <w:sz w:val="24"/>
          <w:szCs w:val="24"/>
        </w:rPr>
        <w:t>;</w:t>
      </w:r>
      <w:r w:rsidRPr="003F6546">
        <w:rPr>
          <w:rFonts w:cs="Calibri"/>
          <w:sz w:val="24"/>
          <w:szCs w:val="24"/>
        </w:rPr>
        <w:t xml:space="preserve"> the method of conducting the literature review structures and supports the development of the research and thesis. </w:t>
      </w:r>
      <w:r>
        <w:rPr>
          <w:rFonts w:cs="Calibri"/>
          <w:sz w:val="24"/>
          <w:szCs w:val="24"/>
        </w:rPr>
        <w:t>T</w:t>
      </w:r>
      <w:r w:rsidRPr="003F6546">
        <w:rPr>
          <w:rFonts w:cs="Calibri"/>
          <w:sz w:val="24"/>
          <w:szCs w:val="24"/>
        </w:rPr>
        <w:t xml:space="preserve">exts must be selected with </w:t>
      </w:r>
      <w:r w:rsidR="006C1ACA">
        <w:rPr>
          <w:rFonts w:cs="Calibri"/>
          <w:sz w:val="24"/>
          <w:szCs w:val="24"/>
        </w:rPr>
        <w:t xml:space="preserve">the </w:t>
      </w:r>
      <w:r w:rsidRPr="003F6546">
        <w:rPr>
          <w:rFonts w:cs="Calibri"/>
          <w:sz w:val="24"/>
          <w:szCs w:val="24"/>
        </w:rPr>
        <w:t xml:space="preserve">clear purpose </w:t>
      </w:r>
      <w:r w:rsidR="006C1ACA">
        <w:rPr>
          <w:rFonts w:cs="Calibri"/>
          <w:sz w:val="24"/>
          <w:szCs w:val="24"/>
        </w:rPr>
        <w:t>of</w:t>
      </w:r>
      <w:r w:rsidRPr="003F6546">
        <w:rPr>
          <w:rFonts w:cs="Calibri"/>
          <w:sz w:val="24"/>
          <w:szCs w:val="24"/>
        </w:rPr>
        <w:t xml:space="preserve"> provid</w:t>
      </w:r>
      <w:r w:rsidR="006C1ACA">
        <w:rPr>
          <w:rFonts w:cs="Calibri"/>
          <w:sz w:val="24"/>
          <w:szCs w:val="24"/>
        </w:rPr>
        <w:t>ing</w:t>
      </w:r>
      <w:r w:rsidRPr="003F6546">
        <w:rPr>
          <w:rFonts w:cs="Calibri"/>
          <w:sz w:val="24"/>
          <w:szCs w:val="24"/>
        </w:rPr>
        <w:t xml:space="preserve"> </w:t>
      </w:r>
      <w:r w:rsidRPr="00E63B6F">
        <w:rPr>
          <w:rFonts w:cs="Calibri"/>
          <w:sz w:val="24"/>
        </w:rPr>
        <w:t xml:space="preserve">insight </w:t>
      </w:r>
      <w:r w:rsidR="006C1ACA">
        <w:rPr>
          <w:rFonts w:cs="Calibri"/>
          <w:sz w:val="24"/>
        </w:rPr>
        <w:t>into</w:t>
      </w:r>
      <w:r w:rsidRPr="00E63B6F">
        <w:rPr>
          <w:rFonts w:cs="Calibri"/>
          <w:sz w:val="24"/>
        </w:rPr>
        <w:t xml:space="preserve"> the topic and the main or counter arguments, </w:t>
      </w:r>
      <w:r>
        <w:rPr>
          <w:rFonts w:cs="Calibri"/>
          <w:sz w:val="24"/>
        </w:rPr>
        <w:t xml:space="preserve">rather than simply </w:t>
      </w:r>
      <w:r w:rsidRPr="00E63B6F">
        <w:rPr>
          <w:rFonts w:cs="Calibri"/>
          <w:sz w:val="24"/>
        </w:rPr>
        <w:t>recount</w:t>
      </w:r>
      <w:r w:rsidR="006C1ACA">
        <w:rPr>
          <w:rFonts w:cs="Calibri"/>
          <w:sz w:val="24"/>
        </w:rPr>
        <w:t>ing</w:t>
      </w:r>
      <w:r w:rsidRPr="00E63B6F">
        <w:rPr>
          <w:rFonts w:cs="Calibri"/>
          <w:sz w:val="24"/>
        </w:rPr>
        <w:t xml:space="preserve"> the work of others</w:t>
      </w:r>
      <w:r>
        <w:rPr>
          <w:rFonts w:cs="Calibri"/>
          <w:sz w:val="24"/>
        </w:rPr>
        <w:t xml:space="preserve"> </w:t>
      </w:r>
      <w:r w:rsidRPr="00E63B6F">
        <w:rPr>
          <w:rFonts w:cs="Calibri"/>
          <w:sz w:val="24"/>
        </w:rPr>
        <w:t>(Wellington et al</w:t>
      </w:r>
      <w:r w:rsidR="006C1ACA">
        <w:rPr>
          <w:rFonts w:cs="Calibri"/>
          <w:sz w:val="24"/>
        </w:rPr>
        <w:t>.</w:t>
      </w:r>
      <w:r>
        <w:rPr>
          <w:rFonts w:cs="Calibri"/>
          <w:sz w:val="24"/>
        </w:rPr>
        <w:t>,</w:t>
      </w:r>
      <w:r w:rsidRPr="00E63B6F">
        <w:rPr>
          <w:rFonts w:cs="Calibri"/>
          <w:sz w:val="24"/>
        </w:rPr>
        <w:t xml:space="preserve"> 2005</w:t>
      </w:r>
      <w:r>
        <w:rPr>
          <w:rFonts w:cs="Calibri"/>
          <w:sz w:val="24"/>
        </w:rPr>
        <w:t>;</w:t>
      </w:r>
      <w:r w:rsidRPr="00E63B6F">
        <w:rPr>
          <w:rFonts w:cs="Calibri"/>
          <w:sz w:val="24"/>
        </w:rPr>
        <w:t xml:space="preserve"> Ridley</w:t>
      </w:r>
      <w:r>
        <w:rPr>
          <w:rFonts w:cs="Calibri"/>
          <w:sz w:val="24"/>
        </w:rPr>
        <w:t>,</w:t>
      </w:r>
      <w:r w:rsidRPr="00E63B6F">
        <w:rPr>
          <w:rFonts w:cs="Calibri"/>
          <w:sz w:val="24"/>
        </w:rPr>
        <w:t xml:space="preserve"> 2008</w:t>
      </w:r>
      <w:r>
        <w:rPr>
          <w:rFonts w:cs="Calibri"/>
          <w:sz w:val="24"/>
        </w:rPr>
        <w:t>; Burgess et al</w:t>
      </w:r>
      <w:r w:rsidR="006C1ACA">
        <w:rPr>
          <w:rFonts w:cs="Calibri"/>
          <w:sz w:val="24"/>
        </w:rPr>
        <w:t>.</w:t>
      </w:r>
      <w:r>
        <w:rPr>
          <w:rFonts w:cs="Calibri"/>
          <w:sz w:val="24"/>
        </w:rPr>
        <w:t>, 2006</w:t>
      </w:r>
      <w:r w:rsidRPr="00E63B6F">
        <w:rPr>
          <w:rFonts w:cs="Calibri"/>
          <w:sz w:val="24"/>
        </w:rPr>
        <w:t>). Wellington refers to this as an “inquiry trail” (2005, p.73</w:t>
      </w:r>
      <w:r>
        <w:rPr>
          <w:rFonts w:cs="Calibri"/>
          <w:sz w:val="24"/>
        </w:rPr>
        <w:t xml:space="preserve">) which is </w:t>
      </w:r>
      <w:r w:rsidRPr="00E63B6F">
        <w:rPr>
          <w:rFonts w:cs="Calibri"/>
          <w:sz w:val="24"/>
        </w:rPr>
        <w:t xml:space="preserve">personal and individual to the </w:t>
      </w:r>
      <w:r>
        <w:rPr>
          <w:rFonts w:cs="Calibri"/>
          <w:sz w:val="24"/>
        </w:rPr>
        <w:t>study and</w:t>
      </w:r>
      <w:r w:rsidRPr="00E63B6F">
        <w:rPr>
          <w:rFonts w:cs="Calibri"/>
          <w:sz w:val="24"/>
        </w:rPr>
        <w:t xml:space="preserve"> the author. I </w:t>
      </w:r>
      <w:r>
        <w:rPr>
          <w:rFonts w:cs="Calibri"/>
          <w:sz w:val="24"/>
        </w:rPr>
        <w:t>reviewed</w:t>
      </w:r>
      <w:r w:rsidRPr="00E63B6F">
        <w:rPr>
          <w:rFonts w:cs="Calibri"/>
          <w:sz w:val="24"/>
        </w:rPr>
        <w:t xml:space="preserve"> the </w:t>
      </w:r>
      <w:r w:rsidR="00244C6C">
        <w:rPr>
          <w:rFonts w:cs="Calibri"/>
          <w:sz w:val="24"/>
        </w:rPr>
        <w:t xml:space="preserve">relevant </w:t>
      </w:r>
      <w:r w:rsidRPr="00E63B6F">
        <w:rPr>
          <w:rFonts w:cs="Calibri"/>
          <w:sz w:val="24"/>
        </w:rPr>
        <w:t>literature as a way of setting the scene and understanding the issues and debates</w:t>
      </w:r>
      <w:r>
        <w:rPr>
          <w:rFonts w:cs="Calibri"/>
          <w:sz w:val="24"/>
        </w:rPr>
        <w:t>.</w:t>
      </w:r>
      <w:r w:rsidRPr="00E63B6F">
        <w:rPr>
          <w:rFonts w:cs="Calibri"/>
          <w:sz w:val="24"/>
        </w:rPr>
        <w:t xml:space="preserve"> I </w:t>
      </w:r>
      <w:r w:rsidR="00244C6C">
        <w:rPr>
          <w:rFonts w:cs="Calibri"/>
          <w:sz w:val="24"/>
        </w:rPr>
        <w:t xml:space="preserve">then </w:t>
      </w:r>
      <w:r w:rsidRPr="00E63B6F">
        <w:rPr>
          <w:rFonts w:cs="Calibri"/>
          <w:sz w:val="24"/>
        </w:rPr>
        <w:t>return</w:t>
      </w:r>
      <w:r>
        <w:rPr>
          <w:rFonts w:cs="Calibri"/>
          <w:sz w:val="24"/>
        </w:rPr>
        <w:t>ed</w:t>
      </w:r>
      <w:r w:rsidRPr="00E63B6F">
        <w:rPr>
          <w:rFonts w:cs="Calibri"/>
          <w:sz w:val="24"/>
        </w:rPr>
        <w:t xml:space="preserve"> to the literature to reflect</w:t>
      </w:r>
      <w:r>
        <w:rPr>
          <w:rFonts w:cs="Calibri"/>
          <w:sz w:val="24"/>
        </w:rPr>
        <w:t xml:space="preserve"> critically</w:t>
      </w:r>
      <w:r w:rsidR="00244C6C">
        <w:rPr>
          <w:rFonts w:cs="Calibri"/>
          <w:sz w:val="24"/>
        </w:rPr>
        <w:t xml:space="preserve"> on the connections made</w:t>
      </w:r>
      <w:r>
        <w:rPr>
          <w:rFonts w:cs="Calibri"/>
          <w:sz w:val="24"/>
        </w:rPr>
        <w:t xml:space="preserve"> during my analysis of </w:t>
      </w:r>
      <w:r w:rsidR="00244C6C">
        <w:rPr>
          <w:rFonts w:cs="Calibri"/>
          <w:sz w:val="24"/>
        </w:rPr>
        <w:t xml:space="preserve">the </w:t>
      </w:r>
      <w:r>
        <w:rPr>
          <w:rFonts w:cs="Calibri"/>
          <w:sz w:val="24"/>
        </w:rPr>
        <w:t>policy documents and interview transcripts, repeating this process during my final writ</w:t>
      </w:r>
      <w:r w:rsidR="00244C6C">
        <w:rPr>
          <w:rFonts w:cs="Calibri"/>
          <w:sz w:val="24"/>
        </w:rPr>
        <w:t xml:space="preserve">e-up </w:t>
      </w:r>
      <w:r>
        <w:rPr>
          <w:rFonts w:cs="Calibri"/>
          <w:sz w:val="24"/>
        </w:rPr>
        <w:t>to ensure the inclusion of contemporary sources.</w:t>
      </w:r>
    </w:p>
    <w:p w14:paraId="61F72EAF" w14:textId="29BEC40B" w:rsidR="00A75A8F" w:rsidRPr="00126737" w:rsidRDefault="00A75A8F" w:rsidP="00A75A8F">
      <w:pPr>
        <w:spacing w:line="360" w:lineRule="auto"/>
        <w:rPr>
          <w:rFonts w:cs="Calibri"/>
          <w:i/>
          <w:sz w:val="24"/>
        </w:rPr>
      </w:pPr>
      <w:r w:rsidRPr="00E63B6F">
        <w:rPr>
          <w:rFonts w:cs="Calibri"/>
          <w:sz w:val="24"/>
        </w:rPr>
        <w:t xml:space="preserve">My </w:t>
      </w:r>
      <w:r>
        <w:rPr>
          <w:rFonts w:cs="Calibri"/>
          <w:sz w:val="24"/>
        </w:rPr>
        <w:t>critical</w:t>
      </w:r>
      <w:r w:rsidRPr="00E63B6F">
        <w:rPr>
          <w:rFonts w:cs="Calibri"/>
          <w:sz w:val="24"/>
        </w:rPr>
        <w:t xml:space="preserve"> review </w:t>
      </w:r>
      <w:r>
        <w:rPr>
          <w:rFonts w:cs="Calibri"/>
          <w:sz w:val="24"/>
        </w:rPr>
        <w:t>is</w:t>
      </w:r>
      <w:r w:rsidRPr="00E63B6F">
        <w:rPr>
          <w:rFonts w:cs="Calibri"/>
          <w:sz w:val="24"/>
        </w:rPr>
        <w:t xml:space="preserve"> divided into </w:t>
      </w:r>
      <w:r>
        <w:rPr>
          <w:rFonts w:cs="Calibri"/>
          <w:sz w:val="24"/>
        </w:rPr>
        <w:t>eight</w:t>
      </w:r>
      <w:r w:rsidRPr="00E63B6F">
        <w:rPr>
          <w:rFonts w:cs="Calibri"/>
          <w:sz w:val="24"/>
        </w:rPr>
        <w:t xml:space="preserve"> sections</w:t>
      </w:r>
      <w:r>
        <w:rPr>
          <w:rFonts w:cs="Calibri"/>
          <w:sz w:val="24"/>
        </w:rPr>
        <w:t>, each</w:t>
      </w:r>
      <w:r w:rsidRPr="00E63B6F">
        <w:rPr>
          <w:rFonts w:cs="Calibri"/>
          <w:sz w:val="24"/>
        </w:rPr>
        <w:t xml:space="preserve"> exploring </w:t>
      </w:r>
      <w:r>
        <w:rPr>
          <w:rFonts w:cs="Calibri"/>
          <w:sz w:val="24"/>
        </w:rPr>
        <w:t xml:space="preserve">key </w:t>
      </w:r>
      <w:r w:rsidRPr="00E63B6F">
        <w:rPr>
          <w:rFonts w:cs="Calibri"/>
          <w:sz w:val="24"/>
        </w:rPr>
        <w:t>elements of the literature</w:t>
      </w:r>
      <w:r w:rsidR="00244C6C">
        <w:rPr>
          <w:rFonts w:cs="Calibri"/>
          <w:sz w:val="24"/>
        </w:rPr>
        <w:t>, in order to</w:t>
      </w:r>
      <w:r w:rsidRPr="00E63B6F">
        <w:rPr>
          <w:rFonts w:cs="Calibri"/>
          <w:sz w:val="24"/>
        </w:rPr>
        <w:t xml:space="preserve"> illuminat</w:t>
      </w:r>
      <w:r w:rsidR="00244C6C">
        <w:rPr>
          <w:rFonts w:cs="Calibri"/>
          <w:sz w:val="24"/>
        </w:rPr>
        <w:t>e</w:t>
      </w:r>
      <w:r w:rsidRPr="00E63B6F">
        <w:rPr>
          <w:rFonts w:cs="Calibri"/>
          <w:sz w:val="24"/>
        </w:rPr>
        <w:t xml:space="preserve"> my </w:t>
      </w:r>
      <w:r>
        <w:rPr>
          <w:rFonts w:cs="Calibri"/>
          <w:sz w:val="24"/>
        </w:rPr>
        <w:t>study</w:t>
      </w:r>
      <w:r w:rsidR="00244C6C">
        <w:rPr>
          <w:rFonts w:cs="Calibri"/>
          <w:sz w:val="24"/>
        </w:rPr>
        <w:t>’s</w:t>
      </w:r>
      <w:r>
        <w:rPr>
          <w:rFonts w:cs="Calibri"/>
          <w:sz w:val="24"/>
        </w:rPr>
        <w:t xml:space="preserve"> aim</w:t>
      </w:r>
      <w:r w:rsidR="00244C6C">
        <w:rPr>
          <w:rFonts w:cs="Calibri"/>
          <w:sz w:val="24"/>
        </w:rPr>
        <w:t>s</w:t>
      </w:r>
      <w:r>
        <w:rPr>
          <w:rFonts w:cs="Calibri"/>
          <w:sz w:val="24"/>
        </w:rPr>
        <w:t xml:space="preserve">, </w:t>
      </w:r>
      <w:r w:rsidRPr="00E63B6F">
        <w:rPr>
          <w:rFonts w:cs="Calibri"/>
          <w:sz w:val="24"/>
        </w:rPr>
        <w:t>research questions</w:t>
      </w:r>
      <w:r>
        <w:rPr>
          <w:rFonts w:cs="Calibri"/>
          <w:sz w:val="24"/>
        </w:rPr>
        <w:t xml:space="preserve"> and theoretical framework</w:t>
      </w:r>
      <w:r w:rsidRPr="00E63B6F">
        <w:rPr>
          <w:rFonts w:cs="Calibri"/>
          <w:sz w:val="24"/>
        </w:rPr>
        <w:t xml:space="preserve">. </w:t>
      </w:r>
      <w:r>
        <w:rPr>
          <w:rFonts w:cs="Calibri"/>
          <w:sz w:val="24"/>
        </w:rPr>
        <w:t>First</w:t>
      </w:r>
      <w:r w:rsidR="00244C6C">
        <w:rPr>
          <w:rFonts w:cs="Calibri"/>
          <w:sz w:val="24"/>
        </w:rPr>
        <w:t>,</w:t>
      </w:r>
      <w:r>
        <w:rPr>
          <w:rFonts w:cs="Calibri"/>
          <w:sz w:val="24"/>
        </w:rPr>
        <w:t xml:space="preserve"> I draw on the literature </w:t>
      </w:r>
      <w:r w:rsidR="00244C6C">
        <w:rPr>
          <w:rFonts w:cs="Calibri"/>
          <w:sz w:val="24"/>
        </w:rPr>
        <w:t xml:space="preserve">concerning </w:t>
      </w:r>
      <w:r>
        <w:rPr>
          <w:rFonts w:cs="Calibri"/>
          <w:sz w:val="24"/>
        </w:rPr>
        <w:t>educational equality and democracy, aiming to address the equality implications of the EBac. Second</w:t>
      </w:r>
      <w:r w:rsidR="00EC660A">
        <w:rPr>
          <w:rFonts w:cs="Calibri"/>
          <w:sz w:val="24"/>
        </w:rPr>
        <w:t>ly,</w:t>
      </w:r>
      <w:r>
        <w:rPr>
          <w:rFonts w:cs="Calibri"/>
          <w:sz w:val="24"/>
        </w:rPr>
        <w:t xml:space="preserve"> I </w:t>
      </w:r>
      <w:r w:rsidRPr="00E63B6F">
        <w:rPr>
          <w:rFonts w:cs="Calibri"/>
          <w:sz w:val="24"/>
        </w:rPr>
        <w:t xml:space="preserve">consider aspects of social and cultural reproduction within the education system and the EBac policy </w:t>
      </w:r>
      <w:r>
        <w:rPr>
          <w:rFonts w:cs="Calibri"/>
          <w:sz w:val="24"/>
        </w:rPr>
        <w:t xml:space="preserve">by </w:t>
      </w:r>
      <w:r w:rsidRPr="00E63B6F">
        <w:rPr>
          <w:rFonts w:cs="Calibri"/>
          <w:sz w:val="24"/>
        </w:rPr>
        <w:t xml:space="preserve">evaluating work on </w:t>
      </w:r>
      <w:r w:rsidR="00EC660A" w:rsidRPr="00E63B6F">
        <w:rPr>
          <w:rFonts w:cs="Calibri"/>
          <w:sz w:val="24"/>
        </w:rPr>
        <w:t>Bowles and Gintis</w:t>
      </w:r>
      <w:r w:rsidR="00EC660A">
        <w:rPr>
          <w:rFonts w:cs="Calibri"/>
          <w:sz w:val="24"/>
        </w:rPr>
        <w:t xml:space="preserve">’ </w:t>
      </w:r>
      <w:r w:rsidR="00EC660A" w:rsidRPr="00E63B6F">
        <w:rPr>
          <w:rFonts w:cs="Calibri"/>
          <w:sz w:val="24"/>
        </w:rPr>
        <w:t xml:space="preserve">(1976) </w:t>
      </w:r>
      <w:r w:rsidR="00EC660A">
        <w:rPr>
          <w:rFonts w:cs="Calibri"/>
          <w:sz w:val="24"/>
        </w:rPr>
        <w:t>‘</w:t>
      </w:r>
      <w:r w:rsidRPr="00E63B6F">
        <w:rPr>
          <w:rFonts w:cs="Calibri"/>
          <w:sz w:val="24"/>
        </w:rPr>
        <w:t>correspondence principl</w:t>
      </w:r>
      <w:r w:rsidR="00EC660A">
        <w:rPr>
          <w:rFonts w:cs="Calibri"/>
          <w:sz w:val="24"/>
        </w:rPr>
        <w:t>e’</w:t>
      </w:r>
      <w:r w:rsidRPr="00E63B6F">
        <w:rPr>
          <w:rFonts w:cs="Calibri"/>
          <w:sz w:val="24"/>
        </w:rPr>
        <w:t xml:space="preserve"> and </w:t>
      </w:r>
      <w:r w:rsidR="00EC660A">
        <w:rPr>
          <w:rFonts w:cs="Calibri"/>
          <w:sz w:val="24"/>
        </w:rPr>
        <w:t>the concept of ‘</w:t>
      </w:r>
      <w:r w:rsidRPr="00E63B6F">
        <w:rPr>
          <w:rFonts w:cs="Calibri"/>
          <w:sz w:val="24"/>
        </w:rPr>
        <w:t>cultural capital</w:t>
      </w:r>
      <w:r w:rsidR="00EC660A">
        <w:rPr>
          <w:rFonts w:cs="Calibri"/>
          <w:sz w:val="24"/>
        </w:rPr>
        <w:t>’</w:t>
      </w:r>
      <w:r w:rsidRPr="00E63B6F">
        <w:rPr>
          <w:rFonts w:cs="Calibri"/>
          <w:sz w:val="24"/>
        </w:rPr>
        <w:t xml:space="preserve"> by Bourdieu and Passeron (1977).</w:t>
      </w:r>
      <w:r>
        <w:rPr>
          <w:rFonts w:cs="Calibri"/>
          <w:sz w:val="24"/>
        </w:rPr>
        <w:t xml:space="preserve"> I then</w:t>
      </w:r>
      <w:r w:rsidRPr="00E63B6F">
        <w:rPr>
          <w:rFonts w:cs="Calibri"/>
          <w:sz w:val="24"/>
        </w:rPr>
        <w:t xml:space="preserve"> review the contested concept of </w:t>
      </w:r>
      <w:r w:rsidRPr="00E63B6F">
        <w:rPr>
          <w:rFonts w:cs="Calibri"/>
          <w:sz w:val="24"/>
        </w:rPr>
        <w:lastRenderedPageBreak/>
        <w:t xml:space="preserve">curriculum, </w:t>
      </w:r>
      <w:r>
        <w:rPr>
          <w:rFonts w:cs="Calibri"/>
          <w:sz w:val="24"/>
        </w:rPr>
        <w:t xml:space="preserve">identifying an appropriate definition for the purpose of this enquiry, </w:t>
      </w:r>
      <w:r w:rsidRPr="00E63B6F">
        <w:rPr>
          <w:rFonts w:cs="Calibri"/>
          <w:sz w:val="24"/>
        </w:rPr>
        <w:t>before focusing</w:t>
      </w:r>
      <w:r>
        <w:rPr>
          <w:rFonts w:cs="Calibri"/>
          <w:sz w:val="24"/>
        </w:rPr>
        <w:t xml:space="preserve"> </w:t>
      </w:r>
      <w:r w:rsidRPr="00E63B6F">
        <w:rPr>
          <w:rFonts w:cs="Calibri"/>
          <w:sz w:val="24"/>
        </w:rPr>
        <w:t xml:space="preserve">on the application and use of </w:t>
      </w:r>
      <w:r>
        <w:rPr>
          <w:rFonts w:cs="Calibri"/>
          <w:sz w:val="24"/>
        </w:rPr>
        <w:t xml:space="preserve">curriculum </w:t>
      </w:r>
      <w:r w:rsidRPr="00E63B6F">
        <w:rPr>
          <w:rFonts w:cs="Calibri"/>
          <w:sz w:val="24"/>
        </w:rPr>
        <w:t>knowledge</w:t>
      </w:r>
      <w:r w:rsidR="00886BD2">
        <w:rPr>
          <w:rFonts w:cs="Calibri"/>
          <w:sz w:val="24"/>
        </w:rPr>
        <w:t>,</w:t>
      </w:r>
      <w:r w:rsidRPr="00E63B6F">
        <w:rPr>
          <w:rFonts w:cs="Calibri"/>
          <w:sz w:val="24"/>
        </w:rPr>
        <w:t xml:space="preserve"> a concept which underpins the EBac policy and </w:t>
      </w:r>
      <w:r>
        <w:rPr>
          <w:rFonts w:cs="Calibri"/>
          <w:sz w:val="24"/>
        </w:rPr>
        <w:t xml:space="preserve">its </w:t>
      </w:r>
      <w:r w:rsidRPr="00E63B6F">
        <w:rPr>
          <w:rFonts w:cs="Calibri"/>
          <w:sz w:val="24"/>
        </w:rPr>
        <w:t xml:space="preserve">stated desired outcomes. </w:t>
      </w:r>
      <w:r>
        <w:rPr>
          <w:rFonts w:cs="Calibri"/>
          <w:sz w:val="24"/>
        </w:rPr>
        <w:t>In t</w:t>
      </w:r>
      <w:r w:rsidRPr="00E63B6F">
        <w:rPr>
          <w:rFonts w:cs="Calibri"/>
          <w:sz w:val="24"/>
        </w:rPr>
        <w:t xml:space="preserve">he fifth section </w:t>
      </w:r>
      <w:r>
        <w:rPr>
          <w:rFonts w:cs="Calibri"/>
          <w:sz w:val="24"/>
        </w:rPr>
        <w:t>I</w:t>
      </w:r>
      <w:r w:rsidRPr="00E63B6F">
        <w:rPr>
          <w:rFonts w:cs="Calibri"/>
          <w:sz w:val="24"/>
        </w:rPr>
        <w:t xml:space="preserve"> </w:t>
      </w:r>
      <w:r>
        <w:rPr>
          <w:rFonts w:cs="Calibri"/>
          <w:sz w:val="24"/>
        </w:rPr>
        <w:t>reflect on</w:t>
      </w:r>
      <w:r w:rsidRPr="00E63B6F">
        <w:rPr>
          <w:rFonts w:cs="Calibri"/>
          <w:sz w:val="24"/>
        </w:rPr>
        <w:t xml:space="preserve"> the purpose and role of policy analysis, evaluating </w:t>
      </w:r>
      <w:r w:rsidR="00886BD2" w:rsidRPr="00E63B6F">
        <w:rPr>
          <w:rFonts w:cs="Calibri"/>
          <w:sz w:val="24"/>
        </w:rPr>
        <w:t>Scheurich</w:t>
      </w:r>
      <w:r w:rsidR="00886BD2">
        <w:rPr>
          <w:rFonts w:cs="Calibri"/>
          <w:sz w:val="24"/>
        </w:rPr>
        <w:t>’s</w:t>
      </w:r>
      <w:r w:rsidR="00886BD2" w:rsidRPr="00E63B6F">
        <w:rPr>
          <w:rFonts w:cs="Calibri"/>
          <w:sz w:val="24"/>
        </w:rPr>
        <w:t xml:space="preserve"> (1994) </w:t>
      </w:r>
      <w:r w:rsidR="00DF24E7">
        <w:rPr>
          <w:rFonts w:cs="Calibri"/>
          <w:sz w:val="24"/>
        </w:rPr>
        <w:t xml:space="preserve">PA </w:t>
      </w:r>
      <w:r w:rsidRPr="00E63B6F">
        <w:rPr>
          <w:rFonts w:cs="Calibri"/>
          <w:sz w:val="24"/>
        </w:rPr>
        <w:t>framework in order to analys</w:t>
      </w:r>
      <w:r w:rsidR="00886BD2">
        <w:rPr>
          <w:rFonts w:cs="Calibri"/>
          <w:sz w:val="24"/>
        </w:rPr>
        <w:t>e</w:t>
      </w:r>
      <w:r w:rsidRPr="00E63B6F">
        <w:rPr>
          <w:rFonts w:cs="Calibri"/>
          <w:sz w:val="24"/>
        </w:rPr>
        <w:t xml:space="preserve"> key sections of the </w:t>
      </w:r>
      <w:r>
        <w:rPr>
          <w:rFonts w:cs="Calibri"/>
          <w:sz w:val="24"/>
        </w:rPr>
        <w:t xml:space="preserve">EBac </w:t>
      </w:r>
      <w:r w:rsidRPr="00E63B6F">
        <w:rPr>
          <w:rFonts w:cs="Calibri"/>
          <w:sz w:val="24"/>
        </w:rPr>
        <w:t xml:space="preserve">policy. </w:t>
      </w:r>
      <w:r>
        <w:rPr>
          <w:rFonts w:cs="Calibri"/>
          <w:sz w:val="24"/>
        </w:rPr>
        <w:t>The concept</w:t>
      </w:r>
      <w:r w:rsidR="001406C5">
        <w:rPr>
          <w:rFonts w:cs="Calibri"/>
          <w:sz w:val="24"/>
        </w:rPr>
        <w:t>s</w:t>
      </w:r>
      <w:r>
        <w:rPr>
          <w:rFonts w:cs="Calibri"/>
          <w:sz w:val="24"/>
        </w:rPr>
        <w:t xml:space="preserve"> of governmentality and surveillance </w:t>
      </w:r>
      <w:r w:rsidR="001406C5">
        <w:rPr>
          <w:rFonts w:cs="Calibri"/>
          <w:sz w:val="24"/>
        </w:rPr>
        <w:t>are</w:t>
      </w:r>
      <w:r>
        <w:rPr>
          <w:rFonts w:cs="Calibri"/>
          <w:sz w:val="24"/>
        </w:rPr>
        <w:t xml:space="preserve"> explored in </w:t>
      </w:r>
      <w:r w:rsidR="001406C5">
        <w:rPr>
          <w:rFonts w:cs="Calibri"/>
          <w:sz w:val="24"/>
        </w:rPr>
        <w:t>S</w:t>
      </w:r>
      <w:r>
        <w:rPr>
          <w:rFonts w:cs="Calibri"/>
          <w:sz w:val="24"/>
        </w:rPr>
        <w:t xml:space="preserve">ection </w:t>
      </w:r>
      <w:r w:rsidR="001406C5">
        <w:rPr>
          <w:rFonts w:cs="Calibri"/>
          <w:sz w:val="24"/>
        </w:rPr>
        <w:t>6</w:t>
      </w:r>
      <w:r>
        <w:rPr>
          <w:rFonts w:cs="Calibri"/>
          <w:sz w:val="24"/>
        </w:rPr>
        <w:t xml:space="preserve">. Following this, </w:t>
      </w:r>
      <w:r w:rsidRPr="00E63B6F">
        <w:rPr>
          <w:rFonts w:cs="Calibri"/>
          <w:sz w:val="24"/>
        </w:rPr>
        <w:t>key findings from EBa</w:t>
      </w:r>
      <w:r>
        <w:rPr>
          <w:rFonts w:cs="Calibri"/>
          <w:sz w:val="24"/>
        </w:rPr>
        <w:t>c</w:t>
      </w:r>
      <w:r w:rsidRPr="00E63B6F">
        <w:rPr>
          <w:rFonts w:cs="Calibri"/>
          <w:sz w:val="24"/>
        </w:rPr>
        <w:t xml:space="preserve"> research and reports</w:t>
      </w:r>
      <w:r>
        <w:rPr>
          <w:rFonts w:cs="Calibri"/>
          <w:sz w:val="24"/>
        </w:rPr>
        <w:t xml:space="preserve"> are reviewed</w:t>
      </w:r>
      <w:r w:rsidR="00AD2B18">
        <w:rPr>
          <w:rFonts w:cs="Calibri"/>
          <w:sz w:val="24"/>
        </w:rPr>
        <w:t>. I</w:t>
      </w:r>
      <w:r>
        <w:rPr>
          <w:rFonts w:cs="Calibri"/>
          <w:sz w:val="24"/>
        </w:rPr>
        <w:t xml:space="preserve"> conclud</w:t>
      </w:r>
      <w:r w:rsidR="00AD2B18">
        <w:rPr>
          <w:rFonts w:cs="Calibri"/>
          <w:sz w:val="24"/>
        </w:rPr>
        <w:t>e</w:t>
      </w:r>
      <w:r>
        <w:rPr>
          <w:rFonts w:cs="Calibri"/>
          <w:sz w:val="24"/>
        </w:rPr>
        <w:t xml:space="preserve"> with a consideration of </w:t>
      </w:r>
      <w:r w:rsidRPr="00E63B6F">
        <w:rPr>
          <w:rFonts w:cs="Calibri"/>
          <w:sz w:val="24"/>
        </w:rPr>
        <w:t xml:space="preserve">the literature </w:t>
      </w:r>
      <w:r w:rsidR="00AD2B18">
        <w:rPr>
          <w:rFonts w:cs="Calibri"/>
          <w:sz w:val="24"/>
        </w:rPr>
        <w:t>that informed</w:t>
      </w:r>
      <w:r w:rsidRPr="00E63B6F">
        <w:rPr>
          <w:rFonts w:cs="Calibri"/>
          <w:sz w:val="24"/>
        </w:rPr>
        <w:t xml:space="preserve"> my theoretical</w:t>
      </w:r>
      <w:r w:rsidR="00AB566C">
        <w:rPr>
          <w:rFonts w:cs="Calibri"/>
          <w:sz w:val="24"/>
        </w:rPr>
        <w:t xml:space="preserve"> position</w:t>
      </w:r>
      <w:r>
        <w:rPr>
          <w:rFonts w:cs="Calibri"/>
          <w:sz w:val="24"/>
        </w:rPr>
        <w:t xml:space="preserve">, </w:t>
      </w:r>
      <w:r w:rsidRPr="00E63B6F">
        <w:rPr>
          <w:rFonts w:cs="Calibri"/>
          <w:sz w:val="24"/>
        </w:rPr>
        <w:t>amalgamat</w:t>
      </w:r>
      <w:r>
        <w:rPr>
          <w:rFonts w:cs="Calibri"/>
          <w:sz w:val="24"/>
        </w:rPr>
        <w:t xml:space="preserve">ing </w:t>
      </w:r>
      <w:r w:rsidRPr="00E63B6F">
        <w:rPr>
          <w:rFonts w:cs="Calibri"/>
          <w:sz w:val="24"/>
        </w:rPr>
        <w:t>Marxist and structuralist concepts with</w:t>
      </w:r>
      <w:r>
        <w:rPr>
          <w:rFonts w:cs="Calibri"/>
          <w:sz w:val="24"/>
        </w:rPr>
        <w:t>in a poststructuralist approach.</w:t>
      </w:r>
      <w:r w:rsidRPr="00E63B6F">
        <w:rPr>
          <w:rFonts w:cs="Calibri"/>
          <w:sz w:val="24"/>
        </w:rPr>
        <w:t xml:space="preserve">  T</w:t>
      </w:r>
      <w:r>
        <w:rPr>
          <w:rFonts w:cs="Calibri"/>
          <w:sz w:val="24"/>
        </w:rPr>
        <w:t>he</w:t>
      </w:r>
      <w:r w:rsidRPr="00E63B6F">
        <w:rPr>
          <w:rFonts w:cs="Calibri"/>
          <w:sz w:val="24"/>
        </w:rPr>
        <w:t xml:space="preserve"> selection </w:t>
      </w:r>
      <w:r w:rsidR="00AD2B18">
        <w:rPr>
          <w:rFonts w:cs="Calibri"/>
          <w:sz w:val="24"/>
        </w:rPr>
        <w:t xml:space="preserve">and exclusion </w:t>
      </w:r>
      <w:r w:rsidRPr="00E63B6F">
        <w:rPr>
          <w:rFonts w:cs="Calibri"/>
          <w:sz w:val="24"/>
        </w:rPr>
        <w:t>o</w:t>
      </w:r>
      <w:r>
        <w:rPr>
          <w:rFonts w:cs="Calibri"/>
          <w:sz w:val="24"/>
        </w:rPr>
        <w:t>f</w:t>
      </w:r>
      <w:r w:rsidRPr="00E63B6F">
        <w:rPr>
          <w:rFonts w:cs="Calibri"/>
          <w:sz w:val="24"/>
        </w:rPr>
        <w:t xml:space="preserve"> texts </w:t>
      </w:r>
      <w:r w:rsidR="00AD2B18">
        <w:rPr>
          <w:rFonts w:cs="Calibri"/>
          <w:sz w:val="24"/>
        </w:rPr>
        <w:t>has been</w:t>
      </w:r>
      <w:r w:rsidRPr="00E63B6F">
        <w:rPr>
          <w:rFonts w:cs="Calibri"/>
          <w:sz w:val="24"/>
        </w:rPr>
        <w:t xml:space="preserve"> guided by the aims of my study and my research questions.   </w:t>
      </w:r>
    </w:p>
    <w:p w14:paraId="62C6E9A1" w14:textId="77777777" w:rsidR="00A75A8F" w:rsidRPr="00331552" w:rsidRDefault="00A75A8F" w:rsidP="00C06040">
      <w:pPr>
        <w:pStyle w:val="Heading2"/>
      </w:pPr>
      <w:bookmarkStart w:id="18" w:name="_Toc452316303"/>
      <w:r w:rsidRPr="00331552">
        <w:t>2.2 Educational equality and democracy</w:t>
      </w:r>
      <w:bookmarkEnd w:id="18"/>
    </w:p>
    <w:p w14:paraId="03FDC193" w14:textId="6F1A722C" w:rsidR="00A75A8F" w:rsidRDefault="00A75A8F" w:rsidP="00F90E8D">
      <w:pPr>
        <w:spacing w:line="360" w:lineRule="auto"/>
        <w:rPr>
          <w:rFonts w:cs="Calibri"/>
          <w:sz w:val="24"/>
        </w:rPr>
      </w:pPr>
      <w:r>
        <w:rPr>
          <w:rFonts w:cs="Calibri"/>
          <w:sz w:val="24"/>
        </w:rPr>
        <w:t>This section considers definitions of educational equality and democracy before outlining the impact of the 1988 National Curriculum in England on the equality and democracy debate, drawing comparisons and similarities with the introduction of the EBac within the 2010 White Paper. The potential impact of the EBac on the educational achievements of children of different social classes, ethnicity, gender and SEND is</w:t>
      </w:r>
      <w:r w:rsidR="00EC6E39">
        <w:rPr>
          <w:rFonts w:cs="Calibri"/>
          <w:sz w:val="24"/>
        </w:rPr>
        <w:t xml:space="preserve"> also discussed</w:t>
      </w:r>
      <w:r>
        <w:rPr>
          <w:rFonts w:cs="Calibri"/>
          <w:sz w:val="24"/>
        </w:rPr>
        <w:t xml:space="preserve">. </w:t>
      </w:r>
    </w:p>
    <w:p w14:paraId="38F7D016" w14:textId="77777777" w:rsidR="00A75A8F" w:rsidRPr="00203C6D" w:rsidRDefault="00A75A8F" w:rsidP="00531995">
      <w:pPr>
        <w:pStyle w:val="Heading3"/>
      </w:pPr>
      <w:bookmarkStart w:id="19" w:name="_Toc452316304"/>
      <w:r w:rsidRPr="00203C6D">
        <w:t>2.2.1 Definitions</w:t>
      </w:r>
      <w:r>
        <w:t xml:space="preserve"> of educational equality and democracy</w:t>
      </w:r>
      <w:bookmarkEnd w:id="19"/>
    </w:p>
    <w:p w14:paraId="15F6B1DD" w14:textId="0BEDBB77" w:rsidR="00A75A8F" w:rsidRDefault="00A75A8F" w:rsidP="00A75A8F">
      <w:pPr>
        <w:spacing w:line="240" w:lineRule="auto"/>
        <w:ind w:left="720" w:hanging="720"/>
        <w:rPr>
          <w:rFonts w:cs="Calibri"/>
          <w:sz w:val="24"/>
        </w:rPr>
      </w:pPr>
      <w:r>
        <w:rPr>
          <w:rFonts w:cs="Calibri"/>
          <w:sz w:val="24"/>
        </w:rPr>
        <w:tab/>
        <w:t>Education is a powerful political tool… it can be used to support and promote democratic forms of society; and it can be used with equal… effectiveness to undermine and destroy them (Kelly, 1995</w:t>
      </w:r>
      <w:r w:rsidR="00EC6E39">
        <w:rPr>
          <w:rFonts w:cs="Calibri"/>
          <w:sz w:val="24"/>
        </w:rPr>
        <w:t>,</w:t>
      </w:r>
      <w:r>
        <w:rPr>
          <w:rFonts w:cs="Calibri"/>
          <w:sz w:val="24"/>
        </w:rPr>
        <w:t xml:space="preserve"> p. xiv). </w:t>
      </w:r>
    </w:p>
    <w:p w14:paraId="341224E8" w14:textId="4871AA4B" w:rsidR="00A75A8F" w:rsidRPr="00027E82" w:rsidRDefault="00A75A8F" w:rsidP="00A75A8F">
      <w:pPr>
        <w:spacing w:line="360" w:lineRule="auto"/>
        <w:rPr>
          <w:rFonts w:cs="Calibri"/>
          <w:sz w:val="24"/>
        </w:rPr>
      </w:pPr>
      <w:r>
        <w:rPr>
          <w:rFonts w:cs="Calibri"/>
          <w:sz w:val="24"/>
        </w:rPr>
        <w:t>Kelly argues that democracy is a moral concept determin</w:t>
      </w:r>
      <w:r w:rsidR="00131870">
        <w:rPr>
          <w:rFonts w:cs="Calibri"/>
          <w:sz w:val="24"/>
        </w:rPr>
        <w:t>ing</w:t>
      </w:r>
      <w:r>
        <w:rPr>
          <w:rFonts w:cs="Calibri"/>
          <w:sz w:val="24"/>
        </w:rPr>
        <w:t xml:space="preserve"> decisions that can and cannot be made. It is not just the ability of people to exercise their right to elect leaders</w:t>
      </w:r>
      <w:r w:rsidR="00131870">
        <w:rPr>
          <w:rFonts w:cs="Calibri"/>
          <w:sz w:val="24"/>
        </w:rPr>
        <w:t>,</w:t>
      </w:r>
      <w:r>
        <w:rPr>
          <w:rFonts w:cs="Calibri"/>
          <w:sz w:val="24"/>
        </w:rPr>
        <w:t xml:space="preserve"> but their effective contribution to the ongoing dialogue of society. The history of education in England is an unequal one</w:t>
      </w:r>
      <w:r w:rsidR="00131870">
        <w:rPr>
          <w:rFonts w:cs="Calibri"/>
          <w:sz w:val="24"/>
        </w:rPr>
        <w:t>,</w:t>
      </w:r>
      <w:r>
        <w:rPr>
          <w:rFonts w:cs="Calibri"/>
          <w:sz w:val="24"/>
        </w:rPr>
        <w:t xml:space="preserve"> with polarised provision</w:t>
      </w:r>
      <w:r w:rsidR="00131870">
        <w:rPr>
          <w:rFonts w:cs="Calibri"/>
          <w:sz w:val="24"/>
        </w:rPr>
        <w:t xml:space="preserve"> continuing to exist</w:t>
      </w:r>
      <w:r>
        <w:rPr>
          <w:rFonts w:cs="Calibri"/>
          <w:sz w:val="24"/>
        </w:rPr>
        <w:t>. Wealthy parents can purchase an independent education</w:t>
      </w:r>
      <w:r w:rsidR="00131870" w:rsidRPr="00131870">
        <w:rPr>
          <w:rFonts w:cs="Calibri"/>
          <w:sz w:val="24"/>
        </w:rPr>
        <w:t xml:space="preserve"> </w:t>
      </w:r>
      <w:r w:rsidR="00131870">
        <w:rPr>
          <w:rFonts w:cs="Calibri"/>
          <w:sz w:val="24"/>
        </w:rPr>
        <w:t>for their children</w:t>
      </w:r>
      <w:r>
        <w:rPr>
          <w:rFonts w:cs="Calibri"/>
          <w:sz w:val="24"/>
        </w:rPr>
        <w:t xml:space="preserve">, a different social experience than </w:t>
      </w:r>
      <w:r w:rsidR="00131870">
        <w:rPr>
          <w:rFonts w:cs="Calibri"/>
          <w:sz w:val="24"/>
        </w:rPr>
        <w:t xml:space="preserve">that </w:t>
      </w:r>
      <w:r>
        <w:rPr>
          <w:rFonts w:cs="Calibri"/>
          <w:sz w:val="24"/>
        </w:rPr>
        <w:t xml:space="preserve">found in the majority of state schools. </w:t>
      </w:r>
      <w:r w:rsidR="00131870">
        <w:rPr>
          <w:rFonts w:cs="Calibri"/>
          <w:sz w:val="24"/>
        </w:rPr>
        <w:t>D</w:t>
      </w:r>
      <w:r>
        <w:rPr>
          <w:rFonts w:cs="Calibri"/>
          <w:sz w:val="24"/>
        </w:rPr>
        <w:t xml:space="preserve">iscrepancies </w:t>
      </w:r>
      <w:r w:rsidR="00131870">
        <w:rPr>
          <w:rFonts w:cs="Calibri"/>
          <w:sz w:val="24"/>
        </w:rPr>
        <w:t xml:space="preserve">remain </w:t>
      </w:r>
      <w:r>
        <w:rPr>
          <w:rFonts w:cs="Calibri"/>
          <w:sz w:val="24"/>
        </w:rPr>
        <w:t>between the educational achievement of children from different social classes, genders and ethnicit</w:t>
      </w:r>
      <w:r w:rsidR="00131870">
        <w:rPr>
          <w:rFonts w:cs="Calibri"/>
          <w:sz w:val="24"/>
        </w:rPr>
        <w:t>ies</w:t>
      </w:r>
      <w:r>
        <w:rPr>
          <w:rFonts w:cs="Calibri"/>
          <w:sz w:val="24"/>
        </w:rPr>
        <w:t xml:space="preserve"> (DfE, 2015). While gender inequalities in education appear to have been reversed</w:t>
      </w:r>
      <w:r w:rsidR="00131870">
        <w:rPr>
          <w:rFonts w:cs="Calibri"/>
          <w:sz w:val="24"/>
        </w:rPr>
        <w:t>,</w:t>
      </w:r>
      <w:r>
        <w:rPr>
          <w:rFonts w:cs="Calibri"/>
          <w:sz w:val="24"/>
        </w:rPr>
        <w:t xml:space="preserve"> with girls now achieving more highly than boys at GCSE and A Level (though gender differences remain in subject choice</w:t>
      </w:r>
      <w:r w:rsidR="00131870">
        <w:rPr>
          <w:rFonts w:cs="Calibri"/>
          <w:sz w:val="24"/>
        </w:rPr>
        <w:t>s</w:t>
      </w:r>
      <w:r>
        <w:rPr>
          <w:rFonts w:cs="Calibri"/>
          <w:sz w:val="24"/>
        </w:rPr>
        <w:t>) in terms of the numbers entering university</w:t>
      </w:r>
      <w:r w:rsidR="00131870">
        <w:rPr>
          <w:rFonts w:cs="Calibri"/>
          <w:sz w:val="24"/>
        </w:rPr>
        <w:t>,</w:t>
      </w:r>
      <w:r>
        <w:rPr>
          <w:rFonts w:cs="Calibri"/>
          <w:sz w:val="24"/>
        </w:rPr>
        <w:t xml:space="preserve"> class and ethnic inequalities in educational achievement</w:t>
      </w:r>
      <w:r w:rsidR="00131870">
        <w:rPr>
          <w:rFonts w:cs="Calibri"/>
          <w:sz w:val="24"/>
        </w:rPr>
        <w:t xml:space="preserve"> remain</w:t>
      </w:r>
      <w:r w:rsidRPr="00D25446">
        <w:rPr>
          <w:rFonts w:cs="Calibri"/>
          <w:i/>
          <w:sz w:val="24"/>
        </w:rPr>
        <w:t>.</w:t>
      </w:r>
      <w:r>
        <w:rPr>
          <w:rFonts w:cs="Calibri"/>
          <w:sz w:val="24"/>
        </w:rPr>
        <w:t xml:space="preserve"> Reay et al</w:t>
      </w:r>
      <w:r w:rsidR="00653094">
        <w:rPr>
          <w:rFonts w:cs="Calibri"/>
          <w:sz w:val="24"/>
        </w:rPr>
        <w:t>.</w:t>
      </w:r>
      <w:r>
        <w:rPr>
          <w:rFonts w:cs="Calibri"/>
          <w:sz w:val="24"/>
        </w:rPr>
        <w:t xml:space="preserve"> (2005) comment that despite a 150% growth in </w:t>
      </w:r>
      <w:r>
        <w:rPr>
          <w:rFonts w:cs="Calibri"/>
          <w:sz w:val="24"/>
        </w:rPr>
        <w:lastRenderedPageBreak/>
        <w:t>university places between 1970 and 1989</w:t>
      </w:r>
      <w:r w:rsidR="00131870">
        <w:rPr>
          <w:rFonts w:cs="Calibri"/>
          <w:sz w:val="24"/>
        </w:rPr>
        <w:t>,</w:t>
      </w:r>
      <w:r>
        <w:rPr>
          <w:rFonts w:cs="Calibri"/>
          <w:sz w:val="24"/>
        </w:rPr>
        <w:t xml:space="preserve"> class inequalities in access to university remain relatively untouched. Though the overall number of ethnic minority applications to university have increased</w:t>
      </w:r>
      <w:r w:rsidR="00B55108">
        <w:rPr>
          <w:rFonts w:cs="Calibri"/>
          <w:sz w:val="24"/>
        </w:rPr>
        <w:t>,</w:t>
      </w:r>
      <w:r>
        <w:rPr>
          <w:rFonts w:cs="Calibri"/>
          <w:sz w:val="24"/>
        </w:rPr>
        <w:t xml:space="preserve"> there appears to be a stark divide between universities </w:t>
      </w:r>
      <w:r w:rsidR="00B55108">
        <w:rPr>
          <w:rFonts w:cs="Calibri"/>
          <w:sz w:val="24"/>
        </w:rPr>
        <w:t xml:space="preserve">as </w:t>
      </w:r>
      <w:r>
        <w:rPr>
          <w:rFonts w:cs="Calibri"/>
          <w:sz w:val="24"/>
        </w:rPr>
        <w:t>to which different ethnic groups apply (Reay et al</w:t>
      </w:r>
      <w:r w:rsidR="00B55108">
        <w:rPr>
          <w:rFonts w:cs="Calibri"/>
          <w:sz w:val="24"/>
        </w:rPr>
        <w:t>.,</w:t>
      </w:r>
      <w:r>
        <w:rPr>
          <w:rFonts w:cs="Calibri"/>
          <w:sz w:val="24"/>
        </w:rPr>
        <w:t xml:space="preserve"> 2005, p.9).</w:t>
      </w:r>
    </w:p>
    <w:p w14:paraId="371EA5E8" w14:textId="6E553408" w:rsidR="00A75A8F" w:rsidRDefault="00A75A8F" w:rsidP="00A75A8F">
      <w:pPr>
        <w:tabs>
          <w:tab w:val="left" w:pos="8364"/>
        </w:tabs>
        <w:spacing w:line="360" w:lineRule="auto"/>
        <w:rPr>
          <w:sz w:val="24"/>
          <w:szCs w:val="24"/>
        </w:rPr>
      </w:pPr>
      <w:r>
        <w:rPr>
          <w:rFonts w:cs="Calibri"/>
          <w:sz w:val="24"/>
        </w:rPr>
        <w:t xml:space="preserve">The stated aim of the White Paper (2010) and the EBac policy is to allow all children “equal access to educational opportunities” (p.6) and for schools to “be engines of social mobility” (p.6). </w:t>
      </w:r>
      <w:r w:rsidRPr="00665D2A">
        <w:rPr>
          <w:rFonts w:cs="Calibri"/>
          <w:sz w:val="24"/>
        </w:rPr>
        <w:t>The use of a school performance measure to encourage schools to prepare children for a set of uniform qualification</w:t>
      </w:r>
      <w:r w:rsidR="002D1AE4">
        <w:rPr>
          <w:rFonts w:cs="Calibri"/>
          <w:sz w:val="24"/>
        </w:rPr>
        <w:t>s</w:t>
      </w:r>
      <w:r w:rsidR="006302FC">
        <w:rPr>
          <w:rFonts w:cs="Calibri"/>
          <w:sz w:val="24"/>
        </w:rPr>
        <w:t xml:space="preserve"> in specified subjects</w:t>
      </w:r>
      <w:r w:rsidRPr="00665D2A">
        <w:rPr>
          <w:rFonts w:cs="Calibri"/>
          <w:sz w:val="24"/>
        </w:rPr>
        <w:t xml:space="preserve"> </w:t>
      </w:r>
      <w:r>
        <w:rPr>
          <w:rFonts w:cs="Calibri"/>
          <w:sz w:val="24"/>
        </w:rPr>
        <w:t>is presented as</w:t>
      </w:r>
      <w:r w:rsidRPr="00665D2A">
        <w:rPr>
          <w:rFonts w:cs="Calibri"/>
          <w:sz w:val="24"/>
        </w:rPr>
        <w:t xml:space="preserve"> a democratic act. </w:t>
      </w:r>
      <w:r>
        <w:rPr>
          <w:rFonts w:cs="Calibri"/>
          <w:sz w:val="24"/>
        </w:rPr>
        <w:t>T</w:t>
      </w:r>
      <w:r w:rsidRPr="00665D2A">
        <w:rPr>
          <w:rFonts w:cs="Calibri"/>
          <w:sz w:val="24"/>
        </w:rPr>
        <w:t xml:space="preserve">he previous Labour administration encouraged </w:t>
      </w:r>
      <w:r>
        <w:rPr>
          <w:rFonts w:cs="Calibri"/>
          <w:sz w:val="24"/>
        </w:rPr>
        <w:t>schools to enter students for</w:t>
      </w:r>
      <w:r w:rsidRPr="00665D2A">
        <w:rPr>
          <w:rFonts w:cs="Calibri"/>
          <w:sz w:val="24"/>
        </w:rPr>
        <w:t xml:space="preserve"> varying educational pathways</w:t>
      </w:r>
      <w:r>
        <w:rPr>
          <w:rStyle w:val="FootnoteReference"/>
          <w:rFonts w:cs="Calibri"/>
          <w:sz w:val="24"/>
        </w:rPr>
        <w:footnoteReference w:id="24"/>
      </w:r>
      <w:r w:rsidR="0057370C">
        <w:rPr>
          <w:rFonts w:cs="Calibri"/>
          <w:sz w:val="24"/>
        </w:rPr>
        <w:t>. T</w:t>
      </w:r>
      <w:r w:rsidRPr="00665D2A">
        <w:rPr>
          <w:rFonts w:cs="Calibri"/>
          <w:sz w:val="24"/>
        </w:rPr>
        <w:t>he EBac could</w:t>
      </w:r>
      <w:r>
        <w:rPr>
          <w:rFonts w:cs="Calibri"/>
          <w:sz w:val="24"/>
        </w:rPr>
        <w:t xml:space="preserve"> </w:t>
      </w:r>
      <w:r w:rsidRPr="00665D2A">
        <w:rPr>
          <w:rFonts w:cs="Calibri"/>
          <w:sz w:val="24"/>
        </w:rPr>
        <w:t>create a level playing field</w:t>
      </w:r>
      <w:r w:rsidR="006302FC">
        <w:rPr>
          <w:rFonts w:cs="Calibri"/>
          <w:sz w:val="24"/>
        </w:rPr>
        <w:t>,</w:t>
      </w:r>
      <w:r>
        <w:rPr>
          <w:rFonts w:cs="Calibri"/>
          <w:sz w:val="24"/>
        </w:rPr>
        <w:t xml:space="preserve"> </w:t>
      </w:r>
      <w:r w:rsidRPr="00665D2A">
        <w:rPr>
          <w:rFonts w:cs="Calibri"/>
          <w:sz w:val="24"/>
        </w:rPr>
        <w:t>ensur</w:t>
      </w:r>
      <w:r>
        <w:rPr>
          <w:rFonts w:cs="Calibri"/>
          <w:sz w:val="24"/>
        </w:rPr>
        <w:t>ing</w:t>
      </w:r>
      <w:r w:rsidRPr="00665D2A">
        <w:rPr>
          <w:rFonts w:cs="Calibri"/>
          <w:sz w:val="24"/>
        </w:rPr>
        <w:t xml:space="preserve"> that children </w:t>
      </w:r>
      <w:r>
        <w:rPr>
          <w:rFonts w:cs="Calibri"/>
          <w:sz w:val="24"/>
        </w:rPr>
        <w:t>study</w:t>
      </w:r>
      <w:r w:rsidRPr="00665D2A">
        <w:rPr>
          <w:rFonts w:cs="Calibri"/>
          <w:sz w:val="24"/>
        </w:rPr>
        <w:t xml:space="preserve"> </w:t>
      </w:r>
      <w:r>
        <w:rPr>
          <w:rFonts w:cs="Calibri"/>
          <w:sz w:val="24"/>
        </w:rPr>
        <w:t xml:space="preserve">and are assessed on </w:t>
      </w:r>
      <w:r w:rsidRPr="00665D2A">
        <w:rPr>
          <w:rFonts w:cs="Calibri"/>
          <w:sz w:val="24"/>
        </w:rPr>
        <w:t xml:space="preserve">a similar range of subjects and types of qualifications. </w:t>
      </w:r>
      <w:r>
        <w:rPr>
          <w:rFonts w:cs="Calibri"/>
          <w:sz w:val="24"/>
        </w:rPr>
        <w:t>A</w:t>
      </w:r>
      <w:r w:rsidRPr="00665D2A">
        <w:rPr>
          <w:rFonts w:cs="Calibri"/>
          <w:sz w:val="24"/>
        </w:rPr>
        <w:t>s previously discussed</w:t>
      </w:r>
      <w:r>
        <w:rPr>
          <w:rFonts w:cs="Calibri"/>
          <w:sz w:val="24"/>
        </w:rPr>
        <w:t xml:space="preserve"> </w:t>
      </w:r>
      <w:r w:rsidR="006302FC">
        <w:rPr>
          <w:rFonts w:cs="Calibri"/>
          <w:sz w:val="24"/>
        </w:rPr>
        <w:t>in C</w:t>
      </w:r>
      <w:r>
        <w:rPr>
          <w:rFonts w:cs="Calibri"/>
          <w:sz w:val="24"/>
        </w:rPr>
        <w:t>hapter 1</w:t>
      </w:r>
      <w:r w:rsidRPr="00665D2A">
        <w:rPr>
          <w:rFonts w:cs="Calibri"/>
          <w:sz w:val="24"/>
        </w:rPr>
        <w:t xml:space="preserve">, providing the same subject requirements for a performance measure does not equate to equity </w:t>
      </w:r>
      <w:r>
        <w:rPr>
          <w:rFonts w:cs="Calibri"/>
          <w:sz w:val="24"/>
        </w:rPr>
        <w:t xml:space="preserve">(the same outcomes) </w:t>
      </w:r>
      <w:r w:rsidRPr="00665D2A">
        <w:rPr>
          <w:rFonts w:cs="Calibri"/>
          <w:sz w:val="24"/>
        </w:rPr>
        <w:t>or even equality of opportunity</w:t>
      </w:r>
      <w:r>
        <w:rPr>
          <w:rFonts w:cs="Calibri"/>
          <w:sz w:val="24"/>
        </w:rPr>
        <w:t xml:space="preserve"> (access to the same </w:t>
      </w:r>
      <w:r w:rsidRPr="00BB6BAC">
        <w:rPr>
          <w:rFonts w:cs="Calibri"/>
          <w:sz w:val="24"/>
          <w:szCs w:val="24"/>
        </w:rPr>
        <w:t xml:space="preserve">options). </w:t>
      </w:r>
      <w:r w:rsidRPr="00BB6BAC">
        <w:rPr>
          <w:sz w:val="24"/>
          <w:szCs w:val="24"/>
        </w:rPr>
        <w:t>Bourdieu and Passeron (1977) discuss the impact of cultural capital on educational outcomes for different groups of children, arguing that any structure or system within education will create “unequal section and unequal selectedness”</w:t>
      </w:r>
      <w:r>
        <w:rPr>
          <w:sz w:val="24"/>
          <w:szCs w:val="24"/>
        </w:rPr>
        <w:t xml:space="preserve"> (p.</w:t>
      </w:r>
      <w:r w:rsidR="00F75EEB">
        <w:rPr>
          <w:sz w:val="24"/>
          <w:szCs w:val="24"/>
        </w:rPr>
        <w:t>72</w:t>
      </w:r>
      <w:r>
        <w:rPr>
          <w:sz w:val="24"/>
          <w:szCs w:val="24"/>
        </w:rPr>
        <w:t>)</w:t>
      </w:r>
      <w:r w:rsidRPr="00BB6BAC">
        <w:rPr>
          <w:sz w:val="24"/>
          <w:szCs w:val="24"/>
        </w:rPr>
        <w:t xml:space="preserve"> for children f</w:t>
      </w:r>
      <w:r w:rsidR="00F1031C">
        <w:rPr>
          <w:sz w:val="24"/>
          <w:szCs w:val="24"/>
        </w:rPr>
        <w:t>rom</w:t>
      </w:r>
      <w:r w:rsidRPr="00BB6BAC">
        <w:rPr>
          <w:sz w:val="24"/>
          <w:szCs w:val="24"/>
        </w:rPr>
        <w:t xml:space="preserve"> different backgrounds. </w:t>
      </w:r>
      <w:r w:rsidR="00F1031C">
        <w:rPr>
          <w:sz w:val="24"/>
          <w:szCs w:val="24"/>
        </w:rPr>
        <w:t>A</w:t>
      </w:r>
      <w:r w:rsidRPr="00BB6BAC">
        <w:rPr>
          <w:sz w:val="24"/>
          <w:szCs w:val="24"/>
        </w:rPr>
        <w:t xml:space="preserve"> child</w:t>
      </w:r>
      <w:r w:rsidR="00F1031C">
        <w:rPr>
          <w:sz w:val="24"/>
          <w:szCs w:val="24"/>
        </w:rPr>
        <w:t>’s upbringing</w:t>
      </w:r>
      <w:r w:rsidRPr="00BB6BAC">
        <w:rPr>
          <w:sz w:val="24"/>
          <w:szCs w:val="24"/>
        </w:rPr>
        <w:t xml:space="preserve"> impacts on their </w:t>
      </w:r>
      <w:r>
        <w:rPr>
          <w:sz w:val="24"/>
          <w:szCs w:val="24"/>
        </w:rPr>
        <w:t>ability</w:t>
      </w:r>
      <w:r w:rsidR="00F1031C">
        <w:rPr>
          <w:sz w:val="24"/>
          <w:szCs w:val="24"/>
        </w:rPr>
        <w:t xml:space="preserve">; their </w:t>
      </w:r>
      <w:r w:rsidRPr="00BB6BAC">
        <w:rPr>
          <w:sz w:val="24"/>
          <w:szCs w:val="24"/>
        </w:rPr>
        <w:t>desire to engage with and the importance attached to the curriculum</w:t>
      </w:r>
      <w:r>
        <w:rPr>
          <w:sz w:val="24"/>
          <w:szCs w:val="24"/>
        </w:rPr>
        <w:t xml:space="preserve">. These concepts are considered in light of the introduction of the 1988 National Curriculum in England and Wales and the EBac (2010 White Paper). </w:t>
      </w:r>
    </w:p>
    <w:p w14:paraId="2DCF9604" w14:textId="77777777" w:rsidR="00A75A8F" w:rsidRPr="00150DAA" w:rsidRDefault="00A75A8F" w:rsidP="00531995">
      <w:pPr>
        <w:pStyle w:val="Heading3"/>
      </w:pPr>
      <w:bookmarkStart w:id="20" w:name="_Toc452316305"/>
      <w:r w:rsidRPr="00150DAA">
        <w:t xml:space="preserve">2.2.2 1988 National Curriculum </w:t>
      </w:r>
      <w:r>
        <w:t>and links to the EBac</w:t>
      </w:r>
      <w:bookmarkEnd w:id="20"/>
    </w:p>
    <w:p w14:paraId="0FBADE0A" w14:textId="553AF576" w:rsidR="00A75A8F" w:rsidRPr="00665D2A" w:rsidRDefault="00A75A8F" w:rsidP="00A75A8F">
      <w:pPr>
        <w:tabs>
          <w:tab w:val="left" w:pos="8364"/>
        </w:tabs>
        <w:spacing w:before="240" w:line="360" w:lineRule="auto"/>
        <w:rPr>
          <w:rFonts w:cs="Calibri"/>
          <w:sz w:val="24"/>
        </w:rPr>
      </w:pPr>
      <w:r w:rsidRPr="00665D2A">
        <w:rPr>
          <w:rFonts w:cs="Calibri"/>
          <w:sz w:val="24"/>
        </w:rPr>
        <w:t xml:space="preserve">The New Right Conservative </w:t>
      </w:r>
      <w:r>
        <w:rPr>
          <w:rFonts w:cs="Calibri"/>
          <w:sz w:val="24"/>
        </w:rPr>
        <w:t>g</w:t>
      </w:r>
      <w:r w:rsidRPr="00665D2A">
        <w:rPr>
          <w:rFonts w:cs="Calibri"/>
          <w:sz w:val="24"/>
        </w:rPr>
        <w:t xml:space="preserve">overnment </w:t>
      </w:r>
      <w:r>
        <w:rPr>
          <w:rFonts w:cs="Calibri"/>
          <w:sz w:val="24"/>
        </w:rPr>
        <w:t xml:space="preserve">was </w:t>
      </w:r>
      <w:r w:rsidRPr="00665D2A">
        <w:rPr>
          <w:rFonts w:cs="Calibri"/>
          <w:sz w:val="24"/>
        </w:rPr>
        <w:t>responsible for the implementation of the National Curriculum in 1988 in England</w:t>
      </w:r>
      <w:r w:rsidR="006E76BA">
        <w:rPr>
          <w:rFonts w:cs="Calibri"/>
          <w:sz w:val="24"/>
        </w:rPr>
        <w:t>.</w:t>
      </w:r>
      <w:r w:rsidRPr="00665D2A">
        <w:rPr>
          <w:rFonts w:cs="Calibri"/>
          <w:sz w:val="24"/>
        </w:rPr>
        <w:t xml:space="preserve"> </w:t>
      </w:r>
      <w:r w:rsidR="006E76BA">
        <w:rPr>
          <w:rFonts w:cs="Calibri"/>
          <w:sz w:val="24"/>
        </w:rPr>
        <w:t>This</w:t>
      </w:r>
      <w:r w:rsidRPr="00665D2A">
        <w:rPr>
          <w:rFonts w:cs="Calibri"/>
          <w:sz w:val="24"/>
        </w:rPr>
        <w:t xml:space="preserve"> approach</w:t>
      </w:r>
      <w:r w:rsidR="006E76BA">
        <w:rPr>
          <w:rFonts w:cs="Calibri"/>
          <w:sz w:val="24"/>
        </w:rPr>
        <w:t xml:space="preserve"> to</w:t>
      </w:r>
      <w:r w:rsidRPr="00665D2A">
        <w:rPr>
          <w:rFonts w:cs="Calibri"/>
          <w:sz w:val="24"/>
        </w:rPr>
        <w:t xml:space="preserve"> the curriculum </w:t>
      </w:r>
      <w:r w:rsidR="006E76BA">
        <w:rPr>
          <w:rFonts w:cs="Calibri"/>
          <w:sz w:val="24"/>
        </w:rPr>
        <w:t>imposed</w:t>
      </w:r>
      <w:r w:rsidRPr="00665D2A">
        <w:rPr>
          <w:rFonts w:cs="Calibri"/>
          <w:sz w:val="24"/>
        </w:rPr>
        <w:t xml:space="preserve"> a strict set of content which had to be learnt. </w:t>
      </w:r>
      <w:r>
        <w:rPr>
          <w:rFonts w:cs="Calibri"/>
          <w:sz w:val="24"/>
        </w:rPr>
        <w:t>Ball (1994) claim</w:t>
      </w:r>
      <w:r w:rsidR="006E76BA">
        <w:rPr>
          <w:rFonts w:cs="Calibri"/>
          <w:sz w:val="24"/>
        </w:rPr>
        <w:t>s</w:t>
      </w:r>
      <w:r>
        <w:rPr>
          <w:rFonts w:cs="Calibri"/>
          <w:sz w:val="24"/>
        </w:rPr>
        <w:t xml:space="preserve"> this to be part of a New Right </w:t>
      </w:r>
      <w:r w:rsidR="006E76BA">
        <w:rPr>
          <w:rFonts w:cs="Calibri"/>
          <w:sz w:val="24"/>
        </w:rPr>
        <w:t>‘</w:t>
      </w:r>
      <w:r>
        <w:rPr>
          <w:rFonts w:cs="Calibri"/>
          <w:sz w:val="24"/>
        </w:rPr>
        <w:t>cultural restorationism</w:t>
      </w:r>
      <w:r w:rsidR="006E76BA">
        <w:rPr>
          <w:rFonts w:cs="Calibri"/>
          <w:sz w:val="24"/>
        </w:rPr>
        <w:t>’</w:t>
      </w:r>
      <w:r>
        <w:rPr>
          <w:rFonts w:cs="Calibri"/>
          <w:sz w:val="24"/>
        </w:rPr>
        <w:t xml:space="preserve"> where traditional forms of education, including curriculum, assessment, pedagogy and teacher training</w:t>
      </w:r>
      <w:r w:rsidR="006E76BA">
        <w:rPr>
          <w:rFonts w:cs="Calibri"/>
          <w:sz w:val="24"/>
        </w:rPr>
        <w:t>,</w:t>
      </w:r>
      <w:r>
        <w:rPr>
          <w:rFonts w:cs="Calibri"/>
          <w:sz w:val="24"/>
        </w:rPr>
        <w:t xml:space="preserve"> were</w:t>
      </w:r>
      <w:r w:rsidR="006E76BA">
        <w:rPr>
          <w:rFonts w:cs="Calibri"/>
          <w:sz w:val="24"/>
        </w:rPr>
        <w:t xml:space="preserve"> prioritised</w:t>
      </w:r>
      <w:r>
        <w:rPr>
          <w:rFonts w:cs="Calibri"/>
          <w:sz w:val="24"/>
        </w:rPr>
        <w:t>. Th</w:t>
      </w:r>
      <w:r w:rsidR="006E76BA">
        <w:rPr>
          <w:rFonts w:cs="Calibri"/>
          <w:sz w:val="24"/>
        </w:rPr>
        <w:t>is</w:t>
      </w:r>
      <w:r>
        <w:rPr>
          <w:rFonts w:cs="Calibri"/>
          <w:sz w:val="24"/>
        </w:rPr>
        <w:t xml:space="preserve"> </w:t>
      </w:r>
      <w:r w:rsidR="006E76BA">
        <w:rPr>
          <w:rFonts w:cs="Calibri"/>
          <w:sz w:val="24"/>
        </w:rPr>
        <w:t>‘</w:t>
      </w:r>
      <w:r>
        <w:rPr>
          <w:rFonts w:cs="Calibri"/>
          <w:sz w:val="24"/>
        </w:rPr>
        <w:t>cultural restorationist</w:t>
      </w:r>
      <w:r w:rsidR="006E76BA">
        <w:rPr>
          <w:rFonts w:cs="Calibri"/>
          <w:sz w:val="24"/>
        </w:rPr>
        <w:t>’</w:t>
      </w:r>
      <w:r>
        <w:rPr>
          <w:rFonts w:cs="Calibri"/>
          <w:sz w:val="24"/>
        </w:rPr>
        <w:t xml:space="preserve"> movement emphasised traditional forms of education and </w:t>
      </w:r>
      <w:r w:rsidR="00A054C9">
        <w:rPr>
          <w:rFonts w:cs="Calibri"/>
          <w:sz w:val="24"/>
        </w:rPr>
        <w:t>‘</w:t>
      </w:r>
      <w:r>
        <w:rPr>
          <w:rFonts w:cs="Calibri"/>
          <w:sz w:val="24"/>
        </w:rPr>
        <w:t>real knowledge</w:t>
      </w:r>
      <w:r w:rsidR="00A054C9">
        <w:rPr>
          <w:rFonts w:cs="Calibri"/>
          <w:sz w:val="24"/>
        </w:rPr>
        <w:t>’</w:t>
      </w:r>
      <w:r>
        <w:rPr>
          <w:rFonts w:cs="Calibri"/>
          <w:sz w:val="24"/>
        </w:rPr>
        <w:t xml:space="preserve">, a form of knowledge that </w:t>
      </w:r>
      <w:r>
        <w:rPr>
          <w:rFonts w:cs="Calibri"/>
          <w:sz w:val="24"/>
        </w:rPr>
        <w:lastRenderedPageBreak/>
        <w:t xml:space="preserve">was configured in the form of irrefutable </w:t>
      </w:r>
      <w:r w:rsidR="00A054C9">
        <w:rPr>
          <w:rFonts w:cs="Calibri"/>
          <w:sz w:val="24"/>
        </w:rPr>
        <w:t>‘</w:t>
      </w:r>
      <w:r>
        <w:rPr>
          <w:rFonts w:cs="Calibri"/>
          <w:sz w:val="24"/>
        </w:rPr>
        <w:t>facts</w:t>
      </w:r>
      <w:r w:rsidR="00A054C9">
        <w:rPr>
          <w:rFonts w:cs="Calibri"/>
          <w:sz w:val="24"/>
        </w:rPr>
        <w:t>’</w:t>
      </w:r>
      <w:r>
        <w:rPr>
          <w:rFonts w:cs="Calibri"/>
          <w:sz w:val="24"/>
        </w:rPr>
        <w:t xml:space="preserve"> and </w:t>
      </w:r>
      <w:r w:rsidR="00A054C9">
        <w:rPr>
          <w:rFonts w:cs="Calibri"/>
          <w:sz w:val="24"/>
        </w:rPr>
        <w:t>‘</w:t>
      </w:r>
      <w:r>
        <w:rPr>
          <w:rFonts w:cs="Calibri"/>
          <w:sz w:val="24"/>
        </w:rPr>
        <w:t>truths</w:t>
      </w:r>
      <w:r w:rsidR="00A054C9">
        <w:rPr>
          <w:rFonts w:cs="Calibri"/>
          <w:sz w:val="24"/>
        </w:rPr>
        <w:t>’</w:t>
      </w:r>
      <w:r>
        <w:rPr>
          <w:rFonts w:cs="Calibri"/>
          <w:sz w:val="24"/>
        </w:rPr>
        <w:t xml:space="preserve"> as opposed to “progressive, ideological knowledge” (p.33) which placed an emphasis on varying perspectives and relevance to the learner’s experiences.  </w:t>
      </w:r>
      <w:r w:rsidRPr="00665D2A">
        <w:rPr>
          <w:rFonts w:cs="Calibri"/>
          <w:sz w:val="24"/>
        </w:rPr>
        <w:t xml:space="preserve">Ball referred to this </w:t>
      </w:r>
      <w:r>
        <w:rPr>
          <w:rFonts w:cs="Calibri"/>
          <w:sz w:val="24"/>
        </w:rPr>
        <w:t xml:space="preserve">traditional </w:t>
      </w:r>
      <w:r w:rsidR="00347094">
        <w:rPr>
          <w:rFonts w:cs="Calibri"/>
          <w:sz w:val="24"/>
        </w:rPr>
        <w:t>‘</w:t>
      </w:r>
      <w:r>
        <w:rPr>
          <w:rFonts w:cs="Calibri"/>
          <w:sz w:val="24"/>
        </w:rPr>
        <w:t>restorationist</w:t>
      </w:r>
      <w:r w:rsidR="00347094">
        <w:rPr>
          <w:rFonts w:cs="Calibri"/>
          <w:sz w:val="24"/>
        </w:rPr>
        <w:t>’</w:t>
      </w:r>
      <w:r>
        <w:rPr>
          <w:rFonts w:cs="Calibri"/>
          <w:sz w:val="24"/>
        </w:rPr>
        <w:t xml:space="preserve"> curriculum </w:t>
      </w:r>
      <w:r w:rsidRPr="00665D2A">
        <w:rPr>
          <w:rFonts w:cs="Calibri"/>
          <w:sz w:val="24"/>
        </w:rPr>
        <w:t xml:space="preserve">as “The curriculum of the dead” </w:t>
      </w:r>
      <w:r>
        <w:rPr>
          <w:rFonts w:cs="Calibri"/>
          <w:sz w:val="24"/>
        </w:rPr>
        <w:t xml:space="preserve">(1994, p.46) </w:t>
      </w:r>
      <w:r w:rsidRPr="00665D2A">
        <w:rPr>
          <w:rFonts w:cs="Calibri"/>
          <w:sz w:val="24"/>
        </w:rPr>
        <w:t>in that it froze in time a body of knowledge</w:t>
      </w:r>
      <w:r w:rsidR="00787740">
        <w:rPr>
          <w:rFonts w:cs="Calibri"/>
          <w:sz w:val="24"/>
        </w:rPr>
        <w:t>,</w:t>
      </w:r>
      <w:r w:rsidRPr="00665D2A">
        <w:rPr>
          <w:rFonts w:cs="Calibri"/>
          <w:sz w:val="24"/>
        </w:rPr>
        <w:t xml:space="preserve"> </w:t>
      </w:r>
      <w:r w:rsidR="00A054C9">
        <w:rPr>
          <w:rFonts w:cs="Calibri"/>
          <w:sz w:val="24"/>
        </w:rPr>
        <w:t xml:space="preserve">to be </w:t>
      </w:r>
      <w:r w:rsidRPr="00665D2A">
        <w:rPr>
          <w:rFonts w:cs="Calibri"/>
          <w:sz w:val="24"/>
        </w:rPr>
        <w:t xml:space="preserve">presented as the fixed knowledge </w:t>
      </w:r>
      <w:r>
        <w:rPr>
          <w:rFonts w:cs="Calibri"/>
          <w:sz w:val="24"/>
        </w:rPr>
        <w:t>children</w:t>
      </w:r>
      <w:r w:rsidR="00A054C9">
        <w:rPr>
          <w:rFonts w:cs="Calibri"/>
          <w:sz w:val="24"/>
        </w:rPr>
        <w:t xml:space="preserve"> had to understand</w:t>
      </w:r>
      <w:r>
        <w:rPr>
          <w:rFonts w:cs="Calibri"/>
          <w:sz w:val="24"/>
        </w:rPr>
        <w:t xml:space="preserve"> </w:t>
      </w:r>
      <w:r w:rsidRPr="00665D2A">
        <w:rPr>
          <w:rFonts w:cs="Calibri"/>
          <w:sz w:val="24"/>
        </w:rPr>
        <w:t xml:space="preserve">for </w:t>
      </w:r>
      <w:r>
        <w:rPr>
          <w:rFonts w:cs="Calibri"/>
          <w:sz w:val="24"/>
        </w:rPr>
        <w:t xml:space="preserve">them to be </w:t>
      </w:r>
      <w:r w:rsidRPr="00665D2A">
        <w:rPr>
          <w:rFonts w:cs="Calibri"/>
          <w:sz w:val="24"/>
        </w:rPr>
        <w:t>success</w:t>
      </w:r>
      <w:r>
        <w:rPr>
          <w:rFonts w:cs="Calibri"/>
          <w:sz w:val="24"/>
        </w:rPr>
        <w:t>ful</w:t>
      </w:r>
      <w:r w:rsidRPr="00665D2A">
        <w:rPr>
          <w:rFonts w:cs="Calibri"/>
          <w:sz w:val="24"/>
        </w:rPr>
        <w:t xml:space="preserve"> in education. While the National Curriculum has undergone many revisions </w:t>
      </w:r>
      <w:r w:rsidR="00971ABC">
        <w:rPr>
          <w:rFonts w:cs="Calibri"/>
          <w:sz w:val="24"/>
        </w:rPr>
        <w:t>in terms of</w:t>
      </w:r>
      <w:r w:rsidRPr="00665D2A">
        <w:rPr>
          <w:rFonts w:cs="Calibri"/>
          <w:sz w:val="24"/>
        </w:rPr>
        <w:t xml:space="preserve"> content and requirements </w:t>
      </w:r>
      <w:r>
        <w:rPr>
          <w:rFonts w:cs="Calibri"/>
          <w:sz w:val="24"/>
        </w:rPr>
        <w:t>(DfES</w:t>
      </w:r>
      <w:r w:rsidR="00A054C9">
        <w:rPr>
          <w:rFonts w:cs="Calibri"/>
          <w:sz w:val="24"/>
        </w:rPr>
        <w:t>,</w:t>
      </w:r>
      <w:r>
        <w:rPr>
          <w:rFonts w:cs="Calibri"/>
          <w:sz w:val="24"/>
        </w:rPr>
        <w:t xml:space="preserve"> 1988; </w:t>
      </w:r>
      <w:r w:rsidR="00785013">
        <w:rPr>
          <w:rFonts w:cs="Calibri"/>
          <w:sz w:val="24"/>
        </w:rPr>
        <w:t>DfES</w:t>
      </w:r>
      <w:r w:rsidR="00A054C9">
        <w:rPr>
          <w:rFonts w:cs="Calibri"/>
          <w:sz w:val="24"/>
        </w:rPr>
        <w:t>,</w:t>
      </w:r>
      <w:r>
        <w:rPr>
          <w:rFonts w:cs="Calibri"/>
          <w:sz w:val="24"/>
        </w:rPr>
        <w:t xml:space="preserve"> 200</w:t>
      </w:r>
      <w:r w:rsidR="00785013">
        <w:rPr>
          <w:rFonts w:cs="Calibri"/>
          <w:sz w:val="24"/>
        </w:rPr>
        <w:t>1</w:t>
      </w:r>
      <w:r>
        <w:rPr>
          <w:rFonts w:cs="Calibri"/>
          <w:sz w:val="24"/>
        </w:rPr>
        <w:t>; DfE</w:t>
      </w:r>
      <w:r w:rsidR="00A054C9">
        <w:rPr>
          <w:rFonts w:cs="Calibri"/>
          <w:sz w:val="24"/>
        </w:rPr>
        <w:t>,</w:t>
      </w:r>
      <w:r>
        <w:rPr>
          <w:rFonts w:cs="Calibri"/>
          <w:sz w:val="24"/>
        </w:rPr>
        <w:t xml:space="preserve"> 2014) </w:t>
      </w:r>
      <w:r w:rsidRPr="00665D2A">
        <w:rPr>
          <w:rFonts w:cs="Calibri"/>
          <w:sz w:val="24"/>
        </w:rPr>
        <w:t xml:space="preserve">it is still intact in </w:t>
      </w:r>
      <w:r>
        <w:rPr>
          <w:rFonts w:cs="Calibri"/>
          <w:sz w:val="24"/>
        </w:rPr>
        <w:t xml:space="preserve">the sense </w:t>
      </w:r>
      <w:r w:rsidRPr="00665D2A">
        <w:rPr>
          <w:rFonts w:cs="Calibri"/>
          <w:sz w:val="24"/>
        </w:rPr>
        <w:t>that</w:t>
      </w:r>
      <w:r w:rsidR="00971ABC">
        <w:rPr>
          <w:rFonts w:cs="Calibri"/>
          <w:sz w:val="24"/>
        </w:rPr>
        <w:t xml:space="preserve"> following</w:t>
      </w:r>
      <w:r w:rsidRPr="00665D2A">
        <w:rPr>
          <w:rFonts w:cs="Calibri"/>
          <w:sz w:val="24"/>
        </w:rPr>
        <w:t xml:space="preserve"> it is a compulsory requirement f</w:t>
      </w:r>
      <w:r w:rsidR="00971ABC">
        <w:rPr>
          <w:rFonts w:cs="Calibri"/>
          <w:sz w:val="24"/>
        </w:rPr>
        <w:t>or</w:t>
      </w:r>
      <w:r w:rsidRPr="00665D2A">
        <w:rPr>
          <w:rFonts w:cs="Calibri"/>
          <w:sz w:val="24"/>
        </w:rPr>
        <w:t xml:space="preserve"> all state school</w:t>
      </w:r>
      <w:r w:rsidR="00971ABC">
        <w:rPr>
          <w:rFonts w:cs="Calibri"/>
          <w:sz w:val="24"/>
        </w:rPr>
        <w:t>s</w:t>
      </w:r>
      <w:r>
        <w:rPr>
          <w:rStyle w:val="FootnoteReference"/>
          <w:rFonts w:cs="Calibri"/>
          <w:sz w:val="24"/>
        </w:rPr>
        <w:footnoteReference w:id="25"/>
      </w:r>
      <w:r>
        <w:rPr>
          <w:rFonts w:cs="Calibri"/>
          <w:sz w:val="24"/>
        </w:rPr>
        <w:t>,</w:t>
      </w:r>
      <w:r w:rsidRPr="00665D2A">
        <w:rPr>
          <w:rFonts w:cs="Calibri"/>
          <w:sz w:val="24"/>
        </w:rPr>
        <w:t xml:space="preserve"> though not of </w:t>
      </w:r>
      <w:r>
        <w:rPr>
          <w:rFonts w:cs="Calibri"/>
          <w:sz w:val="24"/>
        </w:rPr>
        <w:t xml:space="preserve">independent </w:t>
      </w:r>
      <w:r w:rsidRPr="00665D2A">
        <w:rPr>
          <w:rFonts w:cs="Calibri"/>
          <w:sz w:val="24"/>
        </w:rPr>
        <w:t>schools</w:t>
      </w:r>
      <w:r>
        <w:rPr>
          <w:rFonts w:cs="Calibri"/>
          <w:sz w:val="24"/>
        </w:rPr>
        <w:t>, a</w:t>
      </w:r>
      <w:r w:rsidRPr="00665D2A">
        <w:rPr>
          <w:rFonts w:cs="Calibri"/>
          <w:sz w:val="24"/>
        </w:rPr>
        <w:t>cademies</w:t>
      </w:r>
      <w:r>
        <w:rPr>
          <w:rFonts w:cs="Calibri"/>
          <w:sz w:val="24"/>
        </w:rPr>
        <w:t xml:space="preserve"> or free schools</w:t>
      </w:r>
      <w:r w:rsidR="007A1531">
        <w:rPr>
          <w:rStyle w:val="FootnoteReference"/>
          <w:rFonts w:cs="Calibri"/>
          <w:sz w:val="24"/>
        </w:rPr>
        <w:footnoteReference w:id="26"/>
      </w:r>
      <w:r w:rsidRPr="00665D2A">
        <w:rPr>
          <w:rFonts w:cs="Calibri"/>
          <w:sz w:val="24"/>
        </w:rPr>
        <w:t>. Ball (1994) argues that</w:t>
      </w:r>
      <w:r>
        <w:rPr>
          <w:rFonts w:cs="Calibri"/>
          <w:sz w:val="24"/>
        </w:rPr>
        <w:t>,</w:t>
      </w:r>
      <w:r w:rsidRPr="00665D2A">
        <w:rPr>
          <w:rFonts w:cs="Calibri"/>
          <w:sz w:val="24"/>
        </w:rPr>
        <w:t xml:space="preserve"> along with the curriculum</w:t>
      </w:r>
      <w:r>
        <w:rPr>
          <w:rFonts w:cs="Calibri"/>
          <w:sz w:val="24"/>
        </w:rPr>
        <w:t>,</w:t>
      </w:r>
      <w:r w:rsidRPr="00665D2A">
        <w:rPr>
          <w:rFonts w:cs="Calibri"/>
          <w:sz w:val="24"/>
        </w:rPr>
        <w:t xml:space="preserve"> it is also the structure of the school that can remain frozen in its approach</w:t>
      </w:r>
      <w:r>
        <w:rPr>
          <w:rFonts w:cs="Calibri"/>
          <w:sz w:val="24"/>
        </w:rPr>
        <w:t xml:space="preserve">. </w:t>
      </w:r>
    </w:p>
    <w:p w14:paraId="0EE4DD28" w14:textId="77777777" w:rsidR="00A75A8F" w:rsidRPr="000E48BD" w:rsidRDefault="00A75A8F" w:rsidP="00531995">
      <w:pPr>
        <w:spacing w:after="240" w:line="240" w:lineRule="auto"/>
        <w:ind w:left="720"/>
        <w:rPr>
          <w:rFonts w:cs="Calibri"/>
          <w:sz w:val="24"/>
        </w:rPr>
      </w:pPr>
      <w:r w:rsidRPr="000E48BD">
        <w:rPr>
          <w:rFonts w:cs="Calibri"/>
          <w:sz w:val="24"/>
        </w:rPr>
        <w:t>In the restorationists’ education system value and worth are generated not by the complexities of teaching and learning but by the iconography of the school uniform, the examination hall and the authoritarian teacher. Signifier and signified are rent asunder. The past, present and future of schooling coalesce so that change and progress are achieved by a return to a fantasy past; individual freedom is partnered by patriarchal sternness; economic regeneration is to be based on forms of teaching and learning quite unrelated to the flexible specialization required by post-Fordist production techniques (</w:t>
      </w:r>
      <w:r>
        <w:rPr>
          <w:rFonts w:cs="Calibri"/>
          <w:sz w:val="24"/>
        </w:rPr>
        <w:t xml:space="preserve">1994, </w:t>
      </w:r>
      <w:r w:rsidRPr="000E48BD">
        <w:rPr>
          <w:rFonts w:cs="Calibri"/>
          <w:sz w:val="24"/>
        </w:rPr>
        <w:t>p.47).</w:t>
      </w:r>
    </w:p>
    <w:p w14:paraId="7D0511DB" w14:textId="176E5BE4" w:rsidR="00A75A8F" w:rsidRPr="00665D2A" w:rsidRDefault="00A75A8F" w:rsidP="00531995">
      <w:pPr>
        <w:tabs>
          <w:tab w:val="left" w:pos="8222"/>
        </w:tabs>
        <w:spacing w:after="240" w:line="360" w:lineRule="auto"/>
        <w:rPr>
          <w:rFonts w:cs="Calibri"/>
          <w:sz w:val="24"/>
        </w:rPr>
      </w:pPr>
      <w:r w:rsidRPr="000E48BD">
        <w:rPr>
          <w:rFonts w:cs="Calibri"/>
          <w:sz w:val="24"/>
        </w:rPr>
        <w:t xml:space="preserve">I </w:t>
      </w:r>
      <w:r w:rsidR="005A1A5B">
        <w:rPr>
          <w:rFonts w:cs="Calibri"/>
          <w:sz w:val="24"/>
        </w:rPr>
        <w:t>believe</w:t>
      </w:r>
      <w:r w:rsidRPr="000E48BD">
        <w:rPr>
          <w:rFonts w:cs="Calibri"/>
          <w:sz w:val="24"/>
        </w:rPr>
        <w:t xml:space="preserve"> that the</w:t>
      </w:r>
      <w:r>
        <w:rPr>
          <w:rFonts w:cs="Calibri"/>
          <w:sz w:val="24"/>
        </w:rPr>
        <w:t xml:space="preserve"> Coalition</w:t>
      </w:r>
      <w:r w:rsidR="005A1A5B">
        <w:rPr>
          <w:rFonts w:cs="Calibri"/>
          <w:sz w:val="24"/>
        </w:rPr>
        <w:t>’s</w:t>
      </w:r>
      <w:r>
        <w:rPr>
          <w:rFonts w:cs="Calibri"/>
          <w:sz w:val="24"/>
        </w:rPr>
        <w:t xml:space="preserve"> </w:t>
      </w:r>
      <w:r w:rsidRPr="000E48BD">
        <w:rPr>
          <w:rFonts w:cs="Calibri"/>
          <w:sz w:val="24"/>
        </w:rPr>
        <w:t xml:space="preserve">Education White Paper </w:t>
      </w:r>
      <w:r>
        <w:rPr>
          <w:rFonts w:cs="Calibri"/>
          <w:sz w:val="24"/>
        </w:rPr>
        <w:t xml:space="preserve">(2010) </w:t>
      </w:r>
      <w:r w:rsidRPr="000E48BD">
        <w:rPr>
          <w:rFonts w:cs="Calibri"/>
          <w:sz w:val="24"/>
        </w:rPr>
        <w:t>and the EBac</w:t>
      </w:r>
      <w:r>
        <w:rPr>
          <w:rFonts w:cs="Calibri"/>
          <w:sz w:val="24"/>
        </w:rPr>
        <w:t xml:space="preserve"> </w:t>
      </w:r>
      <w:r w:rsidR="005A1A5B">
        <w:rPr>
          <w:rFonts w:cs="Calibri"/>
          <w:sz w:val="24"/>
        </w:rPr>
        <w:t xml:space="preserve">are a </w:t>
      </w:r>
      <w:r>
        <w:rPr>
          <w:rFonts w:cs="Calibri"/>
          <w:sz w:val="24"/>
        </w:rPr>
        <w:t>continu</w:t>
      </w:r>
      <w:r w:rsidR="005A1A5B">
        <w:rPr>
          <w:rFonts w:cs="Calibri"/>
          <w:sz w:val="24"/>
        </w:rPr>
        <w:t>ation of</w:t>
      </w:r>
      <w:r>
        <w:rPr>
          <w:rFonts w:cs="Calibri"/>
          <w:sz w:val="24"/>
        </w:rPr>
        <w:t xml:space="preserve"> </w:t>
      </w:r>
      <w:r w:rsidRPr="000E48BD">
        <w:rPr>
          <w:rFonts w:cs="Calibri"/>
          <w:sz w:val="24"/>
        </w:rPr>
        <w:t>this “fantasy past”</w:t>
      </w:r>
      <w:r w:rsidRPr="00665D2A">
        <w:rPr>
          <w:rFonts w:cs="Calibri"/>
          <w:sz w:val="24"/>
        </w:rPr>
        <w:t xml:space="preserve">. </w:t>
      </w:r>
      <w:r w:rsidR="002520DF">
        <w:rPr>
          <w:rFonts w:cs="Calibri"/>
          <w:sz w:val="24"/>
        </w:rPr>
        <w:t xml:space="preserve">Michael </w:t>
      </w:r>
      <w:r>
        <w:rPr>
          <w:rFonts w:cs="Calibri"/>
          <w:sz w:val="24"/>
        </w:rPr>
        <w:t xml:space="preserve">Gove, </w:t>
      </w:r>
      <w:r w:rsidR="000F1320">
        <w:rPr>
          <w:rFonts w:cs="Calibri"/>
          <w:sz w:val="24"/>
        </w:rPr>
        <w:t xml:space="preserve">then the </w:t>
      </w:r>
      <w:r w:rsidRPr="00665D2A">
        <w:rPr>
          <w:rFonts w:cs="Calibri"/>
          <w:sz w:val="24"/>
        </w:rPr>
        <w:t>Secretary of State</w:t>
      </w:r>
      <w:r>
        <w:rPr>
          <w:rFonts w:cs="Calibri"/>
          <w:sz w:val="24"/>
        </w:rPr>
        <w:t xml:space="preserve"> for Education</w:t>
      </w:r>
      <w:r w:rsidRPr="00665D2A">
        <w:rPr>
          <w:rFonts w:cs="Calibri"/>
          <w:sz w:val="24"/>
        </w:rPr>
        <w:t xml:space="preserve">, </w:t>
      </w:r>
      <w:r>
        <w:rPr>
          <w:rFonts w:cs="Calibri"/>
          <w:sz w:val="24"/>
        </w:rPr>
        <w:t>appears to have</w:t>
      </w:r>
      <w:r w:rsidRPr="00665D2A">
        <w:rPr>
          <w:rFonts w:cs="Calibri"/>
          <w:sz w:val="24"/>
        </w:rPr>
        <w:t xml:space="preserve"> a traditional subject</w:t>
      </w:r>
      <w:r>
        <w:rPr>
          <w:rFonts w:cs="Calibri"/>
          <w:sz w:val="24"/>
        </w:rPr>
        <w:t>-</w:t>
      </w:r>
      <w:r w:rsidRPr="00665D2A">
        <w:rPr>
          <w:rFonts w:cs="Calibri"/>
          <w:sz w:val="24"/>
        </w:rPr>
        <w:t xml:space="preserve">based curriculum in mind </w:t>
      </w:r>
      <w:r>
        <w:rPr>
          <w:rFonts w:cs="Calibri"/>
          <w:sz w:val="24"/>
        </w:rPr>
        <w:t>for</w:t>
      </w:r>
      <w:r w:rsidRPr="00665D2A">
        <w:rPr>
          <w:rFonts w:cs="Calibri"/>
          <w:sz w:val="24"/>
        </w:rPr>
        <w:t xml:space="preserve"> the EBac</w:t>
      </w:r>
      <w:r w:rsidR="006A4F89">
        <w:rPr>
          <w:rFonts w:cs="Calibri"/>
          <w:sz w:val="24"/>
        </w:rPr>
        <w:t>, most</w:t>
      </w:r>
      <w:r w:rsidRPr="00665D2A">
        <w:rPr>
          <w:rFonts w:cs="Calibri"/>
          <w:sz w:val="24"/>
        </w:rPr>
        <w:t xml:space="preserve"> </w:t>
      </w:r>
      <w:r>
        <w:rPr>
          <w:rFonts w:cs="Calibri"/>
          <w:sz w:val="24"/>
        </w:rPr>
        <w:t xml:space="preserve">familiar to those educated in an </w:t>
      </w:r>
      <w:r w:rsidRPr="00665D2A">
        <w:rPr>
          <w:rFonts w:cs="Calibri"/>
          <w:sz w:val="24"/>
        </w:rPr>
        <w:t xml:space="preserve">English </w:t>
      </w:r>
      <w:r>
        <w:rPr>
          <w:rFonts w:cs="Calibri"/>
          <w:sz w:val="24"/>
        </w:rPr>
        <w:t>independent or g</w:t>
      </w:r>
      <w:r w:rsidRPr="00665D2A">
        <w:rPr>
          <w:rFonts w:cs="Calibri"/>
          <w:sz w:val="24"/>
        </w:rPr>
        <w:t xml:space="preserve">rammar school. </w:t>
      </w:r>
      <w:r w:rsidR="006A4F89">
        <w:rPr>
          <w:rFonts w:cs="Calibri"/>
          <w:sz w:val="24"/>
        </w:rPr>
        <w:t>V</w:t>
      </w:r>
      <w:r w:rsidRPr="00665D2A">
        <w:rPr>
          <w:rFonts w:cs="Calibri"/>
          <w:sz w:val="24"/>
        </w:rPr>
        <w:t>ocational and skill</w:t>
      </w:r>
      <w:r>
        <w:rPr>
          <w:rFonts w:cs="Calibri"/>
          <w:sz w:val="24"/>
        </w:rPr>
        <w:t>-</w:t>
      </w:r>
      <w:r w:rsidRPr="00665D2A">
        <w:rPr>
          <w:rFonts w:cs="Calibri"/>
          <w:sz w:val="24"/>
        </w:rPr>
        <w:t xml:space="preserve">based qualifications </w:t>
      </w:r>
      <w:r>
        <w:rPr>
          <w:rFonts w:cs="Calibri"/>
          <w:sz w:val="24"/>
        </w:rPr>
        <w:t>may</w:t>
      </w:r>
      <w:r w:rsidRPr="00665D2A">
        <w:rPr>
          <w:rFonts w:cs="Calibri"/>
          <w:sz w:val="24"/>
        </w:rPr>
        <w:t xml:space="preserve"> be more relevant to </w:t>
      </w:r>
      <w:r>
        <w:rPr>
          <w:rFonts w:cs="Calibri"/>
          <w:sz w:val="24"/>
        </w:rPr>
        <w:t>the</w:t>
      </w:r>
      <w:r w:rsidRPr="00665D2A">
        <w:rPr>
          <w:rFonts w:cs="Calibri"/>
          <w:sz w:val="24"/>
        </w:rPr>
        <w:t xml:space="preserve"> current economic </w:t>
      </w:r>
      <w:r w:rsidR="006A4F89">
        <w:rPr>
          <w:rFonts w:cs="Calibri"/>
          <w:sz w:val="24"/>
        </w:rPr>
        <w:t>climate,</w:t>
      </w:r>
      <w:r w:rsidRPr="00665D2A">
        <w:rPr>
          <w:rFonts w:cs="Calibri"/>
          <w:sz w:val="24"/>
        </w:rPr>
        <w:t xml:space="preserve"> where few people have a job for life and flexibility </w:t>
      </w:r>
      <w:r>
        <w:rPr>
          <w:rFonts w:cs="Calibri"/>
          <w:sz w:val="24"/>
        </w:rPr>
        <w:t>in jobs and skills are</w:t>
      </w:r>
      <w:r w:rsidRPr="00665D2A">
        <w:rPr>
          <w:rFonts w:cs="Calibri"/>
          <w:sz w:val="24"/>
        </w:rPr>
        <w:t xml:space="preserve"> a necessity</w:t>
      </w:r>
      <w:r>
        <w:rPr>
          <w:rFonts w:cs="Calibri"/>
          <w:sz w:val="24"/>
        </w:rPr>
        <w:t xml:space="preserve"> (Winter</w:t>
      </w:r>
      <w:r w:rsidR="006A4F89">
        <w:rPr>
          <w:rFonts w:cs="Calibri"/>
          <w:sz w:val="24"/>
        </w:rPr>
        <w:t>,</w:t>
      </w:r>
      <w:r>
        <w:rPr>
          <w:rFonts w:cs="Calibri"/>
          <w:sz w:val="24"/>
        </w:rPr>
        <w:t xml:space="preserve"> 2011, p.9)</w:t>
      </w:r>
      <w:r w:rsidRPr="00665D2A">
        <w:rPr>
          <w:rFonts w:cs="Calibri"/>
          <w:sz w:val="24"/>
        </w:rPr>
        <w:t>. The EBac</w:t>
      </w:r>
      <w:r w:rsidR="006A4F89">
        <w:rPr>
          <w:rFonts w:cs="Calibri"/>
          <w:sz w:val="24"/>
        </w:rPr>
        <w:t xml:space="preserve"> emphasis</w:t>
      </w:r>
      <w:r w:rsidRPr="00665D2A">
        <w:rPr>
          <w:rFonts w:cs="Calibri"/>
          <w:sz w:val="24"/>
        </w:rPr>
        <w:t xml:space="preserve"> on </w:t>
      </w:r>
      <w:r w:rsidR="006A4F89">
        <w:rPr>
          <w:rFonts w:cs="Calibri"/>
          <w:sz w:val="24"/>
        </w:rPr>
        <w:t xml:space="preserve">just </w:t>
      </w:r>
      <w:r>
        <w:rPr>
          <w:rFonts w:cs="Calibri"/>
          <w:sz w:val="24"/>
        </w:rPr>
        <w:t xml:space="preserve">five </w:t>
      </w:r>
      <w:r w:rsidRPr="00665D2A">
        <w:rPr>
          <w:rFonts w:cs="Calibri"/>
          <w:sz w:val="24"/>
        </w:rPr>
        <w:t xml:space="preserve">traditional academic subjects </w:t>
      </w:r>
      <w:r>
        <w:rPr>
          <w:rFonts w:cs="Calibri"/>
          <w:sz w:val="24"/>
        </w:rPr>
        <w:t xml:space="preserve">could </w:t>
      </w:r>
      <w:r w:rsidRPr="00665D2A">
        <w:rPr>
          <w:rFonts w:cs="Calibri"/>
          <w:sz w:val="24"/>
        </w:rPr>
        <w:t xml:space="preserve">lead to a reduction in the range of </w:t>
      </w:r>
      <w:r>
        <w:rPr>
          <w:rFonts w:cs="Calibri"/>
          <w:sz w:val="24"/>
        </w:rPr>
        <w:t xml:space="preserve">available </w:t>
      </w:r>
      <w:r w:rsidRPr="00665D2A">
        <w:rPr>
          <w:rFonts w:cs="Calibri"/>
          <w:sz w:val="24"/>
        </w:rPr>
        <w:t xml:space="preserve">subjects. </w:t>
      </w:r>
      <w:r w:rsidR="006A4F89">
        <w:rPr>
          <w:rFonts w:cs="Calibri"/>
          <w:sz w:val="24"/>
        </w:rPr>
        <w:t xml:space="preserve">Along with </w:t>
      </w:r>
      <w:r>
        <w:rPr>
          <w:rFonts w:cs="Calibri"/>
          <w:sz w:val="24"/>
        </w:rPr>
        <w:t>EBac</w:t>
      </w:r>
      <w:r w:rsidRPr="00665D2A">
        <w:rPr>
          <w:rFonts w:cs="Calibri"/>
          <w:sz w:val="24"/>
        </w:rPr>
        <w:t xml:space="preserve"> </w:t>
      </w:r>
      <w:r>
        <w:rPr>
          <w:rFonts w:cs="Calibri"/>
          <w:sz w:val="24"/>
        </w:rPr>
        <w:t xml:space="preserve">curriculum and performance measure </w:t>
      </w:r>
      <w:r w:rsidRPr="00665D2A">
        <w:rPr>
          <w:rFonts w:cs="Calibri"/>
          <w:sz w:val="24"/>
        </w:rPr>
        <w:t>changes</w:t>
      </w:r>
      <w:r w:rsidR="006A4F89">
        <w:rPr>
          <w:rFonts w:cs="Calibri"/>
          <w:sz w:val="24"/>
        </w:rPr>
        <w:t>,</w:t>
      </w:r>
      <w:r>
        <w:rPr>
          <w:rFonts w:cs="Calibri"/>
          <w:sz w:val="24"/>
        </w:rPr>
        <w:t xml:space="preserve"> </w:t>
      </w:r>
      <w:r w:rsidR="006A4F89">
        <w:rPr>
          <w:rFonts w:cs="Calibri"/>
          <w:sz w:val="24"/>
        </w:rPr>
        <w:t>fewer</w:t>
      </w:r>
      <w:r w:rsidRPr="00665D2A">
        <w:rPr>
          <w:rFonts w:cs="Calibri"/>
          <w:sz w:val="24"/>
        </w:rPr>
        <w:t xml:space="preserve"> </w:t>
      </w:r>
      <w:r>
        <w:rPr>
          <w:rFonts w:cs="Calibri"/>
          <w:sz w:val="24"/>
        </w:rPr>
        <w:t xml:space="preserve">performance </w:t>
      </w:r>
      <w:r w:rsidRPr="00665D2A">
        <w:rPr>
          <w:rFonts w:cs="Calibri"/>
          <w:sz w:val="24"/>
        </w:rPr>
        <w:t xml:space="preserve">points </w:t>
      </w:r>
      <w:r w:rsidR="006A4F89">
        <w:rPr>
          <w:rFonts w:cs="Calibri"/>
          <w:sz w:val="24"/>
        </w:rPr>
        <w:t>were allocated to</w:t>
      </w:r>
      <w:r w:rsidRPr="00665D2A">
        <w:rPr>
          <w:rFonts w:cs="Calibri"/>
          <w:sz w:val="24"/>
        </w:rPr>
        <w:t xml:space="preserve"> vocational subjects</w:t>
      </w:r>
      <w:r>
        <w:rPr>
          <w:rFonts w:cs="Calibri"/>
          <w:sz w:val="24"/>
        </w:rPr>
        <w:t xml:space="preserve"> </w:t>
      </w:r>
      <w:r w:rsidR="006A4F89">
        <w:rPr>
          <w:rFonts w:cs="Calibri"/>
          <w:sz w:val="24"/>
        </w:rPr>
        <w:t>in league tables</w:t>
      </w:r>
      <w:r>
        <w:rPr>
          <w:rFonts w:cs="Calibri"/>
          <w:sz w:val="24"/>
        </w:rPr>
        <w:t xml:space="preserve">. The </w:t>
      </w:r>
      <w:r>
        <w:rPr>
          <w:rFonts w:cs="Calibri"/>
          <w:sz w:val="24"/>
        </w:rPr>
        <w:lastRenderedPageBreak/>
        <w:t xml:space="preserve">decline </w:t>
      </w:r>
      <w:r w:rsidR="006A4F89">
        <w:rPr>
          <w:rFonts w:cs="Calibri"/>
          <w:sz w:val="24"/>
        </w:rPr>
        <w:t>in</w:t>
      </w:r>
      <w:r>
        <w:rPr>
          <w:rFonts w:cs="Calibri"/>
          <w:sz w:val="24"/>
        </w:rPr>
        <w:t xml:space="preserve"> vocational subjects offered in secondary school</w:t>
      </w:r>
      <w:r w:rsidR="006A4F89">
        <w:rPr>
          <w:rFonts w:cs="Calibri"/>
          <w:sz w:val="24"/>
        </w:rPr>
        <w:t>s</w:t>
      </w:r>
      <w:r>
        <w:rPr>
          <w:rFonts w:cs="Calibri"/>
          <w:sz w:val="24"/>
        </w:rPr>
        <w:t xml:space="preserve"> accelerated after the publication </w:t>
      </w:r>
      <w:r w:rsidR="00D34235">
        <w:rPr>
          <w:rFonts w:cs="Calibri"/>
          <w:sz w:val="24"/>
        </w:rPr>
        <w:t xml:space="preserve">of </w:t>
      </w:r>
      <w:r>
        <w:rPr>
          <w:rFonts w:cs="Calibri"/>
          <w:sz w:val="24"/>
        </w:rPr>
        <w:t xml:space="preserve">and recommendations </w:t>
      </w:r>
      <w:r w:rsidR="00D34235">
        <w:rPr>
          <w:rFonts w:cs="Calibri"/>
          <w:sz w:val="24"/>
        </w:rPr>
        <w:t>within</w:t>
      </w:r>
      <w:r>
        <w:rPr>
          <w:rFonts w:cs="Calibri"/>
          <w:sz w:val="24"/>
        </w:rPr>
        <w:t xml:space="preserve"> </w:t>
      </w:r>
      <w:r w:rsidRPr="00531995">
        <w:rPr>
          <w:rFonts w:cs="Calibri"/>
          <w:i/>
          <w:sz w:val="24"/>
        </w:rPr>
        <w:t>The Wolf Review</w:t>
      </w:r>
      <w:r w:rsidRPr="00665D2A">
        <w:rPr>
          <w:rFonts w:cs="Calibri"/>
          <w:sz w:val="24"/>
        </w:rPr>
        <w:t xml:space="preserve"> </w:t>
      </w:r>
      <w:r>
        <w:rPr>
          <w:rFonts w:cs="Calibri"/>
          <w:sz w:val="24"/>
        </w:rPr>
        <w:t>(</w:t>
      </w:r>
      <w:r w:rsidRPr="00665D2A">
        <w:rPr>
          <w:rFonts w:cs="Calibri"/>
          <w:sz w:val="24"/>
        </w:rPr>
        <w:t>2011</w:t>
      </w:r>
      <w:r>
        <w:rPr>
          <w:rFonts w:cs="Calibri"/>
          <w:sz w:val="24"/>
        </w:rPr>
        <w:t xml:space="preserve">). The focus on a traditional education, knowledge and subjects </w:t>
      </w:r>
      <w:r w:rsidR="006A4F89">
        <w:rPr>
          <w:rFonts w:cs="Calibri"/>
          <w:sz w:val="24"/>
        </w:rPr>
        <w:t xml:space="preserve">in the EBac </w:t>
      </w:r>
      <w:r>
        <w:rPr>
          <w:rFonts w:cs="Calibri"/>
          <w:sz w:val="24"/>
        </w:rPr>
        <w:t xml:space="preserve">have the potential to create inequality of outcome within the education system. This inequality will manifest through the ability of some students, </w:t>
      </w:r>
      <w:r w:rsidR="006A4F89">
        <w:rPr>
          <w:rFonts w:cs="Calibri"/>
          <w:sz w:val="24"/>
        </w:rPr>
        <w:t xml:space="preserve">in particular from </w:t>
      </w:r>
      <w:r>
        <w:rPr>
          <w:rFonts w:cs="Calibri"/>
          <w:sz w:val="24"/>
        </w:rPr>
        <w:t>middle class</w:t>
      </w:r>
      <w:r w:rsidR="006A4F89">
        <w:rPr>
          <w:rFonts w:cs="Calibri"/>
          <w:sz w:val="24"/>
        </w:rPr>
        <w:t xml:space="preserve"> backgrounds</w:t>
      </w:r>
      <w:r>
        <w:rPr>
          <w:rFonts w:cs="Calibri"/>
          <w:sz w:val="24"/>
        </w:rPr>
        <w:t xml:space="preserve">, to work successfully within the EBac curriculum </w:t>
      </w:r>
      <w:r w:rsidR="006A4F89">
        <w:rPr>
          <w:rFonts w:cs="Calibri"/>
          <w:sz w:val="24"/>
        </w:rPr>
        <w:t xml:space="preserve">and </w:t>
      </w:r>
      <w:r>
        <w:rPr>
          <w:rFonts w:cs="Calibri"/>
          <w:sz w:val="24"/>
        </w:rPr>
        <w:t>to progress to traditional high</w:t>
      </w:r>
      <w:r w:rsidR="006A4F89">
        <w:rPr>
          <w:rFonts w:cs="Calibri"/>
          <w:sz w:val="24"/>
        </w:rPr>
        <w:t>-</w:t>
      </w:r>
      <w:r>
        <w:rPr>
          <w:rFonts w:cs="Calibri"/>
          <w:sz w:val="24"/>
        </w:rPr>
        <w:t>status universities and courses.</w:t>
      </w:r>
    </w:p>
    <w:p w14:paraId="468B05F4" w14:textId="7F813399" w:rsidR="00A75A8F" w:rsidRPr="00665D2A" w:rsidRDefault="00A75A8F" w:rsidP="00A75A8F">
      <w:pPr>
        <w:spacing w:line="360" w:lineRule="auto"/>
        <w:rPr>
          <w:rFonts w:cs="Calibri"/>
          <w:sz w:val="24"/>
        </w:rPr>
      </w:pPr>
      <w:r w:rsidRPr="00665D2A">
        <w:rPr>
          <w:rFonts w:cs="Calibri"/>
          <w:sz w:val="24"/>
        </w:rPr>
        <w:t xml:space="preserve">Carr </w:t>
      </w:r>
      <w:r w:rsidR="006A4F89">
        <w:rPr>
          <w:rFonts w:cs="Calibri"/>
          <w:sz w:val="24"/>
        </w:rPr>
        <w:t>and</w:t>
      </w:r>
      <w:r w:rsidRPr="00665D2A">
        <w:rPr>
          <w:rFonts w:cs="Calibri"/>
          <w:sz w:val="24"/>
        </w:rPr>
        <w:t xml:space="preserve"> Hartnett (1996) argue that the </w:t>
      </w:r>
      <w:r>
        <w:rPr>
          <w:rFonts w:cs="Calibri"/>
          <w:sz w:val="24"/>
        </w:rPr>
        <w:t xml:space="preserve">1988 </w:t>
      </w:r>
      <w:r w:rsidRPr="00665D2A">
        <w:rPr>
          <w:rFonts w:cs="Calibri"/>
          <w:sz w:val="24"/>
        </w:rPr>
        <w:t xml:space="preserve">National Curriculum </w:t>
      </w:r>
      <w:r>
        <w:rPr>
          <w:rFonts w:cs="Calibri"/>
          <w:sz w:val="24"/>
        </w:rPr>
        <w:t xml:space="preserve">in England was </w:t>
      </w:r>
      <w:r w:rsidRPr="00665D2A">
        <w:rPr>
          <w:rFonts w:cs="Calibri"/>
          <w:sz w:val="24"/>
        </w:rPr>
        <w:t xml:space="preserve">a “case study of the elitist conception of democracy” (p.171). </w:t>
      </w:r>
      <w:r>
        <w:rPr>
          <w:rFonts w:cs="Calibri"/>
          <w:sz w:val="24"/>
        </w:rPr>
        <w:t>C</w:t>
      </w:r>
      <w:r w:rsidRPr="00665D2A">
        <w:rPr>
          <w:rFonts w:cs="Calibri"/>
          <w:sz w:val="24"/>
        </w:rPr>
        <w:t>reated with limited public consultation</w:t>
      </w:r>
      <w:r>
        <w:rPr>
          <w:rFonts w:cs="Calibri"/>
          <w:sz w:val="24"/>
        </w:rPr>
        <w:t>,</w:t>
      </w:r>
      <w:r w:rsidRPr="00665D2A">
        <w:rPr>
          <w:rFonts w:cs="Calibri"/>
          <w:sz w:val="24"/>
        </w:rPr>
        <w:t xml:space="preserve"> by </w:t>
      </w:r>
      <w:r w:rsidR="006A4F89">
        <w:rPr>
          <w:rFonts w:cs="Calibri"/>
          <w:sz w:val="24"/>
        </w:rPr>
        <w:t>‘</w:t>
      </w:r>
      <w:r w:rsidRPr="00665D2A">
        <w:rPr>
          <w:rFonts w:cs="Calibri"/>
          <w:sz w:val="24"/>
        </w:rPr>
        <w:t>experts</w:t>
      </w:r>
      <w:r w:rsidR="006A4F89">
        <w:rPr>
          <w:rFonts w:cs="Calibri"/>
          <w:sz w:val="24"/>
        </w:rPr>
        <w:t>’</w:t>
      </w:r>
      <w:r w:rsidRPr="00665D2A">
        <w:rPr>
          <w:rFonts w:cs="Calibri"/>
          <w:sz w:val="24"/>
        </w:rPr>
        <w:t xml:space="preserve"> with a </w:t>
      </w:r>
      <w:r w:rsidR="006A4F89">
        <w:rPr>
          <w:rFonts w:cs="Calibri"/>
          <w:sz w:val="24"/>
        </w:rPr>
        <w:t>‘</w:t>
      </w:r>
      <w:r w:rsidRPr="00665D2A">
        <w:rPr>
          <w:rFonts w:cs="Calibri"/>
          <w:sz w:val="24"/>
        </w:rPr>
        <w:t xml:space="preserve">consultation window open over the summer </w:t>
      </w:r>
      <w:r>
        <w:rPr>
          <w:rFonts w:cs="Calibri"/>
          <w:sz w:val="24"/>
        </w:rPr>
        <w:t>when most teachers were on holiday,</w:t>
      </w:r>
      <w:r w:rsidR="006A4F89">
        <w:rPr>
          <w:rFonts w:cs="Calibri"/>
          <w:sz w:val="24"/>
        </w:rPr>
        <w:t xml:space="preserve"> it was</w:t>
      </w:r>
      <w:r>
        <w:rPr>
          <w:rFonts w:cs="Calibri"/>
          <w:sz w:val="24"/>
        </w:rPr>
        <w:t xml:space="preserve"> </w:t>
      </w:r>
      <w:r w:rsidRPr="00665D2A">
        <w:rPr>
          <w:rFonts w:cs="Calibri"/>
          <w:sz w:val="24"/>
        </w:rPr>
        <w:t xml:space="preserve">imposed </w:t>
      </w:r>
      <w:r>
        <w:rPr>
          <w:rFonts w:cs="Calibri"/>
          <w:sz w:val="24"/>
        </w:rPr>
        <w:t>by</w:t>
      </w:r>
      <w:r w:rsidRPr="00665D2A">
        <w:rPr>
          <w:rFonts w:cs="Calibri"/>
          <w:sz w:val="24"/>
        </w:rPr>
        <w:t xml:space="preserve"> a large majority in the House of Commons. </w:t>
      </w:r>
      <w:r>
        <w:rPr>
          <w:rFonts w:cs="Calibri"/>
          <w:sz w:val="24"/>
        </w:rPr>
        <w:t>In a similar fashion, t</w:t>
      </w:r>
      <w:r w:rsidRPr="00665D2A">
        <w:rPr>
          <w:rFonts w:cs="Calibri"/>
          <w:sz w:val="24"/>
        </w:rPr>
        <w:t>he EBac was a stated intention within the 2010 White Paper</w:t>
      </w:r>
      <w:r w:rsidR="006A4F89">
        <w:rPr>
          <w:rFonts w:cs="Calibri"/>
          <w:sz w:val="24"/>
        </w:rPr>
        <w:t xml:space="preserve">. The selection of </w:t>
      </w:r>
      <w:r>
        <w:rPr>
          <w:rFonts w:cs="Calibri"/>
          <w:sz w:val="24"/>
        </w:rPr>
        <w:t>EBac</w:t>
      </w:r>
      <w:r w:rsidRPr="00665D2A">
        <w:rPr>
          <w:rFonts w:cs="Calibri"/>
          <w:sz w:val="24"/>
        </w:rPr>
        <w:t xml:space="preserve"> subjects</w:t>
      </w:r>
      <w:r>
        <w:rPr>
          <w:rFonts w:cs="Calibri"/>
          <w:sz w:val="24"/>
        </w:rPr>
        <w:t>,</w:t>
      </w:r>
      <w:r w:rsidRPr="00665D2A">
        <w:rPr>
          <w:rFonts w:cs="Calibri"/>
          <w:sz w:val="24"/>
        </w:rPr>
        <w:t xml:space="preserve"> announced in December</w:t>
      </w:r>
      <w:r w:rsidR="006A4F89">
        <w:rPr>
          <w:rFonts w:cs="Calibri"/>
          <w:sz w:val="24"/>
        </w:rPr>
        <w:t xml:space="preserve"> 2010</w:t>
      </w:r>
      <w:r>
        <w:rPr>
          <w:rFonts w:cs="Calibri"/>
          <w:sz w:val="24"/>
        </w:rPr>
        <w:t xml:space="preserve">, involved </w:t>
      </w:r>
      <w:r w:rsidRPr="00665D2A">
        <w:rPr>
          <w:rFonts w:cs="Calibri"/>
          <w:sz w:val="24"/>
        </w:rPr>
        <w:t>little consultation or debate with educational professionals.</w:t>
      </w:r>
      <w:r>
        <w:rPr>
          <w:rFonts w:cs="Calibri"/>
          <w:sz w:val="24"/>
        </w:rPr>
        <w:t xml:space="preserve"> </w:t>
      </w:r>
      <w:r w:rsidRPr="00665D2A">
        <w:rPr>
          <w:rFonts w:cs="Calibri"/>
          <w:sz w:val="24"/>
        </w:rPr>
        <w:t xml:space="preserve">Carr </w:t>
      </w:r>
      <w:r w:rsidR="006A4F89">
        <w:rPr>
          <w:rFonts w:cs="Calibri"/>
          <w:sz w:val="24"/>
        </w:rPr>
        <w:t>and</w:t>
      </w:r>
      <w:r w:rsidRPr="00665D2A">
        <w:rPr>
          <w:rFonts w:cs="Calibri"/>
          <w:sz w:val="24"/>
        </w:rPr>
        <w:t xml:space="preserve"> Hartnett suggest that:</w:t>
      </w:r>
    </w:p>
    <w:p w14:paraId="5E70442B" w14:textId="77777777" w:rsidR="00A75A8F" w:rsidRPr="00665D2A" w:rsidRDefault="00A75A8F" w:rsidP="00531995">
      <w:pPr>
        <w:spacing w:after="240" w:line="240" w:lineRule="auto"/>
        <w:ind w:left="720"/>
        <w:rPr>
          <w:rFonts w:cs="Calibri"/>
          <w:sz w:val="24"/>
        </w:rPr>
      </w:pPr>
      <w:r w:rsidRPr="00665D2A">
        <w:rPr>
          <w:rFonts w:cs="Calibri"/>
          <w:sz w:val="24"/>
        </w:rPr>
        <w:t>The National Curriculum was an effective operation in statecraft and political manipulation rather than a serious attempt to develop a well founded view about a curriculum appropriate for a modern democratic society (</w:t>
      </w:r>
      <w:r>
        <w:rPr>
          <w:rFonts w:cs="Calibri"/>
          <w:sz w:val="24"/>
        </w:rPr>
        <w:t xml:space="preserve">1996, </w:t>
      </w:r>
      <w:r w:rsidRPr="00665D2A">
        <w:rPr>
          <w:rFonts w:cs="Calibri"/>
          <w:sz w:val="24"/>
        </w:rPr>
        <w:t>p.170).</w:t>
      </w:r>
    </w:p>
    <w:p w14:paraId="13F4205B" w14:textId="4AA8144C" w:rsidR="00A75A8F" w:rsidRDefault="00A75A8F" w:rsidP="00A75A8F">
      <w:pPr>
        <w:tabs>
          <w:tab w:val="left" w:pos="8364"/>
        </w:tabs>
        <w:spacing w:line="360" w:lineRule="auto"/>
        <w:rPr>
          <w:rFonts w:cs="Calibri"/>
          <w:sz w:val="24"/>
        </w:rPr>
      </w:pPr>
      <w:r w:rsidRPr="00665D2A">
        <w:rPr>
          <w:rFonts w:cs="Calibri"/>
          <w:sz w:val="24"/>
        </w:rPr>
        <w:t xml:space="preserve">The </w:t>
      </w:r>
      <w:r>
        <w:rPr>
          <w:rFonts w:cs="Calibri"/>
          <w:sz w:val="24"/>
        </w:rPr>
        <w:t>implementation of the EBac echoes th</w:t>
      </w:r>
      <w:r w:rsidR="006A4F89">
        <w:rPr>
          <w:rFonts w:cs="Calibri"/>
          <w:sz w:val="24"/>
        </w:rPr>
        <w:t>is</w:t>
      </w:r>
      <w:r>
        <w:rPr>
          <w:rFonts w:cs="Calibri"/>
          <w:sz w:val="24"/>
        </w:rPr>
        <w:t xml:space="preserve">. </w:t>
      </w:r>
      <w:r w:rsidRPr="00665D2A">
        <w:rPr>
          <w:rFonts w:cs="Calibri"/>
          <w:sz w:val="24"/>
        </w:rPr>
        <w:t xml:space="preserve">The retrospective introduction of the performance measure, whereby the percentage of </w:t>
      </w:r>
      <w:r>
        <w:rPr>
          <w:rFonts w:cs="Calibri"/>
          <w:sz w:val="24"/>
        </w:rPr>
        <w:t>students</w:t>
      </w:r>
      <w:r w:rsidRPr="00665D2A">
        <w:rPr>
          <w:rFonts w:cs="Calibri"/>
          <w:sz w:val="24"/>
        </w:rPr>
        <w:t xml:space="preserve"> passing the EBac </w:t>
      </w:r>
      <w:r w:rsidR="003F5FA6">
        <w:rPr>
          <w:rFonts w:cs="Calibri"/>
          <w:sz w:val="24"/>
        </w:rPr>
        <w:t xml:space="preserve">in 2010 </w:t>
      </w:r>
      <w:r w:rsidRPr="00665D2A">
        <w:rPr>
          <w:rFonts w:cs="Calibri"/>
          <w:sz w:val="24"/>
        </w:rPr>
        <w:t xml:space="preserve">was calculated for the </w:t>
      </w:r>
      <w:r>
        <w:rPr>
          <w:rFonts w:cs="Calibri"/>
          <w:sz w:val="24"/>
        </w:rPr>
        <w:t>August</w:t>
      </w:r>
      <w:r w:rsidR="003F5FA6">
        <w:rPr>
          <w:rFonts w:cs="Calibri"/>
          <w:sz w:val="24"/>
        </w:rPr>
        <w:t xml:space="preserve"> </w:t>
      </w:r>
      <w:r w:rsidRPr="00665D2A">
        <w:rPr>
          <w:rFonts w:cs="Calibri"/>
          <w:sz w:val="24"/>
        </w:rPr>
        <w:t>GCSE results</w:t>
      </w:r>
      <w:r w:rsidR="006A4F89">
        <w:rPr>
          <w:rFonts w:cs="Calibri"/>
          <w:sz w:val="24"/>
        </w:rPr>
        <w:t xml:space="preserve"> following the October announcement</w:t>
      </w:r>
      <w:r w:rsidRPr="00665D2A">
        <w:rPr>
          <w:rFonts w:cs="Calibri"/>
          <w:sz w:val="24"/>
        </w:rPr>
        <w:t xml:space="preserve">, could </w:t>
      </w:r>
      <w:r w:rsidR="003F5FA6">
        <w:rPr>
          <w:rFonts w:cs="Calibri"/>
          <w:sz w:val="24"/>
        </w:rPr>
        <w:t xml:space="preserve">have </w:t>
      </w:r>
      <w:r w:rsidRPr="00665D2A">
        <w:rPr>
          <w:rFonts w:cs="Calibri"/>
          <w:sz w:val="24"/>
        </w:rPr>
        <w:t>be</w:t>
      </w:r>
      <w:r w:rsidR="003F5FA6">
        <w:rPr>
          <w:rFonts w:cs="Calibri"/>
          <w:sz w:val="24"/>
        </w:rPr>
        <w:t>en</w:t>
      </w:r>
      <w:r w:rsidRPr="00665D2A">
        <w:rPr>
          <w:rFonts w:cs="Calibri"/>
          <w:sz w:val="24"/>
        </w:rPr>
        <w:t xml:space="preserve"> a deliberate ploy to destabilise public trust in the</w:t>
      </w:r>
      <w:r>
        <w:rPr>
          <w:rFonts w:cs="Calibri"/>
          <w:sz w:val="24"/>
        </w:rPr>
        <w:t xml:space="preserve"> educational improvements claimed to have been achieved through Labour’s policies. </w:t>
      </w:r>
      <w:r w:rsidRPr="00665D2A">
        <w:rPr>
          <w:rFonts w:cs="Calibri"/>
          <w:sz w:val="24"/>
        </w:rPr>
        <w:t xml:space="preserve"> </w:t>
      </w:r>
      <w:r>
        <w:rPr>
          <w:rFonts w:cs="Calibri"/>
          <w:sz w:val="24"/>
        </w:rPr>
        <w:t>In 2010</w:t>
      </w:r>
      <w:r w:rsidR="003F5FA6">
        <w:rPr>
          <w:rFonts w:cs="Calibri"/>
          <w:sz w:val="24"/>
        </w:rPr>
        <w:t>,</w:t>
      </w:r>
      <w:r>
        <w:rPr>
          <w:rFonts w:cs="Calibri"/>
          <w:sz w:val="24"/>
        </w:rPr>
        <w:t xml:space="preserve"> t</w:t>
      </w:r>
      <w:r w:rsidRPr="00665D2A">
        <w:rPr>
          <w:rFonts w:cs="Calibri"/>
          <w:sz w:val="24"/>
        </w:rPr>
        <w:t xml:space="preserve">he national average </w:t>
      </w:r>
      <w:r w:rsidR="003F5FA6">
        <w:rPr>
          <w:rFonts w:cs="Calibri"/>
          <w:sz w:val="24"/>
        </w:rPr>
        <w:t xml:space="preserve">percentage of students passing the </w:t>
      </w:r>
      <w:r w:rsidRPr="00665D2A">
        <w:rPr>
          <w:rFonts w:cs="Calibri"/>
          <w:sz w:val="24"/>
        </w:rPr>
        <w:t>EBac was only 15</w:t>
      </w:r>
      <w:r w:rsidR="00BE350B">
        <w:rPr>
          <w:rFonts w:cs="Calibri"/>
          <w:sz w:val="24"/>
        </w:rPr>
        <w:t>.6</w:t>
      </w:r>
      <w:r w:rsidRPr="00665D2A">
        <w:rPr>
          <w:rFonts w:cs="Calibri"/>
          <w:sz w:val="24"/>
        </w:rPr>
        <w:t>%</w:t>
      </w:r>
      <w:r w:rsidR="003F5FA6">
        <w:rPr>
          <w:rFonts w:cs="Calibri"/>
          <w:sz w:val="24"/>
        </w:rPr>
        <w:t>,</w:t>
      </w:r>
      <w:r w:rsidR="00BE350B">
        <w:rPr>
          <w:rFonts w:cs="Calibri"/>
          <w:sz w:val="24"/>
        </w:rPr>
        <w:t xml:space="preserve"> compared with 53.4</w:t>
      </w:r>
      <w:r w:rsidRPr="00665D2A">
        <w:rPr>
          <w:rFonts w:cs="Calibri"/>
          <w:sz w:val="24"/>
        </w:rPr>
        <w:t>% achiev</w:t>
      </w:r>
      <w:r w:rsidR="003F5FA6">
        <w:rPr>
          <w:rFonts w:cs="Calibri"/>
          <w:sz w:val="24"/>
        </w:rPr>
        <w:t>ing</w:t>
      </w:r>
      <w:r w:rsidRPr="00665D2A">
        <w:rPr>
          <w:rFonts w:cs="Calibri"/>
          <w:sz w:val="24"/>
        </w:rPr>
        <w:t xml:space="preserve"> five GCSEs </w:t>
      </w:r>
      <w:r w:rsidR="003F5FA6">
        <w:rPr>
          <w:rFonts w:cs="Calibri"/>
          <w:sz w:val="24"/>
        </w:rPr>
        <w:t xml:space="preserve">graded </w:t>
      </w:r>
      <w:r w:rsidRPr="00665D2A">
        <w:rPr>
          <w:rFonts w:cs="Calibri"/>
          <w:sz w:val="24"/>
        </w:rPr>
        <w:t>A*-C</w:t>
      </w:r>
      <w:r w:rsidR="003F5FA6">
        <w:rPr>
          <w:rFonts w:cs="Calibri"/>
          <w:sz w:val="24"/>
        </w:rPr>
        <w:t>,</w:t>
      </w:r>
      <w:r w:rsidRPr="00665D2A">
        <w:rPr>
          <w:rFonts w:cs="Calibri"/>
          <w:sz w:val="24"/>
        </w:rPr>
        <w:t xml:space="preserve"> including English and </w:t>
      </w:r>
      <w:r>
        <w:rPr>
          <w:rFonts w:cs="Calibri"/>
          <w:sz w:val="24"/>
        </w:rPr>
        <w:t>Mathematics</w:t>
      </w:r>
      <w:r w:rsidR="00BE350B">
        <w:rPr>
          <w:rFonts w:cs="Calibri"/>
          <w:sz w:val="24"/>
        </w:rPr>
        <w:t xml:space="preserve"> (DfE 2011)</w:t>
      </w:r>
      <w:r w:rsidRPr="00665D2A">
        <w:rPr>
          <w:rFonts w:cs="Calibri"/>
          <w:sz w:val="24"/>
        </w:rPr>
        <w:t xml:space="preserve">. The </w:t>
      </w:r>
      <w:r>
        <w:rPr>
          <w:rFonts w:cs="Calibri"/>
          <w:sz w:val="24"/>
        </w:rPr>
        <w:t xml:space="preserve">Coalition government was quick to highlight the </w:t>
      </w:r>
      <w:r w:rsidRPr="00665D2A">
        <w:rPr>
          <w:rFonts w:cs="Calibri"/>
          <w:sz w:val="24"/>
        </w:rPr>
        <w:t xml:space="preserve">fact that </w:t>
      </w:r>
      <w:r>
        <w:rPr>
          <w:rFonts w:cs="Calibri"/>
          <w:sz w:val="24"/>
        </w:rPr>
        <w:t>the curricul</w:t>
      </w:r>
      <w:r w:rsidR="003F5FA6">
        <w:rPr>
          <w:rFonts w:cs="Calibri"/>
          <w:sz w:val="24"/>
        </w:rPr>
        <w:t>a</w:t>
      </w:r>
      <w:r>
        <w:rPr>
          <w:rFonts w:cs="Calibri"/>
          <w:sz w:val="24"/>
        </w:rPr>
        <w:t xml:space="preserve"> of some</w:t>
      </w:r>
      <w:r w:rsidRPr="00665D2A">
        <w:rPr>
          <w:rFonts w:cs="Calibri"/>
          <w:sz w:val="24"/>
        </w:rPr>
        <w:t xml:space="preserve"> academies d</w:t>
      </w:r>
      <w:r>
        <w:rPr>
          <w:rFonts w:cs="Calibri"/>
          <w:sz w:val="24"/>
        </w:rPr>
        <w:t>id</w:t>
      </w:r>
      <w:r w:rsidRPr="00665D2A">
        <w:rPr>
          <w:rFonts w:cs="Calibri"/>
          <w:sz w:val="24"/>
        </w:rPr>
        <w:t xml:space="preserve"> not allow any of their </w:t>
      </w:r>
      <w:r>
        <w:rPr>
          <w:rFonts w:cs="Calibri"/>
          <w:sz w:val="24"/>
        </w:rPr>
        <w:t>students</w:t>
      </w:r>
      <w:r w:rsidRPr="00665D2A">
        <w:rPr>
          <w:rFonts w:cs="Calibri"/>
          <w:sz w:val="24"/>
        </w:rPr>
        <w:t xml:space="preserve"> to gain the EBac</w:t>
      </w:r>
      <w:r>
        <w:rPr>
          <w:rFonts w:cs="Calibri"/>
          <w:sz w:val="24"/>
        </w:rPr>
        <w:t>, calling</w:t>
      </w:r>
      <w:r w:rsidRPr="00665D2A">
        <w:rPr>
          <w:rFonts w:cs="Calibri"/>
          <w:sz w:val="24"/>
        </w:rPr>
        <w:t xml:space="preserve"> into question </w:t>
      </w:r>
      <w:r>
        <w:rPr>
          <w:rFonts w:cs="Calibri"/>
          <w:sz w:val="24"/>
        </w:rPr>
        <w:t xml:space="preserve">Labour’s </w:t>
      </w:r>
      <w:r w:rsidRPr="00665D2A">
        <w:rPr>
          <w:rFonts w:cs="Calibri"/>
          <w:sz w:val="24"/>
        </w:rPr>
        <w:t>claim</w:t>
      </w:r>
      <w:r>
        <w:rPr>
          <w:rFonts w:cs="Calibri"/>
          <w:sz w:val="24"/>
        </w:rPr>
        <w:t>s</w:t>
      </w:r>
      <w:r w:rsidRPr="00665D2A">
        <w:rPr>
          <w:rFonts w:cs="Calibri"/>
          <w:sz w:val="24"/>
        </w:rPr>
        <w:t xml:space="preserve"> that academies</w:t>
      </w:r>
      <w:r>
        <w:rPr>
          <w:rFonts w:cs="Calibri"/>
          <w:sz w:val="24"/>
        </w:rPr>
        <w:t xml:space="preserve"> </w:t>
      </w:r>
      <w:r w:rsidRPr="00665D2A">
        <w:rPr>
          <w:rFonts w:cs="Calibri"/>
          <w:sz w:val="24"/>
        </w:rPr>
        <w:t>were improving educational outcomes for children.</w:t>
      </w:r>
    </w:p>
    <w:p w14:paraId="178A0AC5" w14:textId="36F849AF" w:rsidR="00A75A8F" w:rsidRPr="00665D2A" w:rsidRDefault="00A75A8F" w:rsidP="00A75A8F">
      <w:pPr>
        <w:spacing w:line="360" w:lineRule="auto"/>
        <w:rPr>
          <w:rFonts w:cs="Calibri"/>
          <w:sz w:val="24"/>
        </w:rPr>
      </w:pPr>
      <w:r>
        <w:rPr>
          <w:rFonts w:cs="Calibri"/>
          <w:sz w:val="24"/>
        </w:rPr>
        <w:t>Another stated aim of t</w:t>
      </w:r>
      <w:r w:rsidRPr="00665D2A">
        <w:rPr>
          <w:rFonts w:cs="Calibri"/>
          <w:sz w:val="24"/>
        </w:rPr>
        <w:t xml:space="preserve">he </w:t>
      </w:r>
      <w:r>
        <w:rPr>
          <w:rFonts w:cs="Calibri"/>
          <w:sz w:val="24"/>
        </w:rPr>
        <w:t xml:space="preserve">1988 </w:t>
      </w:r>
      <w:r w:rsidRPr="00665D2A">
        <w:rPr>
          <w:rFonts w:cs="Calibri"/>
          <w:sz w:val="24"/>
        </w:rPr>
        <w:t xml:space="preserve">National Curriculum </w:t>
      </w:r>
      <w:r>
        <w:rPr>
          <w:rFonts w:cs="Calibri"/>
          <w:sz w:val="24"/>
        </w:rPr>
        <w:t xml:space="preserve">relevant </w:t>
      </w:r>
      <w:r w:rsidRPr="00665D2A">
        <w:rPr>
          <w:rFonts w:cs="Calibri"/>
          <w:sz w:val="24"/>
        </w:rPr>
        <w:t>to the EBac</w:t>
      </w:r>
      <w:r w:rsidR="005D70B0" w:rsidRPr="005D70B0">
        <w:rPr>
          <w:rFonts w:cs="Calibri"/>
          <w:sz w:val="24"/>
        </w:rPr>
        <w:t xml:space="preserve"> </w:t>
      </w:r>
      <w:r w:rsidR="005D70B0">
        <w:rPr>
          <w:rFonts w:cs="Calibri"/>
          <w:sz w:val="24"/>
        </w:rPr>
        <w:t>and disputed by Carr and Hartnett</w:t>
      </w:r>
      <w:r>
        <w:rPr>
          <w:rFonts w:cs="Calibri"/>
          <w:sz w:val="24"/>
        </w:rPr>
        <w:t xml:space="preserve"> is </w:t>
      </w:r>
      <w:r w:rsidRPr="00665D2A">
        <w:rPr>
          <w:rFonts w:cs="Calibri"/>
          <w:sz w:val="24"/>
        </w:rPr>
        <w:t xml:space="preserve">that it afforded all children a </w:t>
      </w:r>
      <w:r>
        <w:rPr>
          <w:rFonts w:cs="Calibri"/>
          <w:sz w:val="24"/>
        </w:rPr>
        <w:t>common</w:t>
      </w:r>
      <w:r w:rsidRPr="00665D2A">
        <w:rPr>
          <w:rFonts w:cs="Calibri"/>
          <w:sz w:val="24"/>
        </w:rPr>
        <w:t xml:space="preserve"> curriculum and an equal entitlement</w:t>
      </w:r>
      <w:r>
        <w:rPr>
          <w:rFonts w:cs="Calibri"/>
          <w:sz w:val="24"/>
        </w:rPr>
        <w:t xml:space="preserve"> and opportunities for future educational progression. They argued that such a curriculum would not afford equal opportunities</w:t>
      </w:r>
      <w:r w:rsidR="005D70B0">
        <w:rPr>
          <w:rFonts w:cs="Calibri"/>
          <w:sz w:val="24"/>
        </w:rPr>
        <w:t>;</w:t>
      </w:r>
      <w:r>
        <w:rPr>
          <w:rFonts w:cs="Calibri"/>
          <w:sz w:val="24"/>
        </w:rPr>
        <w:t xml:space="preserve"> I </w:t>
      </w:r>
      <w:r w:rsidR="005D70B0">
        <w:rPr>
          <w:rFonts w:cs="Calibri"/>
          <w:sz w:val="24"/>
        </w:rPr>
        <w:t xml:space="preserve">in turn </w:t>
      </w:r>
      <w:r>
        <w:rPr>
          <w:rFonts w:cs="Calibri"/>
          <w:sz w:val="24"/>
        </w:rPr>
        <w:t xml:space="preserve">argue </w:t>
      </w:r>
      <w:r w:rsidR="005D70B0">
        <w:rPr>
          <w:rFonts w:cs="Calibri"/>
          <w:sz w:val="24"/>
        </w:rPr>
        <w:t xml:space="preserve">that </w:t>
      </w:r>
      <w:r>
        <w:rPr>
          <w:rFonts w:cs="Calibri"/>
          <w:sz w:val="24"/>
        </w:rPr>
        <w:t xml:space="preserve">the EBac will not </w:t>
      </w:r>
      <w:r>
        <w:rPr>
          <w:rFonts w:cs="Calibri"/>
          <w:sz w:val="24"/>
        </w:rPr>
        <w:lastRenderedPageBreak/>
        <w:t xml:space="preserve">enhance equality. </w:t>
      </w:r>
      <w:r w:rsidRPr="00665D2A">
        <w:rPr>
          <w:rFonts w:cs="Calibri"/>
          <w:sz w:val="24"/>
        </w:rPr>
        <w:t>Gove is clear in his intent that the EBac will allow equality of opportunity and can be regarded as:</w:t>
      </w:r>
    </w:p>
    <w:p w14:paraId="25CBD486" w14:textId="7401AD9E" w:rsidR="00A75A8F" w:rsidRPr="00665D2A" w:rsidRDefault="00D34235" w:rsidP="00A75A8F">
      <w:pPr>
        <w:spacing w:line="240" w:lineRule="auto"/>
        <w:ind w:left="720"/>
        <w:rPr>
          <w:rFonts w:cs="Calibri"/>
          <w:sz w:val="24"/>
        </w:rPr>
      </w:pPr>
      <w:r>
        <w:rPr>
          <w:rFonts w:cs="Calibri"/>
          <w:sz w:val="24"/>
        </w:rPr>
        <w:t>…</w:t>
      </w:r>
      <w:r w:rsidR="00A75A8F">
        <w:rPr>
          <w:rFonts w:cs="Calibri"/>
          <w:sz w:val="24"/>
        </w:rPr>
        <w:t xml:space="preserve">a </w:t>
      </w:r>
      <w:r w:rsidR="00A75A8F" w:rsidRPr="00665D2A">
        <w:rPr>
          <w:rFonts w:cs="Calibri"/>
          <w:sz w:val="24"/>
        </w:rPr>
        <w:t>driver of real social justice. The very best means of helping all realise their potential – of making opportunity more equal – is guaranteeing the best possible education</w:t>
      </w:r>
      <w:r w:rsidR="00A75A8F">
        <w:rPr>
          <w:rFonts w:cs="Calibri"/>
          <w:sz w:val="24"/>
        </w:rPr>
        <w:t xml:space="preserve"> </w:t>
      </w:r>
      <w:r w:rsidR="00A75A8F" w:rsidRPr="00665D2A">
        <w:rPr>
          <w:rFonts w:cs="Calibri"/>
          <w:sz w:val="24"/>
        </w:rPr>
        <w:t>for as many as possible (2009a</w:t>
      </w:r>
      <w:r w:rsidR="00A75A8F">
        <w:rPr>
          <w:rFonts w:cs="Calibri"/>
          <w:sz w:val="24"/>
        </w:rPr>
        <w:t xml:space="preserve">, </w:t>
      </w:r>
      <w:r w:rsidR="00A75A8F" w:rsidRPr="00665D2A">
        <w:rPr>
          <w:rFonts w:cs="Calibri"/>
          <w:sz w:val="24"/>
        </w:rPr>
        <w:t>p.3).</w:t>
      </w:r>
    </w:p>
    <w:p w14:paraId="17A4F1EC" w14:textId="687CB668" w:rsidR="00A75A8F" w:rsidRPr="00665D2A" w:rsidRDefault="00A75A8F" w:rsidP="00A75A8F">
      <w:pPr>
        <w:spacing w:line="360" w:lineRule="auto"/>
        <w:rPr>
          <w:rFonts w:cs="Calibri"/>
          <w:sz w:val="24"/>
        </w:rPr>
      </w:pPr>
      <w:r w:rsidRPr="00665D2A">
        <w:rPr>
          <w:rFonts w:cs="Calibri"/>
          <w:sz w:val="24"/>
        </w:rPr>
        <w:t>His belief is based on the concept that a</w:t>
      </w:r>
      <w:r>
        <w:rPr>
          <w:rFonts w:cs="Calibri"/>
          <w:sz w:val="24"/>
        </w:rPr>
        <w:t xml:space="preserve"> stated limited set of subjects and qualifications</w:t>
      </w:r>
      <w:r w:rsidRPr="00665D2A">
        <w:rPr>
          <w:rFonts w:cs="Calibri"/>
          <w:sz w:val="24"/>
        </w:rPr>
        <w:t xml:space="preserve"> prevent</w:t>
      </w:r>
      <w:r>
        <w:rPr>
          <w:rFonts w:cs="Calibri"/>
          <w:sz w:val="24"/>
        </w:rPr>
        <w:t>s</w:t>
      </w:r>
      <w:r w:rsidRPr="00665D2A">
        <w:rPr>
          <w:rFonts w:cs="Calibri"/>
          <w:sz w:val="24"/>
        </w:rPr>
        <w:t xml:space="preserve"> certain students from opting out of this curriculum. </w:t>
      </w:r>
      <w:r>
        <w:rPr>
          <w:rFonts w:cs="Calibri"/>
          <w:sz w:val="24"/>
        </w:rPr>
        <w:t xml:space="preserve">The argument proposes </w:t>
      </w:r>
      <w:r w:rsidRPr="00665D2A">
        <w:rPr>
          <w:rFonts w:cs="Calibri"/>
          <w:sz w:val="24"/>
        </w:rPr>
        <w:t xml:space="preserve">that all </w:t>
      </w:r>
      <w:r>
        <w:rPr>
          <w:rFonts w:cs="Calibri"/>
          <w:sz w:val="24"/>
        </w:rPr>
        <w:t xml:space="preserve">students </w:t>
      </w:r>
      <w:r w:rsidRPr="00665D2A">
        <w:rPr>
          <w:rFonts w:cs="Calibri"/>
          <w:sz w:val="24"/>
        </w:rPr>
        <w:t xml:space="preserve">are presented with the same progression opportunities for </w:t>
      </w:r>
      <w:r>
        <w:rPr>
          <w:rFonts w:cs="Calibri"/>
          <w:sz w:val="24"/>
        </w:rPr>
        <w:t xml:space="preserve">attainment, </w:t>
      </w:r>
      <w:r w:rsidRPr="00665D2A">
        <w:rPr>
          <w:rFonts w:cs="Calibri"/>
          <w:sz w:val="24"/>
        </w:rPr>
        <w:t>further academic study and choice of university</w:t>
      </w:r>
      <w:r>
        <w:rPr>
          <w:rFonts w:cs="Calibri"/>
          <w:sz w:val="24"/>
        </w:rPr>
        <w:t xml:space="preserve">, </w:t>
      </w:r>
      <w:r w:rsidRPr="00665D2A">
        <w:rPr>
          <w:rFonts w:cs="Calibri"/>
          <w:sz w:val="24"/>
        </w:rPr>
        <w:t>ignor</w:t>
      </w:r>
      <w:r>
        <w:rPr>
          <w:rFonts w:cs="Calibri"/>
          <w:sz w:val="24"/>
        </w:rPr>
        <w:t>ing</w:t>
      </w:r>
      <w:r w:rsidRPr="00665D2A">
        <w:rPr>
          <w:rFonts w:cs="Calibri"/>
          <w:sz w:val="24"/>
        </w:rPr>
        <w:t xml:space="preserve"> the fact that not all students will succeed </w:t>
      </w:r>
      <w:r w:rsidR="005D70B0">
        <w:rPr>
          <w:rFonts w:cs="Calibri"/>
          <w:sz w:val="24"/>
        </w:rPr>
        <w:t>(</w:t>
      </w:r>
      <w:r w:rsidRPr="00665D2A">
        <w:rPr>
          <w:rFonts w:cs="Calibri"/>
          <w:sz w:val="24"/>
        </w:rPr>
        <w:t xml:space="preserve">or </w:t>
      </w:r>
      <w:r>
        <w:rPr>
          <w:rFonts w:cs="Calibri"/>
          <w:sz w:val="24"/>
        </w:rPr>
        <w:t xml:space="preserve">wish </w:t>
      </w:r>
      <w:r w:rsidRPr="00665D2A">
        <w:rPr>
          <w:rFonts w:cs="Calibri"/>
          <w:sz w:val="24"/>
        </w:rPr>
        <w:t>to succeed</w:t>
      </w:r>
      <w:r w:rsidR="005D70B0">
        <w:rPr>
          <w:rFonts w:cs="Calibri"/>
          <w:sz w:val="24"/>
        </w:rPr>
        <w:t>)</w:t>
      </w:r>
      <w:r w:rsidRPr="00665D2A">
        <w:rPr>
          <w:rFonts w:cs="Calibri"/>
          <w:sz w:val="24"/>
        </w:rPr>
        <w:t xml:space="preserve"> at the EBac</w:t>
      </w:r>
      <w:r>
        <w:rPr>
          <w:rFonts w:cs="Calibri"/>
          <w:sz w:val="24"/>
        </w:rPr>
        <w:t>.</w:t>
      </w:r>
    </w:p>
    <w:p w14:paraId="2DE1AB06" w14:textId="16079E3C" w:rsidR="00A75A8F" w:rsidRPr="00665D2A" w:rsidRDefault="00A75A8F" w:rsidP="00A75A8F">
      <w:pPr>
        <w:tabs>
          <w:tab w:val="left" w:pos="8364"/>
        </w:tabs>
        <w:spacing w:line="360" w:lineRule="auto"/>
        <w:rPr>
          <w:rFonts w:cs="Calibri"/>
          <w:sz w:val="24"/>
        </w:rPr>
      </w:pPr>
      <w:r>
        <w:rPr>
          <w:rFonts w:cs="Calibri"/>
          <w:sz w:val="24"/>
        </w:rPr>
        <w:t xml:space="preserve">Rather than </w:t>
      </w:r>
      <w:r w:rsidRPr="00665D2A">
        <w:rPr>
          <w:rFonts w:cs="Calibri"/>
          <w:sz w:val="24"/>
        </w:rPr>
        <w:t>providing equality of opportunity and social justice</w:t>
      </w:r>
      <w:r w:rsidR="005D70B0">
        <w:rPr>
          <w:rFonts w:cs="Calibri"/>
          <w:sz w:val="24"/>
        </w:rPr>
        <w:t>,</w:t>
      </w:r>
      <w:r w:rsidRPr="00665D2A">
        <w:rPr>
          <w:rFonts w:cs="Calibri"/>
          <w:sz w:val="24"/>
        </w:rPr>
        <w:t xml:space="preserve"> </w:t>
      </w:r>
      <w:r>
        <w:rPr>
          <w:rFonts w:cs="Calibri"/>
          <w:sz w:val="24"/>
        </w:rPr>
        <w:t xml:space="preserve">I argue that </w:t>
      </w:r>
      <w:r w:rsidRPr="00665D2A">
        <w:rPr>
          <w:rFonts w:cs="Calibri"/>
          <w:sz w:val="24"/>
        </w:rPr>
        <w:t>the EBac</w:t>
      </w:r>
      <w:r>
        <w:rPr>
          <w:rFonts w:cs="Calibri"/>
          <w:sz w:val="24"/>
        </w:rPr>
        <w:t xml:space="preserve"> perpetuates </w:t>
      </w:r>
      <w:r w:rsidRPr="00665D2A">
        <w:rPr>
          <w:rFonts w:cs="Calibri"/>
          <w:sz w:val="24"/>
        </w:rPr>
        <w:t>education as a site of social and cultural reproduction</w:t>
      </w:r>
      <w:r>
        <w:rPr>
          <w:rFonts w:cs="Calibri"/>
          <w:sz w:val="24"/>
        </w:rPr>
        <w:t>, ensuring the continuation of social and cultural hierarchies of power in</w:t>
      </w:r>
      <w:r w:rsidR="005A398B">
        <w:rPr>
          <w:rFonts w:cs="Calibri"/>
          <w:sz w:val="24"/>
        </w:rPr>
        <w:t xml:space="preserve"> society (Bowles and Gintis 1976</w:t>
      </w:r>
      <w:r>
        <w:rPr>
          <w:rFonts w:cs="Calibri"/>
          <w:sz w:val="24"/>
        </w:rPr>
        <w:t>). In this way</w:t>
      </w:r>
      <w:r w:rsidR="005D70B0">
        <w:rPr>
          <w:rFonts w:cs="Calibri"/>
          <w:sz w:val="24"/>
        </w:rPr>
        <w:t>,</w:t>
      </w:r>
      <w:r>
        <w:rPr>
          <w:rFonts w:cs="Calibri"/>
          <w:sz w:val="24"/>
        </w:rPr>
        <w:t xml:space="preserve"> the EBac</w:t>
      </w:r>
      <w:r w:rsidRPr="00665D2A">
        <w:rPr>
          <w:rFonts w:cs="Calibri"/>
          <w:sz w:val="24"/>
        </w:rPr>
        <w:t xml:space="preserve"> exacerbate</w:t>
      </w:r>
      <w:r>
        <w:rPr>
          <w:rFonts w:cs="Calibri"/>
          <w:sz w:val="24"/>
        </w:rPr>
        <w:t>s</w:t>
      </w:r>
      <w:r w:rsidRPr="00665D2A">
        <w:rPr>
          <w:rFonts w:cs="Calibri"/>
          <w:sz w:val="24"/>
        </w:rPr>
        <w:t xml:space="preserve"> differences between students of differing social class</w:t>
      </w:r>
      <w:r>
        <w:rPr>
          <w:rFonts w:cs="Calibri"/>
          <w:sz w:val="24"/>
        </w:rPr>
        <w:t xml:space="preserve">, </w:t>
      </w:r>
      <w:r w:rsidRPr="00665D2A">
        <w:rPr>
          <w:rFonts w:cs="Calibri"/>
          <w:sz w:val="24"/>
        </w:rPr>
        <w:t>ethnicity</w:t>
      </w:r>
      <w:r>
        <w:rPr>
          <w:rFonts w:cs="Calibri"/>
          <w:sz w:val="24"/>
        </w:rPr>
        <w:t>,</w:t>
      </w:r>
      <w:r w:rsidRPr="00665D2A">
        <w:rPr>
          <w:rFonts w:cs="Calibri"/>
          <w:sz w:val="24"/>
        </w:rPr>
        <w:t xml:space="preserve"> gender </w:t>
      </w:r>
      <w:r>
        <w:rPr>
          <w:rFonts w:cs="Calibri"/>
          <w:sz w:val="24"/>
        </w:rPr>
        <w:t xml:space="preserve">and </w:t>
      </w:r>
      <w:r w:rsidRPr="00665D2A">
        <w:rPr>
          <w:rFonts w:cs="Calibri"/>
          <w:sz w:val="24"/>
        </w:rPr>
        <w:t>SEND. Apple states that:</w:t>
      </w:r>
    </w:p>
    <w:p w14:paraId="456AD92D" w14:textId="77777777" w:rsidR="00A75A8F" w:rsidRPr="00665D2A" w:rsidRDefault="00A75A8F" w:rsidP="00A75A8F">
      <w:pPr>
        <w:spacing w:line="240" w:lineRule="auto"/>
        <w:ind w:left="720"/>
        <w:rPr>
          <w:rFonts w:cs="Calibri"/>
          <w:sz w:val="24"/>
        </w:rPr>
      </w:pPr>
      <w:r w:rsidRPr="00665D2A">
        <w:rPr>
          <w:rFonts w:cs="Calibri"/>
          <w:sz w:val="24"/>
        </w:rPr>
        <w:t>The “same treatment” by sex, race and ethnicity, or class is not the same at all. A democratic curriculum and pedagogy must begin with a recognition of “the different social positionings and cultural repertoires in the classrooms, and the power relations between them” (</w:t>
      </w:r>
      <w:r>
        <w:rPr>
          <w:rFonts w:cs="Calibri"/>
          <w:sz w:val="24"/>
        </w:rPr>
        <w:t xml:space="preserve">1996, </w:t>
      </w:r>
      <w:r w:rsidRPr="00665D2A">
        <w:rPr>
          <w:rFonts w:cs="Calibri"/>
          <w:sz w:val="24"/>
        </w:rPr>
        <w:t>p.33).</w:t>
      </w:r>
    </w:p>
    <w:p w14:paraId="2F1A5E94" w14:textId="77777777" w:rsidR="00A75A8F" w:rsidRDefault="00A75A8F" w:rsidP="00A75A8F">
      <w:pPr>
        <w:spacing w:line="360" w:lineRule="auto"/>
        <w:rPr>
          <w:rFonts w:cs="Calibri"/>
          <w:sz w:val="24"/>
        </w:rPr>
      </w:pPr>
      <w:r>
        <w:rPr>
          <w:rFonts w:cs="Calibri"/>
          <w:sz w:val="24"/>
        </w:rPr>
        <w:t>T</w:t>
      </w:r>
      <w:r w:rsidRPr="00665D2A">
        <w:rPr>
          <w:rFonts w:cs="Calibri"/>
          <w:sz w:val="24"/>
        </w:rPr>
        <w:t xml:space="preserve">here </w:t>
      </w:r>
      <w:r>
        <w:rPr>
          <w:rFonts w:cs="Calibri"/>
          <w:sz w:val="24"/>
        </w:rPr>
        <w:t>are</w:t>
      </w:r>
      <w:r w:rsidRPr="00665D2A">
        <w:rPr>
          <w:rFonts w:cs="Calibri"/>
          <w:sz w:val="24"/>
        </w:rPr>
        <w:t xml:space="preserve"> differences in </w:t>
      </w:r>
      <w:r>
        <w:rPr>
          <w:rFonts w:cs="Calibri"/>
          <w:sz w:val="24"/>
        </w:rPr>
        <w:t xml:space="preserve">educational </w:t>
      </w:r>
      <w:r w:rsidRPr="00665D2A">
        <w:rPr>
          <w:rFonts w:cs="Calibri"/>
          <w:sz w:val="24"/>
        </w:rPr>
        <w:t xml:space="preserve">achievement </w:t>
      </w:r>
      <w:r>
        <w:rPr>
          <w:rFonts w:cs="Calibri"/>
          <w:sz w:val="24"/>
        </w:rPr>
        <w:t xml:space="preserve">in England </w:t>
      </w:r>
      <w:r w:rsidRPr="00665D2A">
        <w:rPr>
          <w:rFonts w:cs="Calibri"/>
          <w:sz w:val="24"/>
        </w:rPr>
        <w:t>across a range of social groups</w:t>
      </w:r>
      <w:r>
        <w:rPr>
          <w:rFonts w:cs="Calibri"/>
          <w:sz w:val="24"/>
        </w:rPr>
        <w:t xml:space="preserve"> and the literature relating to these inequalities is now critically reviewed.</w:t>
      </w:r>
    </w:p>
    <w:p w14:paraId="21AB1554" w14:textId="77777777" w:rsidR="00A75A8F" w:rsidRPr="000E77FC" w:rsidRDefault="00A75A8F" w:rsidP="00531995">
      <w:pPr>
        <w:pStyle w:val="Heading3"/>
      </w:pPr>
      <w:bookmarkStart w:id="21" w:name="_Toc452316306"/>
      <w:r w:rsidRPr="000E77FC">
        <w:t>2.2.3 Social class</w:t>
      </w:r>
      <w:bookmarkEnd w:id="21"/>
    </w:p>
    <w:p w14:paraId="3B5E0EE2" w14:textId="6E2F9C88" w:rsidR="00A75A8F" w:rsidRPr="00CE2829" w:rsidRDefault="00A75A8F" w:rsidP="00A75A8F">
      <w:pPr>
        <w:spacing w:line="360" w:lineRule="auto"/>
        <w:rPr>
          <w:rFonts w:cs="Calibri"/>
          <w:sz w:val="24"/>
        </w:rPr>
      </w:pPr>
      <w:r>
        <w:rPr>
          <w:rFonts w:cs="Calibri"/>
          <w:sz w:val="24"/>
        </w:rPr>
        <w:t>S</w:t>
      </w:r>
      <w:r w:rsidRPr="00665D2A">
        <w:rPr>
          <w:rFonts w:cs="Calibri"/>
          <w:sz w:val="24"/>
        </w:rPr>
        <w:t xml:space="preserve">tudents from disadvantaged backgrounds </w:t>
      </w:r>
      <w:r>
        <w:rPr>
          <w:rFonts w:cs="Calibri"/>
          <w:sz w:val="24"/>
        </w:rPr>
        <w:t>in England are</w:t>
      </w:r>
      <w:r w:rsidRPr="00665D2A">
        <w:rPr>
          <w:rFonts w:cs="Calibri"/>
          <w:sz w:val="24"/>
        </w:rPr>
        <w:t xml:space="preserve"> much less likely to achieve </w:t>
      </w:r>
      <w:r>
        <w:rPr>
          <w:rFonts w:cs="Calibri"/>
          <w:sz w:val="24"/>
        </w:rPr>
        <w:t xml:space="preserve">5 A*-C GCSEs </w:t>
      </w:r>
      <w:r w:rsidRPr="00665D2A">
        <w:rPr>
          <w:rFonts w:cs="Calibri"/>
          <w:sz w:val="24"/>
        </w:rPr>
        <w:t xml:space="preserve">than those from more privileged backgrounds. </w:t>
      </w:r>
      <w:r>
        <w:rPr>
          <w:rFonts w:cs="Calibri"/>
          <w:sz w:val="24"/>
        </w:rPr>
        <w:t>T</w:t>
      </w:r>
      <w:r w:rsidRPr="00665D2A">
        <w:rPr>
          <w:rFonts w:cs="Calibri"/>
          <w:sz w:val="24"/>
        </w:rPr>
        <w:t xml:space="preserve">he White Paper </w:t>
      </w:r>
      <w:r>
        <w:rPr>
          <w:rFonts w:cs="Calibri"/>
          <w:sz w:val="24"/>
        </w:rPr>
        <w:t xml:space="preserve">2010 </w:t>
      </w:r>
      <w:r w:rsidRPr="00665D2A">
        <w:rPr>
          <w:rFonts w:cs="Calibri"/>
          <w:sz w:val="24"/>
        </w:rPr>
        <w:t xml:space="preserve">forewords by both the Prime Minister </w:t>
      </w:r>
      <w:r>
        <w:rPr>
          <w:rFonts w:cs="Calibri"/>
          <w:sz w:val="24"/>
        </w:rPr>
        <w:t xml:space="preserve">(PM) </w:t>
      </w:r>
      <w:r w:rsidRPr="00665D2A">
        <w:rPr>
          <w:rFonts w:cs="Calibri"/>
          <w:sz w:val="24"/>
        </w:rPr>
        <w:t xml:space="preserve">and the Secretary of State for </w:t>
      </w:r>
      <w:r>
        <w:rPr>
          <w:rFonts w:cs="Calibri"/>
          <w:sz w:val="24"/>
        </w:rPr>
        <w:t>E</w:t>
      </w:r>
      <w:r w:rsidRPr="00665D2A">
        <w:rPr>
          <w:rFonts w:cs="Calibri"/>
          <w:sz w:val="24"/>
        </w:rPr>
        <w:t xml:space="preserve">ducation </w:t>
      </w:r>
      <w:r>
        <w:rPr>
          <w:rFonts w:cs="Calibri"/>
          <w:sz w:val="24"/>
        </w:rPr>
        <w:t xml:space="preserve">(Gove) </w:t>
      </w:r>
      <w:r w:rsidRPr="00665D2A">
        <w:rPr>
          <w:rFonts w:cs="Calibri"/>
          <w:sz w:val="24"/>
        </w:rPr>
        <w:t>make reference to the fact that more students go to Oxbridge</w:t>
      </w:r>
      <w:r w:rsidRPr="00CE2829">
        <w:rPr>
          <w:rStyle w:val="FootnoteReference1"/>
          <w:rFonts w:cs="Calibri"/>
          <w:sz w:val="24"/>
        </w:rPr>
        <w:footnoteReference w:id="27"/>
      </w:r>
      <w:r w:rsidRPr="00CE2829">
        <w:rPr>
          <w:rFonts w:cs="Calibri"/>
          <w:sz w:val="24"/>
        </w:rPr>
        <w:t xml:space="preserve"> each year from particular independent schools than from the whole cohort of students in receipt of FSM.  Perry </w:t>
      </w:r>
      <w:r w:rsidR="005D70B0">
        <w:rPr>
          <w:rFonts w:cs="Calibri"/>
          <w:sz w:val="24"/>
        </w:rPr>
        <w:t>and</w:t>
      </w:r>
      <w:r w:rsidRPr="00CE2829">
        <w:rPr>
          <w:rFonts w:cs="Calibri"/>
          <w:sz w:val="24"/>
        </w:rPr>
        <w:t xml:space="preserve"> Francis comment that:</w:t>
      </w:r>
    </w:p>
    <w:p w14:paraId="226DC600" w14:textId="77777777" w:rsidR="00A75A8F" w:rsidRPr="00CE2829" w:rsidRDefault="00A75A8F" w:rsidP="00A75A8F">
      <w:pPr>
        <w:spacing w:line="240" w:lineRule="auto"/>
        <w:ind w:left="720"/>
        <w:rPr>
          <w:rFonts w:cs="Calibri"/>
          <w:sz w:val="24"/>
        </w:rPr>
      </w:pPr>
      <w:r w:rsidRPr="000E48BD">
        <w:rPr>
          <w:rFonts w:cs="Calibri"/>
          <w:sz w:val="24"/>
        </w:rPr>
        <w:lastRenderedPageBreak/>
        <w:t xml:space="preserve">Social class remains the strongest predictor of educational achievement in the UK, where the social class gap for educational achievement is one of the most significant in the developed </w:t>
      </w:r>
      <w:r w:rsidRPr="00CE2829">
        <w:rPr>
          <w:rFonts w:cs="Calibri"/>
          <w:sz w:val="24"/>
        </w:rPr>
        <w:t>world (</w:t>
      </w:r>
      <w:r>
        <w:rPr>
          <w:rFonts w:cs="Calibri"/>
          <w:sz w:val="24"/>
        </w:rPr>
        <w:t xml:space="preserve">2010, </w:t>
      </w:r>
      <w:r w:rsidRPr="00CE2829">
        <w:rPr>
          <w:rFonts w:cs="Calibri"/>
          <w:sz w:val="24"/>
        </w:rPr>
        <w:t>p.2).</w:t>
      </w:r>
    </w:p>
    <w:p w14:paraId="6851B5EE" w14:textId="33950511" w:rsidR="00A75A8F" w:rsidRPr="00CE2829" w:rsidRDefault="00A75A8F" w:rsidP="00A75A8F">
      <w:pPr>
        <w:spacing w:line="360" w:lineRule="auto"/>
        <w:rPr>
          <w:rFonts w:cs="Calibri"/>
          <w:sz w:val="24"/>
        </w:rPr>
      </w:pPr>
      <w:r w:rsidRPr="00CE2829">
        <w:rPr>
          <w:rFonts w:cs="Calibri"/>
          <w:sz w:val="24"/>
        </w:rPr>
        <w:t xml:space="preserve">Gove </w:t>
      </w:r>
      <w:r>
        <w:rPr>
          <w:rFonts w:cs="Calibri"/>
          <w:sz w:val="24"/>
        </w:rPr>
        <w:t xml:space="preserve">claims </w:t>
      </w:r>
      <w:r w:rsidRPr="00CE2829">
        <w:rPr>
          <w:rFonts w:cs="Calibri"/>
          <w:sz w:val="24"/>
        </w:rPr>
        <w:t>that the EBac provide</w:t>
      </w:r>
      <w:r>
        <w:rPr>
          <w:rFonts w:cs="Calibri"/>
          <w:sz w:val="24"/>
        </w:rPr>
        <w:t>s</w:t>
      </w:r>
      <w:r w:rsidRPr="00CE2829">
        <w:rPr>
          <w:rFonts w:cs="Calibri"/>
          <w:sz w:val="24"/>
        </w:rPr>
        <w:t xml:space="preserve"> greater equality of opportunity for all children, though as </w:t>
      </w:r>
      <w:r w:rsidR="005D70B0">
        <w:rPr>
          <w:rFonts w:cs="Calibri"/>
          <w:sz w:val="24"/>
        </w:rPr>
        <w:t xml:space="preserve">will be </w:t>
      </w:r>
      <w:r w:rsidRPr="00CE2829">
        <w:rPr>
          <w:rFonts w:cs="Calibri"/>
          <w:sz w:val="24"/>
        </w:rPr>
        <w:t>discussed</w:t>
      </w:r>
      <w:r>
        <w:rPr>
          <w:rFonts w:cs="Calibri"/>
          <w:sz w:val="24"/>
        </w:rPr>
        <w:t xml:space="preserve"> later</w:t>
      </w:r>
      <w:r w:rsidRPr="00CE2829">
        <w:rPr>
          <w:rFonts w:cs="Calibri"/>
          <w:sz w:val="24"/>
        </w:rPr>
        <w:t>, the impos</w:t>
      </w:r>
      <w:r>
        <w:rPr>
          <w:rFonts w:cs="Calibri"/>
          <w:sz w:val="24"/>
        </w:rPr>
        <w:t xml:space="preserve">ition of a common, prescribed </w:t>
      </w:r>
      <w:r w:rsidRPr="00CE2829">
        <w:rPr>
          <w:rFonts w:cs="Calibri"/>
          <w:sz w:val="24"/>
        </w:rPr>
        <w:t xml:space="preserve">single curriculum </w:t>
      </w:r>
      <w:r>
        <w:rPr>
          <w:rFonts w:cs="Calibri"/>
          <w:sz w:val="24"/>
        </w:rPr>
        <w:t>does</w:t>
      </w:r>
      <w:r w:rsidRPr="00CE2829">
        <w:rPr>
          <w:rFonts w:cs="Calibri"/>
          <w:sz w:val="24"/>
        </w:rPr>
        <w:t xml:space="preserve"> not ensure that divisions </w:t>
      </w:r>
      <w:r>
        <w:rPr>
          <w:rFonts w:cs="Calibri"/>
          <w:sz w:val="24"/>
        </w:rPr>
        <w:t>in attainment reduce</w:t>
      </w:r>
      <w:r w:rsidRPr="00CE2829">
        <w:rPr>
          <w:rFonts w:cs="Calibri"/>
          <w:sz w:val="24"/>
        </w:rPr>
        <w:t xml:space="preserve"> (Carr and Hartnett</w:t>
      </w:r>
      <w:r w:rsidR="005D70B0">
        <w:rPr>
          <w:rFonts w:cs="Calibri"/>
          <w:sz w:val="24"/>
        </w:rPr>
        <w:t>,</w:t>
      </w:r>
      <w:r w:rsidRPr="00CE2829">
        <w:rPr>
          <w:rFonts w:cs="Calibri"/>
          <w:sz w:val="24"/>
        </w:rPr>
        <w:t xml:space="preserve"> 1996). Taylor (2011) us</w:t>
      </w:r>
      <w:r>
        <w:rPr>
          <w:rFonts w:cs="Calibri"/>
          <w:sz w:val="24"/>
        </w:rPr>
        <w:t>ed</w:t>
      </w:r>
      <w:r w:rsidRPr="00CE2829">
        <w:rPr>
          <w:rFonts w:cs="Calibri"/>
          <w:sz w:val="24"/>
        </w:rPr>
        <w:t xml:space="preserve"> the </w:t>
      </w:r>
      <w:r w:rsidR="005D70B0">
        <w:rPr>
          <w:rFonts w:cs="Calibri"/>
          <w:sz w:val="24"/>
        </w:rPr>
        <w:t xml:space="preserve">2010 </w:t>
      </w:r>
      <w:r w:rsidRPr="00CE2829">
        <w:rPr>
          <w:rFonts w:cs="Calibri"/>
          <w:sz w:val="24"/>
        </w:rPr>
        <w:t xml:space="preserve">DfE performance data to show that selective </w:t>
      </w:r>
      <w:r>
        <w:rPr>
          <w:rFonts w:cs="Calibri"/>
          <w:sz w:val="24"/>
        </w:rPr>
        <w:t>g</w:t>
      </w:r>
      <w:r w:rsidRPr="00CE2829">
        <w:rPr>
          <w:rFonts w:cs="Calibri"/>
          <w:sz w:val="24"/>
        </w:rPr>
        <w:t>rammar schools achieved more highly on the EBac (67.5%) than comprehensive schools (13.3%).</w:t>
      </w:r>
    </w:p>
    <w:p w14:paraId="21BD53B0" w14:textId="4D90B46E" w:rsidR="00A75A8F" w:rsidRDefault="00A75A8F" w:rsidP="00A75A8F">
      <w:pPr>
        <w:tabs>
          <w:tab w:val="left" w:pos="8505"/>
          <w:tab w:val="left" w:pos="8647"/>
        </w:tabs>
        <w:spacing w:line="360" w:lineRule="auto"/>
        <w:rPr>
          <w:rFonts w:cs="Calibri"/>
          <w:sz w:val="24"/>
        </w:rPr>
      </w:pPr>
      <w:r w:rsidRPr="00CE2829">
        <w:rPr>
          <w:rFonts w:cs="Calibri"/>
          <w:sz w:val="24"/>
        </w:rPr>
        <w:t>Despite evidence that social class is still a major division within English education, Reay (2006) argues that social class</w:t>
      </w:r>
      <w:r>
        <w:rPr>
          <w:rFonts w:cs="Calibri"/>
          <w:sz w:val="24"/>
        </w:rPr>
        <w:t>,</w:t>
      </w:r>
      <w:r w:rsidRPr="00CE2829">
        <w:rPr>
          <w:rFonts w:cs="Calibri"/>
          <w:sz w:val="24"/>
        </w:rPr>
        <w:t xml:space="preserve"> as experienced within school</w:t>
      </w:r>
      <w:r>
        <w:rPr>
          <w:rFonts w:cs="Calibri"/>
          <w:sz w:val="24"/>
        </w:rPr>
        <w:t>,</w:t>
      </w:r>
      <w:r w:rsidRPr="00CE2829">
        <w:rPr>
          <w:rFonts w:cs="Calibri"/>
          <w:sz w:val="24"/>
        </w:rPr>
        <w:t xml:space="preserve"> is ignored within initial teacher training so that teachers no longer consider it to be an issue. </w:t>
      </w:r>
      <w:r>
        <w:rPr>
          <w:rFonts w:cs="Calibri"/>
          <w:sz w:val="24"/>
        </w:rPr>
        <w:t>A</w:t>
      </w:r>
      <w:r w:rsidRPr="00CE2829">
        <w:rPr>
          <w:rFonts w:cs="Calibri"/>
          <w:sz w:val="24"/>
        </w:rPr>
        <w:t>mongst th</w:t>
      </w:r>
      <w:r>
        <w:rPr>
          <w:rFonts w:cs="Calibri"/>
          <w:sz w:val="24"/>
        </w:rPr>
        <w:t>e</w:t>
      </w:r>
      <w:r w:rsidRPr="00CE2829">
        <w:rPr>
          <w:rFonts w:cs="Calibri"/>
          <w:sz w:val="24"/>
        </w:rPr>
        <w:t xml:space="preserve"> </w:t>
      </w:r>
      <w:r w:rsidR="005D70B0">
        <w:rPr>
          <w:rFonts w:cs="Calibri"/>
          <w:sz w:val="24"/>
        </w:rPr>
        <w:t xml:space="preserve">myriad </w:t>
      </w:r>
      <w:r w:rsidRPr="00CE2829">
        <w:rPr>
          <w:rFonts w:cs="Calibri"/>
          <w:sz w:val="24"/>
        </w:rPr>
        <w:t>statistical data on which</w:t>
      </w:r>
      <w:r>
        <w:rPr>
          <w:rFonts w:cs="Calibri"/>
          <w:sz w:val="24"/>
        </w:rPr>
        <w:t xml:space="preserve"> annual </w:t>
      </w:r>
      <w:r w:rsidRPr="00CE2829">
        <w:rPr>
          <w:rFonts w:cs="Calibri"/>
          <w:sz w:val="24"/>
        </w:rPr>
        <w:t>school performance is judged</w:t>
      </w:r>
      <w:r>
        <w:rPr>
          <w:rFonts w:cs="Calibri"/>
          <w:sz w:val="24"/>
        </w:rPr>
        <w:t>,</w:t>
      </w:r>
      <w:r w:rsidRPr="00CE2829">
        <w:rPr>
          <w:rFonts w:cs="Calibri"/>
          <w:sz w:val="24"/>
        </w:rPr>
        <w:t xml:space="preserve"> the only measure that can be considered to relate to social class is that of performance by children receiving </w:t>
      </w:r>
      <w:r>
        <w:rPr>
          <w:rFonts w:cs="Calibri"/>
          <w:sz w:val="24"/>
        </w:rPr>
        <w:t>FSM</w:t>
      </w:r>
      <w:r w:rsidRPr="00CE2829">
        <w:rPr>
          <w:rFonts w:cs="Calibri"/>
          <w:sz w:val="24"/>
        </w:rPr>
        <w:t xml:space="preserve">.  </w:t>
      </w:r>
      <w:r>
        <w:rPr>
          <w:rFonts w:cs="Calibri"/>
          <w:sz w:val="24"/>
        </w:rPr>
        <w:t>It is n</w:t>
      </w:r>
      <w:r w:rsidRPr="00CE2829">
        <w:rPr>
          <w:rFonts w:cs="Calibri"/>
          <w:sz w:val="24"/>
        </w:rPr>
        <w:t>otable</w:t>
      </w:r>
      <w:r>
        <w:rPr>
          <w:rFonts w:cs="Calibri"/>
          <w:sz w:val="24"/>
        </w:rPr>
        <w:t xml:space="preserve"> that </w:t>
      </w:r>
      <w:r w:rsidRPr="00CE2829">
        <w:rPr>
          <w:rFonts w:cs="Calibri"/>
          <w:sz w:val="24"/>
        </w:rPr>
        <w:t xml:space="preserve">this group is </w:t>
      </w:r>
      <w:r>
        <w:rPr>
          <w:rFonts w:cs="Calibri"/>
          <w:sz w:val="24"/>
        </w:rPr>
        <w:t>not designed to be a social class categorisation</w:t>
      </w:r>
      <w:r w:rsidR="005D70B0">
        <w:rPr>
          <w:rFonts w:cs="Calibri"/>
          <w:sz w:val="24"/>
        </w:rPr>
        <w:t>,</w:t>
      </w:r>
      <w:r>
        <w:rPr>
          <w:rFonts w:cs="Calibri"/>
          <w:sz w:val="24"/>
        </w:rPr>
        <w:t xml:space="preserve"> but </w:t>
      </w:r>
      <w:r w:rsidRPr="00CE2829">
        <w:rPr>
          <w:rFonts w:cs="Calibri"/>
          <w:sz w:val="24"/>
        </w:rPr>
        <w:t>represents those children and families living in the most extreme poverty in England</w:t>
      </w:r>
      <w:r>
        <w:rPr>
          <w:rFonts w:cs="Calibri"/>
          <w:sz w:val="24"/>
        </w:rPr>
        <w:t xml:space="preserve"> and therefore could be regarded as lower working class</w:t>
      </w:r>
      <w:r w:rsidRPr="00CE2829">
        <w:rPr>
          <w:rFonts w:cs="Calibri"/>
          <w:sz w:val="24"/>
        </w:rPr>
        <w:t xml:space="preserve">. While </w:t>
      </w:r>
      <w:r>
        <w:rPr>
          <w:rFonts w:cs="Calibri"/>
          <w:sz w:val="24"/>
        </w:rPr>
        <w:t>FSM</w:t>
      </w:r>
      <w:r w:rsidRPr="00CE2829">
        <w:rPr>
          <w:rFonts w:cs="Calibri"/>
          <w:sz w:val="24"/>
        </w:rPr>
        <w:t xml:space="preserve"> may be a proxy indicator for deprivation</w:t>
      </w:r>
      <w:r w:rsidR="005D70B0">
        <w:rPr>
          <w:rFonts w:cs="Calibri"/>
          <w:sz w:val="24"/>
        </w:rPr>
        <w:t>,</w:t>
      </w:r>
      <w:r w:rsidRPr="00CE2829">
        <w:rPr>
          <w:rFonts w:cs="Calibri"/>
          <w:sz w:val="24"/>
        </w:rPr>
        <w:t xml:space="preserve"> it is not a proxy indicator of </w:t>
      </w:r>
      <w:r w:rsidR="005D70B0">
        <w:rPr>
          <w:rFonts w:cs="Calibri"/>
          <w:sz w:val="24"/>
        </w:rPr>
        <w:t xml:space="preserve">being </w:t>
      </w:r>
      <w:r>
        <w:rPr>
          <w:rFonts w:cs="Calibri"/>
          <w:sz w:val="24"/>
        </w:rPr>
        <w:t>working</w:t>
      </w:r>
      <w:r w:rsidRPr="00CE2829">
        <w:rPr>
          <w:rFonts w:cs="Calibri"/>
          <w:sz w:val="24"/>
        </w:rPr>
        <w:t xml:space="preserve"> class</w:t>
      </w:r>
      <w:r>
        <w:rPr>
          <w:rFonts w:cs="Calibri"/>
          <w:sz w:val="24"/>
        </w:rPr>
        <w:t xml:space="preserve"> (Gillborn and Safia Mirza</w:t>
      </w:r>
      <w:r w:rsidR="005D70B0">
        <w:rPr>
          <w:rFonts w:cs="Calibri"/>
          <w:sz w:val="24"/>
        </w:rPr>
        <w:t>,</w:t>
      </w:r>
      <w:r>
        <w:rPr>
          <w:rFonts w:cs="Calibri"/>
          <w:sz w:val="24"/>
        </w:rPr>
        <w:t xml:space="preserve"> 2000). I</w:t>
      </w:r>
      <w:r w:rsidRPr="00CE2829">
        <w:rPr>
          <w:rFonts w:cs="Calibri"/>
          <w:sz w:val="24"/>
        </w:rPr>
        <w:t xml:space="preserve">t </w:t>
      </w:r>
      <w:r>
        <w:rPr>
          <w:rFonts w:cs="Calibri"/>
          <w:sz w:val="24"/>
        </w:rPr>
        <w:t>is</w:t>
      </w:r>
      <w:r w:rsidRPr="00CE2829">
        <w:rPr>
          <w:rFonts w:cs="Calibri"/>
          <w:sz w:val="24"/>
        </w:rPr>
        <w:t xml:space="preserve"> unwise to ignore </w:t>
      </w:r>
      <w:r>
        <w:rPr>
          <w:rFonts w:cs="Calibri"/>
          <w:sz w:val="24"/>
        </w:rPr>
        <w:t xml:space="preserve">the </w:t>
      </w:r>
      <w:r w:rsidRPr="00CE2829">
        <w:rPr>
          <w:rFonts w:cs="Calibri"/>
          <w:sz w:val="24"/>
        </w:rPr>
        <w:t>social class</w:t>
      </w:r>
      <w:r>
        <w:rPr>
          <w:rFonts w:cs="Calibri"/>
          <w:sz w:val="24"/>
        </w:rPr>
        <w:t xml:space="preserve"> implications of</w:t>
      </w:r>
      <w:r w:rsidRPr="00CE2829">
        <w:rPr>
          <w:rFonts w:cs="Calibri"/>
          <w:sz w:val="24"/>
        </w:rPr>
        <w:t xml:space="preserve"> the design and outcome</w:t>
      </w:r>
      <w:r>
        <w:rPr>
          <w:rFonts w:cs="Calibri"/>
          <w:sz w:val="24"/>
        </w:rPr>
        <w:t>s</w:t>
      </w:r>
      <w:r w:rsidRPr="00CE2829">
        <w:rPr>
          <w:rFonts w:cs="Calibri"/>
          <w:sz w:val="24"/>
        </w:rPr>
        <w:t xml:space="preserve"> of the EBac </w:t>
      </w:r>
      <w:r>
        <w:rPr>
          <w:rFonts w:cs="Calibri"/>
          <w:sz w:val="24"/>
        </w:rPr>
        <w:t>policy given the enduring ability of the middle class (see section 1.3) to ensure maximum benefit from educational changes</w:t>
      </w:r>
      <w:r w:rsidR="005D70B0">
        <w:rPr>
          <w:rFonts w:cs="Calibri"/>
          <w:sz w:val="24"/>
        </w:rPr>
        <w:t>,</w:t>
      </w:r>
      <w:r>
        <w:rPr>
          <w:rFonts w:cs="Calibri"/>
          <w:sz w:val="24"/>
        </w:rPr>
        <w:t xml:space="preserve"> even those which have a stated intention of reducing inequality of educational attainment and progression.</w:t>
      </w:r>
    </w:p>
    <w:p w14:paraId="774053D0" w14:textId="77777777" w:rsidR="00A75A8F" w:rsidRPr="008B59A9" w:rsidRDefault="00A75A8F" w:rsidP="00531995">
      <w:pPr>
        <w:pStyle w:val="Heading3"/>
      </w:pPr>
      <w:bookmarkStart w:id="22" w:name="_Toc452316307"/>
      <w:r>
        <w:t xml:space="preserve">2.2.4 </w:t>
      </w:r>
      <w:r w:rsidRPr="008B59A9">
        <w:t>Ethnicity</w:t>
      </w:r>
      <w:bookmarkEnd w:id="22"/>
    </w:p>
    <w:p w14:paraId="79DC3A56" w14:textId="4DAAF0B7" w:rsidR="00A75A8F" w:rsidRDefault="00A75A8F" w:rsidP="00A75A8F">
      <w:pPr>
        <w:tabs>
          <w:tab w:val="left" w:pos="8364"/>
        </w:tabs>
        <w:spacing w:line="360" w:lineRule="auto"/>
        <w:rPr>
          <w:rFonts w:cs="Calibri"/>
          <w:sz w:val="24"/>
        </w:rPr>
      </w:pPr>
      <w:r w:rsidRPr="00CE2829">
        <w:rPr>
          <w:rFonts w:cs="Calibri"/>
          <w:sz w:val="24"/>
        </w:rPr>
        <w:t xml:space="preserve">While social class is an </w:t>
      </w:r>
      <w:r>
        <w:rPr>
          <w:rFonts w:cs="Calibri"/>
          <w:sz w:val="24"/>
        </w:rPr>
        <w:t xml:space="preserve">important </w:t>
      </w:r>
      <w:r w:rsidRPr="00CE2829">
        <w:rPr>
          <w:rFonts w:cs="Calibri"/>
          <w:sz w:val="24"/>
        </w:rPr>
        <w:t>issue when researching the impact of the EBac, Gillborn (2011</w:t>
      </w:r>
      <w:r w:rsidR="00EA1F4C">
        <w:rPr>
          <w:rFonts w:cs="Calibri"/>
          <w:sz w:val="24"/>
        </w:rPr>
        <w:t>b</w:t>
      </w:r>
      <w:r w:rsidRPr="00CE2829">
        <w:rPr>
          <w:rFonts w:cs="Calibri"/>
          <w:sz w:val="24"/>
        </w:rPr>
        <w:t>) argues that it is</w:t>
      </w:r>
      <w:r w:rsidR="00AE384D">
        <w:rPr>
          <w:rFonts w:cs="Calibri"/>
          <w:sz w:val="24"/>
        </w:rPr>
        <w:t xml:space="preserve"> also</w:t>
      </w:r>
      <w:r w:rsidRPr="00CE2829">
        <w:rPr>
          <w:rFonts w:cs="Calibri"/>
          <w:sz w:val="24"/>
        </w:rPr>
        <w:t xml:space="preserve"> important to consider ethnicity. Echoing Reay, he suggests </w:t>
      </w:r>
      <w:r w:rsidR="00AE384D">
        <w:rPr>
          <w:rFonts w:cs="Calibri"/>
          <w:sz w:val="24"/>
        </w:rPr>
        <w:t xml:space="preserve">that </w:t>
      </w:r>
      <w:r w:rsidRPr="00CE2829">
        <w:rPr>
          <w:rFonts w:cs="Calibri"/>
          <w:sz w:val="24"/>
        </w:rPr>
        <w:t xml:space="preserve">the continuing educational underachievement of black and Asian </w:t>
      </w:r>
      <w:r>
        <w:rPr>
          <w:rFonts w:cs="Calibri"/>
          <w:sz w:val="24"/>
        </w:rPr>
        <w:t>students</w:t>
      </w:r>
      <w:r w:rsidRPr="00CE2829">
        <w:rPr>
          <w:rFonts w:cs="Calibri"/>
          <w:sz w:val="24"/>
        </w:rPr>
        <w:t xml:space="preserve"> is becoming a largely ignored issue. In his Guardian article: </w:t>
      </w:r>
      <w:r w:rsidRPr="00CE2829">
        <w:rPr>
          <w:rFonts w:cs="Calibri"/>
          <w:i/>
          <w:sz w:val="24"/>
        </w:rPr>
        <w:t>There’s no black in the baccalaureate</w:t>
      </w:r>
      <w:r w:rsidRPr="00CE2829">
        <w:rPr>
          <w:rFonts w:cs="Calibri"/>
          <w:sz w:val="24"/>
        </w:rPr>
        <w:t xml:space="preserve"> (2011</w:t>
      </w:r>
      <w:r w:rsidR="00EA1F4C">
        <w:rPr>
          <w:rFonts w:cs="Calibri"/>
          <w:sz w:val="24"/>
        </w:rPr>
        <w:t>b</w:t>
      </w:r>
      <w:r w:rsidRPr="00CE2829">
        <w:rPr>
          <w:rFonts w:cs="Calibri"/>
          <w:sz w:val="24"/>
        </w:rPr>
        <w:t xml:space="preserve">), he argued that “the </w:t>
      </w:r>
      <w:r>
        <w:rPr>
          <w:rFonts w:cs="Calibri"/>
          <w:sz w:val="24"/>
        </w:rPr>
        <w:t xml:space="preserve">[EBac] </w:t>
      </w:r>
      <w:r w:rsidRPr="00CE2829">
        <w:rPr>
          <w:rFonts w:cs="Calibri"/>
          <w:sz w:val="24"/>
        </w:rPr>
        <w:t>measure introduces a clear race bias into any selection system that adopts it”</w:t>
      </w:r>
      <w:r>
        <w:rPr>
          <w:rFonts w:cs="Calibri"/>
          <w:sz w:val="24"/>
        </w:rPr>
        <w:t xml:space="preserve"> (p.1)</w:t>
      </w:r>
      <w:r w:rsidRPr="00CE2829">
        <w:rPr>
          <w:rFonts w:cs="Calibri"/>
          <w:sz w:val="24"/>
        </w:rPr>
        <w:t xml:space="preserve">. </w:t>
      </w:r>
      <w:r>
        <w:rPr>
          <w:rFonts w:cs="Calibri"/>
          <w:sz w:val="24"/>
        </w:rPr>
        <w:t xml:space="preserve">As Gillborn (2006) highlights, black boys are disproportionality located in </w:t>
      </w:r>
      <w:r w:rsidR="00AE384D">
        <w:rPr>
          <w:rFonts w:cs="Calibri"/>
          <w:sz w:val="24"/>
        </w:rPr>
        <w:t>‘</w:t>
      </w:r>
      <w:r>
        <w:rPr>
          <w:rFonts w:cs="Calibri"/>
          <w:sz w:val="24"/>
        </w:rPr>
        <w:t>low ability</w:t>
      </w:r>
      <w:r w:rsidR="00AE384D">
        <w:rPr>
          <w:rFonts w:cs="Calibri"/>
          <w:sz w:val="24"/>
        </w:rPr>
        <w:t>’</w:t>
      </w:r>
      <w:r>
        <w:rPr>
          <w:rFonts w:cs="Calibri"/>
          <w:sz w:val="24"/>
        </w:rPr>
        <w:t xml:space="preserve"> sets</w:t>
      </w:r>
      <w:r w:rsidR="00AE384D">
        <w:rPr>
          <w:rFonts w:cs="Calibri"/>
          <w:sz w:val="24"/>
        </w:rPr>
        <w:t xml:space="preserve"> and are</w:t>
      </w:r>
      <w:r>
        <w:rPr>
          <w:rFonts w:cs="Calibri"/>
          <w:sz w:val="24"/>
        </w:rPr>
        <w:t xml:space="preserve"> thus denied access to high</w:t>
      </w:r>
      <w:r w:rsidR="00AE384D">
        <w:rPr>
          <w:rFonts w:cs="Calibri"/>
          <w:sz w:val="24"/>
        </w:rPr>
        <w:t>er</w:t>
      </w:r>
      <w:r>
        <w:rPr>
          <w:rFonts w:cs="Calibri"/>
          <w:sz w:val="24"/>
        </w:rPr>
        <w:t xml:space="preserve"> level qualifications</w:t>
      </w:r>
      <w:r w:rsidR="00AE384D">
        <w:rPr>
          <w:rFonts w:cs="Calibri"/>
          <w:sz w:val="24"/>
        </w:rPr>
        <w:t>,</w:t>
      </w:r>
      <w:r>
        <w:rPr>
          <w:rFonts w:cs="Calibri"/>
          <w:sz w:val="24"/>
        </w:rPr>
        <w:t xml:space="preserve"> now includ</w:t>
      </w:r>
      <w:r w:rsidR="00AE384D">
        <w:rPr>
          <w:rFonts w:cs="Calibri"/>
          <w:sz w:val="24"/>
        </w:rPr>
        <w:t>ing</w:t>
      </w:r>
      <w:r>
        <w:rPr>
          <w:rFonts w:cs="Calibri"/>
          <w:sz w:val="24"/>
        </w:rPr>
        <w:t xml:space="preserve"> the EBac. He</w:t>
      </w:r>
      <w:r w:rsidRPr="00CE2829">
        <w:rPr>
          <w:rFonts w:cs="Calibri"/>
          <w:sz w:val="24"/>
        </w:rPr>
        <w:t xml:space="preserve"> provides evidence </w:t>
      </w:r>
      <w:r>
        <w:rPr>
          <w:rFonts w:cs="Calibri"/>
          <w:sz w:val="24"/>
        </w:rPr>
        <w:t>for</w:t>
      </w:r>
      <w:r w:rsidRPr="00CE2829">
        <w:rPr>
          <w:rFonts w:cs="Calibri"/>
          <w:sz w:val="24"/>
        </w:rPr>
        <w:t xml:space="preserve"> </w:t>
      </w:r>
      <w:r>
        <w:rPr>
          <w:rFonts w:cs="Calibri"/>
          <w:sz w:val="24"/>
        </w:rPr>
        <w:t xml:space="preserve">the existence of </w:t>
      </w:r>
      <w:r w:rsidRPr="00CE2829">
        <w:rPr>
          <w:rFonts w:cs="Calibri"/>
          <w:sz w:val="24"/>
        </w:rPr>
        <w:t>a race issue in terms of uptake of the EBac</w:t>
      </w:r>
      <w:r>
        <w:rPr>
          <w:rFonts w:cs="Calibri"/>
          <w:sz w:val="24"/>
        </w:rPr>
        <w:t>, since</w:t>
      </w:r>
      <w:r w:rsidRPr="00CE2829">
        <w:rPr>
          <w:rFonts w:cs="Calibri"/>
          <w:sz w:val="24"/>
        </w:rPr>
        <w:t xml:space="preserve"> fewer black Caribbean </w:t>
      </w:r>
      <w:r>
        <w:rPr>
          <w:rFonts w:cs="Calibri"/>
          <w:sz w:val="24"/>
        </w:rPr>
        <w:t>students</w:t>
      </w:r>
      <w:r w:rsidRPr="00CE2829">
        <w:rPr>
          <w:rFonts w:cs="Calibri"/>
          <w:sz w:val="24"/>
        </w:rPr>
        <w:t xml:space="preserve"> can be successful in the EBac </w:t>
      </w:r>
      <w:r w:rsidR="00AE384D">
        <w:rPr>
          <w:rFonts w:cs="Calibri"/>
          <w:sz w:val="24"/>
        </w:rPr>
        <w:t>if</w:t>
      </w:r>
      <w:r w:rsidRPr="00CE2829">
        <w:rPr>
          <w:rFonts w:cs="Calibri"/>
          <w:sz w:val="24"/>
        </w:rPr>
        <w:t xml:space="preserve"> fewer of them </w:t>
      </w:r>
      <w:r w:rsidRPr="00CE2829">
        <w:rPr>
          <w:rFonts w:cs="Calibri"/>
          <w:sz w:val="24"/>
        </w:rPr>
        <w:lastRenderedPageBreak/>
        <w:t>have the opportunity or cho</w:t>
      </w:r>
      <w:r w:rsidR="00AE384D">
        <w:rPr>
          <w:rFonts w:cs="Calibri"/>
          <w:sz w:val="24"/>
        </w:rPr>
        <w:t>o</w:t>
      </w:r>
      <w:r w:rsidRPr="00CE2829">
        <w:rPr>
          <w:rFonts w:cs="Calibri"/>
          <w:sz w:val="24"/>
        </w:rPr>
        <w:t xml:space="preserve">se to </w:t>
      </w:r>
      <w:r>
        <w:rPr>
          <w:rFonts w:cs="Calibri"/>
          <w:sz w:val="24"/>
        </w:rPr>
        <w:t xml:space="preserve">study </w:t>
      </w:r>
      <w:r w:rsidRPr="00CE2829">
        <w:rPr>
          <w:rFonts w:cs="Calibri"/>
          <w:sz w:val="24"/>
        </w:rPr>
        <w:t xml:space="preserve">this combination of subjects. The </w:t>
      </w:r>
      <w:r w:rsidR="00AE384D">
        <w:rPr>
          <w:rFonts w:cs="Calibri"/>
          <w:sz w:val="24"/>
        </w:rPr>
        <w:t xml:space="preserve">result </w:t>
      </w:r>
      <w:r w:rsidR="005A2F2E">
        <w:rPr>
          <w:rFonts w:cs="Calibri"/>
          <w:sz w:val="24"/>
        </w:rPr>
        <w:t xml:space="preserve">is that while 15.8% </w:t>
      </w:r>
      <w:r w:rsidRPr="00CE2829">
        <w:rPr>
          <w:rFonts w:cs="Calibri"/>
          <w:sz w:val="24"/>
        </w:rPr>
        <w:t xml:space="preserve">of all </w:t>
      </w:r>
      <w:r>
        <w:rPr>
          <w:rFonts w:cs="Calibri"/>
          <w:sz w:val="24"/>
        </w:rPr>
        <w:t>students</w:t>
      </w:r>
      <w:r w:rsidRPr="00CE2829">
        <w:rPr>
          <w:rFonts w:cs="Calibri"/>
          <w:sz w:val="24"/>
        </w:rPr>
        <w:t xml:space="preserve"> achieved the EBac in 2011, </w:t>
      </w:r>
      <w:r w:rsidR="005A2F2E">
        <w:rPr>
          <w:rFonts w:cs="Calibri"/>
          <w:sz w:val="24"/>
        </w:rPr>
        <w:t xml:space="preserve">only 6.8% </w:t>
      </w:r>
      <w:r w:rsidRPr="00CE2829">
        <w:rPr>
          <w:rFonts w:cs="Calibri"/>
          <w:sz w:val="24"/>
        </w:rPr>
        <w:t xml:space="preserve">of black Caribbean </w:t>
      </w:r>
      <w:r>
        <w:rPr>
          <w:rFonts w:cs="Calibri"/>
          <w:sz w:val="24"/>
        </w:rPr>
        <w:t>students</w:t>
      </w:r>
      <w:r w:rsidR="00AE384D">
        <w:rPr>
          <w:rFonts w:cs="Calibri"/>
          <w:sz w:val="24"/>
        </w:rPr>
        <w:t xml:space="preserve"> did so</w:t>
      </w:r>
      <w:r w:rsidRPr="00CE2829">
        <w:rPr>
          <w:rFonts w:cs="Calibri"/>
          <w:sz w:val="24"/>
        </w:rPr>
        <w:t xml:space="preserve">. </w:t>
      </w:r>
      <w:r>
        <w:rPr>
          <w:rFonts w:cs="Calibri"/>
          <w:sz w:val="24"/>
        </w:rPr>
        <w:t>I</w:t>
      </w:r>
      <w:r w:rsidRPr="00CE2829">
        <w:rPr>
          <w:rFonts w:cs="Calibri"/>
          <w:sz w:val="24"/>
        </w:rPr>
        <w:t>f</w:t>
      </w:r>
      <w:r>
        <w:rPr>
          <w:rFonts w:cs="Calibri"/>
          <w:sz w:val="24"/>
        </w:rPr>
        <w:t xml:space="preserve"> </w:t>
      </w:r>
      <w:r w:rsidRPr="00CE2829">
        <w:rPr>
          <w:rFonts w:cs="Calibri"/>
          <w:sz w:val="24"/>
        </w:rPr>
        <w:t>employer</w:t>
      </w:r>
      <w:r>
        <w:rPr>
          <w:rFonts w:cs="Calibri"/>
          <w:sz w:val="24"/>
        </w:rPr>
        <w:t xml:space="preserve">s </w:t>
      </w:r>
      <w:r w:rsidRPr="00CE2829">
        <w:rPr>
          <w:rFonts w:cs="Calibri"/>
          <w:sz w:val="24"/>
        </w:rPr>
        <w:t>or universit</w:t>
      </w:r>
      <w:r>
        <w:rPr>
          <w:rFonts w:cs="Calibri"/>
          <w:sz w:val="24"/>
        </w:rPr>
        <w:t>ies</w:t>
      </w:r>
      <w:r w:rsidRPr="00CE2829">
        <w:rPr>
          <w:rFonts w:cs="Calibri"/>
          <w:sz w:val="24"/>
        </w:rPr>
        <w:t xml:space="preserve"> use the EBac as a candidate selection</w:t>
      </w:r>
      <w:r w:rsidR="00AE384D">
        <w:rPr>
          <w:rFonts w:cs="Calibri"/>
          <w:sz w:val="24"/>
        </w:rPr>
        <w:t xml:space="preserve"> tool,</w:t>
      </w:r>
      <w:r w:rsidRPr="00CE2829">
        <w:rPr>
          <w:rFonts w:cs="Calibri"/>
          <w:sz w:val="24"/>
        </w:rPr>
        <w:t xml:space="preserve"> there will be an automatic race bias. When evaluating Gillborn</w:t>
      </w:r>
      <w:r w:rsidR="00AE384D">
        <w:rPr>
          <w:rFonts w:cs="Calibri"/>
          <w:sz w:val="24"/>
        </w:rPr>
        <w:t>’s work,</w:t>
      </w:r>
      <w:r w:rsidRPr="00CE2829">
        <w:rPr>
          <w:rFonts w:cs="Calibri"/>
          <w:sz w:val="24"/>
        </w:rPr>
        <w:t xml:space="preserve"> it is important to</w:t>
      </w:r>
      <w:r>
        <w:rPr>
          <w:rFonts w:cs="Calibri"/>
          <w:sz w:val="24"/>
        </w:rPr>
        <w:t xml:space="preserve"> consider</w:t>
      </w:r>
      <w:r w:rsidRPr="00CE2829">
        <w:rPr>
          <w:rFonts w:cs="Calibri"/>
          <w:sz w:val="24"/>
        </w:rPr>
        <w:t xml:space="preserve"> his use of statistics, particularly when he combines race and gender within one set</w:t>
      </w:r>
      <w:r w:rsidR="00AE384D">
        <w:rPr>
          <w:rFonts w:cs="Calibri"/>
          <w:sz w:val="24"/>
        </w:rPr>
        <w:t>,</w:t>
      </w:r>
      <w:r w:rsidRPr="00CE2829">
        <w:rPr>
          <w:rFonts w:cs="Calibri"/>
          <w:sz w:val="24"/>
        </w:rPr>
        <w:t xml:space="preserve"> which are then compared to another which only contain</w:t>
      </w:r>
      <w:r w:rsidR="00AE384D">
        <w:rPr>
          <w:rFonts w:cs="Calibri"/>
          <w:sz w:val="24"/>
        </w:rPr>
        <w:t>s</w:t>
      </w:r>
      <w:r w:rsidRPr="00CE2829">
        <w:rPr>
          <w:rFonts w:cs="Calibri"/>
          <w:sz w:val="24"/>
        </w:rPr>
        <w:t xml:space="preserve"> boys. This can distort the</w:t>
      </w:r>
      <w:r>
        <w:rPr>
          <w:rFonts w:cs="Calibri"/>
          <w:sz w:val="24"/>
        </w:rPr>
        <w:t xml:space="preserve"> information presented</w:t>
      </w:r>
      <w:r w:rsidR="00AE384D">
        <w:rPr>
          <w:rFonts w:cs="Calibri"/>
          <w:sz w:val="24"/>
        </w:rPr>
        <w:t>,</w:t>
      </w:r>
      <w:r w:rsidRPr="00CE2829">
        <w:rPr>
          <w:rFonts w:cs="Calibri"/>
          <w:sz w:val="24"/>
        </w:rPr>
        <w:t xml:space="preserve"> as girls currently perform better at GCSE level than boys. </w:t>
      </w:r>
    </w:p>
    <w:p w14:paraId="10B6E51D" w14:textId="77777777" w:rsidR="00A75A8F" w:rsidRPr="008B59A9" w:rsidRDefault="00A75A8F" w:rsidP="00531995">
      <w:pPr>
        <w:pStyle w:val="Heading3"/>
      </w:pPr>
      <w:bookmarkStart w:id="23" w:name="_Toc452316308"/>
      <w:r>
        <w:t xml:space="preserve">2.2.5 </w:t>
      </w:r>
      <w:r w:rsidRPr="008B59A9">
        <w:t>Gender</w:t>
      </w:r>
      <w:bookmarkEnd w:id="23"/>
    </w:p>
    <w:p w14:paraId="5380445A" w14:textId="40FBA956" w:rsidR="00A75A8F" w:rsidRPr="00CE2829" w:rsidRDefault="00472F2C" w:rsidP="00A75A8F">
      <w:pPr>
        <w:spacing w:line="360" w:lineRule="auto"/>
        <w:rPr>
          <w:rFonts w:cs="Calibri"/>
          <w:sz w:val="24"/>
        </w:rPr>
      </w:pPr>
      <w:r>
        <w:rPr>
          <w:rFonts w:cs="Calibri"/>
          <w:sz w:val="24"/>
        </w:rPr>
        <w:t>A</w:t>
      </w:r>
      <w:r w:rsidR="00A75A8F">
        <w:rPr>
          <w:rFonts w:cs="Calibri"/>
          <w:sz w:val="24"/>
        </w:rPr>
        <w:t>s shown by the Statistical First Release (DfE Oct 2014</w:t>
      </w:r>
      <w:r w:rsidR="00CD2F36">
        <w:rPr>
          <w:rFonts w:cs="Calibri"/>
          <w:sz w:val="24"/>
        </w:rPr>
        <w:t>d</w:t>
      </w:r>
      <w:r w:rsidR="00A75A8F">
        <w:rPr>
          <w:rFonts w:cs="Calibri"/>
          <w:sz w:val="24"/>
        </w:rPr>
        <w:t xml:space="preserve">), a </w:t>
      </w:r>
      <w:r w:rsidR="00A75A8F" w:rsidRPr="004010DE">
        <w:rPr>
          <w:rFonts w:cs="Calibri"/>
          <w:sz w:val="24"/>
        </w:rPr>
        <w:t>greater percentage of girls enter the EBac than boys</w:t>
      </w:r>
      <w:r>
        <w:rPr>
          <w:rFonts w:cs="Calibri"/>
          <w:sz w:val="24"/>
        </w:rPr>
        <w:t>.</w:t>
      </w:r>
      <w:r w:rsidR="00A75A8F" w:rsidRPr="004010DE">
        <w:rPr>
          <w:rFonts w:cs="Calibri"/>
          <w:sz w:val="24"/>
        </w:rPr>
        <w:t xml:space="preserve"> </w:t>
      </w:r>
      <w:r>
        <w:rPr>
          <w:rFonts w:cs="Calibri"/>
          <w:sz w:val="24"/>
        </w:rPr>
        <w:t>T</w:t>
      </w:r>
      <w:r w:rsidR="00A75A8F" w:rsidRPr="004010DE">
        <w:rPr>
          <w:rFonts w:cs="Calibri"/>
          <w:sz w:val="24"/>
        </w:rPr>
        <w:t>his gap is growing</w:t>
      </w:r>
      <w:r w:rsidR="00A13F34">
        <w:rPr>
          <w:rFonts w:cs="Calibri"/>
          <w:sz w:val="24"/>
        </w:rPr>
        <w:t>,</w:t>
      </w:r>
      <w:r w:rsidR="00A75A8F" w:rsidRPr="004010DE">
        <w:rPr>
          <w:rFonts w:cs="Calibri"/>
          <w:sz w:val="24"/>
        </w:rPr>
        <w:t xml:space="preserve"> from 4.9% in 2009</w:t>
      </w:r>
      <w:r>
        <w:rPr>
          <w:rFonts w:cs="Calibri"/>
          <w:sz w:val="24"/>
        </w:rPr>
        <w:t>-</w:t>
      </w:r>
      <w:r w:rsidR="00A75A8F" w:rsidRPr="004010DE">
        <w:rPr>
          <w:rFonts w:cs="Calibri"/>
          <w:sz w:val="24"/>
        </w:rPr>
        <w:t>10 to 8.9% in 2013</w:t>
      </w:r>
      <w:r>
        <w:rPr>
          <w:rFonts w:cs="Calibri"/>
          <w:sz w:val="24"/>
        </w:rPr>
        <w:t>-</w:t>
      </w:r>
      <w:r w:rsidR="00A75A8F" w:rsidRPr="004010DE">
        <w:rPr>
          <w:rFonts w:cs="Calibri"/>
          <w:sz w:val="24"/>
        </w:rPr>
        <w:t>14</w:t>
      </w:r>
      <w:r>
        <w:rPr>
          <w:rFonts w:cs="Calibri"/>
          <w:sz w:val="24"/>
        </w:rPr>
        <w:t>,</w:t>
      </w:r>
      <w:r w:rsidR="00A75A8F" w:rsidRPr="004010DE">
        <w:rPr>
          <w:rFonts w:cs="Calibri"/>
          <w:sz w:val="24"/>
        </w:rPr>
        <w:t xml:space="preserve"> with 29.1% of girls achieving the EBac compared to 19.5% of boys. Girls</w:t>
      </w:r>
      <w:r w:rsidR="00A75A8F" w:rsidRPr="00CE2829">
        <w:rPr>
          <w:rFonts w:cs="Calibri"/>
          <w:sz w:val="24"/>
        </w:rPr>
        <w:t xml:space="preserve"> now make up </w:t>
      </w:r>
      <w:r>
        <w:rPr>
          <w:rFonts w:cs="Calibri"/>
          <w:sz w:val="24"/>
        </w:rPr>
        <w:t>the</w:t>
      </w:r>
      <w:r w:rsidR="00A75A8F" w:rsidRPr="00CE2829">
        <w:rPr>
          <w:rFonts w:cs="Calibri"/>
          <w:sz w:val="24"/>
        </w:rPr>
        <w:t xml:space="preserve"> majority university</w:t>
      </w:r>
      <w:r>
        <w:rPr>
          <w:rFonts w:cs="Calibri"/>
          <w:sz w:val="24"/>
        </w:rPr>
        <w:t xml:space="preserve"> applicants</w:t>
      </w:r>
      <w:r w:rsidR="00A75A8F" w:rsidRPr="00CE2829">
        <w:rPr>
          <w:rFonts w:cs="Calibri"/>
          <w:sz w:val="24"/>
        </w:rPr>
        <w:t xml:space="preserve"> </w:t>
      </w:r>
      <w:r w:rsidR="00FA01D7">
        <w:rPr>
          <w:rFonts w:cs="Calibri"/>
          <w:sz w:val="24"/>
        </w:rPr>
        <w:t xml:space="preserve">and in 2015 were 35% more likely to go to university than men </w:t>
      </w:r>
      <w:r w:rsidR="00A75A8F" w:rsidRPr="00CE2829">
        <w:rPr>
          <w:rFonts w:cs="Calibri"/>
          <w:sz w:val="24"/>
        </w:rPr>
        <w:t>(</w:t>
      </w:r>
      <w:r w:rsidR="00FA01D7">
        <w:rPr>
          <w:rFonts w:cs="Calibri"/>
          <w:sz w:val="24"/>
        </w:rPr>
        <w:t>UCAS 2015)</w:t>
      </w:r>
      <w:r w:rsidR="00A75A8F">
        <w:rPr>
          <w:rFonts w:cs="Calibri"/>
          <w:sz w:val="24"/>
        </w:rPr>
        <w:t>.</w:t>
      </w:r>
      <w:r w:rsidR="00D34235">
        <w:rPr>
          <w:rFonts w:cs="Calibri"/>
          <w:sz w:val="24"/>
        </w:rPr>
        <w:t xml:space="preserve"> </w:t>
      </w:r>
      <w:r w:rsidR="00A75A8F" w:rsidRPr="00CE2829">
        <w:rPr>
          <w:rFonts w:cs="Calibri"/>
          <w:sz w:val="24"/>
        </w:rPr>
        <w:t>Gillborn</w:t>
      </w:r>
      <w:r w:rsidR="00A75A8F">
        <w:rPr>
          <w:rFonts w:cs="Calibri"/>
          <w:sz w:val="24"/>
        </w:rPr>
        <w:t xml:space="preserve"> and Kirton (2000) </w:t>
      </w:r>
      <w:r w:rsidR="00A75A8F" w:rsidRPr="00CE2829">
        <w:rPr>
          <w:rFonts w:cs="Calibri"/>
          <w:sz w:val="24"/>
        </w:rPr>
        <w:t xml:space="preserve">suggest </w:t>
      </w:r>
      <w:r>
        <w:rPr>
          <w:rFonts w:cs="Calibri"/>
          <w:sz w:val="24"/>
        </w:rPr>
        <w:t xml:space="preserve">that there is </w:t>
      </w:r>
      <w:r w:rsidR="00A75A8F" w:rsidRPr="00CE2829">
        <w:rPr>
          <w:rFonts w:cs="Calibri"/>
          <w:sz w:val="24"/>
        </w:rPr>
        <w:t xml:space="preserve">a </w:t>
      </w:r>
      <w:r w:rsidR="00A75A8F">
        <w:rPr>
          <w:rFonts w:cs="Calibri"/>
          <w:sz w:val="24"/>
        </w:rPr>
        <w:t xml:space="preserve">national </w:t>
      </w:r>
      <w:r>
        <w:rPr>
          <w:rFonts w:cs="Calibri"/>
          <w:sz w:val="24"/>
        </w:rPr>
        <w:t xml:space="preserve">‘moral panic’ </w:t>
      </w:r>
      <w:r w:rsidR="00A75A8F" w:rsidRPr="00CE2829">
        <w:rPr>
          <w:rFonts w:cs="Calibri"/>
          <w:sz w:val="24"/>
        </w:rPr>
        <w:t>regarding the achievement and progression of white boys.</w:t>
      </w:r>
      <w:r w:rsidR="00A75A8F">
        <w:rPr>
          <w:rFonts w:cs="Calibri"/>
          <w:sz w:val="24"/>
        </w:rPr>
        <w:t xml:space="preserve"> </w:t>
      </w:r>
      <w:r>
        <w:rPr>
          <w:rFonts w:cs="Calibri"/>
          <w:sz w:val="24"/>
        </w:rPr>
        <w:t>T</w:t>
      </w:r>
      <w:r w:rsidR="00A75A8F">
        <w:rPr>
          <w:rFonts w:cs="Calibri"/>
          <w:sz w:val="24"/>
        </w:rPr>
        <w:t>he ‘underachievement’ of white working class boys</w:t>
      </w:r>
      <w:r>
        <w:rPr>
          <w:rFonts w:cs="Calibri"/>
          <w:sz w:val="24"/>
        </w:rPr>
        <w:t xml:space="preserve"> may</w:t>
      </w:r>
      <w:r w:rsidR="001858CF">
        <w:rPr>
          <w:rFonts w:cs="Calibri"/>
          <w:sz w:val="24"/>
        </w:rPr>
        <w:t xml:space="preserve"> however</w:t>
      </w:r>
      <w:r>
        <w:rPr>
          <w:rFonts w:cs="Calibri"/>
          <w:sz w:val="24"/>
        </w:rPr>
        <w:t xml:space="preserve"> be</w:t>
      </w:r>
      <w:r w:rsidR="00A75A8F">
        <w:rPr>
          <w:rFonts w:cs="Calibri"/>
          <w:sz w:val="24"/>
        </w:rPr>
        <w:t xml:space="preserve"> a misplaced concern</w:t>
      </w:r>
      <w:r w:rsidR="001858CF">
        <w:rPr>
          <w:rFonts w:cs="Calibri"/>
          <w:sz w:val="24"/>
        </w:rPr>
        <w:t xml:space="preserve">, possibly </w:t>
      </w:r>
      <w:r w:rsidR="00A75A8F">
        <w:rPr>
          <w:rFonts w:cs="Calibri"/>
          <w:sz w:val="24"/>
        </w:rPr>
        <w:t>mask</w:t>
      </w:r>
      <w:r w:rsidR="001858CF">
        <w:rPr>
          <w:rFonts w:cs="Calibri"/>
          <w:sz w:val="24"/>
        </w:rPr>
        <w:t>ing</w:t>
      </w:r>
      <w:r w:rsidR="00A75A8F">
        <w:rPr>
          <w:rFonts w:cs="Calibri"/>
          <w:sz w:val="24"/>
        </w:rPr>
        <w:t xml:space="preserve"> a more fundamental issue.</w:t>
      </w:r>
      <w:r w:rsidR="00A75A8F" w:rsidDel="007543EE">
        <w:rPr>
          <w:rFonts w:cs="Calibri"/>
          <w:sz w:val="24"/>
        </w:rPr>
        <w:t xml:space="preserve"> </w:t>
      </w:r>
      <w:r w:rsidR="00A75A8F">
        <w:rPr>
          <w:rFonts w:cs="Calibri"/>
          <w:sz w:val="24"/>
        </w:rPr>
        <w:t>The concern over the lack of ‘achievement’ by some groups</w:t>
      </w:r>
      <w:r w:rsidR="001858CF">
        <w:rPr>
          <w:rFonts w:cs="Calibri"/>
          <w:sz w:val="24"/>
        </w:rPr>
        <w:t>,</w:t>
      </w:r>
      <w:r w:rsidR="00A75A8F">
        <w:rPr>
          <w:rFonts w:cs="Calibri"/>
          <w:sz w:val="24"/>
        </w:rPr>
        <w:t xml:space="preserve"> in this case white working class</w:t>
      </w:r>
      <w:r w:rsidR="001858CF">
        <w:rPr>
          <w:rFonts w:cs="Calibri"/>
          <w:sz w:val="24"/>
        </w:rPr>
        <w:t xml:space="preserve"> boys</w:t>
      </w:r>
      <w:r w:rsidR="00A75A8F">
        <w:rPr>
          <w:rFonts w:cs="Calibri"/>
          <w:sz w:val="24"/>
        </w:rPr>
        <w:t>, obscures the debate over equality of opportunity and fairness for all and negate</w:t>
      </w:r>
      <w:r w:rsidR="001858CF">
        <w:rPr>
          <w:rFonts w:cs="Calibri"/>
          <w:sz w:val="24"/>
        </w:rPr>
        <w:t>s</w:t>
      </w:r>
      <w:r w:rsidR="00A75A8F">
        <w:rPr>
          <w:rFonts w:cs="Calibri"/>
          <w:sz w:val="24"/>
        </w:rPr>
        <w:t xml:space="preserve"> the </w:t>
      </w:r>
      <w:r w:rsidR="001858CF">
        <w:rPr>
          <w:rFonts w:cs="Calibri"/>
          <w:sz w:val="24"/>
        </w:rPr>
        <w:t>progress made</w:t>
      </w:r>
      <w:r w:rsidR="00A75A8F">
        <w:rPr>
          <w:rFonts w:cs="Calibri"/>
          <w:sz w:val="24"/>
        </w:rPr>
        <w:t xml:space="preserve"> by girls to overcome previous disadvantages in the education system (</w:t>
      </w:r>
      <w:r w:rsidR="00D51DD3">
        <w:rPr>
          <w:rFonts w:cs="Calibri"/>
          <w:sz w:val="24"/>
        </w:rPr>
        <w:t>Buchmann et al., 2008</w:t>
      </w:r>
      <w:r w:rsidR="00A75A8F">
        <w:rPr>
          <w:rFonts w:cs="Calibri"/>
          <w:sz w:val="24"/>
        </w:rPr>
        <w:t xml:space="preserve">). </w:t>
      </w:r>
    </w:p>
    <w:p w14:paraId="7ACB2116" w14:textId="77777777" w:rsidR="00A75A8F" w:rsidRPr="008B59A9" w:rsidRDefault="00A75A8F" w:rsidP="00531995">
      <w:pPr>
        <w:pStyle w:val="Heading3"/>
      </w:pPr>
      <w:bookmarkStart w:id="24" w:name="_Toc452316309"/>
      <w:r>
        <w:t xml:space="preserve">2.2.6 </w:t>
      </w:r>
      <w:r w:rsidRPr="008B59A9">
        <w:t>Special Educational Needs</w:t>
      </w:r>
      <w:r>
        <w:t xml:space="preserve"> and Disability</w:t>
      </w:r>
      <w:bookmarkEnd w:id="24"/>
      <w:r>
        <w:t xml:space="preserve"> </w:t>
      </w:r>
    </w:p>
    <w:p w14:paraId="5DC13483" w14:textId="3C5E18FE" w:rsidR="00A75A8F" w:rsidRDefault="00A75A8F" w:rsidP="00A75A8F">
      <w:pPr>
        <w:tabs>
          <w:tab w:val="left" w:pos="8364"/>
        </w:tabs>
        <w:spacing w:line="360" w:lineRule="auto"/>
        <w:rPr>
          <w:rFonts w:cs="Calibri"/>
          <w:sz w:val="24"/>
        </w:rPr>
      </w:pPr>
      <w:r w:rsidRPr="00CE2829">
        <w:rPr>
          <w:rFonts w:cs="Calibri"/>
          <w:sz w:val="24"/>
        </w:rPr>
        <w:t>SEND</w:t>
      </w:r>
      <w:r w:rsidR="001858CF">
        <w:rPr>
          <w:rFonts w:cs="Calibri"/>
          <w:sz w:val="24"/>
        </w:rPr>
        <w:t xml:space="preserve"> students are the final group requiring consideration</w:t>
      </w:r>
      <w:r w:rsidRPr="00CE2829">
        <w:rPr>
          <w:rFonts w:cs="Calibri"/>
          <w:sz w:val="24"/>
        </w:rPr>
        <w:t xml:space="preserve">. Often these students will experience a range of barriers when trying to achieve academic success, particularly if assessment </w:t>
      </w:r>
      <w:r>
        <w:rPr>
          <w:rFonts w:cs="Calibri"/>
          <w:sz w:val="24"/>
        </w:rPr>
        <w:t>occurs in the form of</w:t>
      </w:r>
      <w:r w:rsidRPr="00CE2829">
        <w:rPr>
          <w:rFonts w:cs="Calibri"/>
          <w:sz w:val="24"/>
        </w:rPr>
        <w:t xml:space="preserve"> a </w:t>
      </w:r>
      <w:r>
        <w:rPr>
          <w:rFonts w:cs="Calibri"/>
          <w:sz w:val="24"/>
        </w:rPr>
        <w:t>final</w:t>
      </w:r>
      <w:r w:rsidRPr="00CE2829">
        <w:rPr>
          <w:rFonts w:cs="Calibri"/>
          <w:sz w:val="24"/>
        </w:rPr>
        <w:t xml:space="preserve"> </w:t>
      </w:r>
      <w:r>
        <w:rPr>
          <w:rFonts w:cs="Calibri"/>
          <w:sz w:val="24"/>
        </w:rPr>
        <w:t>summative terminal</w:t>
      </w:r>
      <w:r w:rsidRPr="00CE2829">
        <w:rPr>
          <w:rFonts w:cs="Calibri"/>
          <w:sz w:val="24"/>
        </w:rPr>
        <w:t xml:space="preserve"> </w:t>
      </w:r>
      <w:r w:rsidRPr="00CE2CEE">
        <w:rPr>
          <w:rFonts w:cs="Calibri"/>
          <w:sz w:val="24"/>
        </w:rPr>
        <w:t>examination. Vocational courses and coursework</w:t>
      </w:r>
      <w:r w:rsidR="001858CF">
        <w:rPr>
          <w:rFonts w:cs="Calibri"/>
          <w:sz w:val="24"/>
        </w:rPr>
        <w:t>-</w:t>
      </w:r>
      <w:r w:rsidRPr="00CE2CEE">
        <w:rPr>
          <w:rFonts w:cs="Calibri"/>
          <w:sz w:val="24"/>
        </w:rPr>
        <w:t>based assessment have the potential to allow some SEND students to display what they can achieve rather than to reinforce what they cannot</w:t>
      </w:r>
      <w:r w:rsidR="00CE2CEE" w:rsidRPr="00CE2CEE">
        <w:rPr>
          <w:rFonts w:cs="Calibri"/>
          <w:sz w:val="24"/>
        </w:rPr>
        <w:t xml:space="preserve"> (Taylor</w:t>
      </w:r>
      <w:r w:rsidR="001858CF">
        <w:rPr>
          <w:rFonts w:cs="Calibri"/>
          <w:sz w:val="24"/>
        </w:rPr>
        <w:t>,</w:t>
      </w:r>
      <w:r w:rsidR="00CE2CEE" w:rsidRPr="00CE2CEE">
        <w:rPr>
          <w:rFonts w:cs="Calibri"/>
          <w:sz w:val="24"/>
        </w:rPr>
        <w:t xml:space="preserve"> 2011</w:t>
      </w:r>
      <w:r w:rsidRPr="00CE2CEE">
        <w:rPr>
          <w:rFonts w:cs="Calibri"/>
          <w:sz w:val="24"/>
        </w:rPr>
        <w:t>)</w:t>
      </w:r>
      <w:r w:rsidR="00CE2CEE" w:rsidRPr="00CE2CEE">
        <w:rPr>
          <w:rFonts w:cs="Calibri"/>
          <w:sz w:val="24"/>
        </w:rPr>
        <w:t>.</w:t>
      </w:r>
      <w:r w:rsidRPr="00CE2CEE">
        <w:rPr>
          <w:rFonts w:cs="Calibri"/>
          <w:sz w:val="24"/>
        </w:rPr>
        <w:t xml:space="preserve"> Performance</w:t>
      </w:r>
      <w:r w:rsidRPr="00CE2829">
        <w:rPr>
          <w:rFonts w:cs="Calibri"/>
          <w:sz w:val="24"/>
        </w:rPr>
        <w:t xml:space="preserve"> data used by Taylor (2011) highlights that in 2010</w:t>
      </w:r>
      <w:r w:rsidR="001858CF">
        <w:rPr>
          <w:rFonts w:cs="Calibri"/>
          <w:sz w:val="24"/>
        </w:rPr>
        <w:t>,</w:t>
      </w:r>
      <w:r w:rsidRPr="00CE2829">
        <w:rPr>
          <w:rFonts w:cs="Calibri"/>
          <w:sz w:val="24"/>
        </w:rPr>
        <w:t xml:space="preserve"> the schools with the highest number of SEND students achieved only 5.5% in the EBac</w:t>
      </w:r>
      <w:r w:rsidR="001858CF">
        <w:rPr>
          <w:rFonts w:cs="Calibri"/>
          <w:sz w:val="24"/>
        </w:rPr>
        <w:t>,</w:t>
      </w:r>
      <w:r w:rsidRPr="00CE2829">
        <w:rPr>
          <w:rFonts w:cs="Calibri"/>
          <w:sz w:val="24"/>
        </w:rPr>
        <w:t xml:space="preserve"> while the schools with the lowest SEND </w:t>
      </w:r>
      <w:r w:rsidR="001858CF">
        <w:rPr>
          <w:rFonts w:cs="Calibri"/>
          <w:sz w:val="24"/>
        </w:rPr>
        <w:t xml:space="preserve">numbers </w:t>
      </w:r>
      <w:r w:rsidRPr="00CE2829">
        <w:rPr>
          <w:rFonts w:cs="Calibri"/>
          <w:sz w:val="24"/>
        </w:rPr>
        <w:t xml:space="preserve">achieved 32.9%. SEND students are often withdrawn from </w:t>
      </w:r>
      <w:r>
        <w:rPr>
          <w:rFonts w:cs="Calibri"/>
          <w:sz w:val="24"/>
        </w:rPr>
        <w:t xml:space="preserve">modern </w:t>
      </w:r>
      <w:r w:rsidRPr="00CE2829">
        <w:rPr>
          <w:rFonts w:cs="Calibri"/>
          <w:sz w:val="24"/>
        </w:rPr>
        <w:t>language</w:t>
      </w:r>
      <w:r>
        <w:rPr>
          <w:rFonts w:cs="Calibri"/>
          <w:sz w:val="24"/>
        </w:rPr>
        <w:t xml:space="preserve"> </w:t>
      </w:r>
      <w:r>
        <w:rPr>
          <w:rFonts w:cs="Calibri"/>
          <w:sz w:val="24"/>
        </w:rPr>
        <w:lastRenderedPageBreak/>
        <w:t>courses</w:t>
      </w:r>
      <w:r w:rsidRPr="00CE2829">
        <w:rPr>
          <w:rFonts w:cs="Calibri"/>
          <w:sz w:val="24"/>
        </w:rPr>
        <w:t xml:space="preserve"> in Key Stage Three</w:t>
      </w:r>
      <w:r>
        <w:rPr>
          <w:rFonts w:cs="Calibri"/>
          <w:sz w:val="24"/>
        </w:rPr>
        <w:t xml:space="preserve"> (KS3)</w:t>
      </w:r>
      <w:r>
        <w:rPr>
          <w:rStyle w:val="FootnoteReference"/>
          <w:rFonts w:cs="Calibri"/>
          <w:sz w:val="24"/>
        </w:rPr>
        <w:footnoteReference w:id="28"/>
      </w:r>
      <w:r w:rsidRPr="00CE2829">
        <w:rPr>
          <w:rFonts w:cs="Calibri"/>
          <w:sz w:val="24"/>
        </w:rPr>
        <w:t xml:space="preserve"> to allow them to focus on either additional English or alternative support that they may require</w:t>
      </w:r>
      <w:r>
        <w:rPr>
          <w:rFonts w:cs="Calibri"/>
          <w:sz w:val="24"/>
        </w:rPr>
        <w:t>. I</w:t>
      </w:r>
      <w:r w:rsidRPr="00CE2829">
        <w:rPr>
          <w:rFonts w:cs="Calibri"/>
          <w:sz w:val="24"/>
        </w:rPr>
        <w:t xml:space="preserve">t is far less likely that these students would </w:t>
      </w:r>
      <w:r>
        <w:rPr>
          <w:rFonts w:cs="Calibri"/>
          <w:sz w:val="24"/>
        </w:rPr>
        <w:t xml:space="preserve">study </w:t>
      </w:r>
      <w:r w:rsidRPr="00CE2829">
        <w:rPr>
          <w:rFonts w:cs="Calibri"/>
          <w:sz w:val="24"/>
        </w:rPr>
        <w:t>a</w:t>
      </w:r>
      <w:r>
        <w:rPr>
          <w:rFonts w:cs="Calibri"/>
          <w:sz w:val="24"/>
        </w:rPr>
        <w:t xml:space="preserve"> modern foreign</w:t>
      </w:r>
      <w:r w:rsidRPr="00CE2829">
        <w:rPr>
          <w:rFonts w:cs="Calibri"/>
          <w:sz w:val="24"/>
        </w:rPr>
        <w:t xml:space="preserve"> language at GCSE</w:t>
      </w:r>
      <w:r w:rsidR="001858CF">
        <w:rPr>
          <w:rFonts w:cs="Calibri"/>
          <w:sz w:val="24"/>
        </w:rPr>
        <w:t>,</w:t>
      </w:r>
      <w:r>
        <w:rPr>
          <w:rFonts w:cs="Calibri"/>
          <w:sz w:val="24"/>
        </w:rPr>
        <w:t xml:space="preserve"> </w:t>
      </w:r>
      <w:r w:rsidR="00CC1008">
        <w:rPr>
          <w:rFonts w:cs="Calibri"/>
          <w:sz w:val="24"/>
        </w:rPr>
        <w:t xml:space="preserve">or indeed the full range of EBac subjects. The EBac gap between SEND and non-SEND has widened, </w:t>
      </w:r>
      <w:r w:rsidR="001858CF">
        <w:rPr>
          <w:rFonts w:cs="Calibri"/>
          <w:sz w:val="24"/>
        </w:rPr>
        <w:t>expanding by 6.2% in</w:t>
      </w:r>
      <w:r w:rsidR="00CC1008">
        <w:rPr>
          <w:rFonts w:cs="Calibri"/>
          <w:sz w:val="24"/>
        </w:rPr>
        <w:t xml:space="preserve"> 2012</w:t>
      </w:r>
      <w:r w:rsidR="001858CF">
        <w:rPr>
          <w:rFonts w:cs="Calibri"/>
          <w:sz w:val="24"/>
        </w:rPr>
        <w:t>-</w:t>
      </w:r>
      <w:r w:rsidR="00CC1008">
        <w:rPr>
          <w:rFonts w:cs="Calibri"/>
          <w:sz w:val="24"/>
        </w:rPr>
        <w:t>2013</w:t>
      </w:r>
      <w:r w:rsidR="001858CF">
        <w:rPr>
          <w:rFonts w:cs="Calibri"/>
          <w:sz w:val="24"/>
        </w:rPr>
        <w:t xml:space="preserve"> </w:t>
      </w:r>
      <w:r w:rsidR="00CC1008">
        <w:rPr>
          <w:rFonts w:cs="Calibri"/>
          <w:sz w:val="24"/>
        </w:rPr>
        <w:t xml:space="preserve">(DfE, 2014a).  </w:t>
      </w:r>
    </w:p>
    <w:p w14:paraId="5808789B" w14:textId="77777777" w:rsidR="00A75A8F" w:rsidRDefault="00A75A8F" w:rsidP="00A75A8F">
      <w:pPr>
        <w:tabs>
          <w:tab w:val="left" w:pos="8364"/>
        </w:tabs>
        <w:spacing w:line="360" w:lineRule="auto"/>
        <w:rPr>
          <w:rFonts w:cs="Calibri"/>
          <w:sz w:val="24"/>
        </w:rPr>
      </w:pPr>
      <w:r>
        <w:rPr>
          <w:rFonts w:cs="Calibri"/>
          <w:sz w:val="24"/>
        </w:rPr>
        <w:t xml:space="preserve">The EBac appears to have the potential to exacerbate inequalities in educational achievement between different social groups. The next section critically considers the arguments relating to social and cultural reproduction. </w:t>
      </w:r>
    </w:p>
    <w:p w14:paraId="5807A52E" w14:textId="77777777" w:rsidR="00A75A8F" w:rsidRPr="00C50E6A" w:rsidRDefault="00A75A8F" w:rsidP="00531995">
      <w:pPr>
        <w:pStyle w:val="Heading2"/>
      </w:pPr>
      <w:bookmarkStart w:id="25" w:name="_Toc452316310"/>
      <w:r w:rsidRPr="00CF550E">
        <w:t>2.3</w:t>
      </w:r>
      <w:r>
        <w:t xml:space="preserve"> </w:t>
      </w:r>
      <w:r w:rsidRPr="00C50E6A">
        <w:t>Social and cultural reproduction</w:t>
      </w:r>
      <w:bookmarkEnd w:id="25"/>
    </w:p>
    <w:p w14:paraId="3858AB81" w14:textId="6E8B266C" w:rsidR="00A75A8F" w:rsidRPr="00C50E6A" w:rsidRDefault="00A75A8F" w:rsidP="00A75A8F">
      <w:pPr>
        <w:spacing w:line="360" w:lineRule="auto"/>
        <w:rPr>
          <w:rFonts w:cs="Calibri"/>
          <w:sz w:val="24"/>
        </w:rPr>
      </w:pPr>
      <w:r>
        <w:rPr>
          <w:rFonts w:cs="Calibri"/>
          <w:sz w:val="24"/>
        </w:rPr>
        <w:t>The work</w:t>
      </w:r>
      <w:r w:rsidR="002A6676">
        <w:rPr>
          <w:rFonts w:cs="Calibri"/>
          <w:sz w:val="24"/>
        </w:rPr>
        <w:t>s</w:t>
      </w:r>
      <w:r>
        <w:rPr>
          <w:rFonts w:cs="Calibri"/>
          <w:sz w:val="24"/>
        </w:rPr>
        <w:t xml:space="preserve"> of Bowles and Gintis (1976), and Bourdieu</w:t>
      </w:r>
      <w:r w:rsidR="00FE61F0">
        <w:rPr>
          <w:rFonts w:cs="Calibri"/>
          <w:sz w:val="24"/>
        </w:rPr>
        <w:t xml:space="preserve"> and Passeron (1977) provide </w:t>
      </w:r>
      <w:r>
        <w:rPr>
          <w:rFonts w:cs="Calibri"/>
          <w:sz w:val="24"/>
        </w:rPr>
        <w:t>important background to my research questions</w:t>
      </w:r>
      <w:r w:rsidR="00A13F34">
        <w:rPr>
          <w:rFonts w:cs="Calibri"/>
          <w:sz w:val="24"/>
        </w:rPr>
        <w:t xml:space="preserve"> as</w:t>
      </w:r>
      <w:r>
        <w:rPr>
          <w:rFonts w:cs="Calibri"/>
          <w:sz w:val="24"/>
        </w:rPr>
        <w:t xml:space="preserve"> they </w:t>
      </w:r>
      <w:r w:rsidRPr="00C50E6A">
        <w:rPr>
          <w:rFonts w:cs="Calibri"/>
          <w:sz w:val="24"/>
        </w:rPr>
        <w:t>consider</w:t>
      </w:r>
      <w:r>
        <w:rPr>
          <w:rFonts w:cs="Calibri"/>
          <w:sz w:val="24"/>
        </w:rPr>
        <w:t xml:space="preserve"> e</w:t>
      </w:r>
      <w:r w:rsidRPr="00C50E6A">
        <w:rPr>
          <w:rFonts w:cs="Calibri"/>
          <w:sz w:val="24"/>
        </w:rPr>
        <w:t xml:space="preserve">ducation as a site of cultural and social reproduction. </w:t>
      </w:r>
      <w:r w:rsidR="002A6676">
        <w:rPr>
          <w:rFonts w:cs="Calibri"/>
          <w:sz w:val="24"/>
        </w:rPr>
        <w:t>T</w:t>
      </w:r>
      <w:r>
        <w:rPr>
          <w:rFonts w:cs="Calibri"/>
          <w:sz w:val="24"/>
        </w:rPr>
        <w:t xml:space="preserve">hey argue that </w:t>
      </w:r>
      <w:r w:rsidRPr="00C50E6A">
        <w:rPr>
          <w:rFonts w:cs="Calibri"/>
          <w:sz w:val="24"/>
        </w:rPr>
        <w:t xml:space="preserve">children are taught and exposed to the </w:t>
      </w:r>
      <w:r>
        <w:rPr>
          <w:rFonts w:cs="Calibri"/>
          <w:sz w:val="24"/>
        </w:rPr>
        <w:t xml:space="preserve">dominant </w:t>
      </w:r>
      <w:r w:rsidRPr="00C50E6A">
        <w:rPr>
          <w:rFonts w:cs="Calibri"/>
          <w:sz w:val="24"/>
        </w:rPr>
        <w:t>norms and values of their society through</w:t>
      </w:r>
      <w:r>
        <w:rPr>
          <w:rFonts w:cs="Calibri"/>
          <w:sz w:val="24"/>
        </w:rPr>
        <w:t xml:space="preserve"> </w:t>
      </w:r>
      <w:r w:rsidRPr="00C50E6A">
        <w:rPr>
          <w:rFonts w:cs="Calibri"/>
          <w:sz w:val="24"/>
        </w:rPr>
        <w:t>the overt and hidden curriculum in school</w:t>
      </w:r>
      <w:r w:rsidR="002A6676">
        <w:rPr>
          <w:rFonts w:cs="Calibri"/>
          <w:sz w:val="24"/>
        </w:rPr>
        <w:t>, which acts</w:t>
      </w:r>
      <w:r w:rsidR="002A6676" w:rsidRPr="00C50E6A">
        <w:rPr>
          <w:rFonts w:cs="Calibri"/>
          <w:sz w:val="24"/>
        </w:rPr>
        <w:t xml:space="preserve"> as a form of secondary socialisation</w:t>
      </w:r>
      <w:r w:rsidRPr="00C50E6A">
        <w:rPr>
          <w:rFonts w:cs="Calibri"/>
          <w:sz w:val="24"/>
        </w:rPr>
        <w:t>. The EBac contribute</w:t>
      </w:r>
      <w:r>
        <w:rPr>
          <w:rFonts w:cs="Calibri"/>
          <w:sz w:val="24"/>
        </w:rPr>
        <w:t>s</w:t>
      </w:r>
      <w:r w:rsidRPr="00C50E6A">
        <w:rPr>
          <w:rFonts w:cs="Calibri"/>
          <w:sz w:val="24"/>
        </w:rPr>
        <w:t xml:space="preserve"> to social and cultural reproduction in </w:t>
      </w:r>
      <w:r>
        <w:rPr>
          <w:rFonts w:cs="Calibri"/>
          <w:sz w:val="24"/>
        </w:rPr>
        <w:t xml:space="preserve">transparent </w:t>
      </w:r>
      <w:r w:rsidRPr="00C50E6A">
        <w:rPr>
          <w:rFonts w:cs="Calibri"/>
          <w:sz w:val="24"/>
        </w:rPr>
        <w:t>ways</w:t>
      </w:r>
      <w:r w:rsidR="002A6676">
        <w:rPr>
          <w:rFonts w:cs="Calibri"/>
          <w:sz w:val="24"/>
        </w:rPr>
        <w:t xml:space="preserve"> through the notions of </w:t>
      </w:r>
      <w:r>
        <w:rPr>
          <w:rFonts w:cs="Calibri"/>
          <w:sz w:val="24"/>
        </w:rPr>
        <w:t xml:space="preserve">educational </w:t>
      </w:r>
      <w:r w:rsidR="002A6676">
        <w:rPr>
          <w:rFonts w:cs="Calibri"/>
          <w:sz w:val="24"/>
        </w:rPr>
        <w:t>‘</w:t>
      </w:r>
      <w:r>
        <w:rPr>
          <w:rFonts w:cs="Calibri"/>
          <w:sz w:val="24"/>
        </w:rPr>
        <w:t>success</w:t>
      </w:r>
      <w:r w:rsidR="002A6676">
        <w:rPr>
          <w:rFonts w:cs="Calibri"/>
          <w:sz w:val="24"/>
        </w:rPr>
        <w:t>’</w:t>
      </w:r>
      <w:r>
        <w:rPr>
          <w:rFonts w:cs="Calibri"/>
          <w:sz w:val="24"/>
        </w:rPr>
        <w:t xml:space="preserve"> or </w:t>
      </w:r>
      <w:r w:rsidR="002A6676">
        <w:rPr>
          <w:rFonts w:cs="Calibri"/>
          <w:sz w:val="24"/>
        </w:rPr>
        <w:t>‘</w:t>
      </w:r>
      <w:r>
        <w:rPr>
          <w:rFonts w:cs="Calibri"/>
          <w:sz w:val="24"/>
        </w:rPr>
        <w:t>failure</w:t>
      </w:r>
      <w:r w:rsidR="002A6676">
        <w:rPr>
          <w:rFonts w:cs="Calibri"/>
          <w:sz w:val="24"/>
        </w:rPr>
        <w:t>’</w:t>
      </w:r>
      <w:r>
        <w:rPr>
          <w:rFonts w:cs="Calibri"/>
          <w:sz w:val="24"/>
        </w:rPr>
        <w:t xml:space="preserve"> on this performance measure. Social and cultural reproduction</w:t>
      </w:r>
      <w:r w:rsidRPr="00C50E6A">
        <w:rPr>
          <w:rFonts w:cs="Calibri"/>
          <w:sz w:val="24"/>
        </w:rPr>
        <w:t xml:space="preserve"> may also transpire in more covert ways such as through pressure and influence </w:t>
      </w:r>
      <w:r>
        <w:rPr>
          <w:rFonts w:cs="Calibri"/>
          <w:sz w:val="24"/>
        </w:rPr>
        <w:t>from teachers or parents</w:t>
      </w:r>
      <w:r w:rsidR="002A6676">
        <w:rPr>
          <w:rFonts w:cs="Calibri"/>
          <w:sz w:val="24"/>
        </w:rPr>
        <w:t>,</w:t>
      </w:r>
      <w:r>
        <w:rPr>
          <w:rFonts w:cs="Calibri"/>
          <w:sz w:val="24"/>
        </w:rPr>
        <w:t xml:space="preserve"> </w:t>
      </w:r>
      <w:r w:rsidRPr="00C50E6A">
        <w:rPr>
          <w:rFonts w:cs="Calibri"/>
          <w:sz w:val="24"/>
        </w:rPr>
        <w:t xml:space="preserve">which may encourage some children to </w:t>
      </w:r>
      <w:r>
        <w:rPr>
          <w:rFonts w:cs="Calibri"/>
          <w:sz w:val="24"/>
        </w:rPr>
        <w:t>study</w:t>
      </w:r>
      <w:r w:rsidRPr="00C50E6A">
        <w:rPr>
          <w:rFonts w:cs="Calibri"/>
          <w:sz w:val="24"/>
        </w:rPr>
        <w:t xml:space="preserve"> EBac </w:t>
      </w:r>
      <w:r>
        <w:rPr>
          <w:rFonts w:cs="Calibri"/>
          <w:sz w:val="24"/>
        </w:rPr>
        <w:t xml:space="preserve">subjects </w:t>
      </w:r>
      <w:r w:rsidRPr="00C50E6A">
        <w:rPr>
          <w:rFonts w:cs="Calibri"/>
          <w:sz w:val="24"/>
        </w:rPr>
        <w:t>and others to reject o</w:t>
      </w:r>
      <w:r>
        <w:rPr>
          <w:rFonts w:cs="Calibri"/>
          <w:sz w:val="24"/>
        </w:rPr>
        <w:t xml:space="preserve">r </w:t>
      </w:r>
      <w:r w:rsidRPr="00C50E6A">
        <w:rPr>
          <w:rFonts w:cs="Calibri"/>
          <w:sz w:val="24"/>
        </w:rPr>
        <w:t xml:space="preserve">be diverted, dissuaded or refused access to this </w:t>
      </w:r>
      <w:r>
        <w:rPr>
          <w:rFonts w:cs="Calibri"/>
          <w:sz w:val="24"/>
        </w:rPr>
        <w:t>specific combination</w:t>
      </w:r>
      <w:r w:rsidRPr="00C50E6A">
        <w:rPr>
          <w:rFonts w:cs="Calibri"/>
          <w:sz w:val="24"/>
        </w:rPr>
        <w:t xml:space="preserve"> of subjects and qualifications. In relation to my </w:t>
      </w:r>
      <w:r>
        <w:rPr>
          <w:rFonts w:cs="Calibri"/>
          <w:sz w:val="24"/>
        </w:rPr>
        <w:t xml:space="preserve">third research </w:t>
      </w:r>
      <w:r w:rsidRPr="00C50E6A">
        <w:rPr>
          <w:rFonts w:cs="Calibri"/>
          <w:sz w:val="24"/>
        </w:rPr>
        <w:t>question</w:t>
      </w:r>
      <w:r>
        <w:rPr>
          <w:rFonts w:cs="Calibri"/>
          <w:sz w:val="24"/>
        </w:rPr>
        <w:t>,</w:t>
      </w:r>
      <w:r w:rsidRPr="00C50E6A">
        <w:rPr>
          <w:rFonts w:cs="Calibri"/>
          <w:sz w:val="24"/>
        </w:rPr>
        <w:t xml:space="preserve"> regarding the implications of the EBac for educational equality, I consider the work of </w:t>
      </w:r>
      <w:r>
        <w:rPr>
          <w:rFonts w:cs="Calibri"/>
          <w:sz w:val="24"/>
        </w:rPr>
        <w:t xml:space="preserve">Illich (1971), </w:t>
      </w:r>
      <w:r w:rsidRPr="00C50E6A">
        <w:rPr>
          <w:rFonts w:cs="Calibri"/>
          <w:sz w:val="24"/>
        </w:rPr>
        <w:t>Bowles and Gintis (1976), Feinberg (1983)</w:t>
      </w:r>
      <w:r w:rsidR="002A6676">
        <w:rPr>
          <w:rFonts w:cs="Calibri"/>
          <w:sz w:val="24"/>
        </w:rPr>
        <w:t>,</w:t>
      </w:r>
      <w:r w:rsidRPr="00C50E6A">
        <w:rPr>
          <w:rFonts w:cs="Calibri"/>
          <w:sz w:val="24"/>
        </w:rPr>
        <w:t xml:space="preserve"> and Bourdieu and Passeron (1977).</w:t>
      </w:r>
    </w:p>
    <w:p w14:paraId="3CB84CE1" w14:textId="77777777" w:rsidR="00A75A8F" w:rsidRPr="00C50E6A" w:rsidRDefault="00A75A8F" w:rsidP="00A75A8F">
      <w:pPr>
        <w:spacing w:line="240" w:lineRule="auto"/>
        <w:ind w:left="720"/>
        <w:rPr>
          <w:rFonts w:cs="Calibri"/>
          <w:sz w:val="24"/>
        </w:rPr>
      </w:pPr>
      <w:r w:rsidRPr="00C50E6A">
        <w:rPr>
          <w:rFonts w:cs="Calibri"/>
          <w:sz w:val="24"/>
        </w:rPr>
        <w:t>The pupil is thereby “schooled” to confuse teaching with learning, grade advancement with education, a diploma with competence, and fluency with the ability to say something new (Illich 1971, p.9).</w:t>
      </w:r>
    </w:p>
    <w:p w14:paraId="056A257D" w14:textId="1C6A2E52" w:rsidR="00A75A8F" w:rsidRPr="00C50E6A" w:rsidRDefault="00A75A8F" w:rsidP="00A75A8F">
      <w:pPr>
        <w:tabs>
          <w:tab w:val="left" w:pos="8505"/>
        </w:tabs>
        <w:spacing w:line="360" w:lineRule="auto"/>
        <w:rPr>
          <w:rFonts w:cs="Calibri"/>
          <w:sz w:val="24"/>
        </w:rPr>
      </w:pPr>
      <w:r w:rsidRPr="00C50E6A">
        <w:rPr>
          <w:rFonts w:cs="Calibri"/>
          <w:sz w:val="24"/>
        </w:rPr>
        <w:t xml:space="preserve">Illich </w:t>
      </w:r>
      <w:r>
        <w:rPr>
          <w:rFonts w:cs="Calibri"/>
          <w:sz w:val="24"/>
        </w:rPr>
        <w:t xml:space="preserve">(1971) </w:t>
      </w:r>
      <w:r w:rsidRPr="00C50E6A">
        <w:rPr>
          <w:rFonts w:cs="Calibri"/>
          <w:sz w:val="24"/>
        </w:rPr>
        <w:t>argue</w:t>
      </w:r>
      <w:r>
        <w:rPr>
          <w:rFonts w:cs="Calibri"/>
          <w:sz w:val="24"/>
        </w:rPr>
        <w:t>s</w:t>
      </w:r>
      <w:r w:rsidRPr="00C50E6A">
        <w:rPr>
          <w:rFonts w:cs="Calibri"/>
          <w:sz w:val="24"/>
        </w:rPr>
        <w:t xml:space="preserve"> that institutions like schools operate </w:t>
      </w:r>
      <w:r>
        <w:rPr>
          <w:rFonts w:cs="Calibri"/>
          <w:sz w:val="24"/>
        </w:rPr>
        <w:t xml:space="preserve">not </w:t>
      </w:r>
      <w:r w:rsidRPr="00C50E6A">
        <w:rPr>
          <w:rFonts w:cs="Calibri"/>
          <w:sz w:val="24"/>
        </w:rPr>
        <w:t>to serve the needs of all individuals, but rather to serve the needs of wider society</w:t>
      </w:r>
      <w:r>
        <w:rPr>
          <w:rFonts w:cs="Calibri"/>
          <w:sz w:val="24"/>
        </w:rPr>
        <w:t>,</w:t>
      </w:r>
      <w:r w:rsidRPr="00C50E6A">
        <w:rPr>
          <w:rFonts w:cs="Calibri"/>
          <w:sz w:val="24"/>
        </w:rPr>
        <w:t xml:space="preserve"> legitimise </w:t>
      </w:r>
      <w:r w:rsidR="002A6676">
        <w:rPr>
          <w:rFonts w:cs="Calibri"/>
          <w:sz w:val="24"/>
        </w:rPr>
        <w:t>‘</w:t>
      </w:r>
      <w:r w:rsidRPr="00C50E6A">
        <w:rPr>
          <w:rFonts w:cs="Calibri"/>
          <w:sz w:val="24"/>
        </w:rPr>
        <w:t>social rank</w:t>
      </w:r>
      <w:r w:rsidR="002A6676">
        <w:rPr>
          <w:rFonts w:cs="Calibri"/>
          <w:sz w:val="24"/>
        </w:rPr>
        <w:t>’</w:t>
      </w:r>
      <w:r w:rsidRPr="00C50E6A">
        <w:rPr>
          <w:rFonts w:cs="Calibri"/>
          <w:sz w:val="24"/>
        </w:rPr>
        <w:t xml:space="preserve"> and reproduce societal divisions</w:t>
      </w:r>
      <w:r>
        <w:rPr>
          <w:rFonts w:cs="Calibri"/>
          <w:sz w:val="24"/>
        </w:rPr>
        <w:t>. T</w:t>
      </w:r>
      <w:r w:rsidRPr="00C50E6A">
        <w:rPr>
          <w:rFonts w:cs="Calibri"/>
          <w:sz w:val="24"/>
        </w:rPr>
        <w:t xml:space="preserve">he powerful </w:t>
      </w:r>
      <w:r>
        <w:rPr>
          <w:rFonts w:cs="Calibri"/>
          <w:sz w:val="24"/>
        </w:rPr>
        <w:t>preserve</w:t>
      </w:r>
      <w:r w:rsidRPr="00C50E6A">
        <w:rPr>
          <w:rFonts w:cs="Calibri"/>
          <w:sz w:val="24"/>
        </w:rPr>
        <w:t xml:space="preserve"> their position</w:t>
      </w:r>
      <w:r>
        <w:rPr>
          <w:rFonts w:cs="Calibri"/>
          <w:sz w:val="24"/>
        </w:rPr>
        <w:t xml:space="preserve"> and the status quo of unequal social relations is maintained.</w:t>
      </w:r>
    </w:p>
    <w:p w14:paraId="26D443BC" w14:textId="4ABC8CA5" w:rsidR="002A6676" w:rsidRDefault="00A75A8F" w:rsidP="00A75A8F">
      <w:pPr>
        <w:tabs>
          <w:tab w:val="left" w:pos="8364"/>
          <w:tab w:val="left" w:pos="8505"/>
        </w:tabs>
        <w:spacing w:line="360" w:lineRule="auto"/>
        <w:rPr>
          <w:rFonts w:cs="Calibri"/>
          <w:sz w:val="24"/>
        </w:rPr>
      </w:pPr>
      <w:r>
        <w:rPr>
          <w:rFonts w:cs="Calibri"/>
          <w:sz w:val="24"/>
        </w:rPr>
        <w:lastRenderedPageBreak/>
        <w:t>I</w:t>
      </w:r>
      <w:r w:rsidRPr="00C50E6A">
        <w:rPr>
          <w:rFonts w:cs="Calibri"/>
          <w:sz w:val="24"/>
        </w:rPr>
        <w:t xml:space="preserve">n </w:t>
      </w:r>
      <w:r w:rsidRPr="00665D2A">
        <w:rPr>
          <w:rFonts w:cs="Calibri"/>
          <w:i/>
          <w:sz w:val="24"/>
        </w:rPr>
        <w:t>Schooling in Capitalist America</w:t>
      </w:r>
      <w:r w:rsidR="002A6676" w:rsidRPr="002C2C32">
        <w:rPr>
          <w:i/>
          <w:sz w:val="24"/>
        </w:rPr>
        <w:t xml:space="preserve"> </w:t>
      </w:r>
      <w:r w:rsidR="002A6676" w:rsidRPr="002C2C32">
        <w:rPr>
          <w:rFonts w:cs="Calibri"/>
          <w:sz w:val="24"/>
        </w:rPr>
        <w:t>(1976),</w:t>
      </w:r>
      <w:r w:rsidRPr="00C50E6A">
        <w:rPr>
          <w:rFonts w:cs="Calibri"/>
          <w:sz w:val="24"/>
        </w:rPr>
        <w:t xml:space="preserve"> Bowles and Gintis </w:t>
      </w:r>
      <w:r w:rsidRPr="00665D2A">
        <w:rPr>
          <w:rFonts w:cs="Calibri"/>
          <w:sz w:val="24"/>
        </w:rPr>
        <w:t>argu</w:t>
      </w:r>
      <w:r>
        <w:rPr>
          <w:rFonts w:cs="Calibri"/>
          <w:sz w:val="24"/>
        </w:rPr>
        <w:t>e</w:t>
      </w:r>
      <w:r w:rsidRPr="00665D2A">
        <w:rPr>
          <w:rFonts w:cs="Calibri"/>
          <w:sz w:val="24"/>
        </w:rPr>
        <w:t xml:space="preserve"> that schools foster inequality, creating and perpetuating the myth of meritocracy as a device to reproduce the unequal nature of the capitalist system. </w:t>
      </w:r>
      <w:r>
        <w:rPr>
          <w:rFonts w:cs="Calibri"/>
          <w:sz w:val="24"/>
        </w:rPr>
        <w:t xml:space="preserve">Capitalism creates a situation where a minority control the wealth and power </w:t>
      </w:r>
      <w:r w:rsidR="002A6676">
        <w:rPr>
          <w:rFonts w:cs="Calibri"/>
          <w:sz w:val="24"/>
        </w:rPr>
        <w:t>in</w:t>
      </w:r>
      <w:r>
        <w:rPr>
          <w:rFonts w:cs="Calibri"/>
          <w:sz w:val="24"/>
        </w:rPr>
        <w:t xml:space="preserve"> society and the majority provide their labour services to this group. </w:t>
      </w:r>
      <w:r w:rsidRPr="00665D2A">
        <w:rPr>
          <w:rFonts w:cs="Calibri"/>
          <w:sz w:val="24"/>
        </w:rPr>
        <w:t xml:space="preserve">The myth of meritocracy is the misguided belief that individuals earn their position in education and society through their own ability and efforts, therefore those at the top </w:t>
      </w:r>
      <w:r>
        <w:rPr>
          <w:rFonts w:cs="Calibri"/>
          <w:sz w:val="24"/>
        </w:rPr>
        <w:t xml:space="preserve">of capitalist society </w:t>
      </w:r>
      <w:r w:rsidRPr="00665D2A">
        <w:rPr>
          <w:rFonts w:cs="Calibri"/>
          <w:sz w:val="24"/>
        </w:rPr>
        <w:t xml:space="preserve">who receive the highest rewards are believed by all to have </w:t>
      </w:r>
      <w:r w:rsidR="00A13F34">
        <w:rPr>
          <w:rFonts w:cs="Calibri"/>
          <w:sz w:val="24"/>
        </w:rPr>
        <w:t>‘</w:t>
      </w:r>
      <w:r w:rsidRPr="00665D2A">
        <w:rPr>
          <w:rFonts w:cs="Calibri"/>
          <w:sz w:val="24"/>
        </w:rPr>
        <w:t>earned</w:t>
      </w:r>
      <w:r w:rsidR="00A13F34">
        <w:rPr>
          <w:rFonts w:cs="Calibri"/>
          <w:sz w:val="24"/>
        </w:rPr>
        <w:t>’</w:t>
      </w:r>
      <w:r w:rsidRPr="00665D2A">
        <w:rPr>
          <w:rFonts w:cs="Calibri"/>
          <w:sz w:val="24"/>
        </w:rPr>
        <w:t xml:space="preserve"> this position. Bowles and Gintis argu</w:t>
      </w:r>
      <w:r w:rsidR="002A6676">
        <w:rPr>
          <w:rFonts w:cs="Calibri"/>
          <w:sz w:val="24"/>
        </w:rPr>
        <w:t xml:space="preserve">e </w:t>
      </w:r>
      <w:r w:rsidRPr="00665D2A">
        <w:rPr>
          <w:rFonts w:cs="Calibri"/>
          <w:sz w:val="24"/>
        </w:rPr>
        <w:t xml:space="preserve">that education </w:t>
      </w:r>
      <w:r>
        <w:rPr>
          <w:rFonts w:cs="Calibri"/>
          <w:sz w:val="24"/>
        </w:rPr>
        <w:t>i</w:t>
      </w:r>
      <w:r w:rsidRPr="00665D2A">
        <w:rPr>
          <w:rFonts w:cs="Calibri"/>
          <w:sz w:val="24"/>
        </w:rPr>
        <w:t>s portrayed as an “open, objective, and ostensibly meritocratic mechanism for assigning individuals to u</w:t>
      </w:r>
      <w:r w:rsidR="00FE61F0">
        <w:rPr>
          <w:rFonts w:cs="Calibri"/>
          <w:sz w:val="24"/>
        </w:rPr>
        <w:t>nequal economic positions” (</w:t>
      </w:r>
      <w:r w:rsidRPr="00665D2A">
        <w:rPr>
          <w:rFonts w:cs="Calibri"/>
          <w:sz w:val="24"/>
        </w:rPr>
        <w:t xml:space="preserve">p.103) and that failure </w:t>
      </w:r>
      <w:r>
        <w:rPr>
          <w:rFonts w:cs="Calibri"/>
          <w:sz w:val="24"/>
        </w:rPr>
        <w:t>i</w:t>
      </w:r>
      <w:r w:rsidRPr="00665D2A">
        <w:rPr>
          <w:rFonts w:cs="Calibri"/>
          <w:sz w:val="24"/>
        </w:rPr>
        <w:t>s due to individual inadeq</w:t>
      </w:r>
      <w:r w:rsidR="00FE61F0">
        <w:rPr>
          <w:rFonts w:cs="Calibri"/>
          <w:sz w:val="24"/>
        </w:rPr>
        <w:t>uacy. Such a belief provides</w:t>
      </w:r>
      <w:r w:rsidRPr="00665D2A">
        <w:rPr>
          <w:rFonts w:cs="Calibri"/>
          <w:sz w:val="24"/>
        </w:rPr>
        <w:t xml:space="preserve"> legitima</w:t>
      </w:r>
      <w:r w:rsidR="002A6676">
        <w:rPr>
          <w:rFonts w:cs="Calibri"/>
          <w:sz w:val="24"/>
        </w:rPr>
        <w:t>cy to</w:t>
      </w:r>
      <w:r w:rsidRPr="00665D2A">
        <w:rPr>
          <w:rFonts w:cs="Calibri"/>
          <w:sz w:val="24"/>
        </w:rPr>
        <w:t xml:space="preserve"> </w:t>
      </w:r>
      <w:r w:rsidR="002A6676">
        <w:rPr>
          <w:rFonts w:cs="Calibri"/>
          <w:sz w:val="24"/>
        </w:rPr>
        <w:t>ideas</w:t>
      </w:r>
      <w:r w:rsidRPr="00665D2A">
        <w:rPr>
          <w:rFonts w:cs="Calibri"/>
          <w:sz w:val="24"/>
        </w:rPr>
        <w:t xml:space="preserve"> difference and inequality, as some people are understood and identified to be more </w:t>
      </w:r>
      <w:r w:rsidR="002A6676">
        <w:rPr>
          <w:rFonts w:cs="Calibri"/>
          <w:sz w:val="24"/>
        </w:rPr>
        <w:t>‘</w:t>
      </w:r>
      <w:r w:rsidRPr="00665D2A">
        <w:rPr>
          <w:rFonts w:cs="Calibri"/>
          <w:sz w:val="24"/>
        </w:rPr>
        <w:t>talented</w:t>
      </w:r>
      <w:r w:rsidR="002A6676">
        <w:rPr>
          <w:rFonts w:cs="Calibri"/>
          <w:sz w:val="24"/>
        </w:rPr>
        <w:t>’</w:t>
      </w:r>
      <w:r>
        <w:rPr>
          <w:rFonts w:cs="Calibri"/>
          <w:sz w:val="24"/>
        </w:rPr>
        <w:t xml:space="preserve"> </w:t>
      </w:r>
      <w:r w:rsidRPr="00665D2A">
        <w:rPr>
          <w:rFonts w:cs="Calibri"/>
          <w:sz w:val="24"/>
        </w:rPr>
        <w:t xml:space="preserve">or </w:t>
      </w:r>
      <w:r w:rsidR="002A6676">
        <w:rPr>
          <w:rFonts w:cs="Calibri"/>
          <w:sz w:val="24"/>
        </w:rPr>
        <w:t>‘</w:t>
      </w:r>
      <w:r w:rsidRPr="00665D2A">
        <w:rPr>
          <w:rFonts w:cs="Calibri"/>
          <w:sz w:val="24"/>
        </w:rPr>
        <w:t>hard</w:t>
      </w:r>
      <w:r w:rsidR="002A6676">
        <w:rPr>
          <w:rFonts w:cs="Calibri"/>
          <w:sz w:val="24"/>
        </w:rPr>
        <w:t>-</w:t>
      </w:r>
      <w:r w:rsidRPr="00665D2A">
        <w:rPr>
          <w:rFonts w:cs="Calibri"/>
          <w:sz w:val="24"/>
        </w:rPr>
        <w:t>working</w:t>
      </w:r>
      <w:r w:rsidR="002A6676">
        <w:rPr>
          <w:rFonts w:cs="Calibri"/>
          <w:sz w:val="24"/>
        </w:rPr>
        <w:t>’</w:t>
      </w:r>
      <w:r w:rsidRPr="00665D2A">
        <w:rPr>
          <w:rFonts w:cs="Calibri"/>
          <w:sz w:val="24"/>
        </w:rPr>
        <w:t xml:space="preserve"> </w:t>
      </w:r>
      <w:r>
        <w:rPr>
          <w:rFonts w:cs="Calibri"/>
          <w:sz w:val="24"/>
        </w:rPr>
        <w:t xml:space="preserve">than others </w:t>
      </w:r>
      <w:r w:rsidRPr="00665D2A">
        <w:rPr>
          <w:rFonts w:cs="Calibri"/>
          <w:sz w:val="24"/>
        </w:rPr>
        <w:t xml:space="preserve">and therefore </w:t>
      </w:r>
      <w:r w:rsidR="002A6676">
        <w:rPr>
          <w:rFonts w:cs="Calibri"/>
          <w:sz w:val="24"/>
        </w:rPr>
        <w:t xml:space="preserve">more </w:t>
      </w:r>
      <w:r w:rsidRPr="00665D2A">
        <w:rPr>
          <w:rFonts w:cs="Calibri"/>
          <w:sz w:val="24"/>
        </w:rPr>
        <w:t xml:space="preserve">deserving of the rewards of </w:t>
      </w:r>
      <w:r>
        <w:rPr>
          <w:rFonts w:cs="Calibri"/>
          <w:sz w:val="24"/>
        </w:rPr>
        <w:t>capitalism</w:t>
      </w:r>
      <w:r w:rsidR="002A6676">
        <w:rPr>
          <w:rFonts w:cs="Calibri"/>
          <w:sz w:val="24"/>
        </w:rPr>
        <w:t>,</w:t>
      </w:r>
      <w:r>
        <w:rPr>
          <w:rFonts w:cs="Calibri"/>
          <w:sz w:val="24"/>
        </w:rPr>
        <w:t xml:space="preserve"> such as high status role</w:t>
      </w:r>
      <w:r w:rsidR="002A6676">
        <w:rPr>
          <w:rFonts w:cs="Calibri"/>
          <w:sz w:val="24"/>
        </w:rPr>
        <w:t>s</w:t>
      </w:r>
      <w:r>
        <w:rPr>
          <w:rFonts w:cs="Calibri"/>
          <w:sz w:val="24"/>
        </w:rPr>
        <w:t xml:space="preserve"> and income</w:t>
      </w:r>
      <w:r w:rsidRPr="00665D2A">
        <w:rPr>
          <w:rFonts w:cs="Calibri"/>
          <w:sz w:val="24"/>
        </w:rPr>
        <w:t xml:space="preserve">. </w:t>
      </w:r>
    </w:p>
    <w:p w14:paraId="542CE667" w14:textId="58B1A304" w:rsidR="00A75A8F" w:rsidRPr="00665D2A" w:rsidRDefault="00A75A8F" w:rsidP="00A75A8F">
      <w:pPr>
        <w:tabs>
          <w:tab w:val="left" w:pos="8364"/>
          <w:tab w:val="left" w:pos="8505"/>
        </w:tabs>
        <w:spacing w:line="360" w:lineRule="auto"/>
        <w:rPr>
          <w:rFonts w:cs="Calibri"/>
          <w:sz w:val="24"/>
        </w:rPr>
      </w:pPr>
      <w:r w:rsidRPr="00665D2A">
        <w:rPr>
          <w:rFonts w:cs="Calibri"/>
          <w:sz w:val="24"/>
        </w:rPr>
        <w:t xml:space="preserve">Bowles and Gintis </w:t>
      </w:r>
      <w:r w:rsidR="002A6676">
        <w:rPr>
          <w:rFonts w:cs="Calibri"/>
          <w:sz w:val="24"/>
        </w:rPr>
        <w:t xml:space="preserve">further </w:t>
      </w:r>
      <w:r w:rsidRPr="00665D2A">
        <w:rPr>
          <w:rFonts w:cs="Calibri"/>
          <w:sz w:val="24"/>
        </w:rPr>
        <w:t>argue that “a major element in the integrative function of education is the legitimation of pre-existi</w:t>
      </w:r>
      <w:r w:rsidR="00FE61F0">
        <w:rPr>
          <w:rFonts w:cs="Calibri"/>
          <w:sz w:val="24"/>
        </w:rPr>
        <w:t>ng economic disparities” (</w:t>
      </w:r>
      <w:r w:rsidRPr="00665D2A">
        <w:rPr>
          <w:rFonts w:cs="Calibri"/>
          <w:sz w:val="24"/>
        </w:rPr>
        <w:t>p.102)</w:t>
      </w:r>
      <w:r>
        <w:rPr>
          <w:rFonts w:cs="Calibri"/>
          <w:sz w:val="24"/>
        </w:rPr>
        <w:t>,</w:t>
      </w:r>
      <w:r w:rsidRPr="00665D2A">
        <w:rPr>
          <w:rFonts w:cs="Calibri"/>
          <w:sz w:val="24"/>
        </w:rPr>
        <w:t xml:space="preserve"> so that economic inequalities are reproduced and legitimised by the education system. This is achieved via the correspondence principle</w:t>
      </w:r>
      <w:r w:rsidR="004C065B">
        <w:rPr>
          <w:rFonts w:cs="Calibri"/>
          <w:sz w:val="24"/>
        </w:rPr>
        <w:t>,</w:t>
      </w:r>
      <w:r w:rsidRPr="00665D2A">
        <w:rPr>
          <w:rFonts w:cs="Calibri"/>
          <w:sz w:val="24"/>
        </w:rPr>
        <w:t xml:space="preserve"> whereby the structur</w:t>
      </w:r>
      <w:r>
        <w:rPr>
          <w:rFonts w:cs="Calibri"/>
          <w:sz w:val="24"/>
        </w:rPr>
        <w:t>al</w:t>
      </w:r>
      <w:r w:rsidRPr="00665D2A">
        <w:rPr>
          <w:rFonts w:cs="Calibri"/>
          <w:sz w:val="24"/>
        </w:rPr>
        <w:t xml:space="preserve"> and hierarchical relations of the workplace are replicated within the school. The EBac, as a culmination of educational achievement</w:t>
      </w:r>
      <w:r>
        <w:rPr>
          <w:rFonts w:cs="Calibri"/>
          <w:sz w:val="24"/>
        </w:rPr>
        <w:t xml:space="preserve"> in the form of examination grades</w:t>
      </w:r>
      <w:r w:rsidRPr="00665D2A">
        <w:rPr>
          <w:rFonts w:cs="Calibri"/>
          <w:sz w:val="24"/>
        </w:rPr>
        <w:t>, become</w:t>
      </w:r>
      <w:r>
        <w:rPr>
          <w:rFonts w:cs="Calibri"/>
          <w:sz w:val="24"/>
        </w:rPr>
        <w:t>s</w:t>
      </w:r>
      <w:r w:rsidRPr="00665D2A">
        <w:rPr>
          <w:rFonts w:cs="Calibri"/>
          <w:sz w:val="24"/>
        </w:rPr>
        <w:t xml:space="preserve"> part of the selection process for future educational progression in England. If some students are prevented from access</w:t>
      </w:r>
      <w:r w:rsidR="004C065B">
        <w:rPr>
          <w:rFonts w:cs="Calibri"/>
          <w:sz w:val="24"/>
        </w:rPr>
        <w:t>ing</w:t>
      </w:r>
      <w:r w:rsidRPr="00665D2A">
        <w:rPr>
          <w:rFonts w:cs="Calibri"/>
          <w:sz w:val="24"/>
        </w:rPr>
        <w:t xml:space="preserve"> </w:t>
      </w:r>
      <w:r>
        <w:rPr>
          <w:rFonts w:cs="Calibri"/>
          <w:sz w:val="24"/>
        </w:rPr>
        <w:t xml:space="preserve">EBac </w:t>
      </w:r>
      <w:r w:rsidRPr="00665D2A">
        <w:rPr>
          <w:rFonts w:cs="Calibri"/>
          <w:sz w:val="24"/>
        </w:rPr>
        <w:t xml:space="preserve">subjects or are unable to achieve </w:t>
      </w:r>
      <w:r>
        <w:rPr>
          <w:rFonts w:cs="Calibri"/>
          <w:sz w:val="24"/>
        </w:rPr>
        <w:t>the required grades</w:t>
      </w:r>
      <w:r w:rsidRPr="00665D2A">
        <w:rPr>
          <w:rFonts w:cs="Calibri"/>
          <w:sz w:val="24"/>
        </w:rPr>
        <w:t xml:space="preserve">, inequalities will </w:t>
      </w:r>
      <w:r>
        <w:rPr>
          <w:rFonts w:cs="Calibri"/>
          <w:sz w:val="24"/>
        </w:rPr>
        <w:t>result</w:t>
      </w:r>
      <w:r w:rsidRPr="00665D2A">
        <w:rPr>
          <w:rFonts w:cs="Calibri"/>
          <w:sz w:val="24"/>
        </w:rPr>
        <w:t xml:space="preserve">. </w:t>
      </w:r>
      <w:r w:rsidR="00425739">
        <w:rPr>
          <w:rFonts w:cs="Calibri"/>
          <w:sz w:val="24"/>
        </w:rPr>
        <w:t xml:space="preserve">This is in contrast to the stated aim of the EBac policy, </w:t>
      </w:r>
      <w:r w:rsidRPr="00665D2A">
        <w:rPr>
          <w:rFonts w:cs="Calibri"/>
          <w:sz w:val="24"/>
        </w:rPr>
        <w:t>to allow the maximum number of students</w:t>
      </w:r>
      <w:r>
        <w:rPr>
          <w:rFonts w:cs="Calibri"/>
          <w:sz w:val="24"/>
        </w:rPr>
        <w:t xml:space="preserve"> </w:t>
      </w:r>
      <w:r w:rsidRPr="00665D2A">
        <w:rPr>
          <w:rFonts w:cs="Calibri"/>
          <w:sz w:val="24"/>
        </w:rPr>
        <w:t xml:space="preserve">access to subjects </w:t>
      </w:r>
      <w:r w:rsidR="004C065B">
        <w:rPr>
          <w:rFonts w:cs="Calibri"/>
          <w:sz w:val="24"/>
        </w:rPr>
        <w:t xml:space="preserve">considered essential </w:t>
      </w:r>
      <w:r w:rsidRPr="00665D2A">
        <w:rPr>
          <w:rFonts w:cs="Calibri"/>
          <w:sz w:val="24"/>
        </w:rPr>
        <w:t xml:space="preserve">for </w:t>
      </w:r>
      <w:r>
        <w:rPr>
          <w:rFonts w:cs="Calibri"/>
          <w:sz w:val="24"/>
        </w:rPr>
        <w:t xml:space="preserve">elite </w:t>
      </w:r>
      <w:r w:rsidRPr="00665D2A">
        <w:rPr>
          <w:rFonts w:cs="Calibri"/>
          <w:sz w:val="24"/>
        </w:rPr>
        <w:t>university</w:t>
      </w:r>
      <w:r>
        <w:rPr>
          <w:rFonts w:cs="Calibri"/>
          <w:sz w:val="24"/>
        </w:rPr>
        <w:t xml:space="preserve"> entrance</w:t>
      </w:r>
      <w:r w:rsidRPr="00665D2A">
        <w:rPr>
          <w:rFonts w:cs="Calibri"/>
          <w:sz w:val="24"/>
        </w:rPr>
        <w:t xml:space="preserve">. </w:t>
      </w:r>
    </w:p>
    <w:p w14:paraId="598FEDE2" w14:textId="662880E5" w:rsidR="00A75A8F" w:rsidRPr="00665D2A" w:rsidRDefault="00A75A8F" w:rsidP="00A75A8F">
      <w:pPr>
        <w:spacing w:line="360" w:lineRule="auto"/>
        <w:rPr>
          <w:rFonts w:cs="Calibri"/>
          <w:sz w:val="24"/>
        </w:rPr>
      </w:pPr>
      <w:r w:rsidRPr="00665D2A">
        <w:rPr>
          <w:rFonts w:cs="Calibri"/>
          <w:sz w:val="24"/>
        </w:rPr>
        <w:t>There are many criticisms of Bowles and Gintis</w:t>
      </w:r>
      <w:r w:rsidR="00FB1C6B">
        <w:rPr>
          <w:rFonts w:cs="Calibri"/>
          <w:sz w:val="24"/>
        </w:rPr>
        <w:t>’ approach</w:t>
      </w:r>
      <w:r w:rsidRPr="00665D2A">
        <w:rPr>
          <w:rFonts w:cs="Calibri"/>
          <w:sz w:val="24"/>
        </w:rPr>
        <w:t>. The d</w:t>
      </w:r>
      <w:r>
        <w:rPr>
          <w:rFonts w:cs="Calibri"/>
          <w:sz w:val="24"/>
        </w:rPr>
        <w:t>escription</w:t>
      </w:r>
      <w:r w:rsidRPr="00665D2A">
        <w:rPr>
          <w:rFonts w:cs="Calibri"/>
          <w:sz w:val="24"/>
        </w:rPr>
        <w:t xml:space="preserve"> of the education system as a </w:t>
      </w:r>
      <w:r>
        <w:rPr>
          <w:rFonts w:cs="Calibri"/>
          <w:sz w:val="24"/>
        </w:rPr>
        <w:t>‘</w:t>
      </w:r>
      <w:r w:rsidRPr="00665D2A">
        <w:rPr>
          <w:rFonts w:cs="Calibri"/>
          <w:sz w:val="24"/>
        </w:rPr>
        <w:t>black box</w:t>
      </w:r>
      <w:r>
        <w:rPr>
          <w:rFonts w:cs="Calibri"/>
          <w:sz w:val="24"/>
        </w:rPr>
        <w:t>’</w:t>
      </w:r>
      <w:r w:rsidRPr="00665D2A">
        <w:rPr>
          <w:rFonts w:cs="Calibri"/>
          <w:sz w:val="24"/>
        </w:rPr>
        <w:t xml:space="preserve"> which children </w:t>
      </w:r>
      <w:r>
        <w:rPr>
          <w:rFonts w:cs="Calibri"/>
          <w:sz w:val="24"/>
        </w:rPr>
        <w:t>enter</w:t>
      </w:r>
      <w:r w:rsidRPr="00665D2A">
        <w:rPr>
          <w:rFonts w:cs="Calibri"/>
          <w:sz w:val="24"/>
        </w:rPr>
        <w:t xml:space="preserve"> and </w:t>
      </w:r>
      <w:r>
        <w:rPr>
          <w:rFonts w:cs="Calibri"/>
          <w:sz w:val="24"/>
        </w:rPr>
        <w:t>leave</w:t>
      </w:r>
      <w:r w:rsidRPr="00665D2A">
        <w:rPr>
          <w:rFonts w:cs="Calibri"/>
          <w:sz w:val="24"/>
        </w:rPr>
        <w:t xml:space="preserve"> ready for their role in society ignores the </w:t>
      </w:r>
      <w:r>
        <w:rPr>
          <w:rFonts w:cs="Calibri"/>
          <w:sz w:val="24"/>
        </w:rPr>
        <w:t xml:space="preserve">experiences </w:t>
      </w:r>
      <w:r w:rsidRPr="00665D2A">
        <w:rPr>
          <w:rFonts w:cs="Calibri"/>
          <w:sz w:val="24"/>
        </w:rPr>
        <w:t>that</w:t>
      </w:r>
      <w:r>
        <w:rPr>
          <w:rFonts w:cs="Calibri"/>
          <w:sz w:val="24"/>
        </w:rPr>
        <w:t xml:space="preserve"> </w:t>
      </w:r>
      <w:r w:rsidRPr="00665D2A">
        <w:rPr>
          <w:rFonts w:cs="Calibri"/>
          <w:sz w:val="24"/>
        </w:rPr>
        <w:t>occur in school</w:t>
      </w:r>
      <w:r w:rsidR="00FB1C6B">
        <w:rPr>
          <w:rFonts w:cs="Calibri"/>
          <w:sz w:val="24"/>
        </w:rPr>
        <w:t>s</w:t>
      </w:r>
      <w:r w:rsidRPr="00665D2A">
        <w:rPr>
          <w:rFonts w:cs="Calibri"/>
          <w:sz w:val="24"/>
        </w:rPr>
        <w:t xml:space="preserve"> on a day</w:t>
      </w:r>
      <w:r>
        <w:rPr>
          <w:rFonts w:cs="Calibri"/>
          <w:sz w:val="24"/>
        </w:rPr>
        <w:t>-</w:t>
      </w:r>
      <w:r w:rsidRPr="00665D2A">
        <w:rPr>
          <w:rFonts w:cs="Calibri"/>
          <w:sz w:val="24"/>
        </w:rPr>
        <w:t>to</w:t>
      </w:r>
      <w:r>
        <w:rPr>
          <w:rFonts w:cs="Calibri"/>
          <w:sz w:val="24"/>
        </w:rPr>
        <w:t>-</w:t>
      </w:r>
      <w:r w:rsidRPr="00665D2A">
        <w:rPr>
          <w:rFonts w:cs="Calibri"/>
          <w:sz w:val="24"/>
        </w:rPr>
        <w:t>day basis (Apple</w:t>
      </w:r>
      <w:r>
        <w:rPr>
          <w:rFonts w:cs="Calibri"/>
          <w:sz w:val="24"/>
        </w:rPr>
        <w:t>,</w:t>
      </w:r>
      <w:r w:rsidRPr="00665D2A">
        <w:rPr>
          <w:rFonts w:cs="Calibri"/>
          <w:sz w:val="24"/>
        </w:rPr>
        <w:t xml:space="preserve"> 1982). Apple argues that both the curriculum and the culture of the school can affect a student’s life chances</w:t>
      </w:r>
      <w:r>
        <w:rPr>
          <w:rFonts w:cs="Calibri"/>
          <w:sz w:val="24"/>
        </w:rPr>
        <w:t>, but</w:t>
      </w:r>
      <w:r w:rsidRPr="00665D2A">
        <w:rPr>
          <w:rFonts w:cs="Calibri"/>
          <w:sz w:val="24"/>
        </w:rPr>
        <w:t xml:space="preserve"> neither </w:t>
      </w:r>
      <w:r w:rsidR="00FB1C6B">
        <w:rPr>
          <w:rFonts w:cs="Calibri"/>
          <w:sz w:val="24"/>
        </w:rPr>
        <w:t>are</w:t>
      </w:r>
      <w:r w:rsidRPr="00665D2A">
        <w:rPr>
          <w:rFonts w:cs="Calibri"/>
          <w:sz w:val="24"/>
        </w:rPr>
        <w:t xml:space="preserve"> discussed in detail by Bowles and Gintis. Apple suggest</w:t>
      </w:r>
      <w:r>
        <w:rPr>
          <w:rFonts w:cs="Calibri"/>
          <w:sz w:val="24"/>
        </w:rPr>
        <w:t>s</w:t>
      </w:r>
      <w:r w:rsidRPr="00665D2A">
        <w:rPr>
          <w:rFonts w:cs="Calibri"/>
          <w:sz w:val="24"/>
        </w:rPr>
        <w:t xml:space="preserve"> that students </w:t>
      </w:r>
      <w:r>
        <w:rPr>
          <w:rFonts w:cs="Calibri"/>
          <w:sz w:val="24"/>
        </w:rPr>
        <w:t xml:space="preserve">are portrayed </w:t>
      </w:r>
      <w:r w:rsidRPr="00665D2A">
        <w:rPr>
          <w:rFonts w:cs="Calibri"/>
          <w:sz w:val="24"/>
        </w:rPr>
        <w:t>as passive recipients of cultural reproduction:</w:t>
      </w:r>
    </w:p>
    <w:p w14:paraId="01A5E999" w14:textId="15EFDB57" w:rsidR="00A75A8F" w:rsidRPr="00665D2A" w:rsidRDefault="00A75A8F" w:rsidP="00A75A8F">
      <w:pPr>
        <w:spacing w:line="240" w:lineRule="auto"/>
        <w:ind w:left="720"/>
        <w:rPr>
          <w:rFonts w:cs="Calibri"/>
          <w:sz w:val="24"/>
        </w:rPr>
      </w:pPr>
      <w:r w:rsidRPr="00665D2A">
        <w:rPr>
          <w:rFonts w:cs="Calibri"/>
          <w:sz w:val="24"/>
        </w:rPr>
        <w:lastRenderedPageBreak/>
        <w:t xml:space="preserve">It </w:t>
      </w:r>
      <w:r>
        <w:rPr>
          <w:rFonts w:cs="Calibri"/>
          <w:sz w:val="24"/>
        </w:rPr>
        <w:t xml:space="preserve">[the argument of Bowles and Gintis] </w:t>
      </w:r>
      <w:r w:rsidRPr="00665D2A">
        <w:rPr>
          <w:rFonts w:cs="Calibri"/>
          <w:sz w:val="24"/>
        </w:rPr>
        <w:t xml:space="preserve">tends to assume that students are fully “determined”, that they passively accept what the school teaches them – hegemonic teaching that prepares them ideologically for life in an unequal labor </w:t>
      </w:r>
      <w:r>
        <w:rPr>
          <w:rFonts w:cs="Calibri"/>
          <w:sz w:val="24"/>
        </w:rPr>
        <w:t>[sic]</w:t>
      </w:r>
      <w:r w:rsidR="00D77B8F">
        <w:rPr>
          <w:rFonts w:cs="Calibri"/>
          <w:sz w:val="24"/>
        </w:rPr>
        <w:t xml:space="preserve"> </w:t>
      </w:r>
      <w:r w:rsidRPr="00665D2A">
        <w:rPr>
          <w:rFonts w:cs="Calibri"/>
          <w:sz w:val="24"/>
        </w:rPr>
        <w:t>market (1986 p.8).</w:t>
      </w:r>
    </w:p>
    <w:p w14:paraId="54FF34AC" w14:textId="564F74B9" w:rsidR="00A75A8F" w:rsidRPr="00665D2A" w:rsidRDefault="00A75A8F" w:rsidP="00A75A8F">
      <w:pPr>
        <w:tabs>
          <w:tab w:val="left" w:pos="8222"/>
        </w:tabs>
        <w:spacing w:line="360" w:lineRule="auto"/>
        <w:rPr>
          <w:rFonts w:cs="Calibri"/>
          <w:sz w:val="24"/>
        </w:rPr>
      </w:pPr>
      <w:r w:rsidRPr="00665D2A">
        <w:rPr>
          <w:rFonts w:cs="Calibri"/>
          <w:sz w:val="24"/>
        </w:rPr>
        <w:t>Apple suggests that</w:t>
      </w:r>
      <w:r w:rsidR="00FB1C6B">
        <w:rPr>
          <w:rFonts w:cs="Calibri"/>
          <w:sz w:val="24"/>
        </w:rPr>
        <w:t xml:space="preserve"> this is an untenable position that cannot clearly be proven</w:t>
      </w:r>
      <w:r w:rsidRPr="00665D2A">
        <w:rPr>
          <w:rFonts w:cs="Calibri"/>
          <w:sz w:val="24"/>
        </w:rPr>
        <w:t>. A visit to a typical secondary school in England would demonstrate that many teenagers are anything but passive</w:t>
      </w:r>
      <w:r w:rsidR="00FB1C6B">
        <w:rPr>
          <w:rFonts w:cs="Calibri"/>
          <w:sz w:val="24"/>
        </w:rPr>
        <w:t xml:space="preserve">; </w:t>
      </w:r>
      <w:r w:rsidRPr="00665D2A">
        <w:rPr>
          <w:rFonts w:cs="Calibri"/>
          <w:sz w:val="24"/>
        </w:rPr>
        <w:t>a substantial minority</w:t>
      </w:r>
      <w:r>
        <w:rPr>
          <w:rFonts w:cs="Calibri"/>
          <w:sz w:val="24"/>
        </w:rPr>
        <w:t xml:space="preserve"> </w:t>
      </w:r>
      <w:r w:rsidRPr="00665D2A">
        <w:rPr>
          <w:rFonts w:cs="Calibri"/>
          <w:sz w:val="24"/>
        </w:rPr>
        <w:t xml:space="preserve">resist </w:t>
      </w:r>
      <w:r w:rsidR="00FB1C6B">
        <w:rPr>
          <w:rFonts w:cs="Calibri"/>
          <w:sz w:val="24"/>
        </w:rPr>
        <w:t xml:space="preserve">being taught or engaged </w:t>
      </w:r>
      <w:r>
        <w:rPr>
          <w:rFonts w:cs="Calibri"/>
          <w:sz w:val="24"/>
        </w:rPr>
        <w:t>in the learning process</w:t>
      </w:r>
      <w:r w:rsidRPr="00665D2A">
        <w:rPr>
          <w:rFonts w:cs="Calibri"/>
          <w:sz w:val="24"/>
        </w:rPr>
        <w:t>. This theme was taken up</w:t>
      </w:r>
      <w:r w:rsidR="00425739">
        <w:rPr>
          <w:rFonts w:cs="Calibri"/>
          <w:sz w:val="24"/>
        </w:rPr>
        <w:t xml:space="preserve"> by Willis (1977) in his work</w:t>
      </w:r>
      <w:r w:rsidRPr="00665D2A">
        <w:rPr>
          <w:rFonts w:cs="Calibri"/>
          <w:sz w:val="24"/>
        </w:rPr>
        <w:t xml:space="preserve"> “Learning to Labour” in which he followed a group of working class boys (</w:t>
      </w:r>
      <w:r w:rsidR="00FB1C6B">
        <w:rPr>
          <w:rFonts w:cs="Calibri"/>
          <w:sz w:val="24"/>
        </w:rPr>
        <w:t>“</w:t>
      </w:r>
      <w:r w:rsidRPr="00665D2A">
        <w:rPr>
          <w:rFonts w:cs="Calibri"/>
          <w:sz w:val="24"/>
        </w:rPr>
        <w:t>the lads”) through their last year at school and into the workplace. Willis argue</w:t>
      </w:r>
      <w:r>
        <w:rPr>
          <w:rFonts w:cs="Calibri"/>
          <w:sz w:val="24"/>
        </w:rPr>
        <w:t>s</w:t>
      </w:r>
      <w:r w:rsidRPr="00665D2A">
        <w:rPr>
          <w:rFonts w:cs="Calibri"/>
          <w:sz w:val="24"/>
        </w:rPr>
        <w:t xml:space="preserve"> that </w:t>
      </w:r>
      <w:r w:rsidR="009C606D">
        <w:rPr>
          <w:rFonts w:cs="Calibri"/>
          <w:sz w:val="24"/>
        </w:rPr>
        <w:t xml:space="preserve">“the lads” were not </w:t>
      </w:r>
      <w:r w:rsidRPr="00665D2A">
        <w:rPr>
          <w:rFonts w:cs="Calibri"/>
          <w:sz w:val="24"/>
        </w:rPr>
        <w:t>passive recipients of the ideology of social and cultural reproduction</w:t>
      </w:r>
      <w:r w:rsidR="009C606D">
        <w:rPr>
          <w:rFonts w:cs="Calibri"/>
          <w:sz w:val="24"/>
        </w:rPr>
        <w:t xml:space="preserve">, but </w:t>
      </w:r>
      <w:r w:rsidRPr="00665D2A">
        <w:rPr>
          <w:rFonts w:cs="Calibri"/>
          <w:sz w:val="24"/>
        </w:rPr>
        <w:t>were willing accomplices in the design and creation of their future p</w:t>
      </w:r>
      <w:r>
        <w:rPr>
          <w:rFonts w:cs="Calibri"/>
          <w:sz w:val="24"/>
        </w:rPr>
        <w:t>osition</w:t>
      </w:r>
      <w:r w:rsidRPr="00665D2A">
        <w:rPr>
          <w:rFonts w:cs="Calibri"/>
          <w:sz w:val="24"/>
        </w:rPr>
        <w:t xml:space="preserve"> in the marketplace. </w:t>
      </w:r>
      <w:r w:rsidR="009C606D">
        <w:rPr>
          <w:rFonts w:cs="Calibri"/>
          <w:sz w:val="24"/>
        </w:rPr>
        <w:t>“</w:t>
      </w:r>
      <w:r w:rsidRPr="00665D2A">
        <w:rPr>
          <w:rFonts w:cs="Calibri"/>
          <w:sz w:val="24"/>
        </w:rPr>
        <w:t>The lads</w:t>
      </w:r>
      <w:r w:rsidR="009C606D">
        <w:rPr>
          <w:rFonts w:cs="Calibri"/>
          <w:sz w:val="24"/>
        </w:rPr>
        <w:t>”</w:t>
      </w:r>
      <w:r w:rsidRPr="00665D2A">
        <w:rPr>
          <w:rFonts w:cs="Calibri"/>
          <w:sz w:val="24"/>
        </w:rPr>
        <w:t xml:space="preserve"> actively worked to disrupt the social system of the school and were not the obedient learners portrayed by the correspondence principle. </w:t>
      </w:r>
      <w:r w:rsidR="009C606D">
        <w:rPr>
          <w:rFonts w:cs="Calibri"/>
          <w:sz w:val="24"/>
        </w:rPr>
        <w:t>T</w:t>
      </w:r>
      <w:r w:rsidRPr="00665D2A">
        <w:rPr>
          <w:rFonts w:cs="Calibri"/>
          <w:sz w:val="24"/>
        </w:rPr>
        <w:t xml:space="preserve">heir deliberate disobedience led to </w:t>
      </w:r>
      <w:r>
        <w:rPr>
          <w:rFonts w:cs="Calibri"/>
          <w:sz w:val="24"/>
        </w:rPr>
        <w:t>educational failure and ultimately</w:t>
      </w:r>
      <w:r w:rsidRPr="00665D2A">
        <w:rPr>
          <w:rFonts w:cs="Calibri"/>
          <w:sz w:val="24"/>
        </w:rPr>
        <w:t xml:space="preserve"> unskilled </w:t>
      </w:r>
      <w:r>
        <w:rPr>
          <w:rFonts w:cs="Calibri"/>
          <w:sz w:val="24"/>
        </w:rPr>
        <w:t>manual employment</w:t>
      </w:r>
      <w:r w:rsidRPr="00665D2A">
        <w:rPr>
          <w:rFonts w:cs="Calibri"/>
          <w:sz w:val="24"/>
        </w:rPr>
        <w:t xml:space="preserve">. </w:t>
      </w:r>
      <w:r>
        <w:rPr>
          <w:rFonts w:cs="Calibri"/>
          <w:sz w:val="24"/>
        </w:rPr>
        <w:t>T</w:t>
      </w:r>
      <w:r w:rsidRPr="00665D2A">
        <w:rPr>
          <w:rFonts w:cs="Calibri"/>
          <w:sz w:val="24"/>
        </w:rPr>
        <w:t xml:space="preserve">he boys’ </w:t>
      </w:r>
      <w:r w:rsidR="009C606D">
        <w:rPr>
          <w:rFonts w:cs="Calibri"/>
          <w:sz w:val="24"/>
        </w:rPr>
        <w:t xml:space="preserve">home </w:t>
      </w:r>
      <w:r w:rsidRPr="00665D2A">
        <w:rPr>
          <w:rFonts w:cs="Calibri"/>
          <w:sz w:val="24"/>
        </w:rPr>
        <w:t>culture actively promoted manual labour and dislike</w:t>
      </w:r>
      <w:r>
        <w:rPr>
          <w:rFonts w:cs="Calibri"/>
          <w:sz w:val="24"/>
        </w:rPr>
        <w:t xml:space="preserve"> of</w:t>
      </w:r>
      <w:r w:rsidRPr="00665D2A">
        <w:rPr>
          <w:rFonts w:cs="Calibri"/>
          <w:sz w:val="24"/>
        </w:rPr>
        <w:t xml:space="preserve"> academic learning, making them willing entrants to </w:t>
      </w:r>
      <w:r>
        <w:rPr>
          <w:rFonts w:cs="Calibri"/>
          <w:sz w:val="24"/>
        </w:rPr>
        <w:t xml:space="preserve">low-paid </w:t>
      </w:r>
      <w:r w:rsidRPr="00665D2A">
        <w:rPr>
          <w:rFonts w:cs="Calibri"/>
          <w:sz w:val="24"/>
        </w:rPr>
        <w:t xml:space="preserve">factory </w:t>
      </w:r>
      <w:r>
        <w:rPr>
          <w:rFonts w:cs="Calibri"/>
          <w:sz w:val="24"/>
        </w:rPr>
        <w:t>employment</w:t>
      </w:r>
      <w:r w:rsidRPr="00665D2A">
        <w:rPr>
          <w:rFonts w:cs="Calibri"/>
          <w:sz w:val="24"/>
        </w:rPr>
        <w:t>. Willis suggest</w:t>
      </w:r>
      <w:r w:rsidR="009C606D">
        <w:rPr>
          <w:rFonts w:cs="Calibri"/>
          <w:sz w:val="24"/>
        </w:rPr>
        <w:t>s</w:t>
      </w:r>
      <w:r w:rsidRPr="00665D2A">
        <w:rPr>
          <w:rFonts w:cs="Calibri"/>
          <w:sz w:val="24"/>
        </w:rPr>
        <w:t xml:space="preserve"> that on some level</w:t>
      </w:r>
      <w:r w:rsidR="009C606D">
        <w:rPr>
          <w:rFonts w:cs="Calibri"/>
          <w:sz w:val="24"/>
        </w:rPr>
        <w:t>,</w:t>
      </w:r>
      <w:r w:rsidRPr="00665D2A">
        <w:rPr>
          <w:rFonts w:cs="Calibri"/>
          <w:sz w:val="24"/>
        </w:rPr>
        <w:t xml:space="preserve"> the boys realised that the system was rigged against them</w:t>
      </w:r>
      <w:r>
        <w:rPr>
          <w:rFonts w:cs="Calibri"/>
          <w:sz w:val="24"/>
        </w:rPr>
        <w:t xml:space="preserve"> </w:t>
      </w:r>
      <w:r w:rsidRPr="00665D2A">
        <w:rPr>
          <w:rFonts w:cs="Calibri"/>
          <w:sz w:val="24"/>
        </w:rPr>
        <w:t xml:space="preserve">and therefore they chose to resist; this resistance then created the cultural and social reproduction desired by the capitalist system. </w:t>
      </w:r>
    </w:p>
    <w:p w14:paraId="5D949D20" w14:textId="2DBE468A" w:rsidR="00A75A8F" w:rsidRPr="00665D2A" w:rsidRDefault="00A75A8F" w:rsidP="00A75A8F">
      <w:pPr>
        <w:spacing w:line="360" w:lineRule="auto"/>
        <w:rPr>
          <w:rFonts w:cs="Calibri"/>
          <w:sz w:val="24"/>
        </w:rPr>
      </w:pPr>
      <w:r w:rsidRPr="00665D2A">
        <w:rPr>
          <w:rFonts w:cs="Calibri"/>
          <w:sz w:val="24"/>
        </w:rPr>
        <w:t>Feinberg</w:t>
      </w:r>
      <w:r>
        <w:rPr>
          <w:rFonts w:cs="Calibri"/>
          <w:sz w:val="24"/>
        </w:rPr>
        <w:t>’s</w:t>
      </w:r>
      <w:r w:rsidRPr="00665D2A">
        <w:rPr>
          <w:rFonts w:cs="Calibri"/>
          <w:sz w:val="24"/>
        </w:rPr>
        <w:t xml:space="preserve"> (1983) criticis</w:t>
      </w:r>
      <w:r>
        <w:rPr>
          <w:rFonts w:cs="Calibri"/>
          <w:sz w:val="24"/>
        </w:rPr>
        <w:t>m</w:t>
      </w:r>
      <w:r w:rsidRPr="00665D2A">
        <w:rPr>
          <w:rFonts w:cs="Calibri"/>
          <w:sz w:val="24"/>
        </w:rPr>
        <w:t xml:space="preserve"> of Bowles and Gintis </w:t>
      </w:r>
      <w:r>
        <w:rPr>
          <w:rFonts w:cs="Calibri"/>
          <w:sz w:val="24"/>
        </w:rPr>
        <w:t>is</w:t>
      </w:r>
      <w:r w:rsidRPr="00665D2A">
        <w:rPr>
          <w:rFonts w:cs="Calibri"/>
          <w:sz w:val="24"/>
        </w:rPr>
        <w:t xml:space="preserve"> two</w:t>
      </w:r>
      <w:r>
        <w:rPr>
          <w:rFonts w:cs="Calibri"/>
          <w:sz w:val="24"/>
        </w:rPr>
        <w:t>fold</w:t>
      </w:r>
      <w:r w:rsidRPr="00665D2A">
        <w:rPr>
          <w:rFonts w:cs="Calibri"/>
          <w:sz w:val="24"/>
        </w:rPr>
        <w:t xml:space="preserve">. </w:t>
      </w:r>
      <w:r>
        <w:rPr>
          <w:rFonts w:cs="Calibri"/>
          <w:sz w:val="24"/>
        </w:rPr>
        <w:t>First</w:t>
      </w:r>
      <w:r w:rsidR="00D77B8F">
        <w:rPr>
          <w:rFonts w:cs="Calibri"/>
          <w:sz w:val="24"/>
        </w:rPr>
        <w:t>,</w:t>
      </w:r>
      <w:r>
        <w:rPr>
          <w:rFonts w:cs="Calibri"/>
          <w:sz w:val="24"/>
        </w:rPr>
        <w:t xml:space="preserve"> he</w:t>
      </w:r>
      <w:r w:rsidRPr="00665D2A">
        <w:rPr>
          <w:rFonts w:cs="Calibri"/>
          <w:sz w:val="24"/>
        </w:rPr>
        <w:t xml:space="preserve"> quer</w:t>
      </w:r>
      <w:r>
        <w:rPr>
          <w:rFonts w:cs="Calibri"/>
          <w:sz w:val="24"/>
        </w:rPr>
        <w:t>ies</w:t>
      </w:r>
      <w:r w:rsidRPr="00665D2A">
        <w:rPr>
          <w:rFonts w:cs="Calibri"/>
          <w:sz w:val="24"/>
        </w:rPr>
        <w:t xml:space="preserve"> their use of statistical technique</w:t>
      </w:r>
      <w:r>
        <w:rPr>
          <w:rFonts w:cs="Calibri"/>
          <w:sz w:val="24"/>
        </w:rPr>
        <w:t>s</w:t>
      </w:r>
      <w:r w:rsidRPr="00665D2A">
        <w:rPr>
          <w:rFonts w:cs="Calibri"/>
          <w:sz w:val="24"/>
        </w:rPr>
        <w:t xml:space="preserve"> </w:t>
      </w:r>
      <w:r>
        <w:rPr>
          <w:rFonts w:cs="Calibri"/>
          <w:sz w:val="24"/>
        </w:rPr>
        <w:t>in</w:t>
      </w:r>
      <w:r w:rsidRPr="00665D2A">
        <w:rPr>
          <w:rFonts w:cs="Calibri"/>
          <w:sz w:val="24"/>
        </w:rPr>
        <w:t xml:space="preserve"> the theory</w:t>
      </w:r>
      <w:r w:rsidR="002A6D0B">
        <w:rPr>
          <w:rFonts w:cs="Calibri"/>
          <w:sz w:val="24"/>
        </w:rPr>
        <w:t>,</w:t>
      </w:r>
      <w:r w:rsidRPr="00665D2A">
        <w:rPr>
          <w:rFonts w:cs="Calibri"/>
          <w:sz w:val="24"/>
        </w:rPr>
        <w:t xml:space="preserve"> </w:t>
      </w:r>
      <w:r w:rsidR="002A6D0B">
        <w:rPr>
          <w:rFonts w:cs="Calibri"/>
          <w:sz w:val="24"/>
        </w:rPr>
        <w:t>pointing out that</w:t>
      </w:r>
      <w:r w:rsidRPr="00665D2A">
        <w:rPr>
          <w:rFonts w:cs="Calibri"/>
          <w:sz w:val="24"/>
        </w:rPr>
        <w:t xml:space="preserve"> the social class variables are of less significance in terms of educational outcome than </w:t>
      </w:r>
      <w:r w:rsidR="00360777">
        <w:rPr>
          <w:rFonts w:cs="Calibri"/>
          <w:sz w:val="24"/>
        </w:rPr>
        <w:t>they</w:t>
      </w:r>
      <w:r w:rsidRPr="00665D2A">
        <w:rPr>
          <w:rFonts w:cs="Calibri"/>
          <w:sz w:val="24"/>
        </w:rPr>
        <w:t xml:space="preserve"> suggest (1983, p.152). The second criticism builds on Apple</w:t>
      </w:r>
      <w:r w:rsidR="00360777">
        <w:rPr>
          <w:rFonts w:cs="Calibri"/>
          <w:sz w:val="24"/>
        </w:rPr>
        <w:t xml:space="preserve">’s point </w:t>
      </w:r>
      <w:r w:rsidRPr="00665D2A">
        <w:rPr>
          <w:rFonts w:cs="Calibri"/>
          <w:sz w:val="24"/>
        </w:rPr>
        <w:t xml:space="preserve"> that the concept  of </w:t>
      </w:r>
      <w:r w:rsidR="00360777">
        <w:rPr>
          <w:rFonts w:cs="Calibri"/>
          <w:sz w:val="24"/>
        </w:rPr>
        <w:t>‘</w:t>
      </w:r>
      <w:r w:rsidRPr="00665D2A">
        <w:rPr>
          <w:rFonts w:cs="Calibri"/>
          <w:sz w:val="24"/>
        </w:rPr>
        <w:t>correspondence theory</w:t>
      </w:r>
      <w:r w:rsidR="00360777">
        <w:rPr>
          <w:rFonts w:cs="Calibri"/>
          <w:sz w:val="24"/>
        </w:rPr>
        <w:t>’</w:t>
      </w:r>
      <w:r w:rsidRPr="00665D2A">
        <w:rPr>
          <w:rFonts w:cs="Calibri"/>
          <w:sz w:val="24"/>
        </w:rPr>
        <w:t xml:space="preserve"> does not explain how such inequality is created</w:t>
      </w:r>
      <w:r w:rsidR="00360777">
        <w:rPr>
          <w:rFonts w:cs="Calibri"/>
          <w:sz w:val="24"/>
        </w:rPr>
        <w:t>,</w:t>
      </w:r>
      <w:r w:rsidRPr="00665D2A">
        <w:rPr>
          <w:rFonts w:cs="Calibri"/>
          <w:sz w:val="24"/>
        </w:rPr>
        <w:t xml:space="preserve"> or indeed how some childre</w:t>
      </w:r>
      <w:r>
        <w:rPr>
          <w:rFonts w:cs="Calibri"/>
          <w:sz w:val="24"/>
        </w:rPr>
        <w:t>n</w:t>
      </w:r>
      <w:r w:rsidRPr="00665D2A">
        <w:rPr>
          <w:rFonts w:cs="Calibri"/>
          <w:sz w:val="24"/>
        </w:rPr>
        <w:t xml:space="preserve"> resist ideological conditioning: “it does not explain what happens within “education” to produce this correspondence” (1983, p.154).</w:t>
      </w:r>
      <w:r>
        <w:rPr>
          <w:rFonts w:cs="Calibri"/>
          <w:sz w:val="24"/>
        </w:rPr>
        <w:t xml:space="preserve"> </w:t>
      </w:r>
      <w:r w:rsidRPr="00665D2A">
        <w:rPr>
          <w:rFonts w:cs="Calibri"/>
          <w:sz w:val="24"/>
        </w:rPr>
        <w:t>Feinberg present</w:t>
      </w:r>
      <w:r>
        <w:rPr>
          <w:rFonts w:cs="Calibri"/>
          <w:sz w:val="24"/>
        </w:rPr>
        <w:t>s</w:t>
      </w:r>
      <w:r w:rsidRPr="00665D2A">
        <w:rPr>
          <w:rFonts w:cs="Calibri"/>
          <w:sz w:val="24"/>
        </w:rPr>
        <w:t xml:space="preserve"> a detailed argument </w:t>
      </w:r>
      <w:r w:rsidR="00360777">
        <w:rPr>
          <w:rFonts w:cs="Calibri"/>
          <w:sz w:val="24"/>
        </w:rPr>
        <w:t xml:space="preserve">regarding the </w:t>
      </w:r>
      <w:r w:rsidRPr="00665D2A">
        <w:rPr>
          <w:rFonts w:cs="Calibri"/>
          <w:sz w:val="24"/>
        </w:rPr>
        <w:t>social reproduction function of education</w:t>
      </w:r>
      <w:r w:rsidR="00360777">
        <w:rPr>
          <w:rFonts w:cs="Calibri"/>
          <w:sz w:val="24"/>
        </w:rPr>
        <w:t>,</w:t>
      </w:r>
      <w:r w:rsidRPr="00665D2A">
        <w:rPr>
          <w:rFonts w:cs="Calibri"/>
          <w:sz w:val="24"/>
        </w:rPr>
        <w:t xml:space="preserve"> which</w:t>
      </w:r>
      <w:r>
        <w:rPr>
          <w:rFonts w:cs="Calibri"/>
          <w:sz w:val="24"/>
        </w:rPr>
        <w:t>,</w:t>
      </w:r>
      <w:r w:rsidRPr="00665D2A">
        <w:rPr>
          <w:rFonts w:cs="Calibri"/>
          <w:sz w:val="24"/>
        </w:rPr>
        <w:t xml:space="preserve"> as with Bowles and Gintis</w:t>
      </w:r>
      <w:r>
        <w:rPr>
          <w:rFonts w:cs="Calibri"/>
          <w:sz w:val="24"/>
        </w:rPr>
        <w:t>,</w:t>
      </w:r>
      <w:r w:rsidRPr="00665D2A">
        <w:rPr>
          <w:rFonts w:cs="Calibri"/>
          <w:sz w:val="24"/>
        </w:rPr>
        <w:t xml:space="preserve"> he sees as </w:t>
      </w:r>
      <w:r>
        <w:rPr>
          <w:rFonts w:cs="Calibri"/>
          <w:sz w:val="24"/>
        </w:rPr>
        <w:t xml:space="preserve">having </w:t>
      </w:r>
      <w:r w:rsidRPr="00665D2A">
        <w:rPr>
          <w:rFonts w:cs="Calibri"/>
          <w:sz w:val="24"/>
        </w:rPr>
        <w:t xml:space="preserve"> a “primary role in maintaining intergenerational continuity and in maintaining the identity of a society across generations even in the context of many significant changes” (1983, p.155). In this way</w:t>
      </w:r>
      <w:r>
        <w:rPr>
          <w:rFonts w:cs="Calibri"/>
          <w:sz w:val="24"/>
        </w:rPr>
        <w:t>,</w:t>
      </w:r>
      <w:r w:rsidRPr="00665D2A">
        <w:rPr>
          <w:rFonts w:cs="Calibri"/>
          <w:sz w:val="24"/>
        </w:rPr>
        <w:t xml:space="preserve"> </w:t>
      </w:r>
      <w:r w:rsidR="00360777">
        <w:rPr>
          <w:rFonts w:cs="Calibri"/>
          <w:sz w:val="24"/>
        </w:rPr>
        <w:t xml:space="preserve">the </w:t>
      </w:r>
      <w:r w:rsidRPr="00665D2A">
        <w:rPr>
          <w:rFonts w:cs="Calibri"/>
          <w:sz w:val="24"/>
        </w:rPr>
        <w:t xml:space="preserve">required skills </w:t>
      </w:r>
      <w:r>
        <w:rPr>
          <w:rFonts w:cs="Calibri"/>
          <w:sz w:val="24"/>
        </w:rPr>
        <w:t xml:space="preserve">of society </w:t>
      </w:r>
      <w:r w:rsidRPr="00665D2A">
        <w:rPr>
          <w:rFonts w:cs="Calibri"/>
          <w:sz w:val="24"/>
        </w:rPr>
        <w:t xml:space="preserve">are passed on </w:t>
      </w:r>
      <w:r w:rsidR="00360777">
        <w:rPr>
          <w:rFonts w:cs="Calibri"/>
          <w:sz w:val="24"/>
        </w:rPr>
        <w:t xml:space="preserve">along with </w:t>
      </w:r>
      <w:r w:rsidR="009D644A">
        <w:rPr>
          <w:rFonts w:cs="Calibri"/>
          <w:sz w:val="24"/>
        </w:rPr>
        <w:t>the</w:t>
      </w:r>
      <w:r w:rsidRPr="00665D2A">
        <w:rPr>
          <w:rFonts w:cs="Calibri"/>
          <w:sz w:val="24"/>
        </w:rPr>
        <w:t xml:space="preserve"> shared understanding required for the continuation of social life. Feinberg alludes to the idea that students from </w:t>
      </w:r>
      <w:r w:rsidRPr="00665D2A">
        <w:rPr>
          <w:rFonts w:cs="Calibri"/>
          <w:sz w:val="24"/>
        </w:rPr>
        <w:lastRenderedPageBreak/>
        <w:t>certain social class backgrounds will desire and be able to access higher status knowledge codes without explicitly linking th</w:t>
      </w:r>
      <w:r w:rsidR="009D644A">
        <w:rPr>
          <w:rFonts w:cs="Calibri"/>
          <w:sz w:val="24"/>
        </w:rPr>
        <w:t>em</w:t>
      </w:r>
      <w:r w:rsidRPr="00665D2A">
        <w:rPr>
          <w:rFonts w:cs="Calibri"/>
          <w:sz w:val="24"/>
        </w:rPr>
        <w:t xml:space="preserve"> to social class. In contrast</w:t>
      </w:r>
      <w:r w:rsidR="009D644A">
        <w:rPr>
          <w:rFonts w:cs="Calibri"/>
          <w:sz w:val="24"/>
        </w:rPr>
        <w:t xml:space="preserve">, </w:t>
      </w:r>
      <w:r w:rsidRPr="00665D2A">
        <w:rPr>
          <w:rFonts w:cs="Calibri"/>
          <w:sz w:val="24"/>
        </w:rPr>
        <w:t>Bourdieu and Passeron (1977) explicitly link</w:t>
      </w:r>
      <w:r>
        <w:rPr>
          <w:rFonts w:cs="Calibri"/>
          <w:sz w:val="24"/>
        </w:rPr>
        <w:t xml:space="preserve"> the continuation and legitimati</w:t>
      </w:r>
      <w:r w:rsidR="009D644A">
        <w:rPr>
          <w:rFonts w:cs="Calibri"/>
          <w:sz w:val="24"/>
        </w:rPr>
        <w:t>sation</w:t>
      </w:r>
      <w:r>
        <w:rPr>
          <w:rFonts w:cs="Calibri"/>
          <w:sz w:val="24"/>
        </w:rPr>
        <w:t xml:space="preserve"> of</w:t>
      </w:r>
      <w:r w:rsidRPr="00665D2A">
        <w:rPr>
          <w:rFonts w:cs="Calibri"/>
          <w:sz w:val="24"/>
        </w:rPr>
        <w:t xml:space="preserve"> the structures of </w:t>
      </w:r>
      <w:r>
        <w:rPr>
          <w:rFonts w:cs="Calibri"/>
          <w:sz w:val="24"/>
        </w:rPr>
        <w:t xml:space="preserve">social </w:t>
      </w:r>
      <w:r w:rsidRPr="00665D2A">
        <w:rPr>
          <w:rFonts w:cs="Calibri"/>
          <w:sz w:val="24"/>
        </w:rPr>
        <w:t>class, production and power</w:t>
      </w:r>
      <w:r>
        <w:rPr>
          <w:rFonts w:cs="Calibri"/>
          <w:sz w:val="24"/>
        </w:rPr>
        <w:t xml:space="preserve"> to </w:t>
      </w:r>
      <w:r w:rsidRPr="00665D2A">
        <w:rPr>
          <w:rFonts w:cs="Calibri"/>
          <w:sz w:val="24"/>
        </w:rPr>
        <w:t>the reproduction of culture within education. If these arguments are accepted</w:t>
      </w:r>
      <w:r w:rsidR="009D644A">
        <w:rPr>
          <w:rFonts w:cs="Calibri"/>
          <w:sz w:val="24"/>
        </w:rPr>
        <w:t>,</w:t>
      </w:r>
      <w:r w:rsidRPr="00665D2A">
        <w:rPr>
          <w:rFonts w:cs="Calibri"/>
          <w:sz w:val="24"/>
        </w:rPr>
        <w:t xml:space="preserve"> then the EBac could be seen to be</w:t>
      </w:r>
      <w:r w:rsidR="009D644A">
        <w:rPr>
          <w:rFonts w:cs="Calibri"/>
          <w:sz w:val="24"/>
        </w:rPr>
        <w:t xml:space="preserve"> a</w:t>
      </w:r>
      <w:r w:rsidRPr="00665D2A">
        <w:rPr>
          <w:rFonts w:cs="Calibri"/>
          <w:sz w:val="24"/>
        </w:rPr>
        <w:t xml:space="preserve"> p</w:t>
      </w:r>
      <w:r w:rsidR="009D644A">
        <w:rPr>
          <w:rFonts w:cs="Calibri"/>
          <w:sz w:val="24"/>
        </w:rPr>
        <w:t>erpetuation</w:t>
      </w:r>
      <w:r w:rsidRPr="00665D2A">
        <w:rPr>
          <w:rFonts w:cs="Calibri"/>
          <w:sz w:val="24"/>
        </w:rPr>
        <w:t xml:space="preserve"> of the</w:t>
      </w:r>
      <w:r w:rsidR="009D644A">
        <w:rPr>
          <w:rFonts w:cs="Calibri"/>
          <w:sz w:val="24"/>
        </w:rPr>
        <w:t>se</w:t>
      </w:r>
      <w:r w:rsidRPr="00665D2A">
        <w:rPr>
          <w:rFonts w:cs="Calibri"/>
          <w:sz w:val="24"/>
        </w:rPr>
        <w:t xml:space="preserve"> </w:t>
      </w:r>
      <w:r w:rsidR="009D644A">
        <w:rPr>
          <w:rFonts w:cs="Calibri"/>
          <w:sz w:val="24"/>
        </w:rPr>
        <w:t>dominant ideologies</w:t>
      </w:r>
      <w:r w:rsidRPr="00665D2A">
        <w:rPr>
          <w:rFonts w:cs="Calibri"/>
          <w:sz w:val="24"/>
        </w:rPr>
        <w:t>.</w:t>
      </w:r>
      <w:r>
        <w:rPr>
          <w:rFonts w:cs="Calibri"/>
          <w:sz w:val="24"/>
        </w:rPr>
        <w:t xml:space="preserve"> </w:t>
      </w:r>
    </w:p>
    <w:p w14:paraId="295CB67C" w14:textId="5649799A" w:rsidR="00A75A8F" w:rsidRPr="00665D2A" w:rsidRDefault="00A75A8F" w:rsidP="00A75A8F">
      <w:pPr>
        <w:spacing w:line="360" w:lineRule="auto"/>
        <w:rPr>
          <w:rFonts w:cs="Calibri"/>
          <w:sz w:val="24"/>
        </w:rPr>
      </w:pPr>
      <w:r w:rsidRPr="00665D2A">
        <w:rPr>
          <w:rFonts w:cs="Calibri"/>
          <w:sz w:val="24"/>
        </w:rPr>
        <w:t>Bourdieu and Passeron adopt a Marxist approach to identify how cultural capital operates</w:t>
      </w:r>
      <w:r w:rsidR="009D644A">
        <w:rPr>
          <w:rFonts w:cs="Calibri"/>
          <w:sz w:val="24"/>
        </w:rPr>
        <w:t xml:space="preserve">, </w:t>
      </w:r>
      <w:r w:rsidRPr="00665D2A">
        <w:rPr>
          <w:rFonts w:cs="Calibri"/>
          <w:sz w:val="24"/>
        </w:rPr>
        <w:t>allow</w:t>
      </w:r>
      <w:r w:rsidR="009D644A">
        <w:rPr>
          <w:rFonts w:cs="Calibri"/>
          <w:sz w:val="24"/>
        </w:rPr>
        <w:t>ing</w:t>
      </w:r>
      <w:r w:rsidRPr="00665D2A">
        <w:rPr>
          <w:rFonts w:cs="Calibri"/>
          <w:sz w:val="24"/>
        </w:rPr>
        <w:t xml:space="preserve"> some children to flourish within the structures and requirements of school and others to </w:t>
      </w:r>
      <w:r>
        <w:rPr>
          <w:rFonts w:cs="Calibri"/>
          <w:sz w:val="24"/>
        </w:rPr>
        <w:t>fail</w:t>
      </w:r>
      <w:r w:rsidRPr="00665D2A">
        <w:rPr>
          <w:rFonts w:cs="Calibri"/>
          <w:sz w:val="24"/>
        </w:rPr>
        <w:t xml:space="preserve">. If a child enters school with the skills, knowledge and dispositions that </w:t>
      </w:r>
      <w:r w:rsidR="002C2C32">
        <w:rPr>
          <w:rFonts w:cs="Calibri"/>
          <w:sz w:val="24"/>
        </w:rPr>
        <w:t>align</w:t>
      </w:r>
      <w:r w:rsidR="009D644A">
        <w:rPr>
          <w:rFonts w:cs="Calibri"/>
          <w:sz w:val="24"/>
        </w:rPr>
        <w:t xml:space="preserve"> </w:t>
      </w:r>
      <w:r w:rsidRPr="00665D2A">
        <w:rPr>
          <w:rFonts w:cs="Calibri"/>
          <w:sz w:val="24"/>
        </w:rPr>
        <w:t>with t</w:t>
      </w:r>
      <w:r w:rsidR="009D644A">
        <w:rPr>
          <w:rFonts w:cs="Calibri"/>
          <w:sz w:val="24"/>
        </w:rPr>
        <w:t>hose</w:t>
      </w:r>
      <w:r w:rsidRPr="00665D2A">
        <w:rPr>
          <w:rFonts w:cs="Calibri"/>
          <w:sz w:val="24"/>
        </w:rPr>
        <w:t xml:space="preserve"> of the school</w:t>
      </w:r>
      <w:r w:rsidR="009D644A">
        <w:rPr>
          <w:rFonts w:cs="Calibri"/>
          <w:sz w:val="24"/>
        </w:rPr>
        <w:t>,</w:t>
      </w:r>
      <w:r w:rsidRPr="00665D2A">
        <w:rPr>
          <w:rFonts w:cs="Calibri"/>
          <w:sz w:val="24"/>
        </w:rPr>
        <w:t xml:space="preserve"> they are more likely to succeed in the system. </w:t>
      </w:r>
      <w:r>
        <w:rPr>
          <w:rFonts w:cs="Calibri"/>
          <w:sz w:val="24"/>
        </w:rPr>
        <w:t>T</w:t>
      </w:r>
      <w:r w:rsidRPr="00665D2A">
        <w:rPr>
          <w:rFonts w:cs="Calibri"/>
          <w:sz w:val="24"/>
        </w:rPr>
        <w:t xml:space="preserve">hese dispositions </w:t>
      </w:r>
      <w:r>
        <w:rPr>
          <w:rFonts w:cs="Calibri"/>
          <w:sz w:val="24"/>
        </w:rPr>
        <w:t>a</w:t>
      </w:r>
      <w:r w:rsidRPr="00253E6B">
        <w:rPr>
          <w:rFonts w:cs="Calibri"/>
          <w:sz w:val="24"/>
        </w:rPr>
        <w:t>re</w:t>
      </w:r>
      <w:r w:rsidRPr="00665D2A">
        <w:rPr>
          <w:rFonts w:cs="Calibri"/>
          <w:sz w:val="24"/>
        </w:rPr>
        <w:t xml:space="preserve"> more likely to be developed in </w:t>
      </w:r>
      <w:r>
        <w:rPr>
          <w:rFonts w:cs="Calibri"/>
          <w:sz w:val="24"/>
        </w:rPr>
        <w:t>m</w:t>
      </w:r>
      <w:r w:rsidRPr="00665D2A">
        <w:rPr>
          <w:rFonts w:cs="Calibri"/>
          <w:sz w:val="24"/>
        </w:rPr>
        <w:t>iddle class children</w:t>
      </w:r>
      <w:r w:rsidR="009D644A">
        <w:rPr>
          <w:rFonts w:cs="Calibri"/>
          <w:sz w:val="24"/>
        </w:rPr>
        <w:t xml:space="preserve"> </w:t>
      </w:r>
      <w:r w:rsidRPr="00665D2A">
        <w:rPr>
          <w:rFonts w:cs="Calibri"/>
          <w:sz w:val="24"/>
        </w:rPr>
        <w:t xml:space="preserve">via primary socialisation within the family. </w:t>
      </w:r>
      <w:r>
        <w:rPr>
          <w:rFonts w:cs="Calibri"/>
          <w:sz w:val="24"/>
        </w:rPr>
        <w:t>They then</w:t>
      </w:r>
      <w:r w:rsidRPr="00665D2A">
        <w:rPr>
          <w:rFonts w:cs="Calibri"/>
          <w:sz w:val="24"/>
        </w:rPr>
        <w:t xml:space="preserve"> make rapid progress within education </w:t>
      </w:r>
      <w:r>
        <w:rPr>
          <w:rFonts w:cs="Calibri"/>
          <w:sz w:val="24"/>
        </w:rPr>
        <w:t>due to accepted</w:t>
      </w:r>
      <w:r w:rsidRPr="00665D2A">
        <w:rPr>
          <w:rFonts w:cs="Calibri"/>
          <w:sz w:val="24"/>
        </w:rPr>
        <w:t xml:space="preserve"> </w:t>
      </w:r>
      <w:r w:rsidR="009D644A">
        <w:rPr>
          <w:rFonts w:cs="Calibri"/>
          <w:sz w:val="24"/>
        </w:rPr>
        <w:t>notions</w:t>
      </w:r>
      <w:r w:rsidRPr="00665D2A">
        <w:rPr>
          <w:rFonts w:cs="Calibri"/>
          <w:sz w:val="24"/>
        </w:rPr>
        <w:t xml:space="preserve"> of </w:t>
      </w:r>
      <w:r>
        <w:rPr>
          <w:rFonts w:cs="Calibri"/>
          <w:sz w:val="24"/>
        </w:rPr>
        <w:t>‘</w:t>
      </w:r>
      <w:r w:rsidRPr="00665D2A">
        <w:rPr>
          <w:rFonts w:cs="Calibri"/>
          <w:sz w:val="24"/>
        </w:rPr>
        <w:t>ability</w:t>
      </w:r>
      <w:r>
        <w:rPr>
          <w:rFonts w:cs="Calibri"/>
          <w:sz w:val="24"/>
        </w:rPr>
        <w:t xml:space="preserve">’, </w:t>
      </w:r>
      <w:r w:rsidR="009D644A">
        <w:rPr>
          <w:rFonts w:cs="Calibri"/>
          <w:sz w:val="24"/>
        </w:rPr>
        <w:t>and ‘</w:t>
      </w:r>
      <w:r>
        <w:rPr>
          <w:rFonts w:cs="Calibri"/>
          <w:sz w:val="24"/>
        </w:rPr>
        <w:t>intelligence</w:t>
      </w:r>
      <w:r w:rsidR="009D644A">
        <w:rPr>
          <w:rFonts w:cs="Calibri"/>
          <w:sz w:val="24"/>
        </w:rPr>
        <w:t>’</w:t>
      </w:r>
      <w:r>
        <w:rPr>
          <w:rFonts w:cs="Calibri"/>
          <w:sz w:val="24"/>
        </w:rPr>
        <w:t xml:space="preserve"> </w:t>
      </w:r>
      <w:r w:rsidR="009D644A">
        <w:rPr>
          <w:rFonts w:cs="Calibri"/>
          <w:sz w:val="24"/>
        </w:rPr>
        <w:t>dictated by</w:t>
      </w:r>
      <w:r>
        <w:rPr>
          <w:rFonts w:cs="Calibri"/>
          <w:sz w:val="24"/>
        </w:rPr>
        <w:t xml:space="preserve"> the </w:t>
      </w:r>
      <w:r w:rsidRPr="00665D2A">
        <w:rPr>
          <w:rFonts w:cs="Calibri"/>
          <w:sz w:val="24"/>
        </w:rPr>
        <w:t>meritocr</w:t>
      </w:r>
      <w:r w:rsidR="009D644A">
        <w:rPr>
          <w:rFonts w:cs="Calibri"/>
          <w:sz w:val="24"/>
        </w:rPr>
        <w:t>atic system</w:t>
      </w:r>
      <w:r w:rsidRPr="00665D2A">
        <w:rPr>
          <w:rFonts w:cs="Calibri"/>
          <w:sz w:val="24"/>
        </w:rPr>
        <w:t xml:space="preserve">.  </w:t>
      </w:r>
      <w:r>
        <w:rPr>
          <w:rFonts w:cs="Calibri"/>
          <w:sz w:val="24"/>
        </w:rPr>
        <w:t xml:space="preserve">According to </w:t>
      </w:r>
      <w:r w:rsidRPr="00665D2A">
        <w:rPr>
          <w:rFonts w:cs="Calibri"/>
          <w:sz w:val="24"/>
        </w:rPr>
        <w:t>Bourdieu</w:t>
      </w:r>
      <w:r>
        <w:rPr>
          <w:rFonts w:cs="Calibri"/>
          <w:sz w:val="24"/>
        </w:rPr>
        <w:t>:</w:t>
      </w:r>
    </w:p>
    <w:p w14:paraId="64D16F10" w14:textId="77777777" w:rsidR="00A75A8F" w:rsidRPr="00665D2A" w:rsidRDefault="00A75A8F" w:rsidP="00A75A8F">
      <w:pPr>
        <w:ind w:left="720"/>
        <w:rPr>
          <w:rFonts w:cs="Calibri"/>
          <w:sz w:val="24"/>
        </w:rPr>
      </w:pPr>
      <w:r w:rsidRPr="00665D2A">
        <w:rPr>
          <w:rFonts w:cs="Calibri"/>
          <w:sz w:val="24"/>
        </w:rPr>
        <w:t xml:space="preserve">Cultural capital </w:t>
      </w:r>
      <w:r>
        <w:rPr>
          <w:rFonts w:cs="Calibri"/>
          <w:sz w:val="24"/>
        </w:rPr>
        <w:t xml:space="preserve">… </w:t>
      </w:r>
      <w:r w:rsidRPr="00665D2A">
        <w:rPr>
          <w:rFonts w:cs="Calibri"/>
          <w:sz w:val="24"/>
        </w:rPr>
        <w:t>always remains marked by its earliest conditions of acquisition which, through the more or less visible marks they leave (such as the pronunciations characteristic of a class or region), help to determine its distinctive value (</w:t>
      </w:r>
      <w:r>
        <w:rPr>
          <w:rFonts w:cs="Calibri"/>
          <w:sz w:val="24"/>
        </w:rPr>
        <w:t xml:space="preserve">1986, </w:t>
      </w:r>
      <w:r w:rsidRPr="00665D2A">
        <w:rPr>
          <w:rFonts w:cs="Calibri"/>
          <w:sz w:val="24"/>
        </w:rPr>
        <w:t>p.1).</w:t>
      </w:r>
    </w:p>
    <w:p w14:paraId="519EA59C" w14:textId="333C7544" w:rsidR="00A75A8F" w:rsidRPr="00665D2A" w:rsidRDefault="00A75A8F" w:rsidP="00A75A8F">
      <w:pPr>
        <w:spacing w:line="360" w:lineRule="auto"/>
        <w:rPr>
          <w:rFonts w:cs="Calibri"/>
          <w:sz w:val="24"/>
        </w:rPr>
      </w:pPr>
      <w:r w:rsidRPr="00665D2A">
        <w:rPr>
          <w:rFonts w:cs="Calibri"/>
          <w:sz w:val="24"/>
        </w:rPr>
        <w:t>Middle class children</w:t>
      </w:r>
      <w:r>
        <w:rPr>
          <w:rFonts w:cs="Calibri"/>
          <w:sz w:val="24"/>
        </w:rPr>
        <w:t xml:space="preserve"> therefore</w:t>
      </w:r>
      <w:r w:rsidRPr="00665D2A">
        <w:rPr>
          <w:rFonts w:cs="Calibri"/>
          <w:sz w:val="24"/>
        </w:rPr>
        <w:t xml:space="preserve"> have a head start when it comes to education</w:t>
      </w:r>
      <w:r w:rsidR="009D644A">
        <w:rPr>
          <w:rFonts w:cs="Calibri"/>
          <w:sz w:val="24"/>
        </w:rPr>
        <w:t>, possessing the</w:t>
      </w:r>
      <w:r w:rsidRPr="00665D2A">
        <w:rPr>
          <w:rFonts w:cs="Calibri"/>
          <w:sz w:val="24"/>
        </w:rPr>
        <w:t xml:space="preserve"> ability to translate cultural capital into economic capital. Changing </w:t>
      </w:r>
      <w:r>
        <w:rPr>
          <w:rFonts w:cs="Calibri"/>
          <w:sz w:val="24"/>
        </w:rPr>
        <w:t>the</w:t>
      </w:r>
      <w:r w:rsidRPr="00665D2A">
        <w:rPr>
          <w:rFonts w:cs="Calibri"/>
          <w:sz w:val="24"/>
        </w:rPr>
        <w:t xml:space="preserve"> subjects </w:t>
      </w:r>
      <w:r>
        <w:rPr>
          <w:rFonts w:cs="Calibri"/>
          <w:sz w:val="24"/>
        </w:rPr>
        <w:t xml:space="preserve">students study </w:t>
      </w:r>
      <w:r w:rsidRPr="00665D2A">
        <w:rPr>
          <w:rFonts w:cs="Calibri"/>
          <w:sz w:val="24"/>
        </w:rPr>
        <w:t xml:space="preserve">will not overcome </w:t>
      </w:r>
      <w:r w:rsidR="009D644A">
        <w:rPr>
          <w:rFonts w:cs="Calibri"/>
          <w:sz w:val="24"/>
        </w:rPr>
        <w:t xml:space="preserve">disparities in possession of </w:t>
      </w:r>
      <w:r w:rsidRPr="00665D2A">
        <w:rPr>
          <w:rFonts w:cs="Calibri"/>
          <w:sz w:val="24"/>
        </w:rPr>
        <w:t>cultural capital</w:t>
      </w:r>
      <w:r>
        <w:rPr>
          <w:rFonts w:cs="Calibri"/>
          <w:sz w:val="24"/>
        </w:rPr>
        <w:t xml:space="preserve"> and may </w:t>
      </w:r>
      <w:r w:rsidR="009D644A">
        <w:rPr>
          <w:rFonts w:cs="Calibri"/>
          <w:sz w:val="24"/>
        </w:rPr>
        <w:t xml:space="preserve">even </w:t>
      </w:r>
      <w:r>
        <w:rPr>
          <w:rFonts w:cs="Calibri"/>
          <w:sz w:val="24"/>
        </w:rPr>
        <w:t>exacerbate them</w:t>
      </w:r>
      <w:r w:rsidRPr="00665D2A">
        <w:rPr>
          <w:rFonts w:cs="Calibri"/>
          <w:sz w:val="24"/>
        </w:rPr>
        <w:t xml:space="preserve">. Using these arguments, the EBac </w:t>
      </w:r>
      <w:r>
        <w:rPr>
          <w:rFonts w:cs="Calibri"/>
          <w:sz w:val="24"/>
        </w:rPr>
        <w:t>is</w:t>
      </w:r>
      <w:r w:rsidRPr="00665D2A">
        <w:rPr>
          <w:rFonts w:cs="Calibri"/>
          <w:sz w:val="24"/>
        </w:rPr>
        <w:t xml:space="preserve"> a</w:t>
      </w:r>
      <w:r w:rsidR="009D644A">
        <w:rPr>
          <w:rFonts w:cs="Calibri"/>
          <w:sz w:val="24"/>
        </w:rPr>
        <w:t xml:space="preserve">n </w:t>
      </w:r>
      <w:r w:rsidRPr="00665D2A">
        <w:rPr>
          <w:rFonts w:cs="Calibri"/>
          <w:sz w:val="24"/>
        </w:rPr>
        <w:t xml:space="preserve">educational </w:t>
      </w:r>
      <w:r>
        <w:rPr>
          <w:rFonts w:cs="Calibri"/>
          <w:sz w:val="24"/>
        </w:rPr>
        <w:t xml:space="preserve">device </w:t>
      </w:r>
      <w:r w:rsidR="009D644A">
        <w:rPr>
          <w:rFonts w:cs="Calibri"/>
          <w:sz w:val="24"/>
        </w:rPr>
        <w:t xml:space="preserve">which </w:t>
      </w:r>
      <w:r w:rsidRPr="00665D2A">
        <w:rPr>
          <w:rFonts w:cs="Calibri"/>
          <w:sz w:val="24"/>
        </w:rPr>
        <w:t>f</w:t>
      </w:r>
      <w:r w:rsidR="009D644A">
        <w:rPr>
          <w:rFonts w:cs="Calibri"/>
          <w:sz w:val="24"/>
        </w:rPr>
        <w:t>acilitates progression</w:t>
      </w:r>
      <w:r w:rsidRPr="00665D2A">
        <w:rPr>
          <w:rFonts w:cs="Calibri"/>
          <w:sz w:val="24"/>
        </w:rPr>
        <w:t xml:space="preserve"> those with the required dispositions</w:t>
      </w:r>
      <w:r>
        <w:rPr>
          <w:rFonts w:cs="Calibri"/>
          <w:sz w:val="24"/>
        </w:rPr>
        <w:t xml:space="preserve">, not a way of ensuring equality of access or equity of outcome </w:t>
      </w:r>
      <w:r w:rsidR="009D644A">
        <w:rPr>
          <w:rFonts w:cs="Calibri"/>
          <w:sz w:val="24"/>
        </w:rPr>
        <w:t xml:space="preserve">in </w:t>
      </w:r>
      <w:r>
        <w:rPr>
          <w:rFonts w:cs="Calibri"/>
          <w:sz w:val="24"/>
        </w:rPr>
        <w:t xml:space="preserve">particular subjects. </w:t>
      </w:r>
      <w:r w:rsidRPr="00665D2A">
        <w:rPr>
          <w:rFonts w:cs="Calibri"/>
          <w:sz w:val="24"/>
        </w:rPr>
        <w:t xml:space="preserve">It </w:t>
      </w:r>
      <w:r>
        <w:rPr>
          <w:rFonts w:cs="Calibri"/>
          <w:sz w:val="24"/>
        </w:rPr>
        <w:t>is</w:t>
      </w:r>
      <w:r w:rsidRPr="00665D2A">
        <w:rPr>
          <w:rFonts w:cs="Calibri"/>
          <w:sz w:val="24"/>
        </w:rPr>
        <w:t xml:space="preserve"> too simplistic to expect that the EBac will ensure that all children are capable of achieving</w:t>
      </w:r>
      <w:r w:rsidR="009D644A">
        <w:rPr>
          <w:rFonts w:cs="Calibri"/>
          <w:sz w:val="24"/>
        </w:rPr>
        <w:t xml:space="preserve"> (or want to) </w:t>
      </w:r>
      <w:r w:rsidRPr="00665D2A">
        <w:rPr>
          <w:rFonts w:cs="Calibri"/>
          <w:sz w:val="24"/>
        </w:rPr>
        <w:t xml:space="preserve">within this </w:t>
      </w:r>
      <w:r>
        <w:rPr>
          <w:rFonts w:cs="Calibri"/>
          <w:sz w:val="24"/>
        </w:rPr>
        <w:t xml:space="preserve">tightly prescribed and culturally restrictive </w:t>
      </w:r>
      <w:r w:rsidRPr="00665D2A">
        <w:rPr>
          <w:rFonts w:cs="Calibri"/>
          <w:sz w:val="24"/>
        </w:rPr>
        <w:t>structure.</w:t>
      </w:r>
      <w:r>
        <w:rPr>
          <w:rFonts w:cs="Calibri"/>
          <w:sz w:val="24"/>
        </w:rPr>
        <w:t xml:space="preserve"> In the next section</w:t>
      </w:r>
      <w:r w:rsidR="009D644A">
        <w:rPr>
          <w:rFonts w:cs="Calibri"/>
          <w:sz w:val="24"/>
        </w:rPr>
        <w:t>,</w:t>
      </w:r>
      <w:r>
        <w:rPr>
          <w:rFonts w:cs="Calibri"/>
          <w:sz w:val="24"/>
        </w:rPr>
        <w:t xml:space="preserve"> I consider the definition, nature and role of curriculum in relation to the EBac policy.</w:t>
      </w:r>
    </w:p>
    <w:p w14:paraId="4E44219F" w14:textId="77777777" w:rsidR="00A75A8F" w:rsidRPr="00E63B6F" w:rsidRDefault="00A75A8F" w:rsidP="00531995">
      <w:pPr>
        <w:pStyle w:val="Heading2"/>
      </w:pPr>
      <w:bookmarkStart w:id="26" w:name="_Toc452316311"/>
      <w:r w:rsidRPr="00CF550E">
        <w:t>2.4</w:t>
      </w:r>
      <w:r>
        <w:t xml:space="preserve"> </w:t>
      </w:r>
      <w:r w:rsidRPr="00E63B6F">
        <w:t>Curriculum</w:t>
      </w:r>
      <w:bookmarkEnd w:id="26"/>
      <w:r w:rsidRPr="00E63B6F">
        <w:t xml:space="preserve"> </w:t>
      </w:r>
    </w:p>
    <w:p w14:paraId="26CAA356" w14:textId="54383003" w:rsidR="00A75A8F" w:rsidRDefault="00A75A8F" w:rsidP="00A75A8F">
      <w:pPr>
        <w:tabs>
          <w:tab w:val="left" w:pos="8364"/>
          <w:tab w:val="left" w:pos="8647"/>
        </w:tabs>
        <w:spacing w:line="360" w:lineRule="auto"/>
        <w:rPr>
          <w:rFonts w:cs="Calibri"/>
          <w:sz w:val="24"/>
        </w:rPr>
      </w:pPr>
      <w:r w:rsidRPr="00E63B6F">
        <w:rPr>
          <w:rFonts w:cs="Calibri"/>
          <w:sz w:val="24"/>
        </w:rPr>
        <w:t xml:space="preserve">My study </w:t>
      </w:r>
      <w:r w:rsidR="009D644A">
        <w:rPr>
          <w:rFonts w:cs="Calibri"/>
          <w:sz w:val="24"/>
        </w:rPr>
        <w:t xml:space="preserve">provides </w:t>
      </w:r>
      <w:r w:rsidRPr="00E63B6F">
        <w:rPr>
          <w:rFonts w:cs="Calibri"/>
          <w:sz w:val="24"/>
        </w:rPr>
        <w:t>a critical analysis of the EBac policy in England</w:t>
      </w:r>
      <w:r w:rsidR="009D644A">
        <w:rPr>
          <w:rFonts w:cs="Calibri"/>
          <w:sz w:val="24"/>
        </w:rPr>
        <w:t>,</w:t>
      </w:r>
      <w:r w:rsidRPr="00E63B6F">
        <w:rPr>
          <w:rFonts w:cs="Calibri"/>
          <w:sz w:val="24"/>
        </w:rPr>
        <w:t xml:space="preserve"> which ha</w:t>
      </w:r>
      <w:r>
        <w:rPr>
          <w:rFonts w:cs="Calibri"/>
          <w:sz w:val="24"/>
        </w:rPr>
        <w:t>s</w:t>
      </w:r>
      <w:r w:rsidRPr="00E63B6F">
        <w:rPr>
          <w:rFonts w:cs="Calibri"/>
          <w:sz w:val="24"/>
        </w:rPr>
        <w:t xml:space="preserve"> </w:t>
      </w:r>
      <w:r>
        <w:rPr>
          <w:rFonts w:cs="Calibri"/>
          <w:sz w:val="24"/>
        </w:rPr>
        <w:t xml:space="preserve">powerful </w:t>
      </w:r>
      <w:r w:rsidRPr="00E63B6F">
        <w:rPr>
          <w:rFonts w:cs="Calibri"/>
          <w:sz w:val="24"/>
        </w:rPr>
        <w:t>implications for curriculum</w:t>
      </w:r>
      <w:r>
        <w:rPr>
          <w:rFonts w:cs="Calibri"/>
          <w:sz w:val="24"/>
        </w:rPr>
        <w:t xml:space="preserve"> content </w:t>
      </w:r>
      <w:r w:rsidRPr="00E63B6F">
        <w:rPr>
          <w:rFonts w:cs="Calibri"/>
          <w:sz w:val="24"/>
        </w:rPr>
        <w:t xml:space="preserve">and </w:t>
      </w:r>
      <w:r>
        <w:rPr>
          <w:rFonts w:cs="Calibri"/>
          <w:sz w:val="24"/>
        </w:rPr>
        <w:t xml:space="preserve">access. </w:t>
      </w:r>
      <w:r w:rsidRPr="006D648F">
        <w:rPr>
          <w:rFonts w:cs="Calibri"/>
          <w:sz w:val="24"/>
        </w:rPr>
        <w:t xml:space="preserve"> </w:t>
      </w:r>
      <w:r>
        <w:rPr>
          <w:rFonts w:cs="Calibri"/>
          <w:sz w:val="24"/>
        </w:rPr>
        <w:t xml:space="preserve">I </w:t>
      </w:r>
      <w:r w:rsidR="009D644A">
        <w:rPr>
          <w:rFonts w:cs="Calibri"/>
          <w:sz w:val="24"/>
        </w:rPr>
        <w:t xml:space="preserve">therefore </w:t>
      </w:r>
      <w:r>
        <w:rPr>
          <w:rFonts w:cs="Calibri"/>
          <w:sz w:val="24"/>
        </w:rPr>
        <w:t xml:space="preserve">turn next to </w:t>
      </w:r>
      <w:r w:rsidRPr="00E63B6F">
        <w:rPr>
          <w:rFonts w:cs="Calibri"/>
          <w:sz w:val="24"/>
        </w:rPr>
        <w:t>key curriculum perspectives</w:t>
      </w:r>
      <w:r>
        <w:rPr>
          <w:rFonts w:cs="Calibri"/>
          <w:sz w:val="24"/>
        </w:rPr>
        <w:t xml:space="preserve">, briefly touching on the practical and technical </w:t>
      </w:r>
      <w:r w:rsidR="009D644A">
        <w:rPr>
          <w:rFonts w:cs="Calibri"/>
          <w:sz w:val="24"/>
        </w:rPr>
        <w:t xml:space="preserve">aspects </w:t>
      </w:r>
      <w:r>
        <w:rPr>
          <w:rFonts w:cs="Calibri"/>
          <w:sz w:val="24"/>
        </w:rPr>
        <w:t xml:space="preserve">before considering </w:t>
      </w:r>
      <w:r w:rsidRPr="00E63B6F">
        <w:rPr>
          <w:rFonts w:cs="Calibri"/>
          <w:sz w:val="24"/>
        </w:rPr>
        <w:t>critical and postmodern</w:t>
      </w:r>
      <w:r w:rsidR="009D644A">
        <w:rPr>
          <w:rFonts w:cs="Calibri"/>
          <w:sz w:val="24"/>
        </w:rPr>
        <w:t xml:space="preserve"> theories in</w:t>
      </w:r>
      <w:r w:rsidR="009D644A" w:rsidRPr="009D644A">
        <w:rPr>
          <w:rFonts w:cs="Calibri"/>
          <w:sz w:val="24"/>
        </w:rPr>
        <w:t xml:space="preserve"> </w:t>
      </w:r>
      <w:r w:rsidR="009D644A">
        <w:rPr>
          <w:rFonts w:cs="Calibri"/>
          <w:sz w:val="24"/>
        </w:rPr>
        <w:t>more detail</w:t>
      </w:r>
      <w:r>
        <w:rPr>
          <w:rFonts w:cs="Calibri"/>
          <w:sz w:val="24"/>
        </w:rPr>
        <w:t xml:space="preserve">, linking these to the EBac curriculum and </w:t>
      </w:r>
      <w:r>
        <w:rPr>
          <w:rFonts w:cs="Calibri"/>
          <w:sz w:val="24"/>
        </w:rPr>
        <w:lastRenderedPageBreak/>
        <w:t>issues</w:t>
      </w:r>
      <w:r w:rsidR="009D644A">
        <w:rPr>
          <w:rFonts w:cs="Calibri"/>
          <w:sz w:val="24"/>
        </w:rPr>
        <w:t xml:space="preserve">. I </w:t>
      </w:r>
      <w:r>
        <w:rPr>
          <w:rFonts w:cs="Calibri"/>
          <w:sz w:val="24"/>
        </w:rPr>
        <w:t>evaluat</w:t>
      </w:r>
      <w:r w:rsidR="009D644A">
        <w:rPr>
          <w:rFonts w:cs="Calibri"/>
          <w:sz w:val="24"/>
        </w:rPr>
        <w:t>e</w:t>
      </w:r>
      <w:r>
        <w:rPr>
          <w:rFonts w:cs="Calibri"/>
          <w:sz w:val="24"/>
        </w:rPr>
        <w:t xml:space="preserve"> </w:t>
      </w:r>
      <w:r w:rsidR="009D644A">
        <w:rPr>
          <w:rFonts w:cs="Calibri"/>
          <w:sz w:val="24"/>
        </w:rPr>
        <w:t xml:space="preserve">various definitions of ‘curriculum’ </w:t>
      </w:r>
      <w:r>
        <w:rPr>
          <w:rFonts w:cs="Calibri"/>
          <w:sz w:val="24"/>
        </w:rPr>
        <w:t>throughout the section before outlining the postmodern approach I adopt within this research.</w:t>
      </w:r>
    </w:p>
    <w:p w14:paraId="46E8D429" w14:textId="2F220E88" w:rsidR="00A75A8F" w:rsidRPr="006320C1" w:rsidRDefault="00A75A8F" w:rsidP="00A75A8F">
      <w:pPr>
        <w:spacing w:line="360" w:lineRule="auto"/>
        <w:rPr>
          <w:rFonts w:cs="Calibri"/>
          <w:sz w:val="24"/>
        </w:rPr>
      </w:pPr>
      <w:r w:rsidRPr="006D648F">
        <w:rPr>
          <w:rFonts w:cs="Calibri"/>
          <w:sz w:val="24"/>
        </w:rPr>
        <w:t xml:space="preserve">The concept of </w:t>
      </w:r>
      <w:r w:rsidR="009D644A">
        <w:rPr>
          <w:rFonts w:cs="Calibri"/>
          <w:sz w:val="24"/>
        </w:rPr>
        <w:t>‘</w:t>
      </w:r>
      <w:r w:rsidRPr="006D648F">
        <w:rPr>
          <w:rFonts w:cs="Calibri"/>
          <w:sz w:val="24"/>
        </w:rPr>
        <w:t>curriculum</w:t>
      </w:r>
      <w:r w:rsidR="009D644A">
        <w:rPr>
          <w:rFonts w:cs="Calibri"/>
          <w:sz w:val="24"/>
        </w:rPr>
        <w:t>’</w:t>
      </w:r>
      <w:r w:rsidRPr="006D648F">
        <w:rPr>
          <w:rFonts w:cs="Calibri"/>
          <w:sz w:val="24"/>
        </w:rPr>
        <w:t xml:space="preserve"> is contested</w:t>
      </w:r>
      <w:r>
        <w:rPr>
          <w:rFonts w:cs="Calibri"/>
          <w:sz w:val="24"/>
        </w:rPr>
        <w:t xml:space="preserve">. </w:t>
      </w:r>
      <w:r w:rsidRPr="006D648F">
        <w:rPr>
          <w:rFonts w:cs="Calibri"/>
          <w:sz w:val="24"/>
        </w:rPr>
        <w:t xml:space="preserve">Ross states that the curriculum includes </w:t>
      </w:r>
      <w:r>
        <w:rPr>
          <w:rFonts w:cs="Calibri"/>
          <w:sz w:val="24"/>
        </w:rPr>
        <w:t>“</w:t>
      </w:r>
      <w:r w:rsidRPr="006D648F">
        <w:rPr>
          <w:rFonts w:cs="Calibri"/>
          <w:sz w:val="24"/>
        </w:rPr>
        <w:t>any socially constructed or prescribed activities, selected in some way from the culture of that society, that result in the transformation of the individual</w:t>
      </w:r>
      <w:r>
        <w:rPr>
          <w:rFonts w:cs="Calibri"/>
          <w:sz w:val="24"/>
        </w:rPr>
        <w:t>”</w:t>
      </w:r>
      <w:r w:rsidRPr="006D648F">
        <w:rPr>
          <w:rFonts w:cs="Calibri"/>
          <w:sz w:val="24"/>
        </w:rPr>
        <w:t xml:space="preserve"> (</w:t>
      </w:r>
      <w:r>
        <w:rPr>
          <w:rFonts w:cs="Calibri"/>
          <w:sz w:val="24"/>
        </w:rPr>
        <w:t xml:space="preserve">2000, </w:t>
      </w:r>
      <w:r w:rsidRPr="006D648F">
        <w:rPr>
          <w:rFonts w:cs="Calibri"/>
          <w:sz w:val="24"/>
        </w:rPr>
        <w:t>p.8).</w:t>
      </w:r>
      <w:r>
        <w:rPr>
          <w:rFonts w:cs="Calibri"/>
          <w:sz w:val="24"/>
        </w:rPr>
        <w:t xml:space="preserve"> </w:t>
      </w:r>
      <w:r w:rsidRPr="00DC276E">
        <w:rPr>
          <w:rFonts w:cs="Calibri"/>
          <w:sz w:val="24"/>
          <w:szCs w:val="24"/>
        </w:rPr>
        <w:t>Whil</w:t>
      </w:r>
      <w:r w:rsidR="009D644A">
        <w:rPr>
          <w:rFonts w:cs="Calibri"/>
          <w:sz w:val="24"/>
          <w:szCs w:val="24"/>
        </w:rPr>
        <w:t>st</w:t>
      </w:r>
      <w:r w:rsidRPr="00DC276E">
        <w:rPr>
          <w:rFonts w:cs="Calibri"/>
          <w:sz w:val="24"/>
          <w:szCs w:val="24"/>
        </w:rPr>
        <w:t xml:space="preserve"> this is a broad definition</w:t>
      </w:r>
      <w:r w:rsidR="009D644A">
        <w:rPr>
          <w:rFonts w:cs="Calibri"/>
          <w:sz w:val="24"/>
          <w:szCs w:val="24"/>
        </w:rPr>
        <w:t>,</w:t>
      </w:r>
      <w:r w:rsidRPr="00DC276E">
        <w:rPr>
          <w:rFonts w:cs="Calibri"/>
          <w:sz w:val="24"/>
          <w:szCs w:val="24"/>
        </w:rPr>
        <w:t xml:space="preserve"> it does highlight the fact that</w:t>
      </w:r>
      <w:r w:rsidRPr="00DC276E">
        <w:rPr>
          <w:sz w:val="24"/>
          <w:szCs w:val="24"/>
        </w:rPr>
        <w:t xml:space="preserve"> the activities are </w:t>
      </w:r>
      <w:r w:rsidR="00425739">
        <w:rPr>
          <w:sz w:val="24"/>
          <w:szCs w:val="24"/>
        </w:rPr>
        <w:t>‘</w:t>
      </w:r>
      <w:r w:rsidRPr="00DC276E">
        <w:rPr>
          <w:sz w:val="24"/>
          <w:szCs w:val="24"/>
        </w:rPr>
        <w:t>selected</w:t>
      </w:r>
      <w:r w:rsidR="00425739">
        <w:rPr>
          <w:sz w:val="24"/>
          <w:szCs w:val="24"/>
        </w:rPr>
        <w:t>’</w:t>
      </w:r>
      <w:r w:rsidR="009D644A">
        <w:rPr>
          <w:sz w:val="24"/>
          <w:szCs w:val="24"/>
        </w:rPr>
        <w:t>;</w:t>
      </w:r>
      <w:r>
        <w:rPr>
          <w:sz w:val="24"/>
          <w:szCs w:val="24"/>
        </w:rPr>
        <w:t xml:space="preserve"> that </w:t>
      </w:r>
      <w:r w:rsidRPr="00DC276E">
        <w:rPr>
          <w:sz w:val="24"/>
          <w:szCs w:val="24"/>
        </w:rPr>
        <w:t>someone does the select</w:t>
      </w:r>
      <w:r w:rsidR="00963F93">
        <w:rPr>
          <w:sz w:val="24"/>
          <w:szCs w:val="24"/>
        </w:rPr>
        <w:t>ing</w:t>
      </w:r>
      <w:r w:rsidRPr="00DC276E">
        <w:rPr>
          <w:sz w:val="24"/>
          <w:szCs w:val="24"/>
        </w:rPr>
        <w:t xml:space="preserve"> and decides which features of society </w:t>
      </w:r>
      <w:r w:rsidR="00425739">
        <w:rPr>
          <w:sz w:val="24"/>
          <w:szCs w:val="24"/>
        </w:rPr>
        <w:t>‘</w:t>
      </w:r>
      <w:r w:rsidRPr="00DC276E">
        <w:rPr>
          <w:sz w:val="24"/>
          <w:szCs w:val="24"/>
        </w:rPr>
        <w:t>deserve</w:t>
      </w:r>
      <w:r w:rsidR="00425739">
        <w:rPr>
          <w:sz w:val="24"/>
          <w:szCs w:val="24"/>
        </w:rPr>
        <w:t>’</w:t>
      </w:r>
      <w:r w:rsidRPr="00DC276E">
        <w:rPr>
          <w:sz w:val="24"/>
          <w:szCs w:val="24"/>
        </w:rPr>
        <w:t xml:space="preserve"> selection</w:t>
      </w:r>
      <w:r>
        <w:rPr>
          <w:sz w:val="24"/>
          <w:szCs w:val="24"/>
        </w:rPr>
        <w:t>, which</w:t>
      </w:r>
      <w:r w:rsidRPr="00DC276E">
        <w:rPr>
          <w:sz w:val="24"/>
          <w:szCs w:val="24"/>
        </w:rPr>
        <w:t xml:space="preserve"> is inevitably a political </w:t>
      </w:r>
      <w:r>
        <w:rPr>
          <w:sz w:val="24"/>
          <w:szCs w:val="24"/>
        </w:rPr>
        <w:t>action.</w:t>
      </w:r>
    </w:p>
    <w:p w14:paraId="6D201264" w14:textId="599A327C" w:rsidR="00A75A8F" w:rsidRDefault="00A75A8F" w:rsidP="00A75A8F">
      <w:pPr>
        <w:tabs>
          <w:tab w:val="left" w:pos="8647"/>
        </w:tabs>
        <w:spacing w:line="360" w:lineRule="auto"/>
        <w:rPr>
          <w:rFonts w:cs="Calibri"/>
          <w:sz w:val="24"/>
        </w:rPr>
      </w:pPr>
      <w:r w:rsidRPr="006D648F">
        <w:rPr>
          <w:rFonts w:cs="Calibri"/>
          <w:sz w:val="24"/>
        </w:rPr>
        <w:t xml:space="preserve">Stenhouse </w:t>
      </w:r>
      <w:r>
        <w:rPr>
          <w:rFonts w:cs="Calibri"/>
          <w:sz w:val="24"/>
        </w:rPr>
        <w:t>(1975)</w:t>
      </w:r>
      <w:r w:rsidR="00963F93">
        <w:rPr>
          <w:rFonts w:cs="Calibri"/>
          <w:sz w:val="24"/>
        </w:rPr>
        <w:t>,</w:t>
      </w:r>
      <w:r>
        <w:rPr>
          <w:rFonts w:cs="Calibri"/>
          <w:sz w:val="24"/>
        </w:rPr>
        <w:t xml:space="preserve"> drawing on the practical perspective of Schwab (1969)</w:t>
      </w:r>
      <w:r w:rsidR="00963F93">
        <w:rPr>
          <w:rFonts w:cs="Calibri"/>
          <w:sz w:val="24"/>
        </w:rPr>
        <w:t>,</w:t>
      </w:r>
      <w:r>
        <w:rPr>
          <w:rFonts w:cs="Calibri"/>
          <w:sz w:val="24"/>
        </w:rPr>
        <w:t xml:space="preserve"> </w:t>
      </w:r>
      <w:r w:rsidRPr="006D648F">
        <w:rPr>
          <w:rFonts w:cs="Calibri"/>
          <w:sz w:val="24"/>
        </w:rPr>
        <w:t xml:space="preserve">suggests that the curriculum </w:t>
      </w:r>
      <w:r>
        <w:rPr>
          <w:rFonts w:cs="Calibri"/>
          <w:sz w:val="24"/>
        </w:rPr>
        <w:t xml:space="preserve">is a proposal </w:t>
      </w:r>
      <w:r w:rsidRPr="006D648F">
        <w:rPr>
          <w:rFonts w:cs="Calibri"/>
          <w:sz w:val="24"/>
        </w:rPr>
        <w:t>that put</w:t>
      </w:r>
      <w:r w:rsidR="00963F93">
        <w:rPr>
          <w:rFonts w:cs="Calibri"/>
          <w:sz w:val="24"/>
        </w:rPr>
        <w:t>s</w:t>
      </w:r>
      <w:r w:rsidRPr="006D648F">
        <w:rPr>
          <w:rFonts w:cs="Calibri"/>
          <w:sz w:val="24"/>
        </w:rPr>
        <w:t xml:space="preserve"> into practice a set of actions with an underlying set of </w:t>
      </w:r>
      <w:r>
        <w:rPr>
          <w:rFonts w:cs="Calibri"/>
          <w:sz w:val="24"/>
        </w:rPr>
        <w:t xml:space="preserve">values and </w:t>
      </w:r>
      <w:r w:rsidRPr="006D648F">
        <w:rPr>
          <w:rFonts w:cs="Calibri"/>
          <w:sz w:val="24"/>
        </w:rPr>
        <w:t>principles which teachers can interpret</w:t>
      </w:r>
      <w:r>
        <w:rPr>
          <w:rFonts w:cs="Calibri"/>
          <w:sz w:val="24"/>
        </w:rPr>
        <w:t>, critique and</w:t>
      </w:r>
      <w:r w:rsidRPr="006D648F">
        <w:rPr>
          <w:rFonts w:cs="Calibri"/>
          <w:sz w:val="24"/>
        </w:rPr>
        <w:t xml:space="preserve"> apply in their </w:t>
      </w:r>
      <w:r>
        <w:rPr>
          <w:rFonts w:cs="Calibri"/>
          <w:sz w:val="24"/>
        </w:rPr>
        <w:t>classrooms</w:t>
      </w:r>
      <w:r w:rsidRPr="006D648F">
        <w:rPr>
          <w:rFonts w:cs="Calibri"/>
          <w:sz w:val="24"/>
        </w:rPr>
        <w:t xml:space="preserve">. This definition </w:t>
      </w:r>
      <w:r>
        <w:rPr>
          <w:rFonts w:cs="Calibri"/>
          <w:sz w:val="24"/>
        </w:rPr>
        <w:t>gives scope</w:t>
      </w:r>
      <w:r w:rsidRPr="006D648F">
        <w:rPr>
          <w:rFonts w:cs="Calibri"/>
          <w:sz w:val="24"/>
        </w:rPr>
        <w:t xml:space="preserve"> for </w:t>
      </w:r>
      <w:r>
        <w:rPr>
          <w:rFonts w:cs="Calibri"/>
          <w:sz w:val="24"/>
        </w:rPr>
        <w:t xml:space="preserve">teachers to </w:t>
      </w:r>
      <w:r w:rsidRPr="006D648F">
        <w:rPr>
          <w:rFonts w:cs="Calibri"/>
          <w:sz w:val="24"/>
        </w:rPr>
        <w:t>contribu</w:t>
      </w:r>
      <w:r>
        <w:rPr>
          <w:rFonts w:cs="Calibri"/>
          <w:sz w:val="24"/>
        </w:rPr>
        <w:t xml:space="preserve">te to their students’ curriculum experience </w:t>
      </w:r>
      <w:r w:rsidR="00963F93">
        <w:rPr>
          <w:rFonts w:cs="Calibri"/>
          <w:sz w:val="24"/>
        </w:rPr>
        <w:t>though</w:t>
      </w:r>
      <w:r>
        <w:rPr>
          <w:rFonts w:cs="Calibri"/>
          <w:sz w:val="24"/>
        </w:rPr>
        <w:t xml:space="preserve"> their </w:t>
      </w:r>
      <w:r w:rsidR="00963F93">
        <w:rPr>
          <w:rFonts w:cs="Calibri"/>
          <w:sz w:val="24"/>
        </w:rPr>
        <w:t xml:space="preserve">own </w:t>
      </w:r>
      <w:r>
        <w:rPr>
          <w:rFonts w:cs="Calibri"/>
          <w:sz w:val="24"/>
        </w:rPr>
        <w:t xml:space="preserve">critical engagement and scrutiny, </w:t>
      </w:r>
      <w:r w:rsidRPr="006D648F">
        <w:rPr>
          <w:rFonts w:cs="Calibri"/>
          <w:sz w:val="24"/>
        </w:rPr>
        <w:t xml:space="preserve">rather than </w:t>
      </w:r>
      <w:r>
        <w:rPr>
          <w:rFonts w:cs="Calibri"/>
          <w:sz w:val="24"/>
        </w:rPr>
        <w:t xml:space="preserve">teachers being told what and how to teach through prescribed and statutory </w:t>
      </w:r>
      <w:r w:rsidRPr="006D648F">
        <w:rPr>
          <w:rFonts w:cs="Calibri"/>
          <w:sz w:val="24"/>
        </w:rPr>
        <w:t>subject</w:t>
      </w:r>
      <w:r>
        <w:rPr>
          <w:rFonts w:cs="Calibri"/>
          <w:sz w:val="24"/>
        </w:rPr>
        <w:t xml:space="preserve">s, knowledge </w:t>
      </w:r>
      <w:r w:rsidRPr="006D648F">
        <w:rPr>
          <w:rFonts w:cs="Calibri"/>
          <w:sz w:val="24"/>
        </w:rPr>
        <w:t xml:space="preserve">content </w:t>
      </w:r>
      <w:r>
        <w:rPr>
          <w:rFonts w:cs="Calibri"/>
          <w:sz w:val="24"/>
        </w:rPr>
        <w:t xml:space="preserve">and </w:t>
      </w:r>
      <w:r w:rsidRPr="006D648F">
        <w:rPr>
          <w:rFonts w:cs="Calibri"/>
          <w:sz w:val="24"/>
        </w:rPr>
        <w:t>activities.</w:t>
      </w:r>
      <w:r>
        <w:t xml:space="preserve"> </w:t>
      </w:r>
      <w:r>
        <w:rPr>
          <w:rFonts w:cs="Calibri"/>
          <w:sz w:val="24"/>
        </w:rPr>
        <w:t>Despite Stenhouse</w:t>
      </w:r>
      <w:r w:rsidR="00963F93">
        <w:rPr>
          <w:rFonts w:cs="Calibri"/>
          <w:sz w:val="24"/>
        </w:rPr>
        <w:t>’s desire</w:t>
      </w:r>
      <w:r>
        <w:rPr>
          <w:rFonts w:cs="Calibri"/>
          <w:sz w:val="24"/>
        </w:rPr>
        <w:t xml:space="preserve"> for active contribution to the curriculum process, </w:t>
      </w:r>
      <w:r w:rsidR="00963F93">
        <w:rPr>
          <w:rFonts w:cs="Calibri"/>
          <w:sz w:val="24"/>
        </w:rPr>
        <w:t xml:space="preserve">in reality, </w:t>
      </w:r>
      <w:r>
        <w:rPr>
          <w:rFonts w:cs="Calibri"/>
          <w:sz w:val="24"/>
        </w:rPr>
        <w:t>teachers have very little opportunity to interpret, be creative or be critical in any aspect of the EBac curriculum. The only aspect</w:t>
      </w:r>
      <w:r w:rsidR="002C2C32">
        <w:rPr>
          <w:rFonts w:cs="Calibri"/>
          <w:sz w:val="24"/>
        </w:rPr>
        <w:t>s</w:t>
      </w:r>
      <w:r>
        <w:rPr>
          <w:rFonts w:cs="Calibri"/>
          <w:sz w:val="24"/>
        </w:rPr>
        <w:t xml:space="preserve"> of the EBac that allow for teacher input </w:t>
      </w:r>
      <w:r w:rsidR="002C2C32">
        <w:rPr>
          <w:rFonts w:cs="Calibri"/>
          <w:sz w:val="24"/>
        </w:rPr>
        <w:t>are</w:t>
      </w:r>
      <w:r>
        <w:rPr>
          <w:rFonts w:cs="Calibri"/>
          <w:sz w:val="24"/>
        </w:rPr>
        <w:t xml:space="preserve"> recommend</w:t>
      </w:r>
      <w:r w:rsidR="00963F93">
        <w:rPr>
          <w:rFonts w:cs="Calibri"/>
          <w:sz w:val="24"/>
        </w:rPr>
        <w:t>ation</w:t>
      </w:r>
      <w:r>
        <w:rPr>
          <w:rFonts w:cs="Calibri"/>
          <w:sz w:val="24"/>
        </w:rPr>
        <w:t>, encourage</w:t>
      </w:r>
      <w:r w:rsidR="00963F93">
        <w:rPr>
          <w:rFonts w:cs="Calibri"/>
          <w:sz w:val="24"/>
        </w:rPr>
        <w:t>ment</w:t>
      </w:r>
      <w:r>
        <w:rPr>
          <w:rFonts w:cs="Calibri"/>
          <w:sz w:val="24"/>
        </w:rPr>
        <w:t xml:space="preserve"> or restrict</w:t>
      </w:r>
      <w:r w:rsidR="00963F93">
        <w:rPr>
          <w:rFonts w:cs="Calibri"/>
          <w:sz w:val="24"/>
        </w:rPr>
        <w:t>ion of</w:t>
      </w:r>
      <w:r>
        <w:rPr>
          <w:rFonts w:cs="Calibri"/>
          <w:sz w:val="24"/>
        </w:rPr>
        <w:t xml:space="preserve"> student access to EBac subjects and qualifications.  </w:t>
      </w:r>
    </w:p>
    <w:p w14:paraId="026E7CF2" w14:textId="225832EE" w:rsidR="00A75A8F" w:rsidRPr="00D952EC" w:rsidRDefault="00A75A8F" w:rsidP="00A75A8F">
      <w:pPr>
        <w:tabs>
          <w:tab w:val="left" w:pos="8647"/>
        </w:tabs>
        <w:spacing w:line="360" w:lineRule="auto"/>
        <w:rPr>
          <w:rFonts w:cs="Calibri"/>
          <w:i/>
          <w:sz w:val="24"/>
        </w:rPr>
      </w:pPr>
      <w:r>
        <w:rPr>
          <w:rFonts w:cs="Calibri"/>
          <w:sz w:val="24"/>
        </w:rPr>
        <w:t>The technical curriculum (Tyler</w:t>
      </w:r>
      <w:r w:rsidR="00B12D67">
        <w:rPr>
          <w:rFonts w:cs="Calibri"/>
          <w:sz w:val="24"/>
        </w:rPr>
        <w:t>,</w:t>
      </w:r>
      <w:r>
        <w:rPr>
          <w:rFonts w:cs="Calibri"/>
          <w:sz w:val="24"/>
        </w:rPr>
        <w:t xml:space="preserve"> 1949) presented a very structured, instrumental and rational approach to curriculum with an emphasis on effective delivery. In many ways the EBac is a form of technical curriculum</w:t>
      </w:r>
      <w:r w:rsidR="00A47003">
        <w:rPr>
          <w:rFonts w:cs="Calibri"/>
          <w:sz w:val="24"/>
        </w:rPr>
        <w:t>;</w:t>
      </w:r>
      <w:r>
        <w:rPr>
          <w:rFonts w:cs="Calibri"/>
          <w:sz w:val="24"/>
        </w:rPr>
        <w:t xml:space="preserve"> it has specific linear</w:t>
      </w:r>
      <w:r w:rsidR="00A47003">
        <w:rPr>
          <w:rFonts w:cs="Calibri"/>
          <w:sz w:val="24"/>
        </w:rPr>
        <w:t xml:space="preserve"> and</w:t>
      </w:r>
      <w:r>
        <w:rPr>
          <w:rFonts w:cs="Calibri"/>
          <w:sz w:val="24"/>
        </w:rPr>
        <w:t xml:space="preserve"> technical goals that are externally imposed and teachers are required to produce the best </w:t>
      </w:r>
      <w:r w:rsidR="00A47003">
        <w:rPr>
          <w:rFonts w:cs="Calibri"/>
          <w:sz w:val="24"/>
        </w:rPr>
        <w:t>‘</w:t>
      </w:r>
      <w:r>
        <w:rPr>
          <w:rFonts w:cs="Calibri"/>
          <w:sz w:val="24"/>
        </w:rPr>
        <w:t>product</w:t>
      </w:r>
      <w:r w:rsidR="00A47003">
        <w:rPr>
          <w:rFonts w:cs="Calibri"/>
          <w:sz w:val="24"/>
        </w:rPr>
        <w:t>’</w:t>
      </w:r>
      <w:r>
        <w:rPr>
          <w:rFonts w:cs="Calibri"/>
          <w:sz w:val="24"/>
        </w:rPr>
        <w:t xml:space="preserve"> in terms of EBac success.</w:t>
      </w:r>
    </w:p>
    <w:p w14:paraId="63BBF1B4" w14:textId="0F20CCAD" w:rsidR="00A75A8F" w:rsidRPr="006D648F" w:rsidRDefault="00A75A8F" w:rsidP="00A75A8F">
      <w:pPr>
        <w:spacing w:line="360" w:lineRule="auto"/>
        <w:rPr>
          <w:rFonts w:cs="Calibri"/>
          <w:sz w:val="24"/>
        </w:rPr>
      </w:pPr>
      <w:r w:rsidRPr="006D648F">
        <w:rPr>
          <w:rFonts w:cs="Calibri"/>
          <w:sz w:val="24"/>
        </w:rPr>
        <w:t xml:space="preserve">In contrast, the critical perspective aims to challenge </w:t>
      </w:r>
      <w:r>
        <w:rPr>
          <w:rFonts w:cs="Calibri"/>
          <w:sz w:val="24"/>
        </w:rPr>
        <w:t>a</w:t>
      </w:r>
      <w:r w:rsidRPr="006D648F">
        <w:rPr>
          <w:rFonts w:cs="Calibri"/>
          <w:sz w:val="24"/>
        </w:rPr>
        <w:t xml:space="preserve"> </w:t>
      </w:r>
      <w:r w:rsidR="00A47003">
        <w:rPr>
          <w:rFonts w:cs="Calibri"/>
          <w:sz w:val="24"/>
        </w:rPr>
        <w:t>‘</w:t>
      </w:r>
      <w:r w:rsidRPr="006D648F">
        <w:rPr>
          <w:rFonts w:cs="Calibri"/>
          <w:sz w:val="24"/>
        </w:rPr>
        <w:t>top down</w:t>
      </w:r>
      <w:r w:rsidR="00A47003">
        <w:rPr>
          <w:rFonts w:cs="Calibri"/>
          <w:sz w:val="24"/>
        </w:rPr>
        <w:t>’</w:t>
      </w:r>
      <w:r w:rsidRPr="006D648F">
        <w:rPr>
          <w:rFonts w:cs="Calibri"/>
          <w:sz w:val="24"/>
        </w:rPr>
        <w:t xml:space="preserve"> notion of curriculum designed and controlled by the state. Carr (1996) states that:</w:t>
      </w:r>
    </w:p>
    <w:p w14:paraId="3C348386" w14:textId="7CCCD1C1" w:rsidR="00A75A8F" w:rsidRPr="006D648F" w:rsidRDefault="00A75A8F" w:rsidP="00A75A8F">
      <w:pPr>
        <w:spacing w:line="240" w:lineRule="auto"/>
        <w:ind w:left="720"/>
        <w:rPr>
          <w:rFonts w:cs="Calibri"/>
          <w:sz w:val="24"/>
        </w:rPr>
      </w:pPr>
      <w:r w:rsidRPr="006D648F">
        <w:rPr>
          <w:rFonts w:cs="Calibri"/>
          <w:sz w:val="24"/>
        </w:rPr>
        <w:t xml:space="preserve">This </w:t>
      </w:r>
      <w:r w:rsidR="00425739">
        <w:rPr>
          <w:rFonts w:cs="Calibri"/>
          <w:sz w:val="24"/>
        </w:rPr>
        <w:t>[critical</w:t>
      </w:r>
      <w:r>
        <w:rPr>
          <w:rFonts w:cs="Calibri"/>
          <w:sz w:val="24"/>
        </w:rPr>
        <w:t xml:space="preserve">] </w:t>
      </w:r>
      <w:r w:rsidRPr="006D648F">
        <w:rPr>
          <w:rFonts w:cs="Calibri"/>
          <w:sz w:val="24"/>
        </w:rPr>
        <w:t xml:space="preserve">paradigm seeks to transcend the achievements and limitations of “technical” and “practical” curriculum thinking by undertaking historical and social analysis to reveal how the principles and practices of the contemporary curriculum </w:t>
      </w:r>
      <w:r w:rsidRPr="006D648F">
        <w:rPr>
          <w:rFonts w:cs="Calibri"/>
          <w:sz w:val="24"/>
        </w:rPr>
        <w:lastRenderedPageBreak/>
        <w:t>may operate as ideological mechanisms to legitimate certain irrational and unjust educational outcomes (p.17).</w:t>
      </w:r>
    </w:p>
    <w:p w14:paraId="45A68332" w14:textId="520F3E60" w:rsidR="00A75A8F" w:rsidRDefault="00A75A8F" w:rsidP="00A75A8F">
      <w:pPr>
        <w:tabs>
          <w:tab w:val="left" w:pos="8364"/>
        </w:tabs>
        <w:spacing w:line="360" w:lineRule="auto"/>
        <w:rPr>
          <w:rFonts w:cs="Calibri"/>
          <w:sz w:val="24"/>
        </w:rPr>
      </w:pPr>
      <w:r w:rsidRPr="006D648F">
        <w:rPr>
          <w:rFonts w:cs="Calibri"/>
          <w:sz w:val="24"/>
        </w:rPr>
        <w:t>In this way</w:t>
      </w:r>
      <w:r w:rsidR="00A47003">
        <w:rPr>
          <w:rFonts w:cs="Calibri"/>
          <w:sz w:val="24"/>
        </w:rPr>
        <w:t>,</w:t>
      </w:r>
      <w:r w:rsidRPr="006D648F">
        <w:rPr>
          <w:rFonts w:cs="Calibri"/>
          <w:sz w:val="24"/>
        </w:rPr>
        <w:t xml:space="preserve"> the concept, delivery method, practice and outcome of the curriculum are questioned and reflected upon</w:t>
      </w:r>
      <w:r>
        <w:rPr>
          <w:rFonts w:cs="Calibri"/>
          <w:sz w:val="24"/>
        </w:rPr>
        <w:t xml:space="preserve"> and social justice is seen as a vital component</w:t>
      </w:r>
      <w:r w:rsidRPr="006D648F">
        <w:rPr>
          <w:rFonts w:cs="Calibri"/>
          <w:sz w:val="24"/>
        </w:rPr>
        <w:t xml:space="preserve">. </w:t>
      </w:r>
      <w:r w:rsidR="00A47003">
        <w:rPr>
          <w:rFonts w:cs="Calibri"/>
          <w:sz w:val="24"/>
        </w:rPr>
        <w:t>T</w:t>
      </w:r>
      <w:r w:rsidRPr="006D648F">
        <w:rPr>
          <w:rFonts w:cs="Calibri"/>
          <w:sz w:val="24"/>
        </w:rPr>
        <w:t>he ideological components of the curriculum</w:t>
      </w:r>
      <w:r w:rsidR="00A47003">
        <w:rPr>
          <w:rFonts w:cs="Calibri"/>
          <w:sz w:val="24"/>
        </w:rPr>
        <w:t>, for example,</w:t>
      </w:r>
      <w:r w:rsidRPr="006D648F">
        <w:rPr>
          <w:rFonts w:cs="Calibri"/>
          <w:sz w:val="24"/>
        </w:rPr>
        <w:t xml:space="preserve"> w</w:t>
      </w:r>
      <w:r>
        <w:rPr>
          <w:rFonts w:cs="Calibri"/>
          <w:sz w:val="24"/>
        </w:rPr>
        <w:t xml:space="preserve">ere </w:t>
      </w:r>
      <w:r w:rsidRPr="006D648F">
        <w:rPr>
          <w:rFonts w:cs="Calibri"/>
          <w:sz w:val="24"/>
        </w:rPr>
        <w:t xml:space="preserve">considered when </w:t>
      </w:r>
      <w:r>
        <w:rPr>
          <w:rFonts w:cs="Calibri"/>
          <w:sz w:val="24"/>
        </w:rPr>
        <w:t xml:space="preserve">previously </w:t>
      </w:r>
      <w:r w:rsidRPr="006D648F">
        <w:rPr>
          <w:rFonts w:cs="Calibri"/>
          <w:sz w:val="24"/>
        </w:rPr>
        <w:t>discussing</w:t>
      </w:r>
      <w:r>
        <w:rPr>
          <w:rFonts w:cs="Calibri"/>
          <w:sz w:val="24"/>
        </w:rPr>
        <w:t xml:space="preserve"> issues of</w:t>
      </w:r>
      <w:r w:rsidRPr="006D648F">
        <w:rPr>
          <w:rFonts w:cs="Calibri"/>
          <w:sz w:val="24"/>
        </w:rPr>
        <w:t xml:space="preserve"> social and cultural reproduction (</w:t>
      </w:r>
      <w:r>
        <w:rPr>
          <w:rFonts w:cs="Calibri"/>
          <w:sz w:val="24"/>
        </w:rPr>
        <w:t xml:space="preserve">see </w:t>
      </w:r>
      <w:r w:rsidR="00A47003">
        <w:rPr>
          <w:rFonts w:cs="Calibri"/>
          <w:sz w:val="24"/>
        </w:rPr>
        <w:t>S</w:t>
      </w:r>
      <w:r>
        <w:rPr>
          <w:rFonts w:cs="Calibri"/>
          <w:sz w:val="24"/>
        </w:rPr>
        <w:t>ection 2.3</w:t>
      </w:r>
      <w:r w:rsidRPr="006D648F">
        <w:rPr>
          <w:rFonts w:cs="Calibri"/>
          <w:sz w:val="24"/>
        </w:rPr>
        <w:t xml:space="preserve">). The aim of the critical perspective is to allow teachers to reflect on the nature of curriculum rather than to accept it as a fixed, neutral given and to consider the ideologies inherent within it </w:t>
      </w:r>
      <w:r w:rsidR="00A47003">
        <w:rPr>
          <w:rFonts w:cs="Calibri"/>
          <w:sz w:val="24"/>
        </w:rPr>
        <w:t>that</w:t>
      </w:r>
      <w:r w:rsidRPr="006D648F">
        <w:rPr>
          <w:rFonts w:cs="Calibri"/>
          <w:sz w:val="24"/>
        </w:rPr>
        <w:t xml:space="preserve"> may be replicated within their teachi</w:t>
      </w:r>
      <w:r>
        <w:rPr>
          <w:rFonts w:cs="Calibri"/>
          <w:sz w:val="24"/>
        </w:rPr>
        <w:t>ng</w:t>
      </w:r>
      <w:r w:rsidRPr="006D648F">
        <w:rPr>
          <w:rFonts w:cs="Calibri"/>
          <w:sz w:val="24"/>
        </w:rPr>
        <w:t>.</w:t>
      </w:r>
      <w:r>
        <w:rPr>
          <w:rFonts w:cs="Calibri"/>
          <w:sz w:val="24"/>
        </w:rPr>
        <w:t xml:space="preserve"> Apple states that:</w:t>
      </w:r>
    </w:p>
    <w:p w14:paraId="2003F500" w14:textId="1E20ADEA" w:rsidR="00A75A8F" w:rsidRDefault="00A75A8F" w:rsidP="00A75A8F">
      <w:pPr>
        <w:spacing w:line="240" w:lineRule="auto"/>
        <w:ind w:left="720"/>
        <w:rPr>
          <w:rFonts w:cs="Calibri"/>
          <w:sz w:val="24"/>
        </w:rPr>
      </w:pPr>
      <w:r>
        <w:rPr>
          <w:rFonts w:cs="Calibri"/>
          <w:sz w:val="24"/>
        </w:rPr>
        <w:t xml:space="preserve">Differential power intrudes into the very heart of curriculum, teaching, and evaluation. What </w:t>
      </w:r>
      <w:r w:rsidRPr="002C6928">
        <w:rPr>
          <w:rFonts w:cs="Calibri"/>
          <w:i/>
          <w:sz w:val="24"/>
        </w:rPr>
        <w:t>counts</w:t>
      </w:r>
      <w:r>
        <w:rPr>
          <w:rFonts w:cs="Calibri"/>
          <w:sz w:val="24"/>
        </w:rPr>
        <w:t xml:space="preserve"> as knowledge, the ways in which it is organized, who is empowered to teach it, what counts as an appropriate display of having learned it, and – just as critically – who is allowed to ask and answer all these questions, are part and parcel of how dominance and subordination are reproduced a</w:t>
      </w:r>
      <w:r w:rsidR="0017362E">
        <w:rPr>
          <w:rFonts w:cs="Calibri"/>
          <w:sz w:val="24"/>
        </w:rPr>
        <w:t>nd altered in this society (1996</w:t>
      </w:r>
      <w:r>
        <w:rPr>
          <w:rFonts w:cs="Calibri"/>
          <w:sz w:val="24"/>
        </w:rPr>
        <w:t>, p.22).</w:t>
      </w:r>
    </w:p>
    <w:p w14:paraId="52DAC0B0" w14:textId="3D09D91B" w:rsidR="00A75A8F" w:rsidRDefault="00A75A8F" w:rsidP="00A75A8F">
      <w:pPr>
        <w:tabs>
          <w:tab w:val="left" w:pos="8364"/>
        </w:tabs>
        <w:spacing w:line="360" w:lineRule="auto"/>
        <w:rPr>
          <w:rFonts w:cs="Calibri"/>
          <w:sz w:val="24"/>
        </w:rPr>
      </w:pPr>
      <w:r>
        <w:rPr>
          <w:rFonts w:cs="Calibri"/>
          <w:sz w:val="24"/>
        </w:rPr>
        <w:t xml:space="preserve">Apple </w:t>
      </w:r>
      <w:r w:rsidR="00A47003">
        <w:rPr>
          <w:rFonts w:cs="Calibri"/>
          <w:sz w:val="24"/>
        </w:rPr>
        <w:t xml:space="preserve">thus </w:t>
      </w:r>
      <w:r>
        <w:rPr>
          <w:rFonts w:cs="Calibri"/>
          <w:sz w:val="24"/>
        </w:rPr>
        <w:t>encourages consideration of the impact of curriculum</w:t>
      </w:r>
      <w:r w:rsidR="00A47003">
        <w:rPr>
          <w:rFonts w:cs="Calibri"/>
          <w:sz w:val="24"/>
        </w:rPr>
        <w:t xml:space="preserve">, </w:t>
      </w:r>
      <w:r>
        <w:rPr>
          <w:rFonts w:cs="Calibri"/>
          <w:sz w:val="24"/>
        </w:rPr>
        <w:t>particularly curriculum content</w:t>
      </w:r>
      <w:r w:rsidR="00A47003">
        <w:rPr>
          <w:rFonts w:cs="Calibri"/>
          <w:sz w:val="24"/>
        </w:rPr>
        <w:t>,</w:t>
      </w:r>
      <w:r>
        <w:rPr>
          <w:rFonts w:cs="Calibri"/>
          <w:sz w:val="24"/>
        </w:rPr>
        <w:t xml:space="preserve"> to actively encourage dialogue expos</w:t>
      </w:r>
      <w:r w:rsidR="00A47003">
        <w:rPr>
          <w:rFonts w:cs="Calibri"/>
          <w:sz w:val="24"/>
        </w:rPr>
        <w:t>ing</w:t>
      </w:r>
      <w:r>
        <w:rPr>
          <w:rFonts w:cs="Calibri"/>
          <w:sz w:val="24"/>
        </w:rPr>
        <w:t xml:space="preserve"> power relations</w:t>
      </w:r>
      <w:r w:rsidR="00A47003">
        <w:rPr>
          <w:rFonts w:cs="Calibri"/>
          <w:sz w:val="24"/>
        </w:rPr>
        <w:t xml:space="preserve"> within it,</w:t>
      </w:r>
      <w:r>
        <w:rPr>
          <w:rFonts w:cs="Calibri"/>
          <w:sz w:val="24"/>
        </w:rPr>
        <w:t xml:space="preserve"> rather than a passive acceptance of a supposed</w:t>
      </w:r>
      <w:r w:rsidR="00A47003">
        <w:rPr>
          <w:rFonts w:cs="Calibri"/>
          <w:sz w:val="24"/>
        </w:rPr>
        <w:t>ly</w:t>
      </w:r>
      <w:r>
        <w:rPr>
          <w:rFonts w:cs="Calibri"/>
          <w:sz w:val="24"/>
        </w:rPr>
        <w:t xml:space="preserve"> </w:t>
      </w:r>
      <w:r w:rsidR="00A47003">
        <w:rPr>
          <w:rFonts w:cs="Calibri"/>
          <w:sz w:val="24"/>
        </w:rPr>
        <w:t>‘</w:t>
      </w:r>
      <w:r>
        <w:rPr>
          <w:rFonts w:cs="Calibri"/>
          <w:sz w:val="24"/>
        </w:rPr>
        <w:t>neutral</w:t>
      </w:r>
      <w:r w:rsidR="00A47003">
        <w:rPr>
          <w:rFonts w:cs="Calibri"/>
          <w:sz w:val="24"/>
        </w:rPr>
        <w:t>’</w:t>
      </w:r>
      <w:r>
        <w:rPr>
          <w:rFonts w:cs="Calibri"/>
          <w:sz w:val="24"/>
        </w:rPr>
        <w:t xml:space="preserve"> curriculum. This curriculum perspective allows for a critical analysis of the EBac in terms of its ideological mechanisms and consideration of implications for social justice</w:t>
      </w:r>
      <w:r w:rsidR="00A47003">
        <w:rPr>
          <w:rFonts w:cs="Calibri"/>
          <w:sz w:val="24"/>
        </w:rPr>
        <w:t>,</w:t>
      </w:r>
      <w:r>
        <w:rPr>
          <w:rFonts w:cs="Calibri"/>
          <w:sz w:val="24"/>
        </w:rPr>
        <w:t xml:space="preserve"> but I wish to move beyond the confines of such a structural approach</w:t>
      </w:r>
      <w:r w:rsidR="00A47003">
        <w:rPr>
          <w:rFonts w:cs="Calibri"/>
          <w:sz w:val="24"/>
        </w:rPr>
        <w:t>. I</w:t>
      </w:r>
      <w:r>
        <w:rPr>
          <w:rFonts w:cs="Calibri"/>
          <w:sz w:val="24"/>
        </w:rPr>
        <w:t xml:space="preserve"> believe that the postmodern perspective facilitates this.</w:t>
      </w:r>
    </w:p>
    <w:p w14:paraId="2D1F08EA" w14:textId="42B8C569" w:rsidR="00A75A8F" w:rsidRDefault="00A75A8F" w:rsidP="00A75A8F">
      <w:pPr>
        <w:spacing w:line="360" w:lineRule="auto"/>
        <w:rPr>
          <w:rFonts w:cs="Calibri"/>
          <w:sz w:val="24"/>
        </w:rPr>
      </w:pPr>
      <w:r w:rsidRPr="006D648F">
        <w:rPr>
          <w:rFonts w:cs="Calibri"/>
          <w:sz w:val="24"/>
        </w:rPr>
        <w:t xml:space="preserve">The postmodern </w:t>
      </w:r>
      <w:r>
        <w:rPr>
          <w:rFonts w:cs="Calibri"/>
          <w:sz w:val="24"/>
        </w:rPr>
        <w:t xml:space="preserve">curriculum </w:t>
      </w:r>
      <w:r w:rsidRPr="006D648F">
        <w:rPr>
          <w:rFonts w:cs="Calibri"/>
          <w:sz w:val="24"/>
        </w:rPr>
        <w:t>perspective rejects all of the certainties on which previous theories were founded. In rejecting metanarratives, postmodernism questions</w:t>
      </w:r>
      <w:r>
        <w:rPr>
          <w:rFonts w:cs="Calibri"/>
          <w:sz w:val="24"/>
        </w:rPr>
        <w:t xml:space="preserve"> </w:t>
      </w:r>
      <w:r w:rsidRPr="006D648F">
        <w:rPr>
          <w:rFonts w:cs="Calibri"/>
          <w:sz w:val="24"/>
        </w:rPr>
        <w:t xml:space="preserve">what knowledge is and </w:t>
      </w:r>
      <w:r w:rsidR="00A47003">
        <w:rPr>
          <w:rFonts w:cs="Calibri"/>
          <w:sz w:val="24"/>
        </w:rPr>
        <w:t>whether</w:t>
      </w:r>
      <w:r w:rsidRPr="006D648F">
        <w:rPr>
          <w:rFonts w:cs="Calibri"/>
          <w:sz w:val="24"/>
        </w:rPr>
        <w:t xml:space="preserve"> any</w:t>
      </w:r>
      <w:r>
        <w:rPr>
          <w:rFonts w:cs="Calibri"/>
          <w:sz w:val="24"/>
        </w:rPr>
        <w:t xml:space="preserve"> configuration of</w:t>
      </w:r>
      <w:r w:rsidRPr="006D648F">
        <w:rPr>
          <w:rFonts w:cs="Calibri"/>
          <w:sz w:val="24"/>
        </w:rPr>
        <w:t xml:space="preserve"> knowledge </w:t>
      </w:r>
      <w:r>
        <w:rPr>
          <w:rFonts w:cs="Calibri"/>
          <w:sz w:val="24"/>
        </w:rPr>
        <w:t xml:space="preserve">is </w:t>
      </w:r>
      <w:r w:rsidRPr="006D648F">
        <w:rPr>
          <w:rFonts w:cs="Calibri"/>
          <w:sz w:val="24"/>
        </w:rPr>
        <w:t>more worthwhile and valuable than any other</w:t>
      </w:r>
      <w:r>
        <w:rPr>
          <w:rFonts w:cs="Calibri"/>
          <w:sz w:val="24"/>
        </w:rPr>
        <w:t xml:space="preserve"> (Parkes, 2012).</w:t>
      </w:r>
      <w:r w:rsidRPr="006D648F">
        <w:rPr>
          <w:rFonts w:cs="Calibri"/>
          <w:sz w:val="24"/>
        </w:rPr>
        <w:t xml:space="preserve"> If all knowledge is of equal worth</w:t>
      </w:r>
      <w:r>
        <w:rPr>
          <w:rFonts w:cs="Calibri"/>
          <w:sz w:val="24"/>
        </w:rPr>
        <w:t>,</w:t>
      </w:r>
      <w:r w:rsidRPr="006D648F">
        <w:rPr>
          <w:rFonts w:cs="Calibri"/>
          <w:sz w:val="24"/>
        </w:rPr>
        <w:t xml:space="preserve"> then notion</w:t>
      </w:r>
      <w:r w:rsidR="00A47003">
        <w:rPr>
          <w:rFonts w:cs="Calibri"/>
          <w:sz w:val="24"/>
        </w:rPr>
        <w:t>s</w:t>
      </w:r>
      <w:r w:rsidRPr="006D648F">
        <w:rPr>
          <w:rFonts w:cs="Calibri"/>
          <w:sz w:val="24"/>
        </w:rPr>
        <w:t xml:space="preserve"> of </w:t>
      </w:r>
      <w:r w:rsidR="00A47003">
        <w:rPr>
          <w:rFonts w:cs="Calibri"/>
          <w:sz w:val="24"/>
        </w:rPr>
        <w:t>‘</w:t>
      </w:r>
      <w:r>
        <w:rPr>
          <w:rFonts w:cs="Calibri"/>
          <w:sz w:val="24"/>
        </w:rPr>
        <w:t>high</w:t>
      </w:r>
      <w:r w:rsidR="00A47003">
        <w:rPr>
          <w:rFonts w:cs="Calibri"/>
          <w:sz w:val="24"/>
        </w:rPr>
        <w:t>-</w:t>
      </w:r>
      <w:r>
        <w:rPr>
          <w:rFonts w:cs="Calibri"/>
          <w:sz w:val="24"/>
        </w:rPr>
        <w:t>status</w:t>
      </w:r>
      <w:r w:rsidR="00A47003">
        <w:rPr>
          <w:rFonts w:cs="Calibri"/>
          <w:sz w:val="24"/>
        </w:rPr>
        <w:t>’</w:t>
      </w:r>
      <w:r>
        <w:rPr>
          <w:rFonts w:cs="Calibri"/>
          <w:sz w:val="24"/>
        </w:rPr>
        <w:t xml:space="preserve"> traditional knowledge</w:t>
      </w:r>
      <w:r w:rsidR="00A47003">
        <w:rPr>
          <w:rFonts w:cs="Calibri"/>
          <w:sz w:val="24"/>
        </w:rPr>
        <w:t>,</w:t>
      </w:r>
      <w:r>
        <w:rPr>
          <w:rFonts w:cs="Calibri"/>
          <w:sz w:val="24"/>
        </w:rPr>
        <w:t xml:space="preserve"> </w:t>
      </w:r>
      <w:r w:rsidRPr="006D648F">
        <w:rPr>
          <w:rFonts w:cs="Calibri"/>
          <w:sz w:val="24"/>
        </w:rPr>
        <w:t xml:space="preserve">a curriculum </w:t>
      </w:r>
      <w:r>
        <w:rPr>
          <w:rFonts w:cs="Calibri"/>
          <w:sz w:val="24"/>
        </w:rPr>
        <w:t>organised in</w:t>
      </w:r>
      <w:r w:rsidR="00A47003">
        <w:rPr>
          <w:rFonts w:cs="Calibri"/>
          <w:sz w:val="24"/>
        </w:rPr>
        <w:t>to</w:t>
      </w:r>
      <w:r>
        <w:rPr>
          <w:rFonts w:cs="Calibri"/>
          <w:sz w:val="24"/>
        </w:rPr>
        <w:t xml:space="preserve"> </w:t>
      </w:r>
      <w:r w:rsidRPr="006D648F">
        <w:rPr>
          <w:rFonts w:cs="Calibri"/>
          <w:sz w:val="24"/>
        </w:rPr>
        <w:t xml:space="preserve">hierarchical </w:t>
      </w:r>
      <w:r>
        <w:rPr>
          <w:rFonts w:cs="Calibri"/>
          <w:sz w:val="24"/>
        </w:rPr>
        <w:t xml:space="preserve">levels of subjects </w:t>
      </w:r>
      <w:r w:rsidRPr="006D648F">
        <w:rPr>
          <w:rFonts w:cs="Calibri"/>
          <w:sz w:val="24"/>
        </w:rPr>
        <w:t xml:space="preserve">or </w:t>
      </w:r>
      <w:r w:rsidR="00A47003">
        <w:rPr>
          <w:rFonts w:cs="Calibri"/>
          <w:sz w:val="24"/>
        </w:rPr>
        <w:t xml:space="preserve">even the notion of </w:t>
      </w:r>
      <w:r w:rsidRPr="006D648F">
        <w:rPr>
          <w:rFonts w:cs="Calibri"/>
          <w:sz w:val="24"/>
        </w:rPr>
        <w:t>a compulsory curriculum or subject</w:t>
      </w:r>
      <w:r>
        <w:rPr>
          <w:rFonts w:cs="Calibri"/>
          <w:sz w:val="24"/>
        </w:rPr>
        <w:t>s</w:t>
      </w:r>
      <w:r w:rsidR="00A47003">
        <w:rPr>
          <w:rFonts w:cs="Calibri"/>
          <w:sz w:val="24"/>
        </w:rPr>
        <w:t xml:space="preserve"> at all,</w:t>
      </w:r>
      <w:r w:rsidRPr="006D648F">
        <w:rPr>
          <w:rFonts w:cs="Calibri"/>
          <w:sz w:val="24"/>
        </w:rPr>
        <w:t xml:space="preserve"> </w:t>
      </w:r>
      <w:r w:rsidR="00A47003">
        <w:rPr>
          <w:rFonts w:cs="Calibri"/>
          <w:sz w:val="24"/>
        </w:rPr>
        <w:t>are</w:t>
      </w:r>
      <w:r w:rsidRPr="006D648F">
        <w:rPr>
          <w:rFonts w:cs="Calibri"/>
          <w:sz w:val="24"/>
        </w:rPr>
        <w:t xml:space="preserve"> irrelevant.</w:t>
      </w:r>
      <w:r>
        <w:rPr>
          <w:rFonts w:cs="Calibri"/>
          <w:sz w:val="24"/>
        </w:rPr>
        <w:t xml:space="preserve"> Kelly argues that postmodernism: </w:t>
      </w:r>
    </w:p>
    <w:p w14:paraId="1AA5BED8" w14:textId="3368987B" w:rsidR="00A75A8F" w:rsidRDefault="00A47003" w:rsidP="00A75A8F">
      <w:pPr>
        <w:spacing w:line="240" w:lineRule="auto"/>
        <w:ind w:left="720"/>
        <w:rPr>
          <w:rFonts w:cs="Calibri"/>
          <w:sz w:val="24"/>
        </w:rPr>
      </w:pPr>
      <w:r>
        <w:rPr>
          <w:rFonts w:cs="Calibri"/>
          <w:sz w:val="24"/>
        </w:rPr>
        <w:t>…</w:t>
      </w:r>
      <w:r w:rsidR="00A75A8F">
        <w:rPr>
          <w:rFonts w:cs="Calibri"/>
          <w:sz w:val="24"/>
        </w:rPr>
        <w:t>places everything in a cauldron of uncertainty and insists that that is where everything must stay. It thus adds great strength to the case for viewing what appears to count as knowledge, at any given time or in any given socio-political context, with continuing scepticism and without dogmatic confidence (2009, p.42).</w:t>
      </w:r>
    </w:p>
    <w:p w14:paraId="63972308" w14:textId="7463A768" w:rsidR="00A75A8F" w:rsidRPr="006D648F" w:rsidRDefault="00A75A8F" w:rsidP="00A75A8F">
      <w:pPr>
        <w:tabs>
          <w:tab w:val="left" w:pos="8505"/>
        </w:tabs>
        <w:spacing w:line="360" w:lineRule="auto"/>
        <w:rPr>
          <w:rFonts w:cs="Calibri"/>
          <w:sz w:val="24"/>
        </w:rPr>
      </w:pPr>
      <w:r>
        <w:rPr>
          <w:rFonts w:cs="Calibri"/>
          <w:sz w:val="24"/>
        </w:rPr>
        <w:lastRenderedPageBreak/>
        <w:t xml:space="preserve">Such a position highlights the problems inherent within a structured curriculum design and particularly for the EBac with prescriptive notions of ‘powerful’, </w:t>
      </w:r>
      <w:r w:rsidR="00A47003">
        <w:rPr>
          <w:rFonts w:cs="Calibri"/>
          <w:sz w:val="24"/>
        </w:rPr>
        <w:t>‘</w:t>
      </w:r>
      <w:r>
        <w:rPr>
          <w:rFonts w:cs="Calibri"/>
          <w:sz w:val="24"/>
        </w:rPr>
        <w:t>high</w:t>
      </w:r>
      <w:r w:rsidR="00A47003">
        <w:rPr>
          <w:rFonts w:cs="Calibri"/>
          <w:sz w:val="24"/>
        </w:rPr>
        <w:t>-</w:t>
      </w:r>
      <w:r>
        <w:rPr>
          <w:rFonts w:cs="Calibri"/>
          <w:sz w:val="24"/>
        </w:rPr>
        <w:t>status</w:t>
      </w:r>
      <w:r w:rsidR="00A47003">
        <w:rPr>
          <w:rFonts w:cs="Calibri"/>
          <w:sz w:val="24"/>
        </w:rPr>
        <w:t>’</w:t>
      </w:r>
      <w:r>
        <w:rPr>
          <w:rFonts w:cs="Calibri"/>
          <w:sz w:val="24"/>
        </w:rPr>
        <w:t xml:space="preserve"> knowledge and subjects. The postmodern perspective encourages consideration and debate about what knowledge is legitim</w:t>
      </w:r>
      <w:r w:rsidR="00A47003">
        <w:rPr>
          <w:rFonts w:cs="Calibri"/>
          <w:sz w:val="24"/>
        </w:rPr>
        <w:t>ised</w:t>
      </w:r>
      <w:r>
        <w:rPr>
          <w:rFonts w:cs="Calibri"/>
          <w:sz w:val="24"/>
        </w:rPr>
        <w:t>, by whom and for what purpose</w:t>
      </w:r>
      <w:r w:rsidR="00A47003">
        <w:rPr>
          <w:rFonts w:cs="Calibri"/>
          <w:sz w:val="24"/>
        </w:rPr>
        <w:t>,</w:t>
      </w:r>
      <w:r>
        <w:rPr>
          <w:rFonts w:cs="Calibri"/>
          <w:sz w:val="24"/>
        </w:rPr>
        <w:t xml:space="preserve"> as well as questioning the link between knowledge and politics</w:t>
      </w:r>
      <w:r w:rsidR="00A47003">
        <w:rPr>
          <w:rFonts w:cs="Calibri"/>
          <w:sz w:val="24"/>
        </w:rPr>
        <w:t>.</w:t>
      </w:r>
      <w:r>
        <w:rPr>
          <w:rFonts w:cs="Calibri"/>
          <w:sz w:val="24"/>
        </w:rPr>
        <w:t xml:space="preserve"> </w:t>
      </w:r>
      <w:r w:rsidR="00A47003">
        <w:rPr>
          <w:rFonts w:cs="Calibri"/>
          <w:sz w:val="24"/>
        </w:rPr>
        <w:t>This</w:t>
      </w:r>
      <w:r>
        <w:rPr>
          <w:rFonts w:cs="Calibri"/>
          <w:sz w:val="24"/>
        </w:rPr>
        <w:t xml:space="preserve"> link that is visible with the EBac</w:t>
      </w:r>
      <w:r w:rsidR="00A47003">
        <w:rPr>
          <w:rFonts w:cs="Calibri"/>
          <w:sz w:val="24"/>
        </w:rPr>
        <w:t xml:space="preserve"> as</w:t>
      </w:r>
      <w:r>
        <w:rPr>
          <w:rFonts w:cs="Calibri"/>
          <w:sz w:val="24"/>
        </w:rPr>
        <w:t xml:space="preserve"> a politically designed and imposed curriculum policy. </w:t>
      </w:r>
      <w:r w:rsidR="00A47003">
        <w:rPr>
          <w:rFonts w:cs="Calibri"/>
          <w:sz w:val="24"/>
        </w:rPr>
        <w:t>C</w:t>
      </w:r>
      <w:r>
        <w:rPr>
          <w:rFonts w:cs="Calibri"/>
          <w:sz w:val="24"/>
        </w:rPr>
        <w:t xml:space="preserve">onsideration </w:t>
      </w:r>
      <w:r w:rsidR="00A47003">
        <w:rPr>
          <w:rFonts w:cs="Calibri"/>
          <w:sz w:val="24"/>
        </w:rPr>
        <w:t>of</w:t>
      </w:r>
      <w:r>
        <w:rPr>
          <w:rFonts w:cs="Calibri"/>
          <w:sz w:val="24"/>
        </w:rPr>
        <w:t xml:space="preserve"> why the EBac</w:t>
      </w:r>
      <w:r w:rsidR="00A47003">
        <w:rPr>
          <w:rFonts w:cs="Calibri"/>
          <w:sz w:val="24"/>
        </w:rPr>
        <w:t xml:space="preserve"> was introduced</w:t>
      </w:r>
      <w:r>
        <w:rPr>
          <w:rFonts w:cs="Calibri"/>
          <w:sz w:val="24"/>
        </w:rPr>
        <w:t xml:space="preserve"> and why </w:t>
      </w:r>
      <w:r w:rsidR="00A47003">
        <w:rPr>
          <w:rFonts w:cs="Calibri"/>
          <w:sz w:val="24"/>
        </w:rPr>
        <w:t>at this particular point in time</w:t>
      </w:r>
      <w:r>
        <w:rPr>
          <w:rFonts w:cs="Calibri"/>
          <w:sz w:val="24"/>
        </w:rPr>
        <w:t xml:space="preserve">, can be incorporated within this perspective. </w:t>
      </w:r>
      <w:r w:rsidRPr="006D648F">
        <w:rPr>
          <w:rFonts w:cs="Calibri"/>
          <w:sz w:val="24"/>
        </w:rPr>
        <w:t xml:space="preserve">Kelly </w:t>
      </w:r>
      <w:r>
        <w:rPr>
          <w:rFonts w:cs="Calibri"/>
          <w:sz w:val="24"/>
        </w:rPr>
        <w:t>suggests</w:t>
      </w:r>
      <w:r w:rsidRPr="006D648F">
        <w:rPr>
          <w:rFonts w:cs="Calibri"/>
          <w:sz w:val="24"/>
        </w:rPr>
        <w:t xml:space="preserve"> that:</w:t>
      </w:r>
    </w:p>
    <w:p w14:paraId="3827DD72" w14:textId="77777777" w:rsidR="00A75A8F" w:rsidRPr="006D648F" w:rsidRDefault="00A75A8F" w:rsidP="00A75A8F">
      <w:pPr>
        <w:spacing w:line="240" w:lineRule="auto"/>
        <w:ind w:left="720"/>
        <w:rPr>
          <w:rFonts w:cs="Calibri"/>
          <w:sz w:val="24"/>
        </w:rPr>
      </w:pPr>
      <w:r w:rsidRPr="006D648F">
        <w:rPr>
          <w:rFonts w:cs="Calibri"/>
          <w:sz w:val="24"/>
        </w:rPr>
        <w:t>We live in a world in which there is no “knowledge”, no “ultimate truths”, in which all perception is subjective, so that we are the products of the discourse, the ideologies, we are exposed to, (</w:t>
      </w:r>
      <w:r>
        <w:rPr>
          <w:rFonts w:cs="Calibri"/>
          <w:sz w:val="24"/>
        </w:rPr>
        <w:t>1995,</w:t>
      </w:r>
      <w:r w:rsidRPr="006D648F">
        <w:rPr>
          <w:rFonts w:cs="Calibri"/>
          <w:sz w:val="24"/>
        </w:rPr>
        <w:t xml:space="preserve"> p.71).</w:t>
      </w:r>
    </w:p>
    <w:p w14:paraId="6C673BB3" w14:textId="060EF0F0" w:rsidR="00A75A8F" w:rsidRDefault="0017362E" w:rsidP="00A75A8F">
      <w:pPr>
        <w:spacing w:line="360" w:lineRule="auto"/>
        <w:rPr>
          <w:rFonts w:cs="Calibri"/>
          <w:sz w:val="24"/>
        </w:rPr>
      </w:pPr>
      <w:r>
        <w:rPr>
          <w:rFonts w:cs="Calibri"/>
          <w:sz w:val="24"/>
        </w:rPr>
        <w:t>If this is the case,</w:t>
      </w:r>
      <w:r w:rsidR="00A75A8F" w:rsidRPr="006D648F">
        <w:rPr>
          <w:rFonts w:cs="Calibri"/>
          <w:sz w:val="24"/>
        </w:rPr>
        <w:t xml:space="preserve"> </w:t>
      </w:r>
      <w:r w:rsidR="00A47003">
        <w:rPr>
          <w:rFonts w:cs="Calibri"/>
          <w:sz w:val="24"/>
        </w:rPr>
        <w:t xml:space="preserve">it is </w:t>
      </w:r>
      <w:r w:rsidR="00A75A8F" w:rsidRPr="006D648F">
        <w:rPr>
          <w:rFonts w:cs="Calibri"/>
          <w:sz w:val="24"/>
        </w:rPr>
        <w:t xml:space="preserve">those with the political power to dictate and perpetuate the ideologies that trigger </w:t>
      </w:r>
      <w:r w:rsidR="00A75A8F">
        <w:rPr>
          <w:rFonts w:cs="Calibri"/>
          <w:sz w:val="24"/>
        </w:rPr>
        <w:t xml:space="preserve">consumer </w:t>
      </w:r>
      <w:r w:rsidR="00A75A8F" w:rsidRPr="006D648F">
        <w:rPr>
          <w:rFonts w:cs="Calibri"/>
          <w:sz w:val="24"/>
        </w:rPr>
        <w:t>demand require</w:t>
      </w:r>
      <w:r>
        <w:rPr>
          <w:rFonts w:cs="Calibri"/>
          <w:sz w:val="24"/>
        </w:rPr>
        <w:t xml:space="preserve"> further study</w:t>
      </w:r>
      <w:r w:rsidR="00A75A8F" w:rsidRPr="006D648F">
        <w:rPr>
          <w:rFonts w:cs="Calibri"/>
          <w:sz w:val="24"/>
        </w:rPr>
        <w:t>.</w:t>
      </w:r>
      <w:r w:rsidR="00A75A8F">
        <w:rPr>
          <w:rFonts w:cs="Calibri"/>
          <w:sz w:val="24"/>
        </w:rPr>
        <w:t xml:space="preserve"> The EBac was introduced as a curriculum reminiscent of </w:t>
      </w:r>
      <w:r w:rsidR="00A47003">
        <w:rPr>
          <w:rFonts w:cs="Calibri"/>
          <w:sz w:val="24"/>
        </w:rPr>
        <w:t>a</w:t>
      </w:r>
      <w:r w:rsidR="00A75A8F">
        <w:rPr>
          <w:rFonts w:cs="Calibri"/>
          <w:sz w:val="24"/>
        </w:rPr>
        <w:t xml:space="preserve"> previous</w:t>
      </w:r>
      <w:r w:rsidR="00A47003">
        <w:rPr>
          <w:rFonts w:cs="Calibri"/>
          <w:sz w:val="24"/>
        </w:rPr>
        <w:t xml:space="preserve"> traditional version,</w:t>
      </w:r>
      <w:r w:rsidR="00A75A8F">
        <w:rPr>
          <w:rFonts w:cs="Calibri"/>
          <w:sz w:val="24"/>
        </w:rPr>
        <w:t xml:space="preserve"> but with the explicit desire to ensure that all students could progress and complete in a global economy (</w:t>
      </w:r>
      <w:r>
        <w:rPr>
          <w:rFonts w:cs="Calibri"/>
          <w:sz w:val="24"/>
        </w:rPr>
        <w:t>DfE</w:t>
      </w:r>
      <w:r w:rsidR="00A47003">
        <w:rPr>
          <w:rFonts w:cs="Calibri"/>
          <w:sz w:val="24"/>
        </w:rPr>
        <w:t>,</w:t>
      </w:r>
      <w:r>
        <w:rPr>
          <w:rFonts w:cs="Calibri"/>
          <w:sz w:val="24"/>
        </w:rPr>
        <w:t xml:space="preserve"> </w:t>
      </w:r>
      <w:r w:rsidR="00A75A8F">
        <w:rPr>
          <w:rFonts w:cs="Calibri"/>
          <w:sz w:val="24"/>
        </w:rPr>
        <w:t>2010</w:t>
      </w:r>
      <w:r>
        <w:rPr>
          <w:rFonts w:cs="Calibri"/>
          <w:sz w:val="24"/>
        </w:rPr>
        <w:t>a</w:t>
      </w:r>
      <w:r w:rsidR="00A75A8F">
        <w:rPr>
          <w:rFonts w:cs="Calibri"/>
          <w:sz w:val="24"/>
        </w:rPr>
        <w:t>, p.44). The nature of cur</w:t>
      </w:r>
      <w:r>
        <w:rPr>
          <w:rFonts w:cs="Calibri"/>
          <w:sz w:val="24"/>
        </w:rPr>
        <w:t xml:space="preserve">riculum knowledge is </w:t>
      </w:r>
      <w:r w:rsidR="00A75A8F">
        <w:rPr>
          <w:rFonts w:cs="Calibri"/>
          <w:sz w:val="24"/>
        </w:rPr>
        <w:t xml:space="preserve">considered in the next section. </w:t>
      </w:r>
    </w:p>
    <w:p w14:paraId="4F6A2156" w14:textId="5367B662" w:rsidR="00A75A8F" w:rsidRDefault="00A75A8F" w:rsidP="00A75A8F">
      <w:pPr>
        <w:tabs>
          <w:tab w:val="left" w:pos="7371"/>
        </w:tabs>
        <w:spacing w:line="360" w:lineRule="auto"/>
        <w:rPr>
          <w:rFonts w:cs="Calibri"/>
          <w:sz w:val="24"/>
        </w:rPr>
      </w:pPr>
      <w:r>
        <w:rPr>
          <w:rFonts w:cs="Calibri"/>
          <w:sz w:val="24"/>
        </w:rPr>
        <w:t>Developing the postmodern perspective</w:t>
      </w:r>
      <w:r w:rsidR="00CE4ACE">
        <w:rPr>
          <w:rFonts w:cs="Calibri"/>
          <w:sz w:val="24"/>
        </w:rPr>
        <w:t>,</w:t>
      </w:r>
      <w:r>
        <w:rPr>
          <w:rFonts w:cs="Calibri"/>
          <w:sz w:val="24"/>
        </w:rPr>
        <w:t xml:space="preserve"> Doll (1993) is highly critical of </w:t>
      </w:r>
      <w:r w:rsidR="00CE4ACE">
        <w:rPr>
          <w:rFonts w:cs="Calibri"/>
          <w:sz w:val="24"/>
        </w:rPr>
        <w:t>the</w:t>
      </w:r>
      <w:r>
        <w:rPr>
          <w:rFonts w:cs="Calibri"/>
          <w:sz w:val="24"/>
        </w:rPr>
        <w:t xml:space="preserve"> </w:t>
      </w:r>
      <w:r w:rsidR="00CE4ACE">
        <w:rPr>
          <w:rFonts w:cs="Calibri"/>
          <w:sz w:val="24"/>
        </w:rPr>
        <w:t>‘</w:t>
      </w:r>
      <w:r>
        <w:rPr>
          <w:rFonts w:cs="Calibri"/>
          <w:sz w:val="24"/>
        </w:rPr>
        <w:t>closed system</w:t>
      </w:r>
      <w:r w:rsidR="00CE4ACE">
        <w:rPr>
          <w:rFonts w:cs="Calibri"/>
          <w:sz w:val="24"/>
        </w:rPr>
        <w:t>’</w:t>
      </w:r>
      <w:r>
        <w:rPr>
          <w:rFonts w:cs="Calibri"/>
          <w:sz w:val="24"/>
        </w:rPr>
        <w:t xml:space="preserve"> model of curriculum</w:t>
      </w:r>
      <w:r w:rsidR="00CE4ACE">
        <w:rPr>
          <w:rFonts w:cs="Calibri"/>
          <w:sz w:val="24"/>
        </w:rPr>
        <w:t>.</w:t>
      </w:r>
      <w:r>
        <w:rPr>
          <w:rFonts w:cs="Calibri"/>
          <w:sz w:val="24"/>
        </w:rPr>
        <w:t xml:space="preserve"> </w:t>
      </w:r>
      <w:r w:rsidR="00CE4ACE">
        <w:rPr>
          <w:rFonts w:cs="Calibri"/>
          <w:sz w:val="24"/>
        </w:rPr>
        <w:t>H</w:t>
      </w:r>
      <w:r>
        <w:rPr>
          <w:rFonts w:cs="Calibri"/>
          <w:sz w:val="24"/>
        </w:rPr>
        <w:t>e believes that the current curriculum</w:t>
      </w:r>
      <w:r w:rsidR="00CE4ACE">
        <w:rPr>
          <w:rFonts w:cs="Calibri"/>
          <w:sz w:val="24"/>
        </w:rPr>
        <w:t>,</w:t>
      </w:r>
      <w:r>
        <w:rPr>
          <w:rFonts w:cs="Calibri"/>
          <w:sz w:val="24"/>
        </w:rPr>
        <w:t xml:space="preserve"> with the setting of goals, planning and</w:t>
      </w:r>
      <w:r w:rsidR="00CE4ACE">
        <w:rPr>
          <w:rFonts w:cs="Calibri"/>
          <w:sz w:val="24"/>
        </w:rPr>
        <w:t xml:space="preserve"> driven by</w:t>
      </w:r>
      <w:r>
        <w:rPr>
          <w:rFonts w:cs="Calibri"/>
          <w:sz w:val="24"/>
        </w:rPr>
        <w:t xml:space="preserve"> results </w:t>
      </w:r>
      <w:r w:rsidR="00425739">
        <w:rPr>
          <w:rFonts w:cs="Calibri"/>
          <w:sz w:val="24"/>
        </w:rPr>
        <w:t>represents such a system</w:t>
      </w:r>
      <w:r w:rsidR="00CE4ACE">
        <w:rPr>
          <w:rFonts w:cs="Calibri"/>
          <w:sz w:val="24"/>
        </w:rPr>
        <w:t xml:space="preserve"> </w:t>
      </w:r>
      <w:r>
        <w:rPr>
          <w:rFonts w:cs="Calibri"/>
          <w:sz w:val="24"/>
        </w:rPr>
        <w:t>(p.14). Doll argues for an open system of curriculum</w:t>
      </w:r>
      <w:r w:rsidR="00CE4ACE">
        <w:rPr>
          <w:rFonts w:cs="Calibri"/>
          <w:sz w:val="24"/>
        </w:rPr>
        <w:t xml:space="preserve"> which is</w:t>
      </w:r>
      <w:r>
        <w:rPr>
          <w:rFonts w:cs="Calibri"/>
          <w:sz w:val="24"/>
        </w:rPr>
        <w:t xml:space="preserve"> “teacher-dependent not teacher proof, and its defining characteristics is a sense of movement or process” (p.15)</w:t>
      </w:r>
      <w:r w:rsidR="00CE4ACE">
        <w:rPr>
          <w:rFonts w:cs="Calibri"/>
          <w:sz w:val="24"/>
        </w:rPr>
        <w:t>,</w:t>
      </w:r>
      <w:r>
        <w:rPr>
          <w:rFonts w:cs="Calibri"/>
          <w:sz w:val="24"/>
        </w:rPr>
        <w:t xml:space="preserve"> </w:t>
      </w:r>
      <w:r w:rsidR="00CE4ACE">
        <w:rPr>
          <w:rFonts w:cs="Calibri"/>
          <w:sz w:val="24"/>
        </w:rPr>
        <w:t>in which</w:t>
      </w:r>
      <w:r>
        <w:rPr>
          <w:rFonts w:cs="Calibri"/>
          <w:sz w:val="24"/>
        </w:rPr>
        <w:t xml:space="preserve"> teachers and students select from a curriculum matrix to develop deep</w:t>
      </w:r>
      <w:r w:rsidR="00CE4ACE">
        <w:rPr>
          <w:rFonts w:cs="Calibri"/>
          <w:sz w:val="24"/>
        </w:rPr>
        <w:t>er</w:t>
      </w:r>
      <w:r>
        <w:rPr>
          <w:rFonts w:cs="Calibri"/>
          <w:sz w:val="24"/>
        </w:rPr>
        <w:t xml:space="preserve"> meaning</w:t>
      </w:r>
      <w:r w:rsidR="00CE4ACE">
        <w:rPr>
          <w:rFonts w:cs="Calibri"/>
          <w:sz w:val="24"/>
        </w:rPr>
        <w:t>s</w:t>
      </w:r>
      <w:r>
        <w:rPr>
          <w:rFonts w:cs="Calibri"/>
          <w:sz w:val="24"/>
        </w:rPr>
        <w:t>. Doll states that “curriculum can no longer be considered in only one form, as a noun describing a set course of study. Curriculum has, as it were, a need to develop multiple personalities” (2002, p.54). This concept of curriculum as fluid, changing and encompassing multiple aspects simultaneously provide</w:t>
      </w:r>
      <w:r w:rsidR="00CE4ACE">
        <w:rPr>
          <w:rFonts w:cs="Calibri"/>
          <w:sz w:val="24"/>
        </w:rPr>
        <w:t>s</w:t>
      </w:r>
      <w:r>
        <w:rPr>
          <w:rFonts w:cs="Calibri"/>
          <w:sz w:val="24"/>
        </w:rPr>
        <w:t xml:space="preserve"> an appropriate approach for my critical research into the EBac policy.</w:t>
      </w:r>
    </w:p>
    <w:p w14:paraId="358DBBE1" w14:textId="02786531" w:rsidR="00A75A8F" w:rsidRPr="006D648F" w:rsidRDefault="00A75A8F" w:rsidP="00A75A8F">
      <w:pPr>
        <w:spacing w:line="360" w:lineRule="auto"/>
        <w:rPr>
          <w:rFonts w:cs="Calibri"/>
          <w:sz w:val="24"/>
        </w:rPr>
      </w:pPr>
      <w:r>
        <w:rPr>
          <w:rFonts w:cs="Calibri"/>
          <w:sz w:val="24"/>
        </w:rPr>
        <w:t xml:space="preserve">The criticism of this perspective is that without an anchor of defined knowledge or a benchmark of </w:t>
      </w:r>
      <w:r w:rsidR="004B7821">
        <w:rPr>
          <w:rFonts w:cs="Calibri"/>
          <w:sz w:val="24"/>
        </w:rPr>
        <w:t>‘</w:t>
      </w:r>
      <w:r>
        <w:rPr>
          <w:rFonts w:cs="Calibri"/>
          <w:sz w:val="24"/>
        </w:rPr>
        <w:t>standards</w:t>
      </w:r>
      <w:r w:rsidR="004B7821">
        <w:rPr>
          <w:rFonts w:cs="Calibri"/>
          <w:sz w:val="24"/>
        </w:rPr>
        <w:t>’</w:t>
      </w:r>
      <w:r>
        <w:rPr>
          <w:rFonts w:cs="Calibri"/>
          <w:sz w:val="24"/>
        </w:rPr>
        <w:t xml:space="preserve"> each teacher or school is free to cover anything</w:t>
      </w:r>
      <w:r w:rsidR="004B7821">
        <w:rPr>
          <w:rFonts w:cs="Calibri"/>
          <w:sz w:val="24"/>
        </w:rPr>
        <w:t>,</w:t>
      </w:r>
      <w:r>
        <w:rPr>
          <w:rFonts w:cs="Calibri"/>
          <w:sz w:val="24"/>
        </w:rPr>
        <w:t xml:space="preserve"> which ultimately may benefit some students and disadvantage others. Doll (1993) counters this by arguing for a curriculum matrix</w:t>
      </w:r>
      <w:r w:rsidR="004B7821">
        <w:rPr>
          <w:rFonts w:cs="Calibri"/>
          <w:sz w:val="24"/>
        </w:rPr>
        <w:t xml:space="preserve">, comprised </w:t>
      </w:r>
      <w:r>
        <w:rPr>
          <w:rFonts w:cs="Calibri"/>
          <w:sz w:val="24"/>
        </w:rPr>
        <w:t xml:space="preserve">of what he describes as the “four R’s of richness, </w:t>
      </w:r>
      <w:r>
        <w:rPr>
          <w:rFonts w:cs="Calibri"/>
          <w:sz w:val="24"/>
        </w:rPr>
        <w:lastRenderedPageBreak/>
        <w:t xml:space="preserve">recursion, relations and rigor” (p.161). </w:t>
      </w:r>
      <w:r w:rsidR="004B7821">
        <w:rPr>
          <w:rFonts w:cs="Calibri"/>
          <w:sz w:val="24"/>
        </w:rPr>
        <w:t>T</w:t>
      </w:r>
      <w:r>
        <w:rPr>
          <w:rFonts w:cs="Calibri"/>
          <w:sz w:val="24"/>
        </w:rPr>
        <w:t>he EBac or EBac</w:t>
      </w:r>
      <w:r w:rsidR="004B7821">
        <w:rPr>
          <w:rFonts w:cs="Calibri"/>
          <w:sz w:val="24"/>
        </w:rPr>
        <w:t>-</w:t>
      </w:r>
      <w:r>
        <w:rPr>
          <w:rFonts w:cs="Calibri"/>
          <w:sz w:val="24"/>
        </w:rPr>
        <w:t xml:space="preserve">type curriculum could </w:t>
      </w:r>
      <w:r w:rsidR="004B7821">
        <w:rPr>
          <w:rFonts w:cs="Calibri"/>
          <w:sz w:val="24"/>
        </w:rPr>
        <w:t xml:space="preserve">thus </w:t>
      </w:r>
      <w:r>
        <w:rPr>
          <w:rFonts w:cs="Calibri"/>
          <w:sz w:val="24"/>
        </w:rPr>
        <w:t>be incorporated into a postmodern definition of curriculum by providing a more flexible and responsive approach rather than a rigid, fixed system.</w:t>
      </w:r>
    </w:p>
    <w:p w14:paraId="196D8633" w14:textId="30ABDBFA" w:rsidR="00A75A8F" w:rsidRDefault="00A75A8F" w:rsidP="00A75A8F">
      <w:pPr>
        <w:tabs>
          <w:tab w:val="left" w:pos="8789"/>
        </w:tabs>
        <w:spacing w:line="360" w:lineRule="auto"/>
        <w:rPr>
          <w:rFonts w:cs="Calibri"/>
          <w:sz w:val="24"/>
        </w:rPr>
      </w:pPr>
      <w:r>
        <w:rPr>
          <w:rFonts w:cs="Calibri"/>
          <w:sz w:val="24"/>
        </w:rPr>
        <w:t>In contrast to Doll</w:t>
      </w:r>
      <w:r w:rsidR="004B7821">
        <w:rPr>
          <w:rFonts w:cs="Calibri"/>
          <w:sz w:val="24"/>
        </w:rPr>
        <w:t>’s perspective,</w:t>
      </w:r>
      <w:r>
        <w:rPr>
          <w:rFonts w:cs="Calibri"/>
          <w:sz w:val="24"/>
        </w:rPr>
        <w:t xml:space="preserve"> t</w:t>
      </w:r>
      <w:r w:rsidRPr="006D648F">
        <w:rPr>
          <w:rFonts w:cs="Calibri"/>
          <w:sz w:val="24"/>
        </w:rPr>
        <w:t xml:space="preserve">he </w:t>
      </w:r>
      <w:r>
        <w:rPr>
          <w:rFonts w:cs="Calibri"/>
          <w:sz w:val="24"/>
        </w:rPr>
        <w:t xml:space="preserve">current </w:t>
      </w:r>
      <w:r w:rsidRPr="006D648F">
        <w:rPr>
          <w:rFonts w:cs="Calibri"/>
          <w:sz w:val="24"/>
        </w:rPr>
        <w:t>EBac</w:t>
      </w:r>
      <w:r>
        <w:rPr>
          <w:rFonts w:cs="Calibri"/>
          <w:sz w:val="24"/>
        </w:rPr>
        <w:t xml:space="preserve">, </w:t>
      </w:r>
      <w:r w:rsidRPr="006D648F">
        <w:rPr>
          <w:rFonts w:cs="Calibri"/>
          <w:sz w:val="24"/>
        </w:rPr>
        <w:t xml:space="preserve">with </w:t>
      </w:r>
      <w:r>
        <w:rPr>
          <w:rFonts w:cs="Calibri"/>
          <w:sz w:val="24"/>
        </w:rPr>
        <w:t xml:space="preserve">its </w:t>
      </w:r>
      <w:r w:rsidRPr="006D648F">
        <w:rPr>
          <w:rFonts w:cs="Calibri"/>
          <w:sz w:val="24"/>
        </w:rPr>
        <w:t xml:space="preserve">heavily prescribed </w:t>
      </w:r>
      <w:r>
        <w:rPr>
          <w:rFonts w:cs="Calibri"/>
          <w:sz w:val="24"/>
        </w:rPr>
        <w:t xml:space="preserve">knowledge </w:t>
      </w:r>
      <w:r w:rsidRPr="006D648F">
        <w:rPr>
          <w:rFonts w:cs="Calibri"/>
          <w:sz w:val="24"/>
        </w:rPr>
        <w:t>content</w:t>
      </w:r>
      <w:r w:rsidR="004B7821">
        <w:rPr>
          <w:rFonts w:cs="Calibri"/>
          <w:sz w:val="24"/>
        </w:rPr>
        <w:t>,</w:t>
      </w:r>
      <w:r w:rsidRPr="006D648F">
        <w:rPr>
          <w:rFonts w:cs="Calibri"/>
          <w:sz w:val="24"/>
        </w:rPr>
        <w:t xml:space="preserve"> can be seen as a </w:t>
      </w:r>
      <w:r>
        <w:rPr>
          <w:rFonts w:cs="Calibri"/>
          <w:sz w:val="24"/>
        </w:rPr>
        <w:t xml:space="preserve">political </w:t>
      </w:r>
      <w:r w:rsidRPr="006D648F">
        <w:rPr>
          <w:rFonts w:cs="Calibri"/>
          <w:sz w:val="24"/>
        </w:rPr>
        <w:t xml:space="preserve">controlling device designed to ensure that fixed subjects and potentially fixed concepts and knowledge are delivered </w:t>
      </w:r>
      <w:r>
        <w:rPr>
          <w:rFonts w:cs="Calibri"/>
          <w:sz w:val="24"/>
        </w:rPr>
        <w:t xml:space="preserve">by teachers </w:t>
      </w:r>
      <w:r w:rsidRPr="006D648F">
        <w:rPr>
          <w:rFonts w:cs="Calibri"/>
          <w:sz w:val="24"/>
        </w:rPr>
        <w:t>irrespective of</w:t>
      </w:r>
      <w:r>
        <w:rPr>
          <w:rFonts w:cs="Calibri"/>
          <w:sz w:val="24"/>
        </w:rPr>
        <w:t xml:space="preserve"> their professional experiences, skills and personal interests, </w:t>
      </w:r>
      <w:r w:rsidR="00DA3F39">
        <w:rPr>
          <w:rFonts w:cs="Calibri"/>
          <w:sz w:val="24"/>
        </w:rPr>
        <w:t xml:space="preserve">or </w:t>
      </w:r>
      <w:r>
        <w:rPr>
          <w:rFonts w:cs="Calibri"/>
          <w:sz w:val="24"/>
        </w:rPr>
        <w:t xml:space="preserve">the interests and learning needs of the students and their cultural communities or topical events occurring in the world. </w:t>
      </w:r>
      <w:r w:rsidR="00DA3F39">
        <w:rPr>
          <w:rFonts w:cs="Calibri"/>
          <w:sz w:val="24"/>
        </w:rPr>
        <w:t>T</w:t>
      </w:r>
      <w:r w:rsidRPr="006D648F">
        <w:rPr>
          <w:rFonts w:cs="Calibri"/>
          <w:sz w:val="24"/>
        </w:rPr>
        <w:t xml:space="preserve">he Coalition </w:t>
      </w:r>
      <w:r>
        <w:rPr>
          <w:rFonts w:cs="Calibri"/>
          <w:sz w:val="24"/>
        </w:rPr>
        <w:t>g</w:t>
      </w:r>
      <w:r w:rsidRPr="006D648F">
        <w:rPr>
          <w:rFonts w:cs="Calibri"/>
          <w:sz w:val="24"/>
        </w:rPr>
        <w:t>overnment has</w:t>
      </w:r>
      <w:r w:rsidR="00DA3F39">
        <w:rPr>
          <w:rFonts w:cs="Calibri"/>
          <w:sz w:val="24"/>
        </w:rPr>
        <w:t>, on the other hand,</w:t>
      </w:r>
      <w:r w:rsidRPr="006D648F">
        <w:rPr>
          <w:rFonts w:cs="Calibri"/>
          <w:sz w:val="24"/>
        </w:rPr>
        <w:t xml:space="preserve"> </w:t>
      </w:r>
      <w:r>
        <w:rPr>
          <w:rFonts w:cs="Calibri"/>
          <w:sz w:val="24"/>
        </w:rPr>
        <w:t xml:space="preserve">emphasised </w:t>
      </w:r>
      <w:r w:rsidRPr="006D648F">
        <w:rPr>
          <w:rFonts w:cs="Calibri"/>
          <w:sz w:val="24"/>
        </w:rPr>
        <w:t>free</w:t>
      </w:r>
      <w:r>
        <w:rPr>
          <w:rFonts w:cs="Calibri"/>
          <w:sz w:val="24"/>
        </w:rPr>
        <w:t xml:space="preserve">dom </w:t>
      </w:r>
      <w:r w:rsidRPr="006D648F">
        <w:rPr>
          <w:rFonts w:cs="Calibri"/>
          <w:sz w:val="24"/>
        </w:rPr>
        <w:t>from centralised control</w:t>
      </w:r>
      <w:r>
        <w:rPr>
          <w:rFonts w:cs="Calibri"/>
          <w:sz w:val="24"/>
        </w:rPr>
        <w:t xml:space="preserve"> </w:t>
      </w:r>
      <w:r w:rsidR="00DA3F39">
        <w:rPr>
          <w:rFonts w:cs="Calibri"/>
          <w:sz w:val="24"/>
        </w:rPr>
        <w:t>f</w:t>
      </w:r>
      <w:r>
        <w:rPr>
          <w:rFonts w:cs="Calibri"/>
          <w:sz w:val="24"/>
        </w:rPr>
        <w:t>o</w:t>
      </w:r>
      <w:r w:rsidR="00DA3F39">
        <w:rPr>
          <w:rFonts w:cs="Calibri"/>
          <w:sz w:val="24"/>
        </w:rPr>
        <w:t>r</w:t>
      </w:r>
      <w:r w:rsidRPr="006D648F">
        <w:rPr>
          <w:rFonts w:cs="Calibri"/>
          <w:sz w:val="24"/>
        </w:rPr>
        <w:t xml:space="preserve"> </w:t>
      </w:r>
      <w:r w:rsidR="00DA3F39">
        <w:rPr>
          <w:rFonts w:cs="Calibri"/>
          <w:sz w:val="24"/>
        </w:rPr>
        <w:t>h</w:t>
      </w:r>
      <w:r w:rsidRPr="006D648F">
        <w:rPr>
          <w:rFonts w:cs="Calibri"/>
          <w:sz w:val="24"/>
        </w:rPr>
        <w:t>ead</w:t>
      </w:r>
      <w:r>
        <w:rPr>
          <w:rFonts w:cs="Calibri"/>
          <w:sz w:val="24"/>
        </w:rPr>
        <w:t>t</w:t>
      </w:r>
      <w:r w:rsidRPr="006D648F">
        <w:rPr>
          <w:rFonts w:cs="Calibri"/>
          <w:sz w:val="24"/>
        </w:rPr>
        <w:t>eachers and teachers</w:t>
      </w:r>
      <w:r>
        <w:rPr>
          <w:rFonts w:cs="Calibri"/>
          <w:sz w:val="24"/>
        </w:rPr>
        <w:t xml:space="preserve"> </w:t>
      </w:r>
      <w:r w:rsidR="0017362E">
        <w:rPr>
          <w:rFonts w:cs="Calibri"/>
          <w:sz w:val="24"/>
        </w:rPr>
        <w:t>(DfE</w:t>
      </w:r>
      <w:r w:rsidR="00DA3F39">
        <w:rPr>
          <w:rFonts w:cs="Calibri"/>
          <w:sz w:val="24"/>
        </w:rPr>
        <w:t>,</w:t>
      </w:r>
      <w:r w:rsidR="0017362E">
        <w:rPr>
          <w:rFonts w:cs="Calibri"/>
          <w:sz w:val="24"/>
        </w:rPr>
        <w:t xml:space="preserve"> </w:t>
      </w:r>
      <w:r w:rsidRPr="00E965F1">
        <w:rPr>
          <w:rFonts w:cs="Calibri"/>
          <w:sz w:val="24"/>
        </w:rPr>
        <w:t>2010</w:t>
      </w:r>
      <w:r w:rsidR="0017362E">
        <w:rPr>
          <w:rFonts w:cs="Calibri"/>
          <w:sz w:val="24"/>
        </w:rPr>
        <w:t>a</w:t>
      </w:r>
      <w:r w:rsidRPr="00E965F1">
        <w:rPr>
          <w:rFonts w:cs="Calibri"/>
          <w:sz w:val="24"/>
        </w:rPr>
        <w:t>, p.3)</w:t>
      </w:r>
      <w:r>
        <w:rPr>
          <w:rFonts w:cs="Calibri"/>
          <w:sz w:val="24"/>
        </w:rPr>
        <w:t>. M</w:t>
      </w:r>
      <w:r w:rsidRPr="006D648F">
        <w:rPr>
          <w:rFonts w:cs="Calibri"/>
          <w:sz w:val="24"/>
        </w:rPr>
        <w:t>y research aim</w:t>
      </w:r>
      <w:r>
        <w:rPr>
          <w:rFonts w:cs="Calibri"/>
          <w:sz w:val="24"/>
        </w:rPr>
        <w:t>s</w:t>
      </w:r>
      <w:r w:rsidRPr="006D648F">
        <w:rPr>
          <w:rFonts w:cs="Calibri"/>
          <w:sz w:val="24"/>
        </w:rPr>
        <w:t xml:space="preserve"> to build on critical </w:t>
      </w:r>
      <w:r>
        <w:rPr>
          <w:rFonts w:cs="Calibri"/>
          <w:sz w:val="24"/>
        </w:rPr>
        <w:t>and postmodern curriculum perspectives to</w:t>
      </w:r>
      <w:r w:rsidRPr="006D648F">
        <w:rPr>
          <w:rFonts w:cs="Calibri"/>
          <w:sz w:val="24"/>
        </w:rPr>
        <w:t xml:space="preserve"> consider the political implications of the</w:t>
      </w:r>
      <w:r>
        <w:rPr>
          <w:rFonts w:cs="Calibri"/>
          <w:sz w:val="24"/>
        </w:rPr>
        <w:t xml:space="preserve"> EBac policy</w:t>
      </w:r>
      <w:r w:rsidRPr="006D648F">
        <w:rPr>
          <w:rFonts w:cs="Calibri"/>
          <w:sz w:val="24"/>
        </w:rPr>
        <w:t>.</w:t>
      </w:r>
    </w:p>
    <w:p w14:paraId="19C215BE" w14:textId="4334043D" w:rsidR="00A75A8F" w:rsidRDefault="00425739" w:rsidP="00A75A8F">
      <w:pPr>
        <w:spacing w:line="360" w:lineRule="auto"/>
        <w:rPr>
          <w:rFonts w:cs="Calibri"/>
          <w:sz w:val="24"/>
        </w:rPr>
      </w:pPr>
      <w:r>
        <w:rPr>
          <w:rFonts w:cs="Calibri"/>
          <w:sz w:val="24"/>
        </w:rPr>
        <w:t xml:space="preserve">Following on from discussion of the curriculum a key aspect of my literature review is </w:t>
      </w:r>
      <w:r w:rsidR="00A75A8F" w:rsidRPr="006D648F">
        <w:rPr>
          <w:rFonts w:cs="Calibri"/>
          <w:sz w:val="24"/>
        </w:rPr>
        <w:t>a critical consideration of the concept of knowledge</w:t>
      </w:r>
      <w:r w:rsidR="00A75A8F">
        <w:rPr>
          <w:rFonts w:cs="Calibri"/>
          <w:sz w:val="24"/>
        </w:rPr>
        <w:t xml:space="preserve">, </w:t>
      </w:r>
      <w:r w:rsidR="00A75A8F" w:rsidRPr="006D648F">
        <w:rPr>
          <w:rFonts w:cs="Calibri"/>
          <w:sz w:val="24"/>
        </w:rPr>
        <w:t xml:space="preserve">what </w:t>
      </w:r>
      <w:r w:rsidR="00DA3F39">
        <w:rPr>
          <w:rFonts w:cs="Calibri"/>
          <w:sz w:val="24"/>
        </w:rPr>
        <w:t>‘</w:t>
      </w:r>
      <w:r w:rsidR="00A75A8F" w:rsidRPr="006D648F">
        <w:rPr>
          <w:rFonts w:cs="Calibri"/>
          <w:sz w:val="24"/>
        </w:rPr>
        <w:t>appropriate</w:t>
      </w:r>
      <w:r w:rsidR="00DA3F39">
        <w:rPr>
          <w:rFonts w:cs="Calibri"/>
          <w:sz w:val="24"/>
        </w:rPr>
        <w:t>’</w:t>
      </w:r>
      <w:r w:rsidR="00A75A8F" w:rsidRPr="006D648F">
        <w:rPr>
          <w:rFonts w:cs="Calibri"/>
          <w:sz w:val="24"/>
        </w:rPr>
        <w:t xml:space="preserve"> educational knowledge </w:t>
      </w:r>
      <w:r w:rsidR="00A75A8F">
        <w:rPr>
          <w:rFonts w:cs="Calibri"/>
          <w:sz w:val="24"/>
        </w:rPr>
        <w:t>is</w:t>
      </w:r>
      <w:r w:rsidR="00DA3F39">
        <w:rPr>
          <w:rFonts w:cs="Calibri"/>
          <w:sz w:val="24"/>
        </w:rPr>
        <w:t>,</w:t>
      </w:r>
      <w:r w:rsidR="00A75A8F">
        <w:rPr>
          <w:rFonts w:cs="Calibri"/>
          <w:sz w:val="24"/>
        </w:rPr>
        <w:t xml:space="preserve"> </w:t>
      </w:r>
      <w:r w:rsidR="00A75A8F" w:rsidRPr="006D648F">
        <w:rPr>
          <w:rFonts w:cs="Calibri"/>
          <w:sz w:val="24"/>
        </w:rPr>
        <w:t xml:space="preserve">and who has the power to define </w:t>
      </w:r>
      <w:r w:rsidR="00A75A8F">
        <w:rPr>
          <w:rFonts w:cs="Calibri"/>
          <w:sz w:val="24"/>
        </w:rPr>
        <w:t>it</w:t>
      </w:r>
      <w:r w:rsidR="00A75A8F" w:rsidRPr="006D648F">
        <w:rPr>
          <w:rFonts w:cs="Calibri"/>
          <w:sz w:val="24"/>
        </w:rPr>
        <w:t>. The postmodern perspective</w:t>
      </w:r>
      <w:r w:rsidR="00DA3F39">
        <w:rPr>
          <w:rFonts w:cs="Calibri"/>
          <w:sz w:val="24"/>
        </w:rPr>
        <w:t xml:space="preserve"> on knowledge</w:t>
      </w:r>
      <w:r w:rsidR="00A75A8F" w:rsidRPr="006D648F">
        <w:rPr>
          <w:rFonts w:cs="Calibri"/>
          <w:sz w:val="24"/>
        </w:rPr>
        <w:t xml:space="preserve"> presents difficulties. If knowledge is relativ</w:t>
      </w:r>
      <w:r w:rsidR="00DA3F39">
        <w:rPr>
          <w:rFonts w:cs="Calibri"/>
          <w:sz w:val="24"/>
        </w:rPr>
        <w:t>e,</w:t>
      </w:r>
      <w:r w:rsidR="00A75A8F" w:rsidRPr="006D648F">
        <w:rPr>
          <w:rFonts w:cs="Calibri"/>
          <w:sz w:val="24"/>
        </w:rPr>
        <w:t xml:space="preserve"> then how can any rational decisions be taken as to the value and worth of any one </w:t>
      </w:r>
      <w:r w:rsidR="00A75A8F">
        <w:rPr>
          <w:rFonts w:cs="Calibri"/>
          <w:sz w:val="24"/>
        </w:rPr>
        <w:t xml:space="preserve">configuration </w:t>
      </w:r>
      <w:r w:rsidR="00A75A8F" w:rsidRPr="006D648F">
        <w:rPr>
          <w:rFonts w:cs="Calibri"/>
          <w:sz w:val="24"/>
        </w:rPr>
        <w:t xml:space="preserve">of </w:t>
      </w:r>
      <w:r w:rsidR="00A75A8F">
        <w:rPr>
          <w:rFonts w:cs="Calibri"/>
          <w:sz w:val="24"/>
        </w:rPr>
        <w:t xml:space="preserve">curriculum </w:t>
      </w:r>
      <w:r w:rsidR="00A75A8F" w:rsidRPr="006D648F">
        <w:rPr>
          <w:rFonts w:cs="Calibri"/>
          <w:sz w:val="24"/>
        </w:rPr>
        <w:t xml:space="preserve">knowledge to be </w:t>
      </w:r>
      <w:r w:rsidR="00A75A8F">
        <w:rPr>
          <w:rFonts w:cs="Calibri"/>
          <w:sz w:val="24"/>
        </w:rPr>
        <w:t>engaged in</w:t>
      </w:r>
      <w:r w:rsidR="00A75A8F" w:rsidRPr="006D648F">
        <w:rPr>
          <w:rFonts w:cs="Calibri"/>
          <w:sz w:val="24"/>
        </w:rPr>
        <w:t xml:space="preserve"> and assessed by schools</w:t>
      </w:r>
      <w:r w:rsidR="00DA3F39">
        <w:rPr>
          <w:rFonts w:cs="Calibri"/>
          <w:sz w:val="24"/>
        </w:rPr>
        <w:t>?</w:t>
      </w:r>
      <w:r w:rsidR="00A75A8F" w:rsidRPr="006D648F">
        <w:rPr>
          <w:rFonts w:cs="Calibri"/>
          <w:sz w:val="24"/>
        </w:rPr>
        <w:t xml:space="preserve"> A number of researchers</w:t>
      </w:r>
      <w:r w:rsidR="00DA3F39">
        <w:rPr>
          <w:rFonts w:cs="Calibri"/>
          <w:sz w:val="24"/>
        </w:rPr>
        <w:t>,</w:t>
      </w:r>
      <w:r w:rsidR="00A75A8F" w:rsidRPr="006D648F">
        <w:rPr>
          <w:rFonts w:cs="Calibri"/>
          <w:sz w:val="24"/>
        </w:rPr>
        <w:t xml:space="preserve"> including Young (2008) and Hirsch (1996)</w:t>
      </w:r>
      <w:r w:rsidR="00DA3F39">
        <w:rPr>
          <w:rFonts w:cs="Calibri"/>
          <w:sz w:val="24"/>
        </w:rPr>
        <w:t>,</w:t>
      </w:r>
      <w:r w:rsidR="00A75A8F" w:rsidRPr="006D648F">
        <w:rPr>
          <w:rFonts w:cs="Calibri"/>
          <w:sz w:val="24"/>
        </w:rPr>
        <w:t xml:space="preserve"> claim that </w:t>
      </w:r>
      <w:r w:rsidR="00A75A8F">
        <w:rPr>
          <w:rFonts w:cs="Calibri"/>
          <w:sz w:val="24"/>
        </w:rPr>
        <w:t xml:space="preserve">a postmodern take on knowledge </w:t>
      </w:r>
      <w:r w:rsidR="00A75A8F" w:rsidRPr="006D648F">
        <w:rPr>
          <w:rFonts w:cs="Calibri"/>
          <w:sz w:val="24"/>
        </w:rPr>
        <w:t xml:space="preserve">is </w:t>
      </w:r>
      <w:r w:rsidR="00A75A8F">
        <w:rPr>
          <w:rFonts w:cs="Calibri"/>
          <w:sz w:val="24"/>
        </w:rPr>
        <w:t>un</w:t>
      </w:r>
      <w:r w:rsidR="00A75A8F" w:rsidRPr="006D648F">
        <w:rPr>
          <w:rFonts w:cs="Calibri"/>
          <w:sz w:val="24"/>
        </w:rPr>
        <w:t>tenable</w:t>
      </w:r>
      <w:r w:rsidR="00DA3F39">
        <w:rPr>
          <w:rFonts w:cs="Calibri"/>
          <w:sz w:val="24"/>
        </w:rPr>
        <w:t>.</w:t>
      </w:r>
      <w:r w:rsidR="00A75A8F" w:rsidRPr="006D648F">
        <w:rPr>
          <w:rFonts w:cs="Calibri"/>
          <w:sz w:val="24"/>
        </w:rPr>
        <w:t xml:space="preserve"> </w:t>
      </w:r>
      <w:r w:rsidR="00A75A8F">
        <w:rPr>
          <w:rFonts w:cs="Calibri"/>
          <w:sz w:val="24"/>
        </w:rPr>
        <w:t>I</w:t>
      </w:r>
      <w:r w:rsidR="00DA3F39">
        <w:rPr>
          <w:rFonts w:cs="Calibri"/>
          <w:sz w:val="24"/>
        </w:rPr>
        <w:t xml:space="preserve"> </w:t>
      </w:r>
      <w:r w:rsidR="00A75A8F" w:rsidRPr="006D648F">
        <w:rPr>
          <w:rFonts w:cs="Calibri"/>
          <w:sz w:val="24"/>
        </w:rPr>
        <w:t>evaluate</w:t>
      </w:r>
      <w:r w:rsidR="00A75A8F">
        <w:rPr>
          <w:rFonts w:cs="Calibri"/>
          <w:sz w:val="24"/>
        </w:rPr>
        <w:t xml:space="preserve"> </w:t>
      </w:r>
      <w:r w:rsidR="00A75A8F" w:rsidRPr="006D648F">
        <w:rPr>
          <w:rFonts w:cs="Calibri"/>
          <w:sz w:val="24"/>
        </w:rPr>
        <w:t xml:space="preserve">these views in the </w:t>
      </w:r>
      <w:r w:rsidR="00DA3F39">
        <w:rPr>
          <w:rFonts w:cs="Calibri"/>
          <w:sz w:val="24"/>
        </w:rPr>
        <w:t>following</w:t>
      </w:r>
      <w:r w:rsidR="00A75A8F" w:rsidRPr="006D648F">
        <w:rPr>
          <w:rFonts w:cs="Calibri"/>
          <w:sz w:val="24"/>
        </w:rPr>
        <w:t xml:space="preserve"> section.</w:t>
      </w:r>
    </w:p>
    <w:p w14:paraId="45C8CAE0" w14:textId="77777777" w:rsidR="00A75A8F" w:rsidRPr="006D648F" w:rsidRDefault="00A75A8F" w:rsidP="00531995">
      <w:pPr>
        <w:pStyle w:val="Heading2"/>
      </w:pPr>
      <w:bookmarkStart w:id="27" w:name="_Toc452316312"/>
      <w:r w:rsidRPr="006D648F">
        <w:t>2.</w:t>
      </w:r>
      <w:r>
        <w:t>5</w:t>
      </w:r>
      <w:r w:rsidRPr="006D648F">
        <w:t xml:space="preserve"> </w:t>
      </w:r>
      <w:r>
        <w:t>Curriculum</w:t>
      </w:r>
      <w:r w:rsidRPr="006D648F">
        <w:t xml:space="preserve"> knowledge</w:t>
      </w:r>
      <w:bookmarkEnd w:id="27"/>
      <w:r w:rsidRPr="006D648F">
        <w:t xml:space="preserve"> </w:t>
      </w:r>
    </w:p>
    <w:p w14:paraId="431BDDB3" w14:textId="5E84A48B" w:rsidR="00A75A8F" w:rsidRPr="006D648F" w:rsidRDefault="00A75A8F" w:rsidP="00A75A8F">
      <w:pPr>
        <w:spacing w:line="360" w:lineRule="auto"/>
        <w:rPr>
          <w:rFonts w:cs="Calibri"/>
          <w:sz w:val="24"/>
        </w:rPr>
      </w:pPr>
      <w:r>
        <w:rPr>
          <w:rFonts w:cs="Calibri"/>
          <w:sz w:val="24"/>
        </w:rPr>
        <w:t>T</w:t>
      </w:r>
      <w:r w:rsidRPr="006D648F">
        <w:rPr>
          <w:rFonts w:cs="Calibri"/>
          <w:sz w:val="24"/>
        </w:rPr>
        <w:t xml:space="preserve">he debate about what constitutes knowledge, </w:t>
      </w:r>
      <w:r>
        <w:rPr>
          <w:rFonts w:cs="Calibri"/>
          <w:sz w:val="24"/>
        </w:rPr>
        <w:t xml:space="preserve">particularly </w:t>
      </w:r>
      <w:r w:rsidRPr="006D648F">
        <w:rPr>
          <w:rFonts w:cs="Calibri"/>
          <w:sz w:val="24"/>
        </w:rPr>
        <w:t>educationally desirable knowledge, is</w:t>
      </w:r>
      <w:r>
        <w:rPr>
          <w:rFonts w:cs="Calibri"/>
          <w:sz w:val="24"/>
        </w:rPr>
        <w:t xml:space="preserve"> complex</w:t>
      </w:r>
      <w:r w:rsidRPr="006D648F">
        <w:rPr>
          <w:rFonts w:cs="Calibri"/>
          <w:sz w:val="24"/>
        </w:rPr>
        <w:t>.</w:t>
      </w:r>
      <w:r>
        <w:rPr>
          <w:rFonts w:cs="Calibri"/>
          <w:sz w:val="24"/>
        </w:rPr>
        <w:t xml:space="preserve"> </w:t>
      </w:r>
      <w:r w:rsidRPr="006D648F">
        <w:rPr>
          <w:rFonts w:cs="Calibri"/>
          <w:sz w:val="24"/>
        </w:rPr>
        <w:t>Moore and Young comment that:</w:t>
      </w:r>
    </w:p>
    <w:p w14:paraId="1F14EC34" w14:textId="77777777" w:rsidR="00A75A8F" w:rsidRPr="006D648F" w:rsidRDefault="00A75A8F" w:rsidP="00A75A8F">
      <w:pPr>
        <w:spacing w:line="240" w:lineRule="auto"/>
        <w:ind w:left="720"/>
        <w:rPr>
          <w:rFonts w:cs="Calibri"/>
          <w:sz w:val="24"/>
        </w:rPr>
      </w:pPr>
      <w:r w:rsidRPr="006D648F">
        <w:rPr>
          <w:rFonts w:cs="Calibri"/>
          <w:sz w:val="24"/>
        </w:rPr>
        <w:t xml:space="preserve">The outcomes of disputes about knowledge are not mere academic issues. They directly affect learning opportunities for pupils in schools and have wider consequences through the principles by which knowledge is distributed in society, (2001, p.446). </w:t>
      </w:r>
    </w:p>
    <w:p w14:paraId="00B64802" w14:textId="77A4DCDE" w:rsidR="00A75A8F" w:rsidRDefault="00A75A8F" w:rsidP="00A75A8F">
      <w:pPr>
        <w:tabs>
          <w:tab w:val="left" w:pos="8647"/>
        </w:tabs>
        <w:spacing w:line="360" w:lineRule="auto"/>
        <w:rPr>
          <w:rFonts w:cs="Calibri"/>
          <w:sz w:val="24"/>
        </w:rPr>
      </w:pPr>
      <w:r w:rsidRPr="006D648F">
        <w:rPr>
          <w:rFonts w:cs="Calibri"/>
          <w:sz w:val="24"/>
        </w:rPr>
        <w:t>In relation to my first research question</w:t>
      </w:r>
      <w:r>
        <w:rPr>
          <w:rFonts w:cs="Calibri"/>
          <w:sz w:val="24"/>
        </w:rPr>
        <w:t xml:space="preserve">: </w:t>
      </w:r>
      <w:r w:rsidR="004C211B">
        <w:rPr>
          <w:rFonts w:cs="Calibri"/>
          <w:sz w:val="24"/>
        </w:rPr>
        <w:t>“W</w:t>
      </w:r>
      <w:r>
        <w:rPr>
          <w:rFonts w:cs="Calibri"/>
          <w:sz w:val="24"/>
        </w:rPr>
        <w:t>hat is the EBac policy and how and why was it introduced as part of a wider policy framework?</w:t>
      </w:r>
      <w:r w:rsidR="004C211B">
        <w:rPr>
          <w:rFonts w:cs="Calibri"/>
          <w:sz w:val="24"/>
        </w:rPr>
        <w:t>”</w:t>
      </w:r>
      <w:r w:rsidRPr="006D648F">
        <w:rPr>
          <w:rFonts w:cs="Calibri"/>
          <w:sz w:val="24"/>
        </w:rPr>
        <w:t xml:space="preserve"> I argue that the EBac </w:t>
      </w:r>
      <w:r>
        <w:rPr>
          <w:rFonts w:cs="Calibri"/>
          <w:sz w:val="24"/>
        </w:rPr>
        <w:t>identifies so-called ‘important’</w:t>
      </w:r>
      <w:r w:rsidRPr="006D648F">
        <w:rPr>
          <w:rFonts w:cs="Calibri"/>
          <w:sz w:val="24"/>
        </w:rPr>
        <w:t xml:space="preserve"> knowledge</w:t>
      </w:r>
      <w:r>
        <w:rPr>
          <w:rFonts w:cs="Calibri"/>
          <w:sz w:val="24"/>
        </w:rPr>
        <w:t xml:space="preserve"> </w:t>
      </w:r>
      <w:r w:rsidRPr="006D648F">
        <w:rPr>
          <w:rFonts w:cs="Calibri"/>
          <w:sz w:val="24"/>
        </w:rPr>
        <w:t>associated with particular academic subjects</w:t>
      </w:r>
      <w:r>
        <w:rPr>
          <w:rFonts w:cs="Calibri"/>
          <w:sz w:val="24"/>
        </w:rPr>
        <w:t>. T</w:t>
      </w:r>
      <w:r w:rsidRPr="006D648F">
        <w:rPr>
          <w:rFonts w:cs="Calibri"/>
          <w:sz w:val="24"/>
        </w:rPr>
        <w:t xml:space="preserve">he Coalition </w:t>
      </w:r>
      <w:r>
        <w:rPr>
          <w:rFonts w:cs="Calibri"/>
          <w:sz w:val="24"/>
        </w:rPr>
        <w:t>g</w:t>
      </w:r>
      <w:r w:rsidRPr="006D648F">
        <w:rPr>
          <w:rFonts w:cs="Calibri"/>
          <w:sz w:val="24"/>
        </w:rPr>
        <w:t xml:space="preserve">overnment wishes to promote </w:t>
      </w:r>
      <w:r>
        <w:rPr>
          <w:rFonts w:cs="Calibri"/>
          <w:sz w:val="24"/>
        </w:rPr>
        <w:t xml:space="preserve">a specific kind of knowledge </w:t>
      </w:r>
      <w:r w:rsidRPr="006D648F">
        <w:rPr>
          <w:rFonts w:cs="Calibri"/>
          <w:sz w:val="24"/>
        </w:rPr>
        <w:t xml:space="preserve">as </w:t>
      </w:r>
      <w:r>
        <w:rPr>
          <w:rFonts w:cs="Calibri"/>
          <w:sz w:val="24"/>
        </w:rPr>
        <w:t>a</w:t>
      </w:r>
      <w:r w:rsidRPr="006D648F">
        <w:rPr>
          <w:rFonts w:cs="Calibri"/>
          <w:sz w:val="24"/>
        </w:rPr>
        <w:t xml:space="preserve"> key component of </w:t>
      </w:r>
      <w:r>
        <w:rPr>
          <w:rFonts w:cs="Calibri"/>
          <w:sz w:val="24"/>
        </w:rPr>
        <w:t xml:space="preserve">the </w:t>
      </w:r>
      <w:r w:rsidRPr="006D648F">
        <w:rPr>
          <w:rFonts w:cs="Calibri"/>
          <w:sz w:val="24"/>
        </w:rPr>
        <w:lastRenderedPageBreak/>
        <w:t>curriculum</w:t>
      </w:r>
      <w:r>
        <w:rPr>
          <w:rFonts w:cs="Calibri"/>
          <w:sz w:val="24"/>
        </w:rPr>
        <w:t xml:space="preserve">, </w:t>
      </w:r>
      <w:r w:rsidRPr="006D648F">
        <w:rPr>
          <w:rFonts w:cs="Calibri"/>
          <w:sz w:val="24"/>
        </w:rPr>
        <w:t>believ</w:t>
      </w:r>
      <w:r>
        <w:rPr>
          <w:rFonts w:cs="Calibri"/>
          <w:sz w:val="24"/>
        </w:rPr>
        <w:t>ing that knowledge</w:t>
      </w:r>
      <w:r w:rsidRPr="006D648F">
        <w:rPr>
          <w:rFonts w:cs="Calibri"/>
          <w:sz w:val="24"/>
        </w:rPr>
        <w:t xml:space="preserve"> to be</w:t>
      </w:r>
      <w:r>
        <w:rPr>
          <w:rFonts w:cs="Calibri"/>
          <w:sz w:val="24"/>
        </w:rPr>
        <w:t xml:space="preserve"> ‘</w:t>
      </w:r>
      <w:r w:rsidRPr="006D648F">
        <w:rPr>
          <w:rFonts w:cs="Calibri"/>
          <w:sz w:val="24"/>
        </w:rPr>
        <w:t>valuable</w:t>
      </w:r>
      <w:r>
        <w:rPr>
          <w:rFonts w:cs="Calibri"/>
          <w:sz w:val="24"/>
        </w:rPr>
        <w:t>’</w:t>
      </w:r>
      <w:r w:rsidRPr="006D648F">
        <w:rPr>
          <w:rFonts w:cs="Calibri"/>
          <w:sz w:val="24"/>
        </w:rPr>
        <w:t xml:space="preserve"> in terms of </w:t>
      </w:r>
      <w:r>
        <w:rPr>
          <w:rFonts w:cs="Calibri"/>
          <w:sz w:val="24"/>
        </w:rPr>
        <w:t>student</w:t>
      </w:r>
      <w:r w:rsidR="004C211B">
        <w:rPr>
          <w:rFonts w:cs="Calibri"/>
          <w:sz w:val="24"/>
        </w:rPr>
        <w:t>s’</w:t>
      </w:r>
      <w:r>
        <w:rPr>
          <w:rFonts w:cs="Calibri"/>
          <w:sz w:val="24"/>
        </w:rPr>
        <w:t xml:space="preserve"> social mobility and </w:t>
      </w:r>
      <w:r w:rsidRPr="006D648F">
        <w:rPr>
          <w:rFonts w:cs="Calibri"/>
          <w:sz w:val="24"/>
        </w:rPr>
        <w:t xml:space="preserve">progression opportunities. This has implications for my third research question in terms of whether this </w:t>
      </w:r>
      <w:r w:rsidR="004C211B">
        <w:rPr>
          <w:rFonts w:cs="Calibri"/>
          <w:sz w:val="24"/>
        </w:rPr>
        <w:t>g</w:t>
      </w:r>
      <w:r>
        <w:rPr>
          <w:rFonts w:cs="Calibri"/>
          <w:sz w:val="24"/>
        </w:rPr>
        <w:t xml:space="preserve">overnment-specified EBac </w:t>
      </w:r>
      <w:r w:rsidRPr="006D648F">
        <w:rPr>
          <w:rFonts w:cs="Calibri"/>
          <w:sz w:val="24"/>
        </w:rPr>
        <w:t xml:space="preserve">knowledge is appropriate and accessible for all, and if not, what the consequences </w:t>
      </w:r>
      <w:r>
        <w:rPr>
          <w:rFonts w:cs="Calibri"/>
          <w:sz w:val="24"/>
        </w:rPr>
        <w:t xml:space="preserve">may be </w:t>
      </w:r>
      <w:r w:rsidRPr="006D648F">
        <w:rPr>
          <w:rFonts w:cs="Calibri"/>
          <w:sz w:val="24"/>
        </w:rPr>
        <w:t xml:space="preserve">for those students who </w:t>
      </w:r>
      <w:r>
        <w:rPr>
          <w:rFonts w:cs="Calibri"/>
          <w:sz w:val="24"/>
        </w:rPr>
        <w:t xml:space="preserve">cannot access </w:t>
      </w:r>
      <w:r w:rsidRPr="006D648F">
        <w:rPr>
          <w:rFonts w:cs="Calibri"/>
          <w:sz w:val="24"/>
        </w:rPr>
        <w:t>this knowledge</w:t>
      </w:r>
      <w:r>
        <w:rPr>
          <w:rFonts w:cs="Calibri"/>
          <w:sz w:val="24"/>
        </w:rPr>
        <w:t xml:space="preserve">. </w:t>
      </w:r>
    </w:p>
    <w:p w14:paraId="6BF52248" w14:textId="5A609171" w:rsidR="00A75A8F" w:rsidRDefault="00A75A8F" w:rsidP="00A75A8F">
      <w:pPr>
        <w:spacing w:line="360" w:lineRule="auto"/>
        <w:rPr>
          <w:rFonts w:cs="Calibri"/>
          <w:sz w:val="24"/>
        </w:rPr>
      </w:pPr>
      <w:r>
        <w:rPr>
          <w:rFonts w:cs="Calibri"/>
          <w:sz w:val="24"/>
        </w:rPr>
        <w:t xml:space="preserve">This section critically considers the work of Young (2008) </w:t>
      </w:r>
      <w:r w:rsidR="004C211B">
        <w:rPr>
          <w:rFonts w:cs="Calibri"/>
          <w:sz w:val="24"/>
        </w:rPr>
        <w:t>on</w:t>
      </w:r>
      <w:r>
        <w:rPr>
          <w:rFonts w:cs="Calibri"/>
          <w:sz w:val="24"/>
        </w:rPr>
        <w:t xml:space="preserve"> </w:t>
      </w:r>
      <w:r w:rsidR="006E1CEA">
        <w:rPr>
          <w:rFonts w:cs="Calibri"/>
          <w:sz w:val="24"/>
        </w:rPr>
        <w:t>‘</w:t>
      </w:r>
      <w:r>
        <w:rPr>
          <w:rFonts w:cs="Calibri"/>
          <w:sz w:val="24"/>
        </w:rPr>
        <w:t>powerful knowledge</w:t>
      </w:r>
      <w:r w:rsidR="006E1CEA">
        <w:rPr>
          <w:rFonts w:cs="Calibri"/>
          <w:sz w:val="24"/>
        </w:rPr>
        <w:t>’</w:t>
      </w:r>
      <w:r>
        <w:rPr>
          <w:rFonts w:cs="Calibri"/>
          <w:sz w:val="24"/>
        </w:rPr>
        <w:t xml:space="preserve"> and the social realist perspective, contrasting </w:t>
      </w:r>
      <w:r w:rsidR="004C211B">
        <w:rPr>
          <w:rFonts w:cs="Calibri"/>
          <w:sz w:val="24"/>
        </w:rPr>
        <w:t>with</w:t>
      </w:r>
      <w:r>
        <w:rPr>
          <w:rFonts w:cs="Calibri"/>
          <w:sz w:val="24"/>
        </w:rPr>
        <w:t xml:space="preserve"> the work of Hirsch (1996</w:t>
      </w:r>
      <w:r w:rsidR="004C211B">
        <w:rPr>
          <w:rFonts w:cs="Calibri"/>
          <w:sz w:val="24"/>
        </w:rPr>
        <w:t>;</w:t>
      </w:r>
      <w:r>
        <w:rPr>
          <w:rFonts w:cs="Calibri"/>
          <w:sz w:val="24"/>
        </w:rPr>
        <w:t xml:space="preserve"> 2002) </w:t>
      </w:r>
      <w:r w:rsidR="004C211B">
        <w:rPr>
          <w:rFonts w:cs="Calibri"/>
          <w:sz w:val="24"/>
        </w:rPr>
        <w:t>on the concept of</w:t>
      </w:r>
      <w:r>
        <w:rPr>
          <w:rFonts w:cs="Calibri"/>
          <w:sz w:val="24"/>
        </w:rPr>
        <w:t xml:space="preserve"> </w:t>
      </w:r>
      <w:r w:rsidR="006E1CEA">
        <w:rPr>
          <w:rFonts w:cs="Calibri"/>
          <w:sz w:val="24"/>
        </w:rPr>
        <w:t>‘</w:t>
      </w:r>
      <w:r>
        <w:rPr>
          <w:rFonts w:cs="Calibri"/>
          <w:sz w:val="24"/>
        </w:rPr>
        <w:t>core knowledge</w:t>
      </w:r>
      <w:r w:rsidR="006E1CEA">
        <w:rPr>
          <w:rFonts w:cs="Calibri"/>
          <w:sz w:val="24"/>
        </w:rPr>
        <w:t>’</w:t>
      </w:r>
      <w:r>
        <w:rPr>
          <w:rFonts w:cs="Calibri"/>
          <w:sz w:val="24"/>
        </w:rPr>
        <w:t xml:space="preserve">. I </w:t>
      </w:r>
      <w:r w:rsidR="004C211B">
        <w:rPr>
          <w:rFonts w:cs="Calibri"/>
          <w:sz w:val="24"/>
        </w:rPr>
        <w:t>also</w:t>
      </w:r>
      <w:r>
        <w:rPr>
          <w:rFonts w:cs="Calibri"/>
          <w:sz w:val="24"/>
        </w:rPr>
        <w:t xml:space="preserve"> reflect on the work of Apple (1996) into the political nature of curriculum knowledge as well as reviewing the work of Bernstein </w:t>
      </w:r>
      <w:r w:rsidR="004C211B">
        <w:rPr>
          <w:rFonts w:cs="Calibri"/>
          <w:sz w:val="24"/>
        </w:rPr>
        <w:t>(1971; 1999) on</w:t>
      </w:r>
      <w:r>
        <w:rPr>
          <w:rFonts w:cs="Calibri"/>
          <w:sz w:val="24"/>
        </w:rPr>
        <w:t xml:space="preserve"> </w:t>
      </w:r>
      <w:r w:rsidR="006E1CEA">
        <w:rPr>
          <w:rFonts w:cs="Calibri"/>
          <w:sz w:val="24"/>
        </w:rPr>
        <w:t>‘</w:t>
      </w:r>
      <w:r>
        <w:rPr>
          <w:rFonts w:cs="Calibri"/>
          <w:sz w:val="24"/>
        </w:rPr>
        <w:t>knowledge codes</w:t>
      </w:r>
      <w:r w:rsidR="006E1CEA">
        <w:rPr>
          <w:rFonts w:cs="Calibri"/>
          <w:sz w:val="24"/>
        </w:rPr>
        <w:t>’</w:t>
      </w:r>
      <w:r w:rsidR="004C211B">
        <w:rPr>
          <w:rFonts w:cs="Calibri"/>
          <w:sz w:val="24"/>
        </w:rPr>
        <w:t>.</w:t>
      </w:r>
      <w:r>
        <w:rPr>
          <w:rFonts w:cs="Calibri"/>
          <w:sz w:val="24"/>
        </w:rPr>
        <w:t xml:space="preserve"> </w:t>
      </w:r>
    </w:p>
    <w:p w14:paraId="36310EC8" w14:textId="77777777" w:rsidR="00A75A8F" w:rsidRPr="00AB4160" w:rsidRDefault="00A75A8F" w:rsidP="00531995">
      <w:pPr>
        <w:pStyle w:val="Heading3"/>
      </w:pPr>
      <w:bookmarkStart w:id="28" w:name="_Toc452316313"/>
      <w:r w:rsidRPr="00AB4160">
        <w:t>2.5.1 Powerful knowledge</w:t>
      </w:r>
      <w:bookmarkEnd w:id="28"/>
    </w:p>
    <w:p w14:paraId="1310DFF5" w14:textId="76067E12" w:rsidR="00A75A8F" w:rsidRPr="006D648F" w:rsidRDefault="00A75A8F" w:rsidP="00A75A8F">
      <w:pPr>
        <w:spacing w:line="360" w:lineRule="auto"/>
        <w:rPr>
          <w:rFonts w:cs="Calibri"/>
          <w:sz w:val="24"/>
        </w:rPr>
      </w:pPr>
      <w:r>
        <w:rPr>
          <w:rFonts w:cs="Calibri"/>
          <w:sz w:val="24"/>
        </w:rPr>
        <w:t xml:space="preserve">I turn now to </w:t>
      </w:r>
      <w:r w:rsidR="00451681" w:rsidRPr="006D648F">
        <w:rPr>
          <w:rFonts w:cs="Calibri"/>
          <w:sz w:val="24"/>
        </w:rPr>
        <w:t>Young</w:t>
      </w:r>
      <w:r w:rsidR="00451681">
        <w:rPr>
          <w:rFonts w:cs="Calibri"/>
          <w:sz w:val="24"/>
        </w:rPr>
        <w:t xml:space="preserve">’s </w:t>
      </w:r>
      <w:r w:rsidR="00DB786A">
        <w:rPr>
          <w:rFonts w:cs="Calibri"/>
          <w:sz w:val="24"/>
        </w:rPr>
        <w:t xml:space="preserve">(1971-2008) </w:t>
      </w:r>
      <w:r w:rsidRPr="006D648F">
        <w:rPr>
          <w:rFonts w:cs="Calibri"/>
          <w:sz w:val="24"/>
        </w:rPr>
        <w:t xml:space="preserve">developing </w:t>
      </w:r>
      <w:r w:rsidR="0017362E">
        <w:rPr>
          <w:rFonts w:cs="Calibri"/>
          <w:sz w:val="24"/>
        </w:rPr>
        <w:t xml:space="preserve">arguments and position </w:t>
      </w:r>
      <w:r w:rsidRPr="006D648F">
        <w:rPr>
          <w:rFonts w:cs="Calibri"/>
          <w:sz w:val="24"/>
        </w:rPr>
        <w:t>regarding educational</w:t>
      </w:r>
      <w:r>
        <w:rPr>
          <w:rFonts w:cs="Calibri"/>
          <w:sz w:val="24"/>
        </w:rPr>
        <w:t xml:space="preserve"> </w:t>
      </w:r>
      <w:r w:rsidRPr="006D648F">
        <w:rPr>
          <w:rFonts w:cs="Calibri"/>
          <w:sz w:val="24"/>
        </w:rPr>
        <w:t>knowledge</w:t>
      </w:r>
      <w:r w:rsidR="0017362E">
        <w:rPr>
          <w:rFonts w:cs="Calibri"/>
          <w:sz w:val="24"/>
        </w:rPr>
        <w:t>. His ideas</w:t>
      </w:r>
      <w:r w:rsidRPr="006D648F">
        <w:rPr>
          <w:rFonts w:cs="Calibri"/>
          <w:sz w:val="24"/>
        </w:rPr>
        <w:t xml:space="preserve"> evolved from a social constructivist position </w:t>
      </w:r>
      <w:r>
        <w:rPr>
          <w:rFonts w:cs="Calibri"/>
          <w:sz w:val="24"/>
        </w:rPr>
        <w:t xml:space="preserve">in the 1970s </w:t>
      </w:r>
      <w:r w:rsidRPr="006D648F">
        <w:rPr>
          <w:rFonts w:cs="Calibri"/>
          <w:sz w:val="24"/>
        </w:rPr>
        <w:t>to</w:t>
      </w:r>
      <w:r>
        <w:rPr>
          <w:rFonts w:cs="Calibri"/>
          <w:sz w:val="24"/>
        </w:rPr>
        <w:t xml:space="preserve"> his</w:t>
      </w:r>
      <w:r w:rsidRPr="006D648F">
        <w:rPr>
          <w:rFonts w:cs="Calibri"/>
          <w:sz w:val="24"/>
        </w:rPr>
        <w:t xml:space="preserve"> current </w:t>
      </w:r>
      <w:r w:rsidR="0017362E" w:rsidRPr="006D648F">
        <w:rPr>
          <w:rFonts w:cs="Calibri"/>
          <w:sz w:val="24"/>
        </w:rPr>
        <w:t>social realis</w:t>
      </w:r>
      <w:r w:rsidR="003B2070">
        <w:rPr>
          <w:rFonts w:cs="Calibri"/>
          <w:sz w:val="24"/>
        </w:rPr>
        <w:t>t</w:t>
      </w:r>
      <w:r w:rsidR="0017362E" w:rsidRPr="006D648F">
        <w:rPr>
          <w:rFonts w:cs="Calibri"/>
          <w:sz w:val="24"/>
        </w:rPr>
        <w:t xml:space="preserve"> </w:t>
      </w:r>
      <w:r w:rsidR="0017362E">
        <w:rPr>
          <w:rFonts w:cs="Calibri"/>
          <w:sz w:val="24"/>
        </w:rPr>
        <w:t>perspective</w:t>
      </w:r>
      <w:r>
        <w:rPr>
          <w:rFonts w:cs="Calibri"/>
          <w:sz w:val="24"/>
        </w:rPr>
        <w:t>. He</w:t>
      </w:r>
      <w:r w:rsidRPr="006D648F">
        <w:rPr>
          <w:rFonts w:cs="Calibri"/>
          <w:sz w:val="24"/>
        </w:rPr>
        <w:t xml:space="preserve"> argu</w:t>
      </w:r>
      <w:r>
        <w:rPr>
          <w:rFonts w:cs="Calibri"/>
          <w:sz w:val="24"/>
        </w:rPr>
        <w:t>es</w:t>
      </w:r>
      <w:r w:rsidRPr="006D648F">
        <w:rPr>
          <w:rFonts w:cs="Calibri"/>
          <w:sz w:val="24"/>
        </w:rPr>
        <w:t xml:space="preserve"> that </w:t>
      </w:r>
      <w:r>
        <w:rPr>
          <w:rFonts w:cs="Calibri"/>
          <w:sz w:val="24"/>
        </w:rPr>
        <w:t>“</w:t>
      </w:r>
      <w:r w:rsidRPr="006D648F">
        <w:rPr>
          <w:rFonts w:cs="Calibri"/>
          <w:sz w:val="24"/>
        </w:rPr>
        <w:t>powerful knowledge</w:t>
      </w:r>
      <w:r>
        <w:rPr>
          <w:rFonts w:cs="Calibri"/>
          <w:sz w:val="24"/>
        </w:rPr>
        <w:t>”</w:t>
      </w:r>
      <w:r w:rsidR="003B2070">
        <w:rPr>
          <w:rFonts w:cs="Calibri"/>
          <w:sz w:val="24"/>
        </w:rPr>
        <w:t xml:space="preserve"> </w:t>
      </w:r>
      <w:r>
        <w:rPr>
          <w:rFonts w:cs="Calibri"/>
          <w:sz w:val="24"/>
        </w:rPr>
        <w:t>(abstract knowledge which allows</w:t>
      </w:r>
      <w:r w:rsidRPr="006D648F">
        <w:rPr>
          <w:rFonts w:cs="Calibri"/>
          <w:sz w:val="24"/>
        </w:rPr>
        <w:t xml:space="preserve"> </w:t>
      </w:r>
      <w:r>
        <w:rPr>
          <w:rFonts w:cs="Calibri"/>
          <w:sz w:val="24"/>
        </w:rPr>
        <w:t xml:space="preserve">access to a range of thought </w:t>
      </w:r>
      <w:r w:rsidRPr="006D648F">
        <w:rPr>
          <w:rFonts w:cs="Calibri"/>
          <w:sz w:val="24"/>
        </w:rPr>
        <w:t>and a deep understanding of the world</w:t>
      </w:r>
      <w:r>
        <w:rPr>
          <w:rFonts w:cs="Calibri"/>
          <w:sz w:val="24"/>
        </w:rPr>
        <w:t xml:space="preserve">, can be universally applied, and </w:t>
      </w:r>
      <w:r w:rsidRPr="006D648F">
        <w:rPr>
          <w:rFonts w:cs="Calibri"/>
          <w:sz w:val="24"/>
        </w:rPr>
        <w:t>allow</w:t>
      </w:r>
      <w:r>
        <w:rPr>
          <w:rFonts w:cs="Calibri"/>
          <w:sz w:val="24"/>
        </w:rPr>
        <w:t xml:space="preserve">s access to educational </w:t>
      </w:r>
      <w:r w:rsidRPr="006D648F">
        <w:rPr>
          <w:rFonts w:cs="Calibri"/>
          <w:sz w:val="24"/>
        </w:rPr>
        <w:t>progression</w:t>
      </w:r>
      <w:r>
        <w:rPr>
          <w:rFonts w:cs="Calibri"/>
          <w:sz w:val="24"/>
        </w:rPr>
        <w:t xml:space="preserve">) </w:t>
      </w:r>
      <w:r w:rsidRPr="006D648F">
        <w:rPr>
          <w:rFonts w:cs="Calibri"/>
          <w:sz w:val="24"/>
        </w:rPr>
        <w:t xml:space="preserve">must be made available to all students in order to ensure social justice. </w:t>
      </w:r>
    </w:p>
    <w:p w14:paraId="096C708E" w14:textId="15F5CA7F" w:rsidR="00A75A8F" w:rsidRPr="006D648F" w:rsidRDefault="003B2070" w:rsidP="00A75A8F">
      <w:pPr>
        <w:tabs>
          <w:tab w:val="left" w:pos="8647"/>
        </w:tabs>
        <w:spacing w:line="360" w:lineRule="auto"/>
        <w:rPr>
          <w:rFonts w:cs="Calibri"/>
          <w:sz w:val="24"/>
        </w:rPr>
      </w:pPr>
      <w:r>
        <w:rPr>
          <w:rFonts w:cs="Calibri"/>
          <w:sz w:val="24"/>
        </w:rPr>
        <w:t>I</w:t>
      </w:r>
      <w:r w:rsidR="00A75A8F" w:rsidRPr="006D648F">
        <w:rPr>
          <w:rFonts w:cs="Calibri"/>
          <w:sz w:val="24"/>
        </w:rPr>
        <w:t>n 1971</w:t>
      </w:r>
      <w:r>
        <w:rPr>
          <w:rFonts w:cs="Calibri"/>
          <w:sz w:val="24"/>
        </w:rPr>
        <w:t>, Young</w:t>
      </w:r>
      <w:r w:rsidR="00A75A8F" w:rsidRPr="006D648F">
        <w:rPr>
          <w:rFonts w:cs="Calibri"/>
          <w:sz w:val="24"/>
        </w:rPr>
        <w:t xml:space="preserve"> adopted a </w:t>
      </w:r>
      <w:r w:rsidR="00A75A8F">
        <w:rPr>
          <w:rFonts w:cs="Calibri"/>
          <w:sz w:val="24"/>
        </w:rPr>
        <w:t xml:space="preserve">different, </w:t>
      </w:r>
      <w:r w:rsidR="00A75A8F" w:rsidRPr="006D648F">
        <w:rPr>
          <w:rFonts w:cs="Calibri"/>
          <w:sz w:val="24"/>
        </w:rPr>
        <w:t>social constructivist position on knowledge</w:t>
      </w:r>
      <w:r w:rsidR="00A75A8F">
        <w:rPr>
          <w:rFonts w:cs="Calibri"/>
          <w:sz w:val="24"/>
        </w:rPr>
        <w:t>,</w:t>
      </w:r>
      <w:r w:rsidR="00A75A8F" w:rsidRPr="006D648F">
        <w:rPr>
          <w:rFonts w:cs="Calibri"/>
          <w:sz w:val="24"/>
        </w:rPr>
        <w:t xml:space="preserve"> arguing that knowledge is “neither absolute, nor arbitrary but as ava</w:t>
      </w:r>
      <w:r w:rsidR="0017362E">
        <w:rPr>
          <w:rFonts w:cs="Calibri"/>
          <w:sz w:val="24"/>
        </w:rPr>
        <w:t xml:space="preserve">ilable sets of meanings” (p.3). This </w:t>
      </w:r>
      <w:r>
        <w:rPr>
          <w:rFonts w:cs="Calibri"/>
          <w:sz w:val="24"/>
        </w:rPr>
        <w:t xml:space="preserve">idea of </w:t>
      </w:r>
      <w:r w:rsidR="0017362E">
        <w:rPr>
          <w:rFonts w:cs="Calibri"/>
          <w:sz w:val="24"/>
        </w:rPr>
        <w:t>knowledge</w:t>
      </w:r>
      <w:r w:rsidR="00A75A8F" w:rsidRPr="006D648F">
        <w:rPr>
          <w:rFonts w:cs="Calibri"/>
          <w:sz w:val="24"/>
        </w:rPr>
        <w:t xml:space="preserve"> as </w:t>
      </w:r>
      <w:r>
        <w:rPr>
          <w:rFonts w:cs="Calibri"/>
          <w:sz w:val="24"/>
        </w:rPr>
        <w:t xml:space="preserve">being </w:t>
      </w:r>
      <w:r w:rsidR="00A75A8F" w:rsidRPr="006D648F">
        <w:rPr>
          <w:rFonts w:cs="Calibri"/>
          <w:sz w:val="24"/>
        </w:rPr>
        <w:t>social</w:t>
      </w:r>
      <w:r w:rsidR="00A75A8F">
        <w:rPr>
          <w:rFonts w:cs="Calibri"/>
          <w:sz w:val="24"/>
        </w:rPr>
        <w:t>ly co</w:t>
      </w:r>
      <w:r w:rsidR="0017362E">
        <w:rPr>
          <w:rFonts w:cs="Calibri"/>
          <w:sz w:val="24"/>
        </w:rPr>
        <w:t>nstructed</w:t>
      </w:r>
      <w:r w:rsidR="00A75A8F" w:rsidRPr="006D648F">
        <w:rPr>
          <w:rFonts w:cs="Calibri"/>
          <w:sz w:val="24"/>
        </w:rPr>
        <w:t xml:space="preserve"> is now argued by Young to have prevented coherent discussion and </w:t>
      </w:r>
      <w:r w:rsidR="00125B0F">
        <w:rPr>
          <w:rFonts w:cs="Calibri"/>
          <w:sz w:val="24"/>
        </w:rPr>
        <w:t>policy contribution</w:t>
      </w:r>
      <w:r w:rsidR="00A75A8F" w:rsidRPr="006D648F">
        <w:rPr>
          <w:rFonts w:cs="Calibri"/>
          <w:sz w:val="24"/>
        </w:rPr>
        <w:t xml:space="preserve"> by education researchers about what knowledge is important and</w:t>
      </w:r>
      <w:r w:rsidR="00A75A8F">
        <w:rPr>
          <w:rFonts w:cs="Calibri"/>
          <w:sz w:val="24"/>
        </w:rPr>
        <w:t xml:space="preserve"> </w:t>
      </w:r>
      <w:r w:rsidR="00A75A8F" w:rsidRPr="006D648F">
        <w:rPr>
          <w:rFonts w:cs="Calibri"/>
          <w:sz w:val="24"/>
        </w:rPr>
        <w:t xml:space="preserve">should be taught in schools. Young </w:t>
      </w:r>
      <w:r w:rsidR="00A75A8F">
        <w:rPr>
          <w:rFonts w:cs="Calibri"/>
          <w:sz w:val="24"/>
        </w:rPr>
        <w:t>argues</w:t>
      </w:r>
      <w:r w:rsidR="00A75A8F" w:rsidRPr="006D648F">
        <w:rPr>
          <w:rFonts w:cs="Calibri"/>
          <w:sz w:val="24"/>
        </w:rPr>
        <w:t xml:space="preserve"> that this omission has led to a situation where the knowledge available in schools, as seen by the expansion of qualifications</w:t>
      </w:r>
      <w:r>
        <w:rPr>
          <w:rFonts w:cs="Calibri"/>
          <w:sz w:val="24"/>
        </w:rPr>
        <w:t>,</w:t>
      </w:r>
      <w:r w:rsidR="00A75A8F" w:rsidRPr="006D648F">
        <w:rPr>
          <w:rFonts w:cs="Calibri"/>
          <w:sz w:val="24"/>
        </w:rPr>
        <w:t xml:space="preserve"> particular</w:t>
      </w:r>
      <w:r>
        <w:rPr>
          <w:rFonts w:cs="Calibri"/>
          <w:sz w:val="24"/>
        </w:rPr>
        <w:t>ly</w:t>
      </w:r>
      <w:r w:rsidR="00A75A8F" w:rsidRPr="006D648F">
        <w:rPr>
          <w:rFonts w:cs="Calibri"/>
          <w:sz w:val="24"/>
        </w:rPr>
        <w:t xml:space="preserve"> vocational </w:t>
      </w:r>
      <w:r>
        <w:rPr>
          <w:rFonts w:cs="Calibri"/>
          <w:sz w:val="24"/>
        </w:rPr>
        <w:t>ones</w:t>
      </w:r>
      <w:r w:rsidR="00A75A8F" w:rsidRPr="006D648F">
        <w:rPr>
          <w:rFonts w:cs="Calibri"/>
          <w:sz w:val="24"/>
        </w:rPr>
        <w:t>, has bee</w:t>
      </w:r>
      <w:r w:rsidR="00B9349C">
        <w:rPr>
          <w:rFonts w:cs="Calibri"/>
          <w:sz w:val="24"/>
        </w:rPr>
        <w:t>n</w:t>
      </w:r>
      <w:r w:rsidR="00A75A8F" w:rsidRPr="006D648F">
        <w:rPr>
          <w:rFonts w:cs="Calibri"/>
          <w:sz w:val="24"/>
        </w:rPr>
        <w:t xml:space="preserve"> extended such that </w:t>
      </w:r>
      <w:r w:rsidR="00A75A8F">
        <w:rPr>
          <w:rFonts w:cs="Calibri"/>
          <w:sz w:val="24"/>
        </w:rPr>
        <w:t xml:space="preserve">qualification </w:t>
      </w:r>
      <w:r w:rsidR="00A75A8F" w:rsidRPr="006D648F">
        <w:rPr>
          <w:rFonts w:cs="Calibri"/>
          <w:sz w:val="24"/>
        </w:rPr>
        <w:t>value</w:t>
      </w:r>
      <w:r w:rsidR="00B9349C">
        <w:rPr>
          <w:rFonts w:cs="Calibri"/>
          <w:sz w:val="24"/>
        </w:rPr>
        <w:t>s</w:t>
      </w:r>
      <w:r w:rsidR="00A75A8F" w:rsidRPr="006D648F">
        <w:rPr>
          <w:rFonts w:cs="Calibri"/>
          <w:sz w:val="24"/>
        </w:rPr>
        <w:t xml:space="preserve"> </w:t>
      </w:r>
      <w:r w:rsidR="00B9349C">
        <w:rPr>
          <w:rFonts w:cs="Calibri"/>
          <w:sz w:val="24"/>
        </w:rPr>
        <w:t>have been</w:t>
      </w:r>
      <w:r w:rsidR="00A75A8F" w:rsidRPr="006D648F">
        <w:rPr>
          <w:rFonts w:cs="Calibri"/>
          <w:sz w:val="24"/>
        </w:rPr>
        <w:t xml:space="preserve"> eroded and so</w:t>
      </w:r>
      <w:r w:rsidR="00125B0F">
        <w:rPr>
          <w:rFonts w:cs="Calibri"/>
          <w:sz w:val="24"/>
        </w:rPr>
        <w:t>me students have been</w:t>
      </w:r>
      <w:r w:rsidR="00B9349C">
        <w:rPr>
          <w:rFonts w:cs="Calibri"/>
          <w:sz w:val="24"/>
        </w:rPr>
        <w:t xml:space="preserve"> misdirected</w:t>
      </w:r>
      <w:r w:rsidR="00A75A8F" w:rsidRPr="006D648F">
        <w:rPr>
          <w:rFonts w:cs="Calibri"/>
          <w:sz w:val="24"/>
        </w:rPr>
        <w:t xml:space="preserve"> to</w:t>
      </w:r>
      <w:r w:rsidR="00B9349C">
        <w:rPr>
          <w:rFonts w:cs="Calibri"/>
          <w:sz w:val="24"/>
        </w:rPr>
        <w:t xml:space="preserve">wards </w:t>
      </w:r>
      <w:r w:rsidR="00A75A8F" w:rsidRPr="006D648F">
        <w:rPr>
          <w:rFonts w:cs="Calibri"/>
          <w:sz w:val="24"/>
        </w:rPr>
        <w:t xml:space="preserve">courses that do not adequately prepare them for future </w:t>
      </w:r>
      <w:r w:rsidR="00A75A8F">
        <w:rPr>
          <w:rFonts w:cs="Calibri"/>
          <w:sz w:val="24"/>
        </w:rPr>
        <w:t xml:space="preserve">educational </w:t>
      </w:r>
      <w:r w:rsidR="00125B0F">
        <w:rPr>
          <w:rFonts w:cs="Calibri"/>
          <w:sz w:val="24"/>
        </w:rPr>
        <w:t>or career progression</w:t>
      </w:r>
      <w:r w:rsidR="00A75A8F" w:rsidRPr="006D648F">
        <w:rPr>
          <w:rFonts w:cs="Calibri"/>
          <w:sz w:val="24"/>
        </w:rPr>
        <w:t xml:space="preserve">. </w:t>
      </w:r>
    </w:p>
    <w:p w14:paraId="2026B40E" w14:textId="338C1C72" w:rsidR="00A75A8F" w:rsidRPr="006D648F" w:rsidRDefault="00A75A8F" w:rsidP="00A75A8F">
      <w:pPr>
        <w:tabs>
          <w:tab w:val="left" w:pos="8364"/>
        </w:tabs>
        <w:spacing w:line="360" w:lineRule="auto"/>
        <w:rPr>
          <w:rFonts w:cs="Calibri"/>
          <w:sz w:val="24"/>
        </w:rPr>
      </w:pPr>
      <w:r w:rsidRPr="006D648F">
        <w:rPr>
          <w:rFonts w:cs="Calibri"/>
          <w:sz w:val="24"/>
        </w:rPr>
        <w:t xml:space="preserve">Moore and Young </w:t>
      </w:r>
      <w:r>
        <w:rPr>
          <w:rFonts w:cs="Calibri"/>
          <w:sz w:val="24"/>
        </w:rPr>
        <w:t xml:space="preserve">(2001) </w:t>
      </w:r>
      <w:r w:rsidR="00125B0F">
        <w:rPr>
          <w:rFonts w:cs="Calibri"/>
          <w:sz w:val="24"/>
        </w:rPr>
        <w:t xml:space="preserve">comment that </w:t>
      </w:r>
      <w:r w:rsidRPr="006D648F">
        <w:rPr>
          <w:rFonts w:cs="Calibri"/>
          <w:sz w:val="24"/>
        </w:rPr>
        <w:t>theory of knowledge</w:t>
      </w:r>
      <w:r w:rsidR="00B9349C" w:rsidRPr="00B9349C">
        <w:rPr>
          <w:rFonts w:cs="Calibri"/>
          <w:sz w:val="24"/>
        </w:rPr>
        <w:t xml:space="preserve"> </w:t>
      </w:r>
      <w:r w:rsidR="00B9349C">
        <w:rPr>
          <w:rFonts w:cs="Calibri"/>
          <w:sz w:val="24"/>
        </w:rPr>
        <w:t xml:space="preserve">is </w:t>
      </w:r>
      <w:r w:rsidR="00B9349C" w:rsidRPr="006D648F">
        <w:rPr>
          <w:rFonts w:cs="Calibri"/>
          <w:sz w:val="24"/>
        </w:rPr>
        <w:t xml:space="preserve">missing from the </w:t>
      </w:r>
      <w:r w:rsidR="00B9349C">
        <w:rPr>
          <w:rFonts w:cs="Calibri"/>
          <w:sz w:val="24"/>
        </w:rPr>
        <w:t>current curriculum debate</w:t>
      </w:r>
      <w:r>
        <w:rPr>
          <w:rFonts w:cs="Calibri"/>
          <w:sz w:val="24"/>
        </w:rPr>
        <w:t xml:space="preserve">, claiming that </w:t>
      </w:r>
      <w:r w:rsidR="00B9349C">
        <w:rPr>
          <w:rFonts w:cs="Calibri"/>
          <w:sz w:val="24"/>
        </w:rPr>
        <w:t xml:space="preserve">the </w:t>
      </w:r>
      <w:r w:rsidRPr="006D648F">
        <w:rPr>
          <w:rFonts w:cs="Calibri"/>
          <w:sz w:val="24"/>
        </w:rPr>
        <w:t>relativist appro</w:t>
      </w:r>
      <w:r w:rsidR="00125B0F">
        <w:rPr>
          <w:rFonts w:cs="Calibri"/>
          <w:sz w:val="24"/>
        </w:rPr>
        <w:t xml:space="preserve">ach to knowledge </w:t>
      </w:r>
      <w:r w:rsidR="00B9349C">
        <w:rPr>
          <w:rFonts w:cs="Calibri"/>
          <w:sz w:val="24"/>
        </w:rPr>
        <w:t xml:space="preserve">makes </w:t>
      </w:r>
      <w:r w:rsidR="00125B0F">
        <w:rPr>
          <w:rFonts w:cs="Calibri"/>
          <w:sz w:val="24"/>
        </w:rPr>
        <w:t xml:space="preserve">it </w:t>
      </w:r>
      <w:r w:rsidRPr="006D648F">
        <w:rPr>
          <w:rFonts w:cs="Calibri"/>
          <w:sz w:val="24"/>
        </w:rPr>
        <w:t xml:space="preserve">impossible </w:t>
      </w:r>
      <w:r w:rsidRPr="006D648F">
        <w:rPr>
          <w:rFonts w:cs="Calibri"/>
          <w:sz w:val="24"/>
        </w:rPr>
        <w:lastRenderedPageBreak/>
        <w:t xml:space="preserve">to argue that any </w:t>
      </w:r>
      <w:r>
        <w:rPr>
          <w:rFonts w:cs="Calibri"/>
          <w:sz w:val="24"/>
        </w:rPr>
        <w:t>one configuration</w:t>
      </w:r>
      <w:r w:rsidRPr="006D648F">
        <w:rPr>
          <w:rFonts w:cs="Calibri"/>
          <w:sz w:val="24"/>
        </w:rPr>
        <w:t xml:space="preserve"> of knowledge is any more important than another. </w:t>
      </w:r>
      <w:r>
        <w:rPr>
          <w:rFonts w:cs="Calibri"/>
          <w:sz w:val="24"/>
        </w:rPr>
        <w:t>I</w:t>
      </w:r>
      <w:r w:rsidRPr="006D648F">
        <w:rPr>
          <w:rFonts w:cs="Calibri"/>
          <w:sz w:val="24"/>
        </w:rPr>
        <w:t xml:space="preserve">n his </w:t>
      </w:r>
      <w:r>
        <w:rPr>
          <w:rFonts w:cs="Calibri"/>
          <w:sz w:val="24"/>
        </w:rPr>
        <w:t xml:space="preserve">2008 </w:t>
      </w:r>
      <w:r w:rsidRPr="006D648F">
        <w:rPr>
          <w:rFonts w:cs="Calibri"/>
          <w:sz w:val="24"/>
        </w:rPr>
        <w:t>work</w:t>
      </w:r>
      <w:r>
        <w:rPr>
          <w:rFonts w:cs="Calibri"/>
          <w:sz w:val="24"/>
        </w:rPr>
        <w:t>,</w:t>
      </w:r>
      <w:r w:rsidRPr="006D648F">
        <w:rPr>
          <w:rFonts w:cs="Calibri"/>
          <w:sz w:val="24"/>
        </w:rPr>
        <w:t xml:space="preserve"> </w:t>
      </w:r>
      <w:r>
        <w:rPr>
          <w:rFonts w:cs="Calibri"/>
          <w:sz w:val="24"/>
        </w:rPr>
        <w:t xml:space="preserve">Young </w:t>
      </w:r>
      <w:r w:rsidRPr="006D648F">
        <w:rPr>
          <w:rFonts w:cs="Calibri"/>
          <w:sz w:val="24"/>
        </w:rPr>
        <w:t>states that:</w:t>
      </w:r>
    </w:p>
    <w:p w14:paraId="07D646F8" w14:textId="0FAD4A06" w:rsidR="00A75A8F" w:rsidRPr="006D648F" w:rsidRDefault="00A75A8F" w:rsidP="00A75A8F">
      <w:pPr>
        <w:spacing w:line="240" w:lineRule="auto"/>
        <w:ind w:left="720"/>
        <w:rPr>
          <w:rFonts w:cs="Calibri"/>
          <w:sz w:val="24"/>
        </w:rPr>
      </w:pPr>
      <w:r w:rsidRPr="006D648F">
        <w:rPr>
          <w:rFonts w:cs="Calibri"/>
          <w:sz w:val="24"/>
        </w:rPr>
        <w:t>Without a theory of what knowledge is important and its role in the curriculum, curriculum specialists are left with little more than a sense of unease about the likely consequences of premature vocationalism, and a reluctance to appear elitist by defending the subject-based curriculum – b</w:t>
      </w:r>
      <w:r w:rsidR="00125B0F">
        <w:rPr>
          <w:rFonts w:cs="Calibri"/>
          <w:sz w:val="24"/>
        </w:rPr>
        <w:t>ut no viable alternative (</w:t>
      </w:r>
      <w:r w:rsidRPr="006D648F">
        <w:rPr>
          <w:rFonts w:cs="Calibri"/>
          <w:sz w:val="24"/>
        </w:rPr>
        <w:t xml:space="preserve">p.84). </w:t>
      </w:r>
    </w:p>
    <w:p w14:paraId="426D4F51" w14:textId="3D34AFE5" w:rsidR="00A75A8F" w:rsidRDefault="00125B0F" w:rsidP="00A75A8F">
      <w:pPr>
        <w:tabs>
          <w:tab w:val="left" w:pos="8505"/>
          <w:tab w:val="left" w:pos="8647"/>
        </w:tabs>
        <w:spacing w:line="360" w:lineRule="auto"/>
        <w:rPr>
          <w:rFonts w:cs="Calibri"/>
          <w:sz w:val="24"/>
        </w:rPr>
      </w:pPr>
      <w:r>
        <w:rPr>
          <w:rFonts w:cs="Calibri"/>
          <w:sz w:val="24"/>
        </w:rPr>
        <w:t>He</w:t>
      </w:r>
      <w:r w:rsidR="00A75A8F" w:rsidRPr="006D648F">
        <w:rPr>
          <w:rFonts w:cs="Calibri"/>
          <w:sz w:val="24"/>
        </w:rPr>
        <w:t xml:space="preserve"> goes onto present his arguments for a curriculum knowledge theory based on social realism</w:t>
      </w:r>
      <w:r w:rsidR="00A75A8F">
        <w:rPr>
          <w:rFonts w:cs="Calibri"/>
          <w:sz w:val="24"/>
        </w:rPr>
        <w:t>.</w:t>
      </w:r>
      <w:r w:rsidR="00A75A8F" w:rsidRPr="006D648F">
        <w:rPr>
          <w:rFonts w:cs="Calibri"/>
          <w:sz w:val="24"/>
        </w:rPr>
        <w:t xml:space="preserve"> This theory accepts that while knowledge is socially and historica</w:t>
      </w:r>
      <w:r>
        <w:rPr>
          <w:rFonts w:cs="Calibri"/>
          <w:sz w:val="24"/>
        </w:rPr>
        <w:t>lly created and situated</w:t>
      </w:r>
      <w:r w:rsidR="00B9349C">
        <w:rPr>
          <w:rFonts w:cs="Calibri"/>
          <w:sz w:val="24"/>
        </w:rPr>
        <w:t>,</w:t>
      </w:r>
      <w:r>
        <w:rPr>
          <w:rFonts w:cs="Calibri"/>
          <w:sz w:val="24"/>
        </w:rPr>
        <w:t xml:space="preserve"> it</w:t>
      </w:r>
      <w:r w:rsidR="00A75A8F" w:rsidRPr="006D648F">
        <w:rPr>
          <w:rFonts w:cs="Calibri"/>
          <w:sz w:val="24"/>
        </w:rPr>
        <w:t xml:space="preserve"> also contain</w:t>
      </w:r>
      <w:r>
        <w:rPr>
          <w:rFonts w:cs="Calibri"/>
          <w:sz w:val="24"/>
        </w:rPr>
        <w:t>s</w:t>
      </w:r>
      <w:r w:rsidR="00A75A8F" w:rsidRPr="006D648F">
        <w:rPr>
          <w:rFonts w:cs="Calibri"/>
          <w:sz w:val="24"/>
        </w:rPr>
        <w:t xml:space="preserve"> emergent properties that mean that </w:t>
      </w:r>
      <w:r w:rsidR="00B9349C">
        <w:rPr>
          <w:rFonts w:cs="Calibri"/>
          <w:sz w:val="24"/>
        </w:rPr>
        <w:t xml:space="preserve">some </w:t>
      </w:r>
      <w:r w:rsidR="00A75A8F" w:rsidRPr="006D648F">
        <w:rPr>
          <w:rFonts w:cs="Calibri"/>
          <w:sz w:val="24"/>
        </w:rPr>
        <w:t xml:space="preserve">knowledge sits beyond the preserve of any one interest group. </w:t>
      </w:r>
      <w:r w:rsidR="00A75A8F">
        <w:rPr>
          <w:rFonts w:cs="Calibri"/>
          <w:sz w:val="24"/>
        </w:rPr>
        <w:t>Young</w:t>
      </w:r>
      <w:r w:rsidR="00A75A8F" w:rsidRPr="006D648F">
        <w:rPr>
          <w:rFonts w:cs="Calibri"/>
          <w:sz w:val="24"/>
        </w:rPr>
        <w:t xml:space="preserve"> argues for </w:t>
      </w:r>
      <w:r w:rsidR="00A75A8F">
        <w:rPr>
          <w:rFonts w:cs="Calibri"/>
          <w:sz w:val="24"/>
        </w:rPr>
        <w:t>a</w:t>
      </w:r>
      <w:r w:rsidR="00A75A8F" w:rsidRPr="006D648F">
        <w:rPr>
          <w:rFonts w:cs="Calibri"/>
          <w:sz w:val="24"/>
        </w:rPr>
        <w:t xml:space="preserve"> distinction between theoretical knowledge and everyday knowledge. </w:t>
      </w:r>
    </w:p>
    <w:p w14:paraId="7688AB3E" w14:textId="40846439" w:rsidR="00A75A8F" w:rsidRDefault="00A75A8F" w:rsidP="00A75A8F">
      <w:pPr>
        <w:tabs>
          <w:tab w:val="left" w:pos="7513"/>
        </w:tabs>
        <w:spacing w:line="360" w:lineRule="auto"/>
        <w:rPr>
          <w:rFonts w:cs="Calibri"/>
          <w:sz w:val="24"/>
        </w:rPr>
      </w:pPr>
      <w:r w:rsidRPr="006D648F">
        <w:rPr>
          <w:rFonts w:cs="Calibri"/>
          <w:sz w:val="24"/>
        </w:rPr>
        <w:t xml:space="preserve">The EBac is built on the notion that the </w:t>
      </w:r>
      <w:r>
        <w:rPr>
          <w:rFonts w:cs="Calibri"/>
          <w:sz w:val="24"/>
        </w:rPr>
        <w:t xml:space="preserve">stipulated </w:t>
      </w:r>
      <w:r w:rsidRPr="006D648F">
        <w:rPr>
          <w:rFonts w:cs="Calibri"/>
          <w:sz w:val="24"/>
        </w:rPr>
        <w:t xml:space="preserve">knowledge within subjects </w:t>
      </w:r>
      <w:r w:rsidR="00B9349C">
        <w:rPr>
          <w:rFonts w:cs="Calibri"/>
          <w:sz w:val="24"/>
        </w:rPr>
        <w:t xml:space="preserve">is </w:t>
      </w:r>
      <w:r w:rsidR="00125B0F">
        <w:rPr>
          <w:rFonts w:cs="Calibri"/>
          <w:sz w:val="24"/>
        </w:rPr>
        <w:t>essential</w:t>
      </w:r>
      <w:r>
        <w:rPr>
          <w:rFonts w:cs="Calibri"/>
          <w:sz w:val="24"/>
        </w:rPr>
        <w:t xml:space="preserve"> </w:t>
      </w:r>
      <w:r w:rsidRPr="006D648F">
        <w:rPr>
          <w:rFonts w:cs="Calibri"/>
          <w:sz w:val="24"/>
        </w:rPr>
        <w:t>theoretical knowledge</w:t>
      </w:r>
      <w:r>
        <w:rPr>
          <w:rFonts w:cs="Calibri"/>
          <w:sz w:val="24"/>
        </w:rPr>
        <w:t>, allowing future educational progression</w:t>
      </w:r>
      <w:r w:rsidR="00125B0F">
        <w:rPr>
          <w:rFonts w:cs="Calibri"/>
          <w:sz w:val="24"/>
        </w:rPr>
        <w:t xml:space="preserve">. </w:t>
      </w:r>
      <w:r>
        <w:rPr>
          <w:rFonts w:cs="Calibri"/>
          <w:sz w:val="24"/>
        </w:rPr>
        <w:t>T</w:t>
      </w:r>
      <w:r w:rsidRPr="006D648F">
        <w:rPr>
          <w:rFonts w:cs="Calibri"/>
          <w:sz w:val="24"/>
        </w:rPr>
        <w:t xml:space="preserve">he act of studying and being immersed in the prescribed subject disciplines </w:t>
      </w:r>
      <w:r>
        <w:rPr>
          <w:rFonts w:cs="Calibri"/>
          <w:sz w:val="24"/>
        </w:rPr>
        <w:t xml:space="preserve">and </w:t>
      </w:r>
      <w:r w:rsidR="00B9349C">
        <w:rPr>
          <w:rFonts w:cs="Calibri"/>
          <w:sz w:val="24"/>
        </w:rPr>
        <w:t>associated</w:t>
      </w:r>
      <w:r>
        <w:rPr>
          <w:rFonts w:cs="Calibri"/>
          <w:sz w:val="24"/>
        </w:rPr>
        <w:t xml:space="preserve"> core knowledge </w:t>
      </w:r>
      <w:r w:rsidRPr="006D648F">
        <w:rPr>
          <w:rFonts w:cs="Calibri"/>
          <w:sz w:val="24"/>
        </w:rPr>
        <w:t>is seen as b</w:t>
      </w:r>
      <w:r w:rsidR="00125B0F">
        <w:rPr>
          <w:rFonts w:cs="Calibri"/>
          <w:sz w:val="24"/>
        </w:rPr>
        <w:t>eing of value in its own right (see</w:t>
      </w:r>
      <w:r>
        <w:rPr>
          <w:rFonts w:cs="Calibri"/>
          <w:sz w:val="24"/>
        </w:rPr>
        <w:t xml:space="preserve"> discussion of Feinberg, 198</w:t>
      </w:r>
      <w:r w:rsidR="00545A83">
        <w:rPr>
          <w:rFonts w:cs="Calibri"/>
          <w:sz w:val="24"/>
        </w:rPr>
        <w:t>3</w:t>
      </w:r>
      <w:r w:rsidR="009119D4">
        <w:rPr>
          <w:rFonts w:cs="Calibri"/>
          <w:sz w:val="24"/>
        </w:rPr>
        <w:t>,</w:t>
      </w:r>
      <w:r w:rsidR="00B9349C">
        <w:rPr>
          <w:rFonts w:cs="Calibri"/>
          <w:sz w:val="24"/>
        </w:rPr>
        <w:t xml:space="preserve"> in</w:t>
      </w:r>
      <w:r w:rsidR="00545A83">
        <w:rPr>
          <w:rFonts w:cs="Calibri"/>
          <w:sz w:val="24"/>
        </w:rPr>
        <w:t xml:space="preserve"> </w:t>
      </w:r>
      <w:r w:rsidR="00B9349C">
        <w:rPr>
          <w:rFonts w:cs="Calibri"/>
          <w:sz w:val="24"/>
        </w:rPr>
        <w:t>S</w:t>
      </w:r>
      <w:r w:rsidR="00545A83">
        <w:rPr>
          <w:rFonts w:cs="Calibri"/>
          <w:sz w:val="24"/>
        </w:rPr>
        <w:t>ection</w:t>
      </w:r>
      <w:r w:rsidR="00B9349C">
        <w:rPr>
          <w:rFonts w:cs="Calibri"/>
          <w:sz w:val="24"/>
        </w:rPr>
        <w:t>s</w:t>
      </w:r>
      <w:r w:rsidR="00545A83">
        <w:rPr>
          <w:rFonts w:cs="Calibri"/>
          <w:sz w:val="24"/>
        </w:rPr>
        <w:t xml:space="preserve"> 2.2 and 2.5.2</w:t>
      </w:r>
      <w:r>
        <w:rPr>
          <w:rFonts w:cs="Calibri"/>
          <w:sz w:val="24"/>
        </w:rPr>
        <w:t xml:space="preserve">). </w:t>
      </w:r>
    </w:p>
    <w:p w14:paraId="741E5B09" w14:textId="77777777" w:rsidR="00A75A8F" w:rsidRPr="00A83D2F" w:rsidRDefault="00A75A8F" w:rsidP="00531995">
      <w:pPr>
        <w:pStyle w:val="Heading3"/>
      </w:pPr>
      <w:bookmarkStart w:id="29" w:name="_Toc452316314"/>
      <w:r w:rsidRPr="00A83D2F">
        <w:t>2.5.2 Core Knowledge</w:t>
      </w:r>
      <w:bookmarkEnd w:id="29"/>
    </w:p>
    <w:p w14:paraId="4B976FAA" w14:textId="3084BD48" w:rsidR="00A75A8F" w:rsidRPr="006D648F" w:rsidRDefault="00A75A8F" w:rsidP="00A75A8F">
      <w:pPr>
        <w:spacing w:line="360" w:lineRule="auto"/>
        <w:rPr>
          <w:rFonts w:cs="Calibri"/>
          <w:sz w:val="24"/>
        </w:rPr>
      </w:pPr>
      <w:r>
        <w:rPr>
          <w:rFonts w:cs="Calibri"/>
          <w:sz w:val="24"/>
        </w:rPr>
        <w:t>One area of importance in the thinking of the Coalition gove</w:t>
      </w:r>
      <w:r w:rsidR="00125B0F">
        <w:rPr>
          <w:rFonts w:cs="Calibri"/>
          <w:sz w:val="24"/>
        </w:rPr>
        <w:t xml:space="preserve">rnment </w:t>
      </w:r>
      <w:r w:rsidR="00072002">
        <w:rPr>
          <w:rFonts w:cs="Calibri"/>
          <w:sz w:val="24"/>
        </w:rPr>
        <w:t xml:space="preserve">with the EBac </w:t>
      </w:r>
      <w:r w:rsidR="00125B0F">
        <w:rPr>
          <w:rFonts w:cs="Calibri"/>
          <w:sz w:val="24"/>
        </w:rPr>
        <w:t>has been the work of</w:t>
      </w:r>
      <w:r>
        <w:rPr>
          <w:rFonts w:cs="Calibri"/>
          <w:sz w:val="24"/>
        </w:rPr>
        <w:t xml:space="preserve"> </w:t>
      </w:r>
      <w:r w:rsidRPr="006D648F">
        <w:rPr>
          <w:rFonts w:cs="Calibri"/>
          <w:sz w:val="24"/>
        </w:rPr>
        <w:t>Hirsch (1996, 2002)</w:t>
      </w:r>
      <w:r>
        <w:rPr>
          <w:rFonts w:cs="Calibri"/>
          <w:sz w:val="24"/>
        </w:rPr>
        <w:t>.</w:t>
      </w:r>
      <w:r w:rsidRPr="006D648F">
        <w:rPr>
          <w:rFonts w:cs="Calibri"/>
          <w:sz w:val="24"/>
        </w:rPr>
        <w:t xml:space="preserve"> </w:t>
      </w:r>
      <w:r>
        <w:rPr>
          <w:rFonts w:cs="Calibri"/>
          <w:sz w:val="24"/>
        </w:rPr>
        <w:t>He</w:t>
      </w:r>
      <w:r w:rsidRPr="006D648F">
        <w:rPr>
          <w:rFonts w:cs="Calibri"/>
          <w:sz w:val="24"/>
        </w:rPr>
        <w:t xml:space="preserve"> produced extensive literature criticising the US system of education and</w:t>
      </w:r>
      <w:r w:rsidR="00125B0F">
        <w:rPr>
          <w:rFonts w:cs="Calibri"/>
          <w:sz w:val="24"/>
        </w:rPr>
        <w:t xml:space="preserve"> curriculum. He</w:t>
      </w:r>
      <w:r w:rsidR="003177C0">
        <w:rPr>
          <w:rFonts w:cs="Calibri"/>
          <w:sz w:val="24"/>
        </w:rPr>
        <w:t xml:space="preserve"> argues</w:t>
      </w:r>
      <w:r w:rsidRPr="006D648F">
        <w:rPr>
          <w:rFonts w:cs="Calibri"/>
          <w:sz w:val="24"/>
        </w:rPr>
        <w:t xml:space="preserve"> that a de-centralised, progressive, liberal education den</w:t>
      </w:r>
      <w:r w:rsidR="003177C0">
        <w:rPr>
          <w:rFonts w:cs="Calibri"/>
          <w:sz w:val="24"/>
        </w:rPr>
        <w:t>ies</w:t>
      </w:r>
      <w:r w:rsidRPr="006D648F">
        <w:rPr>
          <w:rFonts w:cs="Calibri"/>
          <w:sz w:val="24"/>
        </w:rPr>
        <w:t xml:space="preserve"> </w:t>
      </w:r>
      <w:r>
        <w:rPr>
          <w:rFonts w:cs="Calibri"/>
          <w:sz w:val="24"/>
        </w:rPr>
        <w:t>students</w:t>
      </w:r>
      <w:r w:rsidRPr="006D648F">
        <w:rPr>
          <w:rFonts w:cs="Calibri"/>
          <w:sz w:val="24"/>
        </w:rPr>
        <w:t xml:space="preserve">, especially those from poorer backgrounds, the opportunities to acquire the necessary knowledge </w:t>
      </w:r>
      <w:r w:rsidR="00072002">
        <w:rPr>
          <w:rFonts w:cs="Calibri"/>
          <w:sz w:val="24"/>
        </w:rPr>
        <w:t>for future progression</w:t>
      </w:r>
      <w:r w:rsidR="003177C0">
        <w:rPr>
          <w:rFonts w:cs="Calibri"/>
          <w:sz w:val="24"/>
        </w:rPr>
        <w:t>. He utilises</w:t>
      </w:r>
      <w:r w:rsidRPr="006D648F">
        <w:rPr>
          <w:rFonts w:cs="Calibri"/>
          <w:sz w:val="24"/>
        </w:rPr>
        <w:t xml:space="preserve"> the concept of </w:t>
      </w:r>
      <w:r>
        <w:rPr>
          <w:rFonts w:cs="Calibri"/>
          <w:sz w:val="24"/>
        </w:rPr>
        <w:t>“</w:t>
      </w:r>
      <w:r w:rsidRPr="006D648F">
        <w:rPr>
          <w:rFonts w:cs="Calibri"/>
          <w:sz w:val="24"/>
        </w:rPr>
        <w:t>cultural literacy</w:t>
      </w:r>
      <w:r>
        <w:rPr>
          <w:rFonts w:cs="Calibri"/>
          <w:sz w:val="24"/>
        </w:rPr>
        <w:t>”</w:t>
      </w:r>
      <w:r w:rsidRPr="006D648F">
        <w:rPr>
          <w:rFonts w:cs="Calibri"/>
          <w:sz w:val="24"/>
        </w:rPr>
        <w:t xml:space="preserve"> – the taken</w:t>
      </w:r>
      <w:r w:rsidR="00072002">
        <w:rPr>
          <w:rFonts w:cs="Calibri"/>
          <w:sz w:val="24"/>
        </w:rPr>
        <w:t>-</w:t>
      </w:r>
      <w:r w:rsidRPr="006D648F">
        <w:rPr>
          <w:rFonts w:cs="Calibri"/>
          <w:sz w:val="24"/>
        </w:rPr>
        <w:t>for</w:t>
      </w:r>
      <w:r w:rsidR="00072002">
        <w:rPr>
          <w:rFonts w:cs="Calibri"/>
          <w:sz w:val="24"/>
        </w:rPr>
        <w:t>-</w:t>
      </w:r>
      <w:r w:rsidRPr="006D648F">
        <w:rPr>
          <w:rFonts w:cs="Calibri"/>
          <w:sz w:val="24"/>
        </w:rPr>
        <w:t>granted knowledge and concepts that exist in any society</w:t>
      </w:r>
      <w:r w:rsidR="00072002">
        <w:rPr>
          <w:rFonts w:cs="Calibri"/>
          <w:sz w:val="24"/>
        </w:rPr>
        <w:t xml:space="preserve">, </w:t>
      </w:r>
      <w:r w:rsidRPr="006D648F">
        <w:rPr>
          <w:rFonts w:cs="Calibri"/>
          <w:sz w:val="24"/>
        </w:rPr>
        <w:t xml:space="preserve">which </w:t>
      </w:r>
      <w:r>
        <w:rPr>
          <w:rFonts w:cs="Calibri"/>
          <w:sz w:val="24"/>
        </w:rPr>
        <w:t>Hirsch believes are required to allow full access to society.</w:t>
      </w:r>
      <w:r w:rsidRPr="006D648F">
        <w:rPr>
          <w:rFonts w:cs="Calibri"/>
          <w:sz w:val="24"/>
        </w:rPr>
        <w:t xml:space="preserve"> He </w:t>
      </w:r>
      <w:r>
        <w:rPr>
          <w:rFonts w:cs="Calibri"/>
          <w:sz w:val="24"/>
        </w:rPr>
        <w:t xml:space="preserve">remarks: </w:t>
      </w:r>
    </w:p>
    <w:p w14:paraId="0BA3AF4B" w14:textId="77777777" w:rsidR="00A75A8F" w:rsidRPr="006D648F" w:rsidRDefault="00A75A8F" w:rsidP="00A75A8F">
      <w:pPr>
        <w:spacing w:line="240" w:lineRule="auto"/>
        <w:ind w:left="720"/>
        <w:rPr>
          <w:rFonts w:cs="Calibri"/>
          <w:sz w:val="24"/>
        </w:rPr>
      </w:pPr>
      <w:r w:rsidRPr="006D648F">
        <w:rPr>
          <w:rFonts w:cs="Calibri"/>
          <w:sz w:val="24"/>
        </w:rPr>
        <w:t>People who already know a lot tend to learn new things faster and more easily tha</w:t>
      </w:r>
      <w:r>
        <w:rPr>
          <w:rFonts w:cs="Calibri"/>
          <w:sz w:val="24"/>
        </w:rPr>
        <w:t>n</w:t>
      </w:r>
      <w:r w:rsidRPr="006D648F">
        <w:rPr>
          <w:rFonts w:cs="Calibri"/>
          <w:sz w:val="24"/>
        </w:rPr>
        <w:t xml:space="preserve"> people who do not know very much</w:t>
      </w:r>
      <w:r>
        <w:rPr>
          <w:rFonts w:cs="Calibri"/>
          <w:sz w:val="24"/>
        </w:rPr>
        <w:t>…</w:t>
      </w:r>
      <w:r w:rsidRPr="006D648F">
        <w:rPr>
          <w:rFonts w:cs="Calibri"/>
          <w:sz w:val="24"/>
        </w:rPr>
        <w:t xml:space="preserve"> they already know many of the key elements in the new concept, (</w:t>
      </w:r>
      <w:r>
        <w:rPr>
          <w:rFonts w:cs="Calibri"/>
          <w:sz w:val="24"/>
        </w:rPr>
        <w:t xml:space="preserve">2002, </w:t>
      </w:r>
      <w:r w:rsidRPr="006D648F">
        <w:rPr>
          <w:rFonts w:cs="Calibri"/>
          <w:sz w:val="24"/>
        </w:rPr>
        <w:t>p.xiii).</w:t>
      </w:r>
    </w:p>
    <w:p w14:paraId="21887E41" w14:textId="75EB8A84" w:rsidR="00A75A8F" w:rsidRPr="006D648F" w:rsidRDefault="003177C0" w:rsidP="00A75A8F">
      <w:pPr>
        <w:tabs>
          <w:tab w:val="left" w:pos="8364"/>
        </w:tabs>
        <w:spacing w:line="360" w:lineRule="auto"/>
        <w:rPr>
          <w:rFonts w:cs="Calibri"/>
          <w:sz w:val="24"/>
        </w:rPr>
      </w:pPr>
      <w:r>
        <w:rPr>
          <w:rFonts w:cs="Calibri"/>
          <w:sz w:val="24"/>
        </w:rPr>
        <w:t>S</w:t>
      </w:r>
      <w:r w:rsidR="00A75A8F" w:rsidRPr="006D648F">
        <w:rPr>
          <w:rFonts w:cs="Calibri"/>
          <w:sz w:val="24"/>
        </w:rPr>
        <w:t xml:space="preserve">ome </w:t>
      </w:r>
      <w:r w:rsidR="00A75A8F">
        <w:rPr>
          <w:rFonts w:cs="Calibri"/>
          <w:sz w:val="24"/>
        </w:rPr>
        <w:t>students</w:t>
      </w:r>
      <w:r w:rsidR="00A75A8F" w:rsidRPr="006D648F">
        <w:rPr>
          <w:rFonts w:cs="Calibri"/>
          <w:sz w:val="24"/>
        </w:rPr>
        <w:t xml:space="preserve"> </w:t>
      </w:r>
      <w:r>
        <w:rPr>
          <w:rFonts w:cs="Calibri"/>
          <w:sz w:val="24"/>
        </w:rPr>
        <w:t xml:space="preserve">are believed to </w:t>
      </w:r>
      <w:r w:rsidR="00A75A8F" w:rsidRPr="006D648F">
        <w:rPr>
          <w:rFonts w:cs="Calibri"/>
          <w:sz w:val="24"/>
        </w:rPr>
        <w:t>have this cultural knowledge embedded via their families</w:t>
      </w:r>
      <w:r w:rsidR="00072002">
        <w:rPr>
          <w:rFonts w:cs="Calibri"/>
          <w:sz w:val="24"/>
        </w:rPr>
        <w:t xml:space="preserve">, </w:t>
      </w:r>
      <w:r w:rsidR="00A75A8F" w:rsidRPr="006D648F">
        <w:rPr>
          <w:rFonts w:cs="Calibri"/>
          <w:sz w:val="24"/>
        </w:rPr>
        <w:t>therefore start</w:t>
      </w:r>
      <w:r w:rsidR="00072002">
        <w:rPr>
          <w:rFonts w:cs="Calibri"/>
          <w:sz w:val="24"/>
        </w:rPr>
        <w:t>ing</w:t>
      </w:r>
      <w:r w:rsidR="00A75A8F" w:rsidRPr="006D648F">
        <w:rPr>
          <w:rFonts w:cs="Calibri"/>
          <w:sz w:val="24"/>
        </w:rPr>
        <w:t xml:space="preserve"> school </w:t>
      </w:r>
      <w:r w:rsidR="00072002">
        <w:rPr>
          <w:rFonts w:cs="Calibri"/>
          <w:sz w:val="24"/>
        </w:rPr>
        <w:t>with</w:t>
      </w:r>
      <w:r w:rsidR="00A75A8F">
        <w:rPr>
          <w:rFonts w:cs="Calibri"/>
          <w:sz w:val="24"/>
        </w:rPr>
        <w:t xml:space="preserve"> advantage</w:t>
      </w:r>
      <w:r w:rsidR="00072002">
        <w:rPr>
          <w:rFonts w:cs="Calibri"/>
          <w:sz w:val="24"/>
        </w:rPr>
        <w:t>s</w:t>
      </w:r>
      <w:r w:rsidR="00A75A8F">
        <w:rPr>
          <w:rFonts w:cs="Calibri"/>
          <w:sz w:val="24"/>
        </w:rPr>
        <w:t xml:space="preserve"> </w:t>
      </w:r>
      <w:r w:rsidR="00072002">
        <w:rPr>
          <w:rFonts w:cs="Calibri"/>
          <w:sz w:val="24"/>
        </w:rPr>
        <w:t>over</w:t>
      </w:r>
      <w:r w:rsidR="00A75A8F" w:rsidRPr="006D648F">
        <w:rPr>
          <w:rFonts w:cs="Calibri"/>
          <w:sz w:val="24"/>
        </w:rPr>
        <w:t xml:space="preserve"> those who do not. </w:t>
      </w:r>
      <w:r>
        <w:rPr>
          <w:rFonts w:cs="Calibri"/>
          <w:sz w:val="24"/>
        </w:rPr>
        <w:t>Hirsch (1996) therefore proposes</w:t>
      </w:r>
      <w:r w:rsidR="00A75A8F" w:rsidRPr="006D648F">
        <w:rPr>
          <w:rFonts w:cs="Calibri"/>
          <w:sz w:val="24"/>
        </w:rPr>
        <w:t xml:space="preserve"> that a </w:t>
      </w:r>
      <w:r w:rsidR="00A75A8F">
        <w:rPr>
          <w:rFonts w:cs="Calibri"/>
          <w:sz w:val="24"/>
        </w:rPr>
        <w:t>N</w:t>
      </w:r>
      <w:r w:rsidR="00A75A8F" w:rsidRPr="006D648F">
        <w:rPr>
          <w:rFonts w:cs="Calibri"/>
          <w:sz w:val="24"/>
        </w:rPr>
        <w:t xml:space="preserve">ational </w:t>
      </w:r>
      <w:r w:rsidR="00A75A8F">
        <w:rPr>
          <w:rFonts w:cs="Calibri"/>
          <w:sz w:val="24"/>
        </w:rPr>
        <w:t>C</w:t>
      </w:r>
      <w:r w:rsidR="00A75A8F" w:rsidRPr="006D648F">
        <w:rPr>
          <w:rFonts w:cs="Calibri"/>
          <w:sz w:val="24"/>
        </w:rPr>
        <w:t>urriculum be put in place</w:t>
      </w:r>
      <w:r w:rsidR="00B70DCD">
        <w:rPr>
          <w:rFonts w:cs="Calibri"/>
          <w:sz w:val="24"/>
        </w:rPr>
        <w:t>,</w:t>
      </w:r>
      <w:r w:rsidR="00A75A8F" w:rsidRPr="006D648F">
        <w:rPr>
          <w:rFonts w:cs="Calibri"/>
          <w:sz w:val="24"/>
        </w:rPr>
        <w:t xml:space="preserve"> that schools t</w:t>
      </w:r>
      <w:r w:rsidR="00A75A8F">
        <w:rPr>
          <w:rFonts w:cs="Calibri"/>
          <w:sz w:val="24"/>
        </w:rPr>
        <w:t>each</w:t>
      </w:r>
      <w:r w:rsidR="00A75A8F" w:rsidRPr="006D648F">
        <w:rPr>
          <w:rFonts w:cs="Calibri"/>
          <w:sz w:val="24"/>
        </w:rPr>
        <w:t xml:space="preserve"> prescribed core </w:t>
      </w:r>
      <w:r w:rsidR="00A75A8F" w:rsidRPr="006D648F">
        <w:rPr>
          <w:rFonts w:cs="Calibri"/>
          <w:sz w:val="24"/>
        </w:rPr>
        <w:lastRenderedPageBreak/>
        <w:t>content and test</w:t>
      </w:r>
      <w:r w:rsidR="00A75A8F">
        <w:rPr>
          <w:rFonts w:cs="Calibri"/>
          <w:sz w:val="24"/>
        </w:rPr>
        <w:t xml:space="preserve"> student knowledge</w:t>
      </w:r>
      <w:r w:rsidR="00A75A8F" w:rsidRPr="006D648F">
        <w:rPr>
          <w:rFonts w:cs="Calibri"/>
          <w:sz w:val="24"/>
        </w:rPr>
        <w:t xml:space="preserve"> each year to ensure that </w:t>
      </w:r>
      <w:r w:rsidR="00A75A8F">
        <w:rPr>
          <w:rFonts w:cs="Calibri"/>
          <w:sz w:val="24"/>
        </w:rPr>
        <w:t>they</w:t>
      </w:r>
      <w:r w:rsidR="00A75A8F" w:rsidRPr="006D648F">
        <w:rPr>
          <w:rFonts w:cs="Calibri"/>
          <w:sz w:val="24"/>
        </w:rPr>
        <w:t xml:space="preserve"> acquire standardised skill sets</w:t>
      </w:r>
      <w:r w:rsidR="00B70DCD">
        <w:rPr>
          <w:rFonts w:cs="Calibri"/>
          <w:sz w:val="24"/>
        </w:rPr>
        <w:t>,</w:t>
      </w:r>
      <w:r>
        <w:rPr>
          <w:rFonts w:cs="Calibri"/>
          <w:sz w:val="24"/>
        </w:rPr>
        <w:t xml:space="preserve"> thereby reducing inequalities</w:t>
      </w:r>
      <w:r w:rsidR="00A75A8F" w:rsidRPr="006D648F">
        <w:rPr>
          <w:rFonts w:cs="Calibri"/>
          <w:sz w:val="24"/>
        </w:rPr>
        <w:t>.</w:t>
      </w:r>
      <w:r w:rsidR="00A75A8F">
        <w:rPr>
          <w:rFonts w:cs="Calibri"/>
          <w:sz w:val="24"/>
        </w:rPr>
        <w:t xml:space="preserve"> H</w:t>
      </w:r>
      <w:r w:rsidR="00A75A8F" w:rsidRPr="006D648F">
        <w:rPr>
          <w:rFonts w:cs="Calibri"/>
          <w:sz w:val="24"/>
        </w:rPr>
        <w:t xml:space="preserve">e </w:t>
      </w:r>
      <w:r w:rsidR="00A75A8F">
        <w:rPr>
          <w:rFonts w:cs="Calibri"/>
          <w:sz w:val="24"/>
        </w:rPr>
        <w:t>believes that</w:t>
      </w:r>
      <w:r w:rsidR="00493599">
        <w:rPr>
          <w:rFonts w:cs="Calibri"/>
          <w:sz w:val="24"/>
        </w:rPr>
        <w:t xml:space="preserve"> </w:t>
      </w:r>
      <w:r w:rsidR="00B70DCD">
        <w:rPr>
          <w:rFonts w:cs="Calibri"/>
          <w:sz w:val="24"/>
        </w:rPr>
        <w:t xml:space="preserve">50% </w:t>
      </w:r>
      <w:r w:rsidR="00A75A8F" w:rsidRPr="006D648F">
        <w:rPr>
          <w:rFonts w:cs="Calibri"/>
          <w:sz w:val="24"/>
        </w:rPr>
        <w:t xml:space="preserve">of curriculum content </w:t>
      </w:r>
      <w:r w:rsidR="00A75A8F">
        <w:rPr>
          <w:rFonts w:cs="Calibri"/>
          <w:sz w:val="24"/>
        </w:rPr>
        <w:t xml:space="preserve">should be nationally prescribed and tested. </w:t>
      </w:r>
      <w:r w:rsidR="00B70DCD">
        <w:rPr>
          <w:rFonts w:cs="Calibri"/>
          <w:sz w:val="24"/>
        </w:rPr>
        <w:t>A</w:t>
      </w:r>
      <w:r w:rsidR="00A75A8F">
        <w:rPr>
          <w:rFonts w:cs="Calibri"/>
          <w:sz w:val="24"/>
        </w:rPr>
        <w:t xml:space="preserve">s Feinberg (1999) </w:t>
      </w:r>
      <w:r w:rsidR="00A75A8F" w:rsidRPr="006D648F">
        <w:rPr>
          <w:rFonts w:cs="Calibri"/>
          <w:sz w:val="24"/>
        </w:rPr>
        <w:t>highlights</w:t>
      </w:r>
      <w:r w:rsidR="00A75A8F">
        <w:rPr>
          <w:rFonts w:cs="Calibri"/>
          <w:sz w:val="24"/>
        </w:rPr>
        <w:t xml:space="preserve">, </w:t>
      </w:r>
      <w:r w:rsidR="00B70DCD">
        <w:rPr>
          <w:rFonts w:cs="Calibri"/>
          <w:sz w:val="24"/>
        </w:rPr>
        <w:t xml:space="preserve">however, </w:t>
      </w:r>
      <w:r w:rsidR="00A75A8F">
        <w:rPr>
          <w:rFonts w:cs="Calibri"/>
          <w:sz w:val="24"/>
        </w:rPr>
        <w:t xml:space="preserve">this statement is made </w:t>
      </w:r>
      <w:r>
        <w:rPr>
          <w:rFonts w:cs="Calibri"/>
          <w:sz w:val="24"/>
        </w:rPr>
        <w:t>without</w:t>
      </w:r>
      <w:r w:rsidR="00A75A8F">
        <w:rPr>
          <w:rFonts w:cs="Calibri"/>
          <w:sz w:val="24"/>
        </w:rPr>
        <w:t xml:space="preserve"> </w:t>
      </w:r>
      <w:r w:rsidR="00A75A8F" w:rsidRPr="006D648F">
        <w:rPr>
          <w:rFonts w:cs="Calibri"/>
          <w:sz w:val="24"/>
        </w:rPr>
        <w:t xml:space="preserve">embarking on any research to discover what percentage is currently </w:t>
      </w:r>
      <w:r>
        <w:rPr>
          <w:rFonts w:cs="Calibri"/>
          <w:sz w:val="24"/>
        </w:rPr>
        <w:t>fixed and impl</w:t>
      </w:r>
      <w:r w:rsidR="00B70DCD">
        <w:rPr>
          <w:rFonts w:cs="Calibri"/>
          <w:sz w:val="24"/>
        </w:rPr>
        <w:t>ies</w:t>
      </w:r>
      <w:r>
        <w:rPr>
          <w:rFonts w:cs="Calibri"/>
          <w:sz w:val="24"/>
        </w:rPr>
        <w:t xml:space="preserve"> that </w:t>
      </w:r>
      <w:r w:rsidR="00A75A8F">
        <w:rPr>
          <w:rFonts w:cs="Calibri"/>
          <w:sz w:val="24"/>
        </w:rPr>
        <w:t xml:space="preserve">testing </w:t>
      </w:r>
      <w:r>
        <w:rPr>
          <w:rFonts w:cs="Calibri"/>
          <w:sz w:val="24"/>
        </w:rPr>
        <w:t xml:space="preserve">does not </w:t>
      </w:r>
      <w:r w:rsidR="00B70DCD">
        <w:rPr>
          <w:rFonts w:cs="Calibri"/>
          <w:sz w:val="24"/>
        </w:rPr>
        <w:t>a</w:t>
      </w:r>
      <w:r>
        <w:rPr>
          <w:rFonts w:cs="Calibri"/>
          <w:sz w:val="24"/>
        </w:rPr>
        <w:t>l</w:t>
      </w:r>
      <w:r w:rsidR="00B70DCD">
        <w:rPr>
          <w:rFonts w:cs="Calibri"/>
          <w:sz w:val="24"/>
        </w:rPr>
        <w:t>read</w:t>
      </w:r>
      <w:r>
        <w:rPr>
          <w:rFonts w:cs="Calibri"/>
          <w:sz w:val="24"/>
        </w:rPr>
        <w:t>y occur</w:t>
      </w:r>
      <w:r w:rsidR="00A75A8F">
        <w:rPr>
          <w:rFonts w:cs="Calibri"/>
          <w:sz w:val="24"/>
        </w:rPr>
        <w:t xml:space="preserve">. </w:t>
      </w:r>
      <w:r w:rsidR="00A75A8F" w:rsidRPr="006D648F">
        <w:rPr>
          <w:rFonts w:cs="Calibri"/>
          <w:sz w:val="24"/>
        </w:rPr>
        <w:t xml:space="preserve">Feinberg also criticises Hirsch for underestimating the role of pedagogy and focusing solely on </w:t>
      </w:r>
      <w:r w:rsidR="00B70DCD">
        <w:rPr>
          <w:rFonts w:cs="Calibri"/>
          <w:sz w:val="24"/>
        </w:rPr>
        <w:t>‘</w:t>
      </w:r>
      <w:r w:rsidR="00A75A8F" w:rsidRPr="006D648F">
        <w:rPr>
          <w:rFonts w:cs="Calibri"/>
          <w:sz w:val="24"/>
        </w:rPr>
        <w:t>teacher</w:t>
      </w:r>
      <w:r w:rsidR="00B70DCD">
        <w:rPr>
          <w:rFonts w:cs="Calibri"/>
          <w:sz w:val="24"/>
        </w:rPr>
        <w:t>-</w:t>
      </w:r>
      <w:r w:rsidR="00A75A8F" w:rsidRPr="006D648F">
        <w:rPr>
          <w:rFonts w:cs="Calibri"/>
          <w:sz w:val="24"/>
        </w:rPr>
        <w:t>proofing</w:t>
      </w:r>
      <w:r w:rsidR="00B70DCD">
        <w:rPr>
          <w:rFonts w:cs="Calibri"/>
          <w:sz w:val="24"/>
        </w:rPr>
        <w:t>’</w:t>
      </w:r>
      <w:r w:rsidR="00A75A8F" w:rsidRPr="006D648F">
        <w:rPr>
          <w:rFonts w:cs="Calibri"/>
          <w:sz w:val="24"/>
        </w:rPr>
        <w:t xml:space="preserve"> the curriculum</w:t>
      </w:r>
      <w:r w:rsidR="00B70DCD">
        <w:rPr>
          <w:rFonts w:cs="Calibri"/>
          <w:sz w:val="24"/>
        </w:rPr>
        <w:t>,</w:t>
      </w:r>
      <w:r w:rsidR="00A75A8F" w:rsidRPr="006D648F">
        <w:rPr>
          <w:rFonts w:cs="Calibri"/>
          <w:sz w:val="24"/>
        </w:rPr>
        <w:t xml:space="preserve"> as the technical perspective</w:t>
      </w:r>
      <w:r w:rsidR="00B70DCD">
        <w:rPr>
          <w:rFonts w:cs="Calibri"/>
          <w:sz w:val="24"/>
        </w:rPr>
        <w:t xml:space="preserve"> illustrates</w:t>
      </w:r>
      <w:r w:rsidR="00A75A8F" w:rsidRPr="006D648F">
        <w:rPr>
          <w:rFonts w:cs="Calibri"/>
          <w:sz w:val="24"/>
        </w:rPr>
        <w:t xml:space="preserve">. </w:t>
      </w:r>
    </w:p>
    <w:p w14:paraId="0C604B53" w14:textId="687EE0D4" w:rsidR="00A75A8F" w:rsidRPr="006D648F" w:rsidRDefault="00B70DCD" w:rsidP="00A75A8F">
      <w:pPr>
        <w:spacing w:line="360" w:lineRule="auto"/>
        <w:rPr>
          <w:rFonts w:cs="Calibri"/>
          <w:sz w:val="24"/>
        </w:rPr>
      </w:pPr>
      <w:r>
        <w:rPr>
          <w:rFonts w:cs="Calibri"/>
          <w:sz w:val="24"/>
        </w:rPr>
        <w:t>R</w:t>
      </w:r>
      <w:r w:rsidR="003177C0">
        <w:rPr>
          <w:rFonts w:cs="Calibri"/>
          <w:sz w:val="24"/>
        </w:rPr>
        <w:t>egard</w:t>
      </w:r>
      <w:r>
        <w:rPr>
          <w:rFonts w:cs="Calibri"/>
          <w:sz w:val="24"/>
        </w:rPr>
        <w:t>ing</w:t>
      </w:r>
      <w:r w:rsidR="003177C0">
        <w:rPr>
          <w:rFonts w:cs="Calibri"/>
          <w:sz w:val="24"/>
        </w:rPr>
        <w:t xml:space="preserve"> the EBac</w:t>
      </w:r>
      <w:r>
        <w:rPr>
          <w:rFonts w:cs="Calibri"/>
          <w:sz w:val="24"/>
        </w:rPr>
        <w:t>,</w:t>
      </w:r>
      <w:r w:rsidR="003177C0">
        <w:rPr>
          <w:rFonts w:cs="Calibri"/>
          <w:sz w:val="24"/>
        </w:rPr>
        <w:t xml:space="preserve"> </w:t>
      </w:r>
      <w:r w:rsidR="00A75A8F" w:rsidRPr="006D648F">
        <w:rPr>
          <w:rFonts w:cs="Calibri"/>
          <w:sz w:val="24"/>
        </w:rPr>
        <w:t>Gove comment</w:t>
      </w:r>
      <w:r w:rsidR="00A75A8F">
        <w:rPr>
          <w:rFonts w:cs="Calibri"/>
          <w:sz w:val="24"/>
        </w:rPr>
        <w:t>s</w:t>
      </w:r>
      <w:r w:rsidR="00A75A8F" w:rsidRPr="006D648F">
        <w:rPr>
          <w:rFonts w:cs="Calibri"/>
          <w:sz w:val="24"/>
        </w:rPr>
        <w:t>:</w:t>
      </w:r>
    </w:p>
    <w:p w14:paraId="65365C1B" w14:textId="77777777" w:rsidR="00A75A8F" w:rsidRPr="00064DB6" w:rsidRDefault="00A75A8F" w:rsidP="00A75A8F">
      <w:pPr>
        <w:spacing w:line="240" w:lineRule="auto"/>
        <w:ind w:left="720"/>
        <w:rPr>
          <w:rFonts w:cs="Calibri"/>
          <w:sz w:val="24"/>
        </w:rPr>
      </w:pPr>
      <w:r w:rsidRPr="006D648F">
        <w:rPr>
          <w:rFonts w:cs="Calibri"/>
          <w:sz w:val="24"/>
        </w:rPr>
        <w:t>Every child should have the chance to be introduced to the best that has been thought, and written. To deny children the opportunity to extend their knowledge so they can appreciate, enjoy, and become familiar with the best of our civilization</w:t>
      </w:r>
      <w:r w:rsidRPr="00064DB6">
        <w:rPr>
          <w:rFonts w:cs="Calibri"/>
          <w:sz w:val="24"/>
        </w:rPr>
        <w:t xml:space="preserve"> is to perpetuate a very specific, and tragic, sort of deprivation (</w:t>
      </w:r>
      <w:r>
        <w:rPr>
          <w:rFonts w:cs="Calibri"/>
          <w:sz w:val="24"/>
        </w:rPr>
        <w:t xml:space="preserve">2009a, </w:t>
      </w:r>
      <w:r w:rsidRPr="00064DB6">
        <w:rPr>
          <w:rFonts w:cs="Calibri"/>
          <w:sz w:val="24"/>
        </w:rPr>
        <w:t>p.3).</w:t>
      </w:r>
    </w:p>
    <w:p w14:paraId="71787769" w14:textId="0E8E7E22" w:rsidR="00A75A8F" w:rsidRPr="00610FF5" w:rsidRDefault="00A75A8F" w:rsidP="00A75A8F">
      <w:pPr>
        <w:tabs>
          <w:tab w:val="left" w:pos="8505"/>
        </w:tabs>
        <w:spacing w:line="360" w:lineRule="auto"/>
        <w:rPr>
          <w:rFonts w:cs="Calibri"/>
          <w:i/>
          <w:sz w:val="24"/>
        </w:rPr>
      </w:pPr>
      <w:r w:rsidRPr="00064DB6">
        <w:rPr>
          <w:rFonts w:cs="Calibri"/>
          <w:sz w:val="24"/>
        </w:rPr>
        <w:t>This has clea</w:t>
      </w:r>
      <w:r w:rsidR="003177C0">
        <w:rPr>
          <w:rFonts w:cs="Calibri"/>
          <w:sz w:val="24"/>
        </w:rPr>
        <w:t>r links with the concept</w:t>
      </w:r>
      <w:r w:rsidR="004F67E3">
        <w:rPr>
          <w:rFonts w:cs="Calibri"/>
          <w:sz w:val="24"/>
        </w:rPr>
        <w:t>s</w:t>
      </w:r>
      <w:r w:rsidR="003177C0">
        <w:rPr>
          <w:rFonts w:cs="Calibri"/>
          <w:sz w:val="24"/>
        </w:rPr>
        <w:t xml:space="preserve"> of</w:t>
      </w:r>
      <w:r w:rsidRPr="00064DB6">
        <w:rPr>
          <w:rFonts w:cs="Calibri"/>
          <w:sz w:val="24"/>
        </w:rPr>
        <w:t xml:space="preserve"> core knowledge and cultural literacy (Hirsch</w:t>
      </w:r>
      <w:r w:rsidR="004F67E3">
        <w:rPr>
          <w:rFonts w:cs="Calibri"/>
          <w:sz w:val="24"/>
        </w:rPr>
        <w:t>,</w:t>
      </w:r>
      <w:r w:rsidRPr="00064DB6">
        <w:rPr>
          <w:rFonts w:cs="Calibri"/>
          <w:sz w:val="24"/>
        </w:rPr>
        <w:t xml:space="preserve"> 1996) and theoretic</w:t>
      </w:r>
      <w:r w:rsidR="003177C0">
        <w:rPr>
          <w:rFonts w:cs="Calibri"/>
          <w:sz w:val="24"/>
        </w:rPr>
        <w:t>al knowledge (Young</w:t>
      </w:r>
      <w:r w:rsidR="004F67E3">
        <w:rPr>
          <w:rFonts w:cs="Calibri"/>
          <w:sz w:val="24"/>
        </w:rPr>
        <w:t>,</w:t>
      </w:r>
      <w:r w:rsidR="003177C0">
        <w:rPr>
          <w:rFonts w:cs="Calibri"/>
          <w:sz w:val="24"/>
        </w:rPr>
        <w:t xml:space="preserve"> 2008). W</w:t>
      </w:r>
      <w:r w:rsidRPr="00064DB6">
        <w:rPr>
          <w:rFonts w:cs="Calibri"/>
          <w:sz w:val="24"/>
        </w:rPr>
        <w:t>hile Gove believe</w:t>
      </w:r>
      <w:r>
        <w:rPr>
          <w:rFonts w:cs="Calibri"/>
          <w:sz w:val="24"/>
        </w:rPr>
        <w:t>s</w:t>
      </w:r>
      <w:r w:rsidRPr="00064DB6">
        <w:rPr>
          <w:rFonts w:cs="Calibri"/>
          <w:sz w:val="24"/>
        </w:rPr>
        <w:t xml:space="preserve"> that the EBac will allow greater access to </w:t>
      </w:r>
      <w:r>
        <w:rPr>
          <w:rFonts w:cs="Calibri"/>
          <w:sz w:val="24"/>
        </w:rPr>
        <w:t xml:space="preserve">what he assumes to be </w:t>
      </w:r>
      <w:r w:rsidRPr="00064DB6">
        <w:rPr>
          <w:rFonts w:cs="Calibri"/>
          <w:sz w:val="24"/>
        </w:rPr>
        <w:t>essential and liberating</w:t>
      </w:r>
      <w:r>
        <w:rPr>
          <w:rFonts w:cs="Calibri"/>
          <w:sz w:val="24"/>
        </w:rPr>
        <w:t xml:space="preserve"> core </w:t>
      </w:r>
      <w:r w:rsidRPr="00064DB6">
        <w:rPr>
          <w:rFonts w:cs="Calibri"/>
          <w:sz w:val="24"/>
        </w:rPr>
        <w:t>knowledge, he neglects to consider whether the EBac will be a realistic or even possible choice for all.</w:t>
      </w:r>
      <w:r>
        <w:rPr>
          <w:rFonts w:cs="Calibri"/>
          <w:sz w:val="24"/>
        </w:rPr>
        <w:t xml:space="preserve"> </w:t>
      </w:r>
    </w:p>
    <w:p w14:paraId="3589DDCC" w14:textId="3C36F240" w:rsidR="00A75A8F" w:rsidRDefault="00A75A8F" w:rsidP="00A75A8F">
      <w:pPr>
        <w:tabs>
          <w:tab w:val="left" w:pos="8505"/>
        </w:tabs>
        <w:spacing w:line="360" w:lineRule="auto"/>
        <w:rPr>
          <w:rFonts w:cs="Calibri"/>
          <w:sz w:val="24"/>
        </w:rPr>
      </w:pPr>
      <w:r w:rsidRPr="00064DB6">
        <w:rPr>
          <w:rFonts w:cs="Calibri"/>
          <w:sz w:val="24"/>
        </w:rPr>
        <w:t xml:space="preserve">Despite the recent discussions about </w:t>
      </w:r>
      <w:r>
        <w:rPr>
          <w:rFonts w:cs="Calibri"/>
          <w:sz w:val="24"/>
        </w:rPr>
        <w:t>“</w:t>
      </w:r>
      <w:r w:rsidRPr="00064DB6">
        <w:rPr>
          <w:rFonts w:cs="Calibri"/>
          <w:sz w:val="24"/>
        </w:rPr>
        <w:t>core knowledge</w:t>
      </w:r>
      <w:r>
        <w:rPr>
          <w:rFonts w:cs="Calibri"/>
          <w:sz w:val="24"/>
        </w:rPr>
        <w:t>”</w:t>
      </w:r>
      <w:r w:rsidRPr="00064DB6">
        <w:rPr>
          <w:rFonts w:cs="Calibri"/>
          <w:sz w:val="24"/>
        </w:rPr>
        <w:t xml:space="preserve"> and </w:t>
      </w:r>
      <w:r>
        <w:rPr>
          <w:rFonts w:cs="Calibri"/>
          <w:sz w:val="24"/>
        </w:rPr>
        <w:t>“</w:t>
      </w:r>
      <w:r w:rsidRPr="00064DB6">
        <w:rPr>
          <w:rFonts w:cs="Calibri"/>
          <w:sz w:val="24"/>
        </w:rPr>
        <w:t>powerful knowledge</w:t>
      </w:r>
      <w:r>
        <w:rPr>
          <w:rFonts w:cs="Calibri"/>
          <w:sz w:val="24"/>
        </w:rPr>
        <w:t>”</w:t>
      </w:r>
      <w:r w:rsidRPr="00064DB6">
        <w:rPr>
          <w:rFonts w:cs="Calibri"/>
          <w:sz w:val="24"/>
        </w:rPr>
        <w:t>, Apple (1996) remains concerned</w:t>
      </w:r>
      <w:r w:rsidR="003177C0">
        <w:rPr>
          <w:rFonts w:cs="Calibri"/>
          <w:sz w:val="24"/>
        </w:rPr>
        <w:t xml:space="preserve"> that</w:t>
      </w:r>
      <w:r w:rsidRPr="00064DB6">
        <w:rPr>
          <w:rFonts w:cs="Calibri"/>
          <w:sz w:val="24"/>
        </w:rPr>
        <w:t xml:space="preserve"> debates over what knowledge is val</w:t>
      </w:r>
      <w:r w:rsidR="003177C0">
        <w:rPr>
          <w:rFonts w:cs="Calibri"/>
          <w:sz w:val="24"/>
        </w:rPr>
        <w:t>ued and taught in school remain</w:t>
      </w:r>
      <w:r w:rsidR="007A22AD">
        <w:rPr>
          <w:rFonts w:cs="Calibri"/>
          <w:sz w:val="24"/>
        </w:rPr>
        <w:t xml:space="preserve"> a political tool </w:t>
      </w:r>
      <w:r w:rsidR="004F67E3">
        <w:rPr>
          <w:rFonts w:cs="Calibri"/>
          <w:sz w:val="24"/>
        </w:rPr>
        <w:t xml:space="preserve">that </w:t>
      </w:r>
      <w:r w:rsidR="007A22AD">
        <w:rPr>
          <w:rFonts w:cs="Calibri"/>
          <w:sz w:val="24"/>
        </w:rPr>
        <w:t>perpetuat</w:t>
      </w:r>
      <w:r w:rsidR="004F67E3">
        <w:rPr>
          <w:rFonts w:cs="Calibri"/>
          <w:sz w:val="24"/>
        </w:rPr>
        <w:t>es</w:t>
      </w:r>
      <w:r w:rsidRPr="00064DB6">
        <w:rPr>
          <w:rFonts w:cs="Calibri"/>
          <w:sz w:val="24"/>
        </w:rPr>
        <w:t xml:space="preserve"> the privilege of some social groups at the expense of others. </w:t>
      </w:r>
      <w:r>
        <w:rPr>
          <w:rFonts w:cs="Calibri"/>
          <w:sz w:val="24"/>
        </w:rPr>
        <w:t>He points out apparent contradictions in education policy in recent times</w:t>
      </w:r>
      <w:r w:rsidR="006E0186">
        <w:rPr>
          <w:rFonts w:cs="Calibri"/>
          <w:sz w:val="24"/>
        </w:rPr>
        <w:t>,</w:t>
      </w:r>
      <w:r>
        <w:rPr>
          <w:rFonts w:cs="Calibri"/>
          <w:sz w:val="24"/>
        </w:rPr>
        <w:t xml:space="preserve"> such as the desire to free teachers to run schools</w:t>
      </w:r>
      <w:r w:rsidR="006E0186">
        <w:rPr>
          <w:rFonts w:cs="Calibri"/>
          <w:sz w:val="24"/>
        </w:rPr>
        <w:t xml:space="preserve"> while simultaneously </w:t>
      </w:r>
      <w:r>
        <w:rPr>
          <w:rFonts w:cs="Calibri"/>
          <w:sz w:val="24"/>
        </w:rPr>
        <w:t>demand</w:t>
      </w:r>
      <w:r w:rsidR="006E0186">
        <w:rPr>
          <w:rFonts w:cs="Calibri"/>
          <w:sz w:val="24"/>
        </w:rPr>
        <w:t>ing</w:t>
      </w:r>
      <w:r>
        <w:rPr>
          <w:rFonts w:cs="Calibri"/>
          <w:sz w:val="24"/>
        </w:rPr>
        <w:t xml:space="preserve"> more accountability</w:t>
      </w:r>
      <w:r w:rsidR="007A429C">
        <w:rPr>
          <w:rFonts w:cs="Calibri"/>
          <w:sz w:val="24"/>
        </w:rPr>
        <w:t xml:space="preserve">. He attributes such contradictory positions to </w:t>
      </w:r>
      <w:r>
        <w:rPr>
          <w:rFonts w:cs="Calibri"/>
          <w:sz w:val="24"/>
        </w:rPr>
        <w:t>links between neoconservativism and neoliberalism. He claims that this alliance:</w:t>
      </w:r>
    </w:p>
    <w:p w14:paraId="050EAF42" w14:textId="107E0762" w:rsidR="00A75A8F" w:rsidRDefault="00BC5454" w:rsidP="00A75A8F">
      <w:pPr>
        <w:tabs>
          <w:tab w:val="left" w:pos="8505"/>
        </w:tabs>
        <w:spacing w:line="240" w:lineRule="auto"/>
        <w:ind w:left="720"/>
        <w:rPr>
          <w:rFonts w:cs="Calibri"/>
          <w:sz w:val="24"/>
        </w:rPr>
      </w:pPr>
      <w:r>
        <w:rPr>
          <w:rFonts w:cs="Calibri"/>
          <w:sz w:val="24"/>
        </w:rPr>
        <w:t>…</w:t>
      </w:r>
      <w:r w:rsidR="00A75A8F">
        <w:rPr>
          <w:rFonts w:cs="Calibri"/>
          <w:sz w:val="24"/>
        </w:rPr>
        <w:t>aims at providing the educational conditions believed necessary both for increasing international competitiveness, profit and discipline and for returning us to a romanticized past of the “ideal” home, family and school, (p.28).</w:t>
      </w:r>
    </w:p>
    <w:p w14:paraId="1F6629C8" w14:textId="2DF365B5" w:rsidR="00A75A8F" w:rsidRDefault="00A75A8F" w:rsidP="00A75A8F">
      <w:pPr>
        <w:tabs>
          <w:tab w:val="left" w:pos="8505"/>
        </w:tabs>
        <w:spacing w:line="360" w:lineRule="auto"/>
        <w:rPr>
          <w:rFonts w:cs="Calibri"/>
          <w:sz w:val="24"/>
        </w:rPr>
      </w:pPr>
      <w:r>
        <w:rPr>
          <w:rFonts w:cs="Calibri"/>
          <w:sz w:val="24"/>
        </w:rPr>
        <w:t>This view c</w:t>
      </w:r>
      <w:r w:rsidR="007A22AD">
        <w:rPr>
          <w:rFonts w:cs="Calibri"/>
          <w:sz w:val="24"/>
        </w:rPr>
        <w:t>orresponds closely to the</w:t>
      </w:r>
      <w:r>
        <w:rPr>
          <w:rFonts w:cs="Calibri"/>
          <w:sz w:val="24"/>
        </w:rPr>
        <w:t xml:space="preserve"> ideas contained within the EBac policy</w:t>
      </w:r>
      <w:r w:rsidR="00BC5454">
        <w:rPr>
          <w:rFonts w:cs="Calibri"/>
          <w:sz w:val="24"/>
        </w:rPr>
        <w:t>,</w:t>
      </w:r>
      <w:r>
        <w:rPr>
          <w:rFonts w:cs="Calibri"/>
          <w:sz w:val="24"/>
        </w:rPr>
        <w:t xml:space="preserve"> </w:t>
      </w:r>
      <w:r w:rsidR="00BC5454">
        <w:rPr>
          <w:rFonts w:cs="Calibri"/>
          <w:sz w:val="24"/>
        </w:rPr>
        <w:t>in which</w:t>
      </w:r>
      <w:r>
        <w:rPr>
          <w:rFonts w:cs="Calibri"/>
          <w:sz w:val="24"/>
        </w:rPr>
        <w:t xml:space="preserve"> </w:t>
      </w:r>
      <w:r w:rsidR="007A22AD">
        <w:rPr>
          <w:rFonts w:cs="Calibri"/>
          <w:sz w:val="24"/>
        </w:rPr>
        <w:t>reference is made to the past whilst creating a curriculum to ensure future growth and development.</w:t>
      </w:r>
    </w:p>
    <w:p w14:paraId="2D5D96FA" w14:textId="711C7CBD" w:rsidR="00A75A8F" w:rsidRDefault="00A75A8F" w:rsidP="00A75A8F">
      <w:pPr>
        <w:tabs>
          <w:tab w:val="left" w:pos="8505"/>
        </w:tabs>
        <w:spacing w:line="360" w:lineRule="auto"/>
        <w:rPr>
          <w:rFonts w:cs="Calibri"/>
          <w:sz w:val="24"/>
        </w:rPr>
      </w:pPr>
      <w:r>
        <w:rPr>
          <w:rFonts w:cs="Calibri"/>
          <w:sz w:val="24"/>
        </w:rPr>
        <w:lastRenderedPageBreak/>
        <w:t>While many of Apple’s points are well argued and persuasive</w:t>
      </w:r>
      <w:r w:rsidR="00460F08">
        <w:rPr>
          <w:rFonts w:cs="Calibri"/>
          <w:sz w:val="24"/>
        </w:rPr>
        <w:t>,</w:t>
      </w:r>
      <w:r>
        <w:rPr>
          <w:rFonts w:cs="Calibri"/>
          <w:sz w:val="24"/>
        </w:rPr>
        <w:t xml:space="preserve"> he does acknowledge that he paints an overly negative picture (p.38). He makes many references to the </w:t>
      </w:r>
      <w:r w:rsidR="00460F08">
        <w:rPr>
          <w:rFonts w:cs="Calibri"/>
          <w:sz w:val="24"/>
        </w:rPr>
        <w:t xml:space="preserve">English </w:t>
      </w:r>
      <w:r>
        <w:rPr>
          <w:rFonts w:cs="Calibri"/>
          <w:sz w:val="24"/>
        </w:rPr>
        <w:t>National Curriculum, but such a curriculum does still leave room for negotiation and opposition by schools, teachers and students. The National Curriculum in England is not a fixed and frozen structure</w:t>
      </w:r>
      <w:r w:rsidR="00460F08">
        <w:rPr>
          <w:rFonts w:cs="Calibri"/>
          <w:sz w:val="24"/>
        </w:rPr>
        <w:t>;</w:t>
      </w:r>
      <w:r>
        <w:rPr>
          <w:rFonts w:cs="Calibri"/>
          <w:sz w:val="24"/>
        </w:rPr>
        <w:t xml:space="preserve"> </w:t>
      </w:r>
      <w:r w:rsidR="00460F08">
        <w:rPr>
          <w:rFonts w:cs="Calibri"/>
          <w:sz w:val="24"/>
        </w:rPr>
        <w:t>rather it</w:t>
      </w:r>
      <w:r>
        <w:rPr>
          <w:rFonts w:cs="Calibri"/>
          <w:sz w:val="24"/>
        </w:rPr>
        <w:t xml:space="preserve"> is </w:t>
      </w:r>
      <w:r w:rsidR="00460F08">
        <w:rPr>
          <w:rFonts w:cs="Calibri"/>
          <w:sz w:val="24"/>
        </w:rPr>
        <w:t xml:space="preserve">in </w:t>
      </w:r>
      <w:r>
        <w:rPr>
          <w:rFonts w:cs="Calibri"/>
          <w:sz w:val="24"/>
        </w:rPr>
        <w:t>constant fl</w:t>
      </w:r>
      <w:r w:rsidR="00460F08">
        <w:rPr>
          <w:rFonts w:cs="Calibri"/>
          <w:sz w:val="24"/>
        </w:rPr>
        <w:t>ux</w:t>
      </w:r>
      <w:r>
        <w:rPr>
          <w:rFonts w:cs="Calibri"/>
          <w:sz w:val="24"/>
        </w:rPr>
        <w:t xml:space="preserve">, often driven by </w:t>
      </w:r>
      <w:r w:rsidR="00460F08">
        <w:rPr>
          <w:rFonts w:cs="Calibri"/>
          <w:sz w:val="24"/>
        </w:rPr>
        <w:t xml:space="preserve">the changing </w:t>
      </w:r>
      <w:r>
        <w:rPr>
          <w:rFonts w:cs="Calibri"/>
          <w:sz w:val="24"/>
        </w:rPr>
        <w:t xml:space="preserve">ideologies of </w:t>
      </w:r>
      <w:r w:rsidR="00460F08">
        <w:rPr>
          <w:rFonts w:cs="Calibri"/>
          <w:sz w:val="24"/>
        </w:rPr>
        <w:t>governments</w:t>
      </w:r>
      <w:r>
        <w:rPr>
          <w:rFonts w:cs="Calibri"/>
          <w:sz w:val="24"/>
        </w:rPr>
        <w:t>. Winter (2011) highlight</w:t>
      </w:r>
      <w:r w:rsidR="00460F08">
        <w:rPr>
          <w:rFonts w:cs="Calibri"/>
          <w:sz w:val="24"/>
        </w:rPr>
        <w:t>s</w:t>
      </w:r>
      <w:r>
        <w:rPr>
          <w:rFonts w:cs="Calibri"/>
          <w:sz w:val="24"/>
        </w:rPr>
        <w:t xml:space="preserve"> key official documents that charted change</w:t>
      </w:r>
      <w:r w:rsidR="00460F08">
        <w:rPr>
          <w:rFonts w:cs="Calibri"/>
          <w:sz w:val="24"/>
        </w:rPr>
        <w:t>s in</w:t>
      </w:r>
      <w:r>
        <w:rPr>
          <w:rFonts w:cs="Calibri"/>
          <w:sz w:val="24"/>
        </w:rPr>
        <w:t xml:space="preserve"> the English national approach between 1995 and 2007</w:t>
      </w:r>
      <w:r w:rsidR="00460F08">
        <w:rPr>
          <w:rFonts w:cs="Calibri"/>
          <w:sz w:val="24"/>
        </w:rPr>
        <w:t>,</w:t>
      </w:r>
      <w:r>
        <w:rPr>
          <w:rFonts w:cs="Calibri"/>
          <w:sz w:val="24"/>
        </w:rPr>
        <w:t xml:space="preserve"> including a move to cross</w:t>
      </w:r>
      <w:r w:rsidR="00460F08">
        <w:rPr>
          <w:rFonts w:cs="Calibri"/>
          <w:sz w:val="24"/>
        </w:rPr>
        <w:t>-</w:t>
      </w:r>
      <w:r>
        <w:rPr>
          <w:rFonts w:cs="Calibri"/>
          <w:sz w:val="24"/>
        </w:rPr>
        <w:t>curricula</w:t>
      </w:r>
      <w:r w:rsidR="00460F08">
        <w:rPr>
          <w:rFonts w:cs="Calibri"/>
          <w:sz w:val="24"/>
        </w:rPr>
        <w:t>r</w:t>
      </w:r>
      <w:r>
        <w:rPr>
          <w:rFonts w:cs="Calibri"/>
          <w:sz w:val="24"/>
        </w:rPr>
        <w:t xml:space="preserve"> themes and skill development </w:t>
      </w:r>
      <w:r w:rsidR="00460F08">
        <w:rPr>
          <w:rFonts w:cs="Calibri"/>
          <w:sz w:val="24"/>
        </w:rPr>
        <w:t xml:space="preserve">over </w:t>
      </w:r>
      <w:r>
        <w:rPr>
          <w:rFonts w:cs="Calibri"/>
          <w:sz w:val="24"/>
        </w:rPr>
        <w:t>subject</w:t>
      </w:r>
      <w:r w:rsidR="00460F08">
        <w:rPr>
          <w:rFonts w:cs="Calibri"/>
          <w:sz w:val="24"/>
        </w:rPr>
        <w:t>-</w:t>
      </w:r>
      <w:r>
        <w:rPr>
          <w:rFonts w:cs="Calibri"/>
          <w:sz w:val="24"/>
        </w:rPr>
        <w:t xml:space="preserve">specific knowledge. </w:t>
      </w:r>
    </w:p>
    <w:p w14:paraId="7A75CCEF" w14:textId="05F34ACB" w:rsidR="00A75A8F" w:rsidRPr="00064DB6" w:rsidRDefault="00A75A8F" w:rsidP="00A75A8F">
      <w:pPr>
        <w:spacing w:before="240" w:line="360" w:lineRule="auto"/>
        <w:rPr>
          <w:rFonts w:cs="Calibri"/>
          <w:sz w:val="24"/>
        </w:rPr>
      </w:pPr>
      <w:r>
        <w:rPr>
          <w:rFonts w:cs="Calibri"/>
          <w:sz w:val="24"/>
        </w:rPr>
        <w:t>Bernstein’s work on knowledge codes (1971</w:t>
      </w:r>
      <w:r w:rsidR="00FA07BF">
        <w:rPr>
          <w:rFonts w:cs="Calibri"/>
          <w:sz w:val="24"/>
        </w:rPr>
        <w:t>;</w:t>
      </w:r>
      <w:r>
        <w:rPr>
          <w:rFonts w:cs="Calibri"/>
          <w:sz w:val="24"/>
        </w:rPr>
        <w:t xml:space="preserve"> 1999</w:t>
      </w:r>
      <w:r w:rsidR="00FA07BF">
        <w:rPr>
          <w:rFonts w:cs="Calibri"/>
          <w:sz w:val="24"/>
        </w:rPr>
        <w:t>;</w:t>
      </w:r>
      <w:r>
        <w:rPr>
          <w:rFonts w:cs="Calibri"/>
          <w:sz w:val="24"/>
        </w:rPr>
        <w:t xml:space="preserve"> 2003)</w:t>
      </w:r>
      <w:r w:rsidR="00FA07BF">
        <w:rPr>
          <w:rFonts w:cs="Calibri"/>
          <w:sz w:val="24"/>
        </w:rPr>
        <w:t xml:space="preserve"> runs alongside discussions about educational knowledge</w:t>
      </w:r>
      <w:r>
        <w:rPr>
          <w:rFonts w:cs="Calibri"/>
          <w:sz w:val="24"/>
        </w:rPr>
        <w:t>. Bernstein (1971) identified a typology of educational codes</w:t>
      </w:r>
      <w:r w:rsidR="00FA07BF">
        <w:rPr>
          <w:rFonts w:cs="Calibri"/>
          <w:sz w:val="24"/>
        </w:rPr>
        <w:t>:</w:t>
      </w:r>
      <w:r>
        <w:rPr>
          <w:rFonts w:cs="Calibri"/>
          <w:sz w:val="24"/>
        </w:rPr>
        <w:t xml:space="preserve"> “educational knowledge code… refers to the underlying principles which shape curriculum, pedagogy and evaluation” (p.47). The two codes were those of “school(ed) knowledge” (abstract, universalistic knowledge) and “everyday common-sense knowledge” (concrete, particularistic knowledge) (1999</w:t>
      </w:r>
      <w:r w:rsidR="00F02C97">
        <w:rPr>
          <w:rFonts w:cs="Calibri"/>
          <w:sz w:val="24"/>
        </w:rPr>
        <w:t>,</w:t>
      </w:r>
      <w:r>
        <w:rPr>
          <w:rFonts w:cs="Calibri"/>
          <w:sz w:val="24"/>
        </w:rPr>
        <w:t xml:space="preserve"> p. 158). The linking of the identified hierarchical codes to social class allowed Bernstein to identify how different social classes access, make sense of and process information </w:t>
      </w:r>
      <w:r w:rsidR="00F02C97">
        <w:rPr>
          <w:rFonts w:cs="Calibri"/>
          <w:sz w:val="24"/>
        </w:rPr>
        <w:t xml:space="preserve">relating to </w:t>
      </w:r>
      <w:r>
        <w:rPr>
          <w:rFonts w:cs="Calibri"/>
          <w:sz w:val="24"/>
        </w:rPr>
        <w:t>students’ success or failure within the school and particularly within formal examinations. This view is criticised for linking educational inequality within a deficit model of language rather than social factors. Halliday (1979) states that “educational failure is really a social problem, not a linguistic one; but it has a linguistic aspect” (p.24). While the breakdown of formal language hierarchies is evident on English national television</w:t>
      </w:r>
      <w:r w:rsidR="00F02C97">
        <w:rPr>
          <w:rFonts w:cs="Calibri"/>
          <w:sz w:val="24"/>
        </w:rPr>
        <w:t>,</w:t>
      </w:r>
      <w:r>
        <w:rPr>
          <w:rFonts w:cs="Calibri"/>
          <w:sz w:val="24"/>
        </w:rPr>
        <w:t xml:space="preserve"> with </w:t>
      </w:r>
      <w:r w:rsidR="00F02C97">
        <w:rPr>
          <w:rFonts w:cs="Calibri"/>
          <w:sz w:val="24"/>
        </w:rPr>
        <w:t xml:space="preserve">more </w:t>
      </w:r>
      <w:r>
        <w:rPr>
          <w:rFonts w:cs="Calibri"/>
          <w:sz w:val="24"/>
        </w:rPr>
        <w:t>local acce</w:t>
      </w:r>
      <w:r w:rsidR="00545A83">
        <w:rPr>
          <w:rFonts w:cs="Calibri"/>
          <w:sz w:val="24"/>
        </w:rPr>
        <w:t>nts and language codes</w:t>
      </w:r>
      <w:r w:rsidR="00F02C97">
        <w:rPr>
          <w:rFonts w:cs="Calibri"/>
          <w:sz w:val="24"/>
        </w:rPr>
        <w:t xml:space="preserve"> now in use</w:t>
      </w:r>
      <w:r w:rsidR="00545A83">
        <w:rPr>
          <w:rFonts w:cs="Calibri"/>
          <w:sz w:val="24"/>
        </w:rPr>
        <w:t>,</w:t>
      </w:r>
      <w:r>
        <w:rPr>
          <w:rFonts w:cs="Calibri"/>
          <w:sz w:val="24"/>
        </w:rPr>
        <w:t xml:space="preserve"> this change is not evident within the education system</w:t>
      </w:r>
      <w:r w:rsidR="00F02C97">
        <w:rPr>
          <w:rFonts w:cs="Calibri"/>
          <w:sz w:val="24"/>
        </w:rPr>
        <w:t>,</w:t>
      </w:r>
      <w:r>
        <w:rPr>
          <w:rFonts w:cs="Calibri"/>
          <w:sz w:val="24"/>
        </w:rPr>
        <w:t xml:space="preserve"> w</w:t>
      </w:r>
      <w:r w:rsidR="00F02C97">
        <w:rPr>
          <w:rFonts w:cs="Calibri"/>
          <w:sz w:val="24"/>
        </w:rPr>
        <w:t>hich</w:t>
      </w:r>
      <w:r>
        <w:rPr>
          <w:rFonts w:cs="Calibri"/>
          <w:sz w:val="24"/>
        </w:rPr>
        <w:t xml:space="preserve"> continue</w:t>
      </w:r>
      <w:r w:rsidR="00F02C97">
        <w:rPr>
          <w:rFonts w:cs="Calibri"/>
          <w:sz w:val="24"/>
        </w:rPr>
        <w:t>s</w:t>
      </w:r>
      <w:r>
        <w:rPr>
          <w:rFonts w:cs="Calibri"/>
          <w:sz w:val="24"/>
        </w:rPr>
        <w:t xml:space="preserve"> </w:t>
      </w:r>
      <w:r w:rsidR="00F02C97">
        <w:rPr>
          <w:rFonts w:cs="Calibri"/>
          <w:sz w:val="24"/>
        </w:rPr>
        <w:t xml:space="preserve">to </w:t>
      </w:r>
      <w:r>
        <w:rPr>
          <w:rFonts w:cs="Calibri"/>
          <w:sz w:val="24"/>
        </w:rPr>
        <w:t>focus on “the teaching of proper English by restoring the recognition of spelling, punctuation and grammar” (Gove</w:t>
      </w:r>
      <w:r w:rsidR="00F02C97">
        <w:rPr>
          <w:rFonts w:cs="Calibri"/>
          <w:sz w:val="24"/>
        </w:rPr>
        <w:t>,</w:t>
      </w:r>
      <w:r>
        <w:rPr>
          <w:rFonts w:cs="Calibri"/>
          <w:sz w:val="24"/>
        </w:rPr>
        <w:t xml:space="preserve"> 2010. p.2). </w:t>
      </w:r>
      <w:r w:rsidRPr="00064DB6">
        <w:rPr>
          <w:rFonts w:cs="Calibri"/>
          <w:sz w:val="24"/>
        </w:rPr>
        <w:t>Feinberg (1983) provides a link between</w:t>
      </w:r>
      <w:r>
        <w:rPr>
          <w:rFonts w:cs="Calibri"/>
          <w:sz w:val="24"/>
        </w:rPr>
        <w:t xml:space="preserve"> </w:t>
      </w:r>
      <w:r w:rsidRPr="00064DB6">
        <w:rPr>
          <w:rFonts w:cs="Calibri"/>
          <w:sz w:val="24"/>
        </w:rPr>
        <w:t>knowledge that is deemed appropriate at any given time and the cultural and social reproduction func</w:t>
      </w:r>
      <w:r w:rsidR="00545A83">
        <w:rPr>
          <w:rFonts w:cs="Calibri"/>
          <w:sz w:val="24"/>
        </w:rPr>
        <w:t>tion of education (</w:t>
      </w:r>
      <w:r w:rsidR="00F02C97">
        <w:rPr>
          <w:rFonts w:cs="Calibri"/>
          <w:sz w:val="24"/>
        </w:rPr>
        <w:t>S</w:t>
      </w:r>
      <w:r w:rsidRPr="00064DB6">
        <w:rPr>
          <w:rFonts w:cs="Calibri"/>
          <w:sz w:val="24"/>
        </w:rPr>
        <w:t>ection</w:t>
      </w:r>
      <w:r>
        <w:rPr>
          <w:rFonts w:cs="Calibri"/>
          <w:sz w:val="24"/>
        </w:rPr>
        <w:t xml:space="preserve"> 2.3</w:t>
      </w:r>
      <w:r w:rsidR="00545A83">
        <w:rPr>
          <w:rFonts w:cs="Calibri"/>
          <w:sz w:val="24"/>
        </w:rPr>
        <w:t>)</w:t>
      </w:r>
      <w:r w:rsidRPr="00064DB6">
        <w:rPr>
          <w:rFonts w:cs="Calibri"/>
          <w:sz w:val="24"/>
        </w:rPr>
        <w:t>. Feinberg states that:</w:t>
      </w:r>
    </w:p>
    <w:p w14:paraId="1443DE0B" w14:textId="385B2496" w:rsidR="00A75A8F" w:rsidRPr="00064DB6" w:rsidRDefault="00F02C97" w:rsidP="00A75A8F">
      <w:pPr>
        <w:spacing w:line="240" w:lineRule="auto"/>
        <w:ind w:left="720"/>
        <w:rPr>
          <w:rFonts w:cs="Calibri"/>
          <w:sz w:val="24"/>
        </w:rPr>
      </w:pPr>
      <w:r>
        <w:rPr>
          <w:rFonts w:cs="Calibri"/>
          <w:sz w:val="24"/>
        </w:rPr>
        <w:t>…</w:t>
      </w:r>
      <w:r w:rsidR="00A75A8F">
        <w:rPr>
          <w:rFonts w:cs="Calibri"/>
          <w:sz w:val="24"/>
        </w:rPr>
        <w:t>t</w:t>
      </w:r>
      <w:r w:rsidR="00A75A8F" w:rsidRPr="00064DB6">
        <w:rPr>
          <w:rFonts w:cs="Calibri"/>
          <w:sz w:val="24"/>
        </w:rPr>
        <w:t xml:space="preserve">he body of research in education should attempt to understand the transmission process in the context of an examination of the knowledge code of a given society and the relationship of different individuals and group frameworks to that code (1983, p.170). </w:t>
      </w:r>
    </w:p>
    <w:p w14:paraId="0AAA1129" w14:textId="1DC934A1" w:rsidR="00A75A8F" w:rsidRDefault="00A75A8F" w:rsidP="00A75A8F">
      <w:pPr>
        <w:tabs>
          <w:tab w:val="left" w:pos="8647"/>
        </w:tabs>
        <w:spacing w:line="360" w:lineRule="auto"/>
        <w:rPr>
          <w:rFonts w:cs="Calibri"/>
          <w:sz w:val="24"/>
        </w:rPr>
      </w:pPr>
      <w:r>
        <w:rPr>
          <w:rFonts w:cs="Calibri"/>
          <w:sz w:val="24"/>
        </w:rPr>
        <w:lastRenderedPageBreak/>
        <w:t>He</w:t>
      </w:r>
      <w:r w:rsidRPr="00064DB6">
        <w:rPr>
          <w:rFonts w:cs="Calibri"/>
          <w:sz w:val="24"/>
        </w:rPr>
        <w:t xml:space="preserve"> describes a </w:t>
      </w:r>
      <w:r w:rsidR="00F02C97">
        <w:rPr>
          <w:rFonts w:cs="Calibri"/>
          <w:sz w:val="24"/>
        </w:rPr>
        <w:t>‘</w:t>
      </w:r>
      <w:r w:rsidRPr="00064DB6">
        <w:rPr>
          <w:rFonts w:cs="Calibri"/>
          <w:sz w:val="24"/>
        </w:rPr>
        <w:t>knowledge code</w:t>
      </w:r>
      <w:r w:rsidR="00F02C97">
        <w:rPr>
          <w:rFonts w:cs="Calibri"/>
          <w:sz w:val="24"/>
        </w:rPr>
        <w:t>’</w:t>
      </w:r>
      <w:r w:rsidRPr="00064DB6">
        <w:rPr>
          <w:rFonts w:cs="Calibri"/>
          <w:sz w:val="24"/>
        </w:rPr>
        <w:t xml:space="preserve"> as the overarching structure </w:t>
      </w:r>
      <w:r>
        <w:rPr>
          <w:rFonts w:cs="Calibri"/>
          <w:sz w:val="24"/>
        </w:rPr>
        <w:t xml:space="preserve">identifying </w:t>
      </w:r>
      <w:r w:rsidRPr="00064DB6">
        <w:rPr>
          <w:rFonts w:cs="Calibri"/>
          <w:sz w:val="24"/>
        </w:rPr>
        <w:t>legitimate knowledge and the value and authority that is afforded to people with different “modes of kn</w:t>
      </w:r>
      <w:r w:rsidR="00545A83">
        <w:rPr>
          <w:rFonts w:cs="Calibri"/>
          <w:sz w:val="24"/>
        </w:rPr>
        <w:t>owledge” (p.164). The code brings</w:t>
      </w:r>
      <w:r w:rsidRPr="00064DB6">
        <w:rPr>
          <w:rFonts w:cs="Calibri"/>
          <w:sz w:val="24"/>
        </w:rPr>
        <w:t xml:space="preserve"> together a coherent structure of skills and consciousness which are then supported by social institutions. High</w:t>
      </w:r>
      <w:r w:rsidR="00F02C97">
        <w:rPr>
          <w:rFonts w:cs="Calibri"/>
          <w:sz w:val="24"/>
        </w:rPr>
        <w:t>-</w:t>
      </w:r>
      <w:r w:rsidRPr="00064DB6">
        <w:rPr>
          <w:rFonts w:cs="Calibri"/>
          <w:sz w:val="24"/>
        </w:rPr>
        <w:t xml:space="preserve">status codes are perpetuated and maintained by the general acceptance of the </w:t>
      </w:r>
      <w:r w:rsidR="00F02C97">
        <w:rPr>
          <w:rFonts w:cs="Calibri"/>
          <w:sz w:val="24"/>
        </w:rPr>
        <w:t xml:space="preserve">idea that </w:t>
      </w:r>
      <w:r w:rsidRPr="00064DB6">
        <w:rPr>
          <w:rFonts w:cs="Calibri"/>
          <w:sz w:val="24"/>
        </w:rPr>
        <w:t>acquisition of this knowledg</w:t>
      </w:r>
      <w:r w:rsidR="00545A83">
        <w:rPr>
          <w:rFonts w:cs="Calibri"/>
          <w:sz w:val="24"/>
        </w:rPr>
        <w:t xml:space="preserve">e </w:t>
      </w:r>
      <w:r w:rsidR="00F02C97">
        <w:rPr>
          <w:rFonts w:cs="Calibri"/>
          <w:sz w:val="24"/>
        </w:rPr>
        <w:t>i</w:t>
      </w:r>
      <w:r w:rsidR="00545A83">
        <w:rPr>
          <w:rFonts w:cs="Calibri"/>
          <w:sz w:val="24"/>
        </w:rPr>
        <w:t>s a natural process with</w:t>
      </w:r>
      <w:r w:rsidRPr="00064DB6">
        <w:rPr>
          <w:rFonts w:cs="Calibri"/>
          <w:sz w:val="24"/>
        </w:rPr>
        <w:t xml:space="preserve"> </w:t>
      </w:r>
      <w:r>
        <w:rPr>
          <w:rFonts w:cs="Calibri"/>
          <w:sz w:val="24"/>
        </w:rPr>
        <w:t xml:space="preserve">universal </w:t>
      </w:r>
      <w:r w:rsidRPr="00064DB6">
        <w:rPr>
          <w:rFonts w:cs="Calibri"/>
          <w:sz w:val="24"/>
        </w:rPr>
        <w:t xml:space="preserve">functional benefit. </w:t>
      </w:r>
      <w:r>
        <w:rPr>
          <w:rFonts w:cs="Calibri"/>
          <w:sz w:val="24"/>
        </w:rPr>
        <w:t>C</w:t>
      </w:r>
      <w:r w:rsidRPr="00064DB6">
        <w:rPr>
          <w:rFonts w:cs="Calibri"/>
          <w:sz w:val="24"/>
        </w:rPr>
        <w:t>ultural and social reproduction within education is tied to the particular knowledge code of th</w:t>
      </w:r>
      <w:r>
        <w:rPr>
          <w:rFonts w:cs="Calibri"/>
          <w:sz w:val="24"/>
        </w:rPr>
        <w:t>e</w:t>
      </w:r>
      <w:r w:rsidRPr="00064DB6">
        <w:rPr>
          <w:rFonts w:cs="Calibri"/>
          <w:sz w:val="24"/>
        </w:rPr>
        <w:t xml:space="preserve"> time. The EBac as a</w:t>
      </w:r>
      <w:r w:rsidR="00A35B15">
        <w:rPr>
          <w:rFonts w:cs="Calibri"/>
          <w:sz w:val="24"/>
        </w:rPr>
        <w:t>n</w:t>
      </w:r>
      <w:r w:rsidRPr="00064DB6">
        <w:rPr>
          <w:rFonts w:cs="Calibri"/>
          <w:sz w:val="24"/>
        </w:rPr>
        <w:t xml:space="preserve"> embodiment of a knowledge code</w:t>
      </w:r>
      <w:r w:rsidR="00545A83">
        <w:rPr>
          <w:rFonts w:cs="Calibri"/>
          <w:sz w:val="24"/>
        </w:rPr>
        <w:t>,</w:t>
      </w:r>
      <w:r w:rsidRPr="00064DB6">
        <w:rPr>
          <w:rFonts w:cs="Calibri"/>
          <w:sz w:val="24"/>
        </w:rPr>
        <w:t xml:space="preserve"> valued and promoted by </w:t>
      </w:r>
      <w:r w:rsidR="00545A83">
        <w:rPr>
          <w:rFonts w:cs="Calibri"/>
          <w:sz w:val="24"/>
        </w:rPr>
        <w:t xml:space="preserve">the </w:t>
      </w:r>
      <w:r w:rsidRPr="00064DB6">
        <w:rPr>
          <w:rFonts w:cs="Calibri"/>
          <w:sz w:val="24"/>
        </w:rPr>
        <w:t>go</w:t>
      </w:r>
      <w:r w:rsidRPr="00C50E6A">
        <w:rPr>
          <w:rFonts w:cs="Calibri"/>
          <w:sz w:val="24"/>
        </w:rPr>
        <w:t>vernment</w:t>
      </w:r>
      <w:r w:rsidR="00A35B15">
        <w:rPr>
          <w:rFonts w:cs="Calibri"/>
          <w:sz w:val="24"/>
        </w:rPr>
        <w:t>,</w:t>
      </w:r>
      <w:r w:rsidRPr="00C50E6A">
        <w:rPr>
          <w:rFonts w:cs="Calibri"/>
          <w:sz w:val="24"/>
        </w:rPr>
        <w:t xml:space="preserve"> will hold a different relati</w:t>
      </w:r>
      <w:r w:rsidR="00545A83">
        <w:rPr>
          <w:rFonts w:cs="Calibri"/>
          <w:sz w:val="24"/>
        </w:rPr>
        <w:t>onship with varying</w:t>
      </w:r>
      <w:r w:rsidRPr="00C50E6A">
        <w:rPr>
          <w:rFonts w:cs="Calibri"/>
          <w:sz w:val="24"/>
        </w:rPr>
        <w:t xml:space="preserve"> social classes and groups within society. If one social class, </w:t>
      </w:r>
      <w:r w:rsidR="00A35B15">
        <w:rPr>
          <w:rFonts w:cs="Calibri"/>
          <w:sz w:val="24"/>
        </w:rPr>
        <w:t xml:space="preserve">namely </w:t>
      </w:r>
      <w:r w:rsidRPr="00C50E6A">
        <w:rPr>
          <w:rFonts w:cs="Calibri"/>
          <w:sz w:val="24"/>
        </w:rPr>
        <w:t xml:space="preserve">the </w:t>
      </w:r>
      <w:r>
        <w:rPr>
          <w:rFonts w:cs="Calibri"/>
          <w:sz w:val="24"/>
        </w:rPr>
        <w:t>m</w:t>
      </w:r>
      <w:r w:rsidRPr="00C50E6A">
        <w:rPr>
          <w:rFonts w:cs="Calibri"/>
          <w:sz w:val="24"/>
        </w:rPr>
        <w:t>iddle class, is able to work within this code, then there is a greater chance that they will choose this combination of subjects and be successful</w:t>
      </w:r>
      <w:r w:rsidR="00A35B15">
        <w:rPr>
          <w:rFonts w:cs="Calibri"/>
          <w:sz w:val="24"/>
        </w:rPr>
        <w:t xml:space="preserve"> in them</w:t>
      </w:r>
      <w:r w:rsidRPr="00C50E6A">
        <w:rPr>
          <w:rFonts w:cs="Calibri"/>
          <w:sz w:val="24"/>
        </w:rPr>
        <w:t>.</w:t>
      </w:r>
    </w:p>
    <w:p w14:paraId="3960F81C" w14:textId="2A4AC482" w:rsidR="00A75A8F" w:rsidRDefault="00A75A8F" w:rsidP="00A75A8F">
      <w:pPr>
        <w:spacing w:line="360" w:lineRule="auto"/>
        <w:rPr>
          <w:rFonts w:cs="Calibri"/>
          <w:sz w:val="24"/>
        </w:rPr>
      </w:pPr>
      <w:r>
        <w:rPr>
          <w:rFonts w:cs="Calibri"/>
          <w:sz w:val="24"/>
        </w:rPr>
        <w:t>The postmodern view of curriculum knowledge disputes Young’s (2008) current belief that there is underlying “powerful” knowledge independent of any political or power group. Bar</w:t>
      </w:r>
      <w:r w:rsidR="001270C8">
        <w:rPr>
          <w:rFonts w:cs="Calibri"/>
          <w:sz w:val="24"/>
        </w:rPr>
        <w:t>t</w:t>
      </w:r>
      <w:r>
        <w:rPr>
          <w:rFonts w:cs="Calibri"/>
          <w:sz w:val="24"/>
        </w:rPr>
        <w:t xml:space="preserve">lett and Burton (2007) comment that “in the postmodern world, knowledge is at the centre and controlling it is a means to exercise power. Knowledge in this view is always contested …” (p.80). As knowledge becomes a commodity, schools and universities compete to ensure they engage </w:t>
      </w:r>
      <w:r w:rsidR="009F7794">
        <w:rPr>
          <w:rFonts w:cs="Calibri"/>
          <w:sz w:val="24"/>
        </w:rPr>
        <w:t xml:space="preserve">in the </w:t>
      </w:r>
      <w:r>
        <w:rPr>
          <w:rFonts w:cs="Calibri"/>
          <w:sz w:val="24"/>
        </w:rPr>
        <w:t>high</w:t>
      </w:r>
      <w:r w:rsidR="009F7794">
        <w:rPr>
          <w:rFonts w:cs="Calibri"/>
          <w:sz w:val="24"/>
        </w:rPr>
        <w:t>-</w:t>
      </w:r>
      <w:r>
        <w:rPr>
          <w:rFonts w:cs="Calibri"/>
          <w:sz w:val="24"/>
        </w:rPr>
        <w:t>status knowledge hierarchy. These institutions can confer social authority upon those who study</w:t>
      </w:r>
      <w:r w:rsidR="009F7794">
        <w:rPr>
          <w:rFonts w:cs="Calibri"/>
          <w:sz w:val="24"/>
        </w:rPr>
        <w:t xml:space="preserve"> there,</w:t>
      </w:r>
      <w:r>
        <w:rPr>
          <w:rFonts w:cs="Calibri"/>
          <w:sz w:val="24"/>
        </w:rPr>
        <w:t xml:space="preserve"> providing a continuous cycle of reinforcement. </w:t>
      </w:r>
    </w:p>
    <w:p w14:paraId="581B1613" w14:textId="47BE30B6" w:rsidR="00A75A8F" w:rsidRPr="00C50E6A" w:rsidRDefault="00A75A8F" w:rsidP="00A75A8F">
      <w:pPr>
        <w:spacing w:line="360" w:lineRule="auto"/>
        <w:rPr>
          <w:rFonts w:cs="Calibri"/>
          <w:sz w:val="24"/>
        </w:rPr>
      </w:pPr>
      <w:r>
        <w:rPr>
          <w:rFonts w:cs="Calibri"/>
          <w:sz w:val="24"/>
        </w:rPr>
        <w:t>After considering the role of knowledge from a variety of theoretical positions</w:t>
      </w:r>
      <w:r w:rsidR="009F7794">
        <w:rPr>
          <w:rFonts w:cs="Calibri"/>
          <w:sz w:val="24"/>
        </w:rPr>
        <w:t>,</w:t>
      </w:r>
      <w:r>
        <w:rPr>
          <w:rFonts w:cs="Calibri"/>
          <w:sz w:val="24"/>
        </w:rPr>
        <w:t xml:space="preserve"> I</w:t>
      </w:r>
      <w:r w:rsidR="009F7794">
        <w:rPr>
          <w:rFonts w:cs="Calibri"/>
          <w:sz w:val="24"/>
        </w:rPr>
        <w:t xml:space="preserve"> </w:t>
      </w:r>
      <w:r>
        <w:rPr>
          <w:rFonts w:cs="Calibri"/>
          <w:sz w:val="24"/>
        </w:rPr>
        <w:t xml:space="preserve">return to articulate my theoretical position in </w:t>
      </w:r>
      <w:r w:rsidR="009F7794">
        <w:rPr>
          <w:rFonts w:cs="Calibri"/>
          <w:sz w:val="24"/>
        </w:rPr>
        <w:t>S</w:t>
      </w:r>
      <w:r>
        <w:rPr>
          <w:rFonts w:cs="Calibri"/>
          <w:sz w:val="24"/>
        </w:rPr>
        <w:t xml:space="preserve">ection 2.9. Before </w:t>
      </w:r>
      <w:r w:rsidR="009F7794">
        <w:rPr>
          <w:rFonts w:cs="Calibri"/>
          <w:sz w:val="24"/>
        </w:rPr>
        <w:t>doing so, however,</w:t>
      </w:r>
      <w:r>
        <w:rPr>
          <w:rFonts w:cs="Calibri"/>
          <w:sz w:val="24"/>
        </w:rPr>
        <w:t xml:space="preserve"> I consider </w:t>
      </w:r>
      <w:r w:rsidR="009F7794">
        <w:rPr>
          <w:rFonts w:cs="Calibri"/>
          <w:sz w:val="24"/>
        </w:rPr>
        <w:t xml:space="preserve">next </w:t>
      </w:r>
      <w:r>
        <w:rPr>
          <w:rFonts w:cs="Calibri"/>
          <w:sz w:val="24"/>
        </w:rPr>
        <w:t xml:space="preserve">the concept of educational policy, focusing on the framework of Scheurich’s </w:t>
      </w:r>
      <w:r w:rsidR="00DF24E7">
        <w:rPr>
          <w:rFonts w:cs="Calibri"/>
          <w:sz w:val="24"/>
        </w:rPr>
        <w:t xml:space="preserve">PA </w:t>
      </w:r>
      <w:r>
        <w:rPr>
          <w:rFonts w:cs="Calibri"/>
          <w:sz w:val="24"/>
        </w:rPr>
        <w:t>(1994) and review</w:t>
      </w:r>
      <w:r w:rsidR="009F7794">
        <w:rPr>
          <w:rFonts w:cs="Calibri"/>
          <w:sz w:val="24"/>
        </w:rPr>
        <w:t>ing</w:t>
      </w:r>
      <w:r>
        <w:rPr>
          <w:rFonts w:cs="Calibri"/>
          <w:sz w:val="24"/>
        </w:rPr>
        <w:t xml:space="preserve"> recent literature relating directly to the EBac and </w:t>
      </w:r>
      <w:r w:rsidR="009F7794">
        <w:rPr>
          <w:rFonts w:cs="Calibri"/>
          <w:sz w:val="24"/>
        </w:rPr>
        <w:t>its</w:t>
      </w:r>
      <w:r>
        <w:rPr>
          <w:rFonts w:cs="Calibri"/>
          <w:sz w:val="24"/>
        </w:rPr>
        <w:t xml:space="preserve"> implemen</w:t>
      </w:r>
      <w:r w:rsidR="001270C8">
        <w:rPr>
          <w:rFonts w:cs="Calibri"/>
          <w:sz w:val="24"/>
        </w:rPr>
        <w:t>tation and effect</w:t>
      </w:r>
      <w:r w:rsidR="009F7794">
        <w:rPr>
          <w:rFonts w:cs="Calibri"/>
          <w:sz w:val="24"/>
        </w:rPr>
        <w:t>s</w:t>
      </w:r>
      <w:r>
        <w:rPr>
          <w:rFonts w:cs="Calibri"/>
          <w:sz w:val="24"/>
        </w:rPr>
        <w:t xml:space="preserve">. </w:t>
      </w:r>
    </w:p>
    <w:p w14:paraId="222AB0D2" w14:textId="77777777" w:rsidR="00A75A8F" w:rsidRPr="00CE2829" w:rsidRDefault="00A75A8F" w:rsidP="00531995">
      <w:pPr>
        <w:pStyle w:val="Heading2"/>
      </w:pPr>
      <w:bookmarkStart w:id="30" w:name="_Toc452316315"/>
      <w:r w:rsidRPr="00CE2829">
        <w:t>2.</w:t>
      </w:r>
      <w:r>
        <w:t>6</w:t>
      </w:r>
      <w:r w:rsidRPr="00CE2829">
        <w:t xml:space="preserve"> Educational policy</w:t>
      </w:r>
      <w:r>
        <w:t xml:space="preserve"> and policy archaeology</w:t>
      </w:r>
      <w:bookmarkEnd w:id="30"/>
    </w:p>
    <w:p w14:paraId="5ACE1A91" w14:textId="56632690" w:rsidR="00A75A8F" w:rsidRPr="00CE2829" w:rsidRDefault="00A75A8F" w:rsidP="00A75A8F">
      <w:pPr>
        <w:spacing w:line="360" w:lineRule="auto"/>
        <w:rPr>
          <w:rFonts w:cs="Calibri"/>
          <w:sz w:val="24"/>
        </w:rPr>
      </w:pPr>
      <w:r>
        <w:rPr>
          <w:rFonts w:cs="Calibri"/>
          <w:sz w:val="24"/>
        </w:rPr>
        <w:t xml:space="preserve">I </w:t>
      </w:r>
      <w:r w:rsidRPr="00CE2829">
        <w:rPr>
          <w:rFonts w:cs="Calibri"/>
          <w:sz w:val="24"/>
        </w:rPr>
        <w:t xml:space="preserve">consider </w:t>
      </w:r>
      <w:r>
        <w:rPr>
          <w:rFonts w:cs="Calibri"/>
          <w:sz w:val="24"/>
        </w:rPr>
        <w:t xml:space="preserve">in this section </w:t>
      </w:r>
      <w:r w:rsidRPr="00CE2829">
        <w:rPr>
          <w:rFonts w:cs="Calibri"/>
          <w:sz w:val="24"/>
        </w:rPr>
        <w:t>the purpose and role of policy analysis</w:t>
      </w:r>
      <w:r>
        <w:rPr>
          <w:rFonts w:cs="Calibri"/>
          <w:sz w:val="24"/>
        </w:rPr>
        <w:t>,</w:t>
      </w:r>
      <w:r w:rsidRPr="00CE2829">
        <w:rPr>
          <w:rFonts w:cs="Calibri"/>
          <w:sz w:val="24"/>
        </w:rPr>
        <w:t xml:space="preserve"> focus</w:t>
      </w:r>
      <w:r>
        <w:rPr>
          <w:rFonts w:cs="Calibri"/>
          <w:sz w:val="24"/>
        </w:rPr>
        <w:t>ing</w:t>
      </w:r>
      <w:r w:rsidRPr="00CE2829">
        <w:rPr>
          <w:rFonts w:cs="Calibri"/>
          <w:sz w:val="24"/>
        </w:rPr>
        <w:t xml:space="preserve"> on Scheurich’s </w:t>
      </w:r>
      <w:r w:rsidR="00DF24E7">
        <w:rPr>
          <w:rFonts w:cs="Calibri"/>
          <w:sz w:val="24"/>
        </w:rPr>
        <w:t xml:space="preserve">PA </w:t>
      </w:r>
      <w:r w:rsidRPr="00CE2829">
        <w:rPr>
          <w:rFonts w:cs="Calibri"/>
          <w:sz w:val="24"/>
        </w:rPr>
        <w:t>(1994) as a framework to analyse the EBac policy. T</w:t>
      </w:r>
      <w:r>
        <w:rPr>
          <w:rFonts w:cs="Calibri"/>
          <w:sz w:val="24"/>
        </w:rPr>
        <w:t xml:space="preserve">o </w:t>
      </w:r>
      <w:r w:rsidRPr="00CE2829">
        <w:rPr>
          <w:rFonts w:cs="Calibri"/>
          <w:sz w:val="24"/>
        </w:rPr>
        <w:t>illuminate the advantages and possible disadvantages of this approach</w:t>
      </w:r>
      <w:r w:rsidR="009F7794">
        <w:rPr>
          <w:rFonts w:cs="Calibri"/>
          <w:sz w:val="24"/>
        </w:rPr>
        <w:t>,</w:t>
      </w:r>
      <w:r>
        <w:rPr>
          <w:rFonts w:cs="Calibri"/>
          <w:sz w:val="24"/>
        </w:rPr>
        <w:t xml:space="preserve"> the </w:t>
      </w:r>
      <w:r w:rsidRPr="00CE2829">
        <w:rPr>
          <w:rFonts w:cs="Calibri"/>
          <w:sz w:val="24"/>
        </w:rPr>
        <w:t xml:space="preserve">work of </w:t>
      </w:r>
      <w:r>
        <w:rPr>
          <w:rFonts w:cs="Calibri"/>
          <w:sz w:val="24"/>
        </w:rPr>
        <w:t xml:space="preserve">Dale (2001), Pillow (2004), </w:t>
      </w:r>
      <w:r w:rsidRPr="00CE2829">
        <w:rPr>
          <w:rFonts w:cs="Calibri"/>
          <w:sz w:val="24"/>
        </w:rPr>
        <w:t>Walton (2010)</w:t>
      </w:r>
      <w:r>
        <w:rPr>
          <w:rFonts w:cs="Calibri"/>
          <w:sz w:val="24"/>
        </w:rPr>
        <w:t xml:space="preserve">, </w:t>
      </w:r>
      <w:r w:rsidRPr="00CE2829">
        <w:rPr>
          <w:rFonts w:cs="Calibri"/>
          <w:sz w:val="24"/>
        </w:rPr>
        <w:t xml:space="preserve">and Winter (2011) </w:t>
      </w:r>
      <w:r>
        <w:rPr>
          <w:rFonts w:cs="Calibri"/>
          <w:sz w:val="24"/>
        </w:rPr>
        <w:t xml:space="preserve">are </w:t>
      </w:r>
      <w:r w:rsidR="009F7794">
        <w:rPr>
          <w:rFonts w:cs="Calibri"/>
          <w:sz w:val="24"/>
        </w:rPr>
        <w:t xml:space="preserve">also </w:t>
      </w:r>
      <w:r>
        <w:rPr>
          <w:rFonts w:cs="Calibri"/>
          <w:sz w:val="24"/>
        </w:rPr>
        <w:t>reviewed</w:t>
      </w:r>
      <w:r w:rsidRPr="00CE2829">
        <w:rPr>
          <w:rFonts w:cs="Calibri"/>
          <w:sz w:val="24"/>
        </w:rPr>
        <w:t xml:space="preserve">. </w:t>
      </w:r>
    </w:p>
    <w:p w14:paraId="2FDE01F2" w14:textId="4DBD2EA6" w:rsidR="00A75A8F" w:rsidRPr="00CE2829" w:rsidRDefault="00A75A8F" w:rsidP="00A75A8F">
      <w:pPr>
        <w:spacing w:line="360" w:lineRule="auto"/>
        <w:rPr>
          <w:rFonts w:cs="Calibri"/>
          <w:sz w:val="24"/>
        </w:rPr>
      </w:pPr>
      <w:r w:rsidRPr="00CE2829">
        <w:rPr>
          <w:rFonts w:cs="Calibri"/>
          <w:sz w:val="24"/>
        </w:rPr>
        <w:t xml:space="preserve">Policy has </w:t>
      </w:r>
      <w:r>
        <w:rPr>
          <w:rFonts w:cs="Calibri"/>
          <w:sz w:val="24"/>
        </w:rPr>
        <w:t>both</w:t>
      </w:r>
      <w:r w:rsidRPr="00CE2829">
        <w:rPr>
          <w:rFonts w:cs="Calibri"/>
          <w:sz w:val="24"/>
        </w:rPr>
        <w:t xml:space="preserve"> simple and complex</w:t>
      </w:r>
      <w:r>
        <w:rPr>
          <w:rFonts w:cs="Calibri"/>
          <w:sz w:val="24"/>
        </w:rPr>
        <w:t xml:space="preserve"> definitions</w:t>
      </w:r>
      <w:r w:rsidRPr="00CE2829">
        <w:rPr>
          <w:rFonts w:cs="Calibri"/>
          <w:sz w:val="24"/>
        </w:rPr>
        <w:t>.</w:t>
      </w:r>
      <w:r w:rsidR="009F7794">
        <w:rPr>
          <w:rFonts w:cs="Calibri"/>
          <w:sz w:val="24"/>
        </w:rPr>
        <w:t xml:space="preserve"> Simply defined</w:t>
      </w:r>
      <w:r w:rsidRPr="00CE2829">
        <w:rPr>
          <w:rFonts w:cs="Calibri"/>
          <w:sz w:val="24"/>
        </w:rPr>
        <w:t xml:space="preserve">, </w:t>
      </w:r>
      <w:r w:rsidR="009F7794">
        <w:rPr>
          <w:rFonts w:cs="Calibri"/>
          <w:sz w:val="24"/>
        </w:rPr>
        <w:t xml:space="preserve">a </w:t>
      </w:r>
      <w:r w:rsidRPr="00CE2829">
        <w:rPr>
          <w:rFonts w:cs="Calibri"/>
          <w:sz w:val="24"/>
        </w:rPr>
        <w:t xml:space="preserve">policy is a response to a problem. Faced with problems, </w:t>
      </w:r>
      <w:r>
        <w:rPr>
          <w:rFonts w:cs="Calibri"/>
          <w:sz w:val="24"/>
        </w:rPr>
        <w:t>g</w:t>
      </w:r>
      <w:r w:rsidRPr="00CE2829">
        <w:rPr>
          <w:rFonts w:cs="Calibri"/>
          <w:sz w:val="24"/>
        </w:rPr>
        <w:t xml:space="preserve">overnments generate a range of policies to try to rectify </w:t>
      </w:r>
      <w:r w:rsidRPr="00CE2829">
        <w:rPr>
          <w:rFonts w:cs="Calibri"/>
          <w:sz w:val="24"/>
        </w:rPr>
        <w:lastRenderedPageBreak/>
        <w:t xml:space="preserve">perceived concerns. Dye </w:t>
      </w:r>
      <w:r>
        <w:rPr>
          <w:rFonts w:cs="Calibri"/>
          <w:sz w:val="24"/>
        </w:rPr>
        <w:t xml:space="preserve">states </w:t>
      </w:r>
      <w:r w:rsidRPr="00CE2829">
        <w:rPr>
          <w:rFonts w:cs="Calibri"/>
          <w:sz w:val="24"/>
        </w:rPr>
        <w:t xml:space="preserve">that policies are “whatever governments choose to do, or not to do” (1992 p.2). </w:t>
      </w:r>
      <w:r>
        <w:rPr>
          <w:rFonts w:cs="Calibri"/>
          <w:sz w:val="24"/>
        </w:rPr>
        <w:t>T</w:t>
      </w:r>
      <w:r w:rsidRPr="00CE2829">
        <w:rPr>
          <w:rFonts w:cs="Calibri"/>
          <w:sz w:val="24"/>
        </w:rPr>
        <w:t>h</w:t>
      </w:r>
      <w:r>
        <w:rPr>
          <w:rFonts w:cs="Calibri"/>
          <w:sz w:val="24"/>
        </w:rPr>
        <w:t>is</w:t>
      </w:r>
      <w:r w:rsidRPr="00CE2829">
        <w:rPr>
          <w:rFonts w:cs="Calibri"/>
          <w:sz w:val="24"/>
        </w:rPr>
        <w:t xml:space="preserve"> seemingly simple definition of policy hide</w:t>
      </w:r>
      <w:r>
        <w:rPr>
          <w:rFonts w:cs="Calibri"/>
          <w:sz w:val="24"/>
        </w:rPr>
        <w:t>s</w:t>
      </w:r>
      <w:r w:rsidRPr="00CE2829">
        <w:rPr>
          <w:rFonts w:cs="Calibri"/>
          <w:sz w:val="24"/>
        </w:rPr>
        <w:t xml:space="preserve"> a wide range of complexities. Rizvi and Lingard (2010)</w:t>
      </w:r>
      <w:r w:rsidR="00217EB7">
        <w:rPr>
          <w:rFonts w:cs="Calibri"/>
          <w:sz w:val="24"/>
        </w:rPr>
        <w:t>, for example,</w:t>
      </w:r>
      <w:r w:rsidRPr="00CE2829">
        <w:rPr>
          <w:rFonts w:cs="Calibri"/>
          <w:sz w:val="24"/>
        </w:rPr>
        <w:t xml:space="preserve"> suggest that</w:t>
      </w:r>
      <w:r>
        <w:rPr>
          <w:rFonts w:cs="Calibri"/>
          <w:sz w:val="24"/>
        </w:rPr>
        <w:t xml:space="preserve"> “a</w:t>
      </w:r>
      <w:r w:rsidRPr="00CE2829">
        <w:rPr>
          <w:rFonts w:cs="Calibri"/>
          <w:sz w:val="24"/>
        </w:rPr>
        <w:t xml:space="preserve"> policy expresses patterns of decisions in the context of other decisions taken by political actors on behalf of state institutions from positions of authority</w:t>
      </w:r>
      <w:r>
        <w:rPr>
          <w:rFonts w:cs="Calibri"/>
          <w:sz w:val="24"/>
        </w:rPr>
        <w:t>”</w:t>
      </w:r>
      <w:r w:rsidRPr="00CE2829">
        <w:rPr>
          <w:rFonts w:cs="Calibri"/>
          <w:sz w:val="24"/>
        </w:rPr>
        <w:t xml:space="preserve"> (p.4).</w:t>
      </w:r>
      <w:r>
        <w:rPr>
          <w:rFonts w:cs="Calibri"/>
          <w:sz w:val="24"/>
        </w:rPr>
        <w:t xml:space="preserve"> P</w:t>
      </w:r>
      <w:r w:rsidRPr="00CE2829">
        <w:rPr>
          <w:rFonts w:cs="Calibri"/>
          <w:sz w:val="24"/>
        </w:rPr>
        <w:t xml:space="preserve">olicy is not a neutral governmental or </w:t>
      </w:r>
      <w:r>
        <w:rPr>
          <w:rFonts w:cs="Calibri"/>
          <w:sz w:val="24"/>
        </w:rPr>
        <w:t>‘</w:t>
      </w:r>
      <w:r w:rsidRPr="00CE2829">
        <w:rPr>
          <w:rFonts w:cs="Calibri"/>
          <w:sz w:val="24"/>
        </w:rPr>
        <w:t>other</w:t>
      </w:r>
      <w:r>
        <w:rPr>
          <w:rFonts w:cs="Calibri"/>
          <w:sz w:val="24"/>
        </w:rPr>
        <w:t>’</w:t>
      </w:r>
      <w:r w:rsidRPr="00CE2829">
        <w:rPr>
          <w:rFonts w:cs="Calibri"/>
          <w:sz w:val="24"/>
        </w:rPr>
        <w:t xml:space="preserve"> response to a problem</w:t>
      </w:r>
      <w:r w:rsidR="00217EB7">
        <w:rPr>
          <w:rFonts w:cs="Calibri"/>
          <w:sz w:val="24"/>
        </w:rPr>
        <w:t>,</w:t>
      </w:r>
      <w:r w:rsidRPr="00CE2829">
        <w:rPr>
          <w:rFonts w:cs="Calibri"/>
          <w:sz w:val="24"/>
        </w:rPr>
        <w:t xml:space="preserve"> but a socially constructed set of guidelines to attempt to structure action. This concept of policy as a complex, evolving social situation is developed by Taylor et al:</w:t>
      </w:r>
    </w:p>
    <w:p w14:paraId="72FD6F83" w14:textId="0077D018" w:rsidR="00A75A8F" w:rsidRPr="00CE2829" w:rsidRDefault="00C426B4" w:rsidP="00A75A8F">
      <w:pPr>
        <w:spacing w:line="240" w:lineRule="auto"/>
        <w:ind w:left="720"/>
        <w:rPr>
          <w:rFonts w:cs="Calibri"/>
          <w:sz w:val="24"/>
        </w:rPr>
      </w:pPr>
      <w:r>
        <w:rPr>
          <w:rFonts w:cs="Calibri"/>
          <w:sz w:val="24"/>
        </w:rPr>
        <w:t>W</w:t>
      </w:r>
      <w:r w:rsidR="00A75A8F" w:rsidRPr="00CE2829">
        <w:rPr>
          <w:rFonts w:cs="Calibri"/>
          <w:sz w:val="24"/>
        </w:rPr>
        <w:t>e would also emphasise that policy processes are ongoing and dynamic. When we describe policy we are thus attempting to capture and pin down something that is continually in process (</w:t>
      </w:r>
      <w:r w:rsidR="00A75A8F">
        <w:rPr>
          <w:rFonts w:cs="Calibri"/>
          <w:sz w:val="24"/>
        </w:rPr>
        <w:t xml:space="preserve">1997, </w:t>
      </w:r>
      <w:r w:rsidR="00A75A8F" w:rsidRPr="00CE2829">
        <w:rPr>
          <w:rFonts w:cs="Calibri"/>
          <w:sz w:val="24"/>
        </w:rPr>
        <w:t>p.24).</w:t>
      </w:r>
    </w:p>
    <w:p w14:paraId="7FABE32E" w14:textId="288EA2DA" w:rsidR="00A75A8F" w:rsidRPr="00CB7F1F" w:rsidRDefault="00A75A8F" w:rsidP="00A75A8F">
      <w:pPr>
        <w:spacing w:line="360" w:lineRule="auto"/>
        <w:rPr>
          <w:rFonts w:cs="Calibri"/>
          <w:sz w:val="24"/>
        </w:rPr>
      </w:pPr>
      <w:r>
        <w:rPr>
          <w:rFonts w:cs="Calibri"/>
          <w:sz w:val="24"/>
        </w:rPr>
        <w:t>D</w:t>
      </w:r>
      <w:r w:rsidRPr="00CE2829">
        <w:rPr>
          <w:rFonts w:cs="Calibri"/>
          <w:sz w:val="24"/>
        </w:rPr>
        <w:t xml:space="preserve">eciding which problem </w:t>
      </w:r>
      <w:r>
        <w:rPr>
          <w:rFonts w:cs="Calibri"/>
          <w:sz w:val="24"/>
        </w:rPr>
        <w:t xml:space="preserve">will be selected for attention </w:t>
      </w:r>
      <w:r w:rsidRPr="00CE2829">
        <w:rPr>
          <w:rFonts w:cs="Calibri"/>
          <w:sz w:val="24"/>
        </w:rPr>
        <w:t>i</w:t>
      </w:r>
      <w:r>
        <w:rPr>
          <w:rFonts w:cs="Calibri"/>
          <w:sz w:val="24"/>
        </w:rPr>
        <w:t>s a time and context-bound decision and action. Th</w:t>
      </w:r>
      <w:r w:rsidR="00217EB7">
        <w:rPr>
          <w:rFonts w:cs="Calibri"/>
          <w:sz w:val="24"/>
        </w:rPr>
        <w:t>e decision</w:t>
      </w:r>
      <w:r w:rsidRPr="00CB7F1F">
        <w:rPr>
          <w:rFonts w:cs="Calibri"/>
          <w:sz w:val="24"/>
        </w:rPr>
        <w:t xml:space="preserve"> </w:t>
      </w:r>
      <w:r w:rsidR="00217EB7">
        <w:rPr>
          <w:rFonts w:cs="Calibri"/>
          <w:sz w:val="24"/>
        </w:rPr>
        <w:t xml:space="preserve">is </w:t>
      </w:r>
      <w:r w:rsidRPr="00CB7F1F">
        <w:rPr>
          <w:rFonts w:cs="Calibri"/>
          <w:sz w:val="24"/>
        </w:rPr>
        <w:t xml:space="preserve">determined, interpreted and implemented by a range of factors, not least the values </w:t>
      </w:r>
      <w:r>
        <w:rPr>
          <w:rFonts w:cs="Calibri"/>
          <w:sz w:val="24"/>
        </w:rPr>
        <w:t>of</w:t>
      </w:r>
      <w:r w:rsidRPr="00CB7F1F">
        <w:rPr>
          <w:rFonts w:cs="Calibri"/>
          <w:sz w:val="24"/>
        </w:rPr>
        <w:t xml:space="preserve"> those in positions of power and authority. Ball (2008) goes further in his definition of policy:</w:t>
      </w:r>
    </w:p>
    <w:p w14:paraId="00375FD0" w14:textId="030A46E9" w:rsidR="00A75A8F" w:rsidRPr="00CB7F1F" w:rsidRDefault="00A75A8F" w:rsidP="00A75A8F">
      <w:pPr>
        <w:ind w:left="720"/>
        <w:rPr>
          <w:rFonts w:cs="Calibri"/>
          <w:sz w:val="24"/>
        </w:rPr>
      </w:pPr>
      <w:r>
        <w:rPr>
          <w:rFonts w:cs="Calibri"/>
          <w:sz w:val="24"/>
        </w:rPr>
        <w:t>…p</w:t>
      </w:r>
      <w:r w:rsidRPr="00CB7F1F">
        <w:rPr>
          <w:rFonts w:cs="Calibri"/>
          <w:sz w:val="24"/>
        </w:rPr>
        <w:t>olicies are contested, interpreted and enacted in a variety of arenas of practice and the rhetoric, texts and meanings of policy makers do not always translate directly and obviously into institutional practices. They are inflected, mediated, resisted and misunderstood, or in some cases simply prove unworkable. It is also important not to over estimate the logical rationality of policy. Policy strategies, Acts, guidelines and initiatives are often messy, contradictory, confused and unclear (p.7).</w:t>
      </w:r>
    </w:p>
    <w:p w14:paraId="67636B07" w14:textId="4BC88530" w:rsidR="00A75A8F" w:rsidRDefault="00A75A8F" w:rsidP="00A75A8F">
      <w:pPr>
        <w:tabs>
          <w:tab w:val="left" w:pos="8364"/>
        </w:tabs>
        <w:spacing w:line="360" w:lineRule="auto"/>
        <w:rPr>
          <w:rFonts w:cs="Calibri"/>
          <w:sz w:val="24"/>
        </w:rPr>
      </w:pPr>
      <w:r w:rsidRPr="00CB7F1F">
        <w:rPr>
          <w:rFonts w:cs="Calibri"/>
          <w:sz w:val="24"/>
        </w:rPr>
        <w:t>This definition of policy links my first and second research questions</w:t>
      </w:r>
      <w:r>
        <w:rPr>
          <w:rFonts w:cs="Calibri"/>
          <w:sz w:val="24"/>
        </w:rPr>
        <w:t>. During construction, t</w:t>
      </w:r>
      <w:r w:rsidRPr="00CB7F1F">
        <w:rPr>
          <w:rFonts w:cs="Calibri"/>
          <w:sz w:val="24"/>
        </w:rPr>
        <w:t xml:space="preserve">he EBac policy is mediated by the interpretations, actions and beliefs of </w:t>
      </w:r>
      <w:r>
        <w:rPr>
          <w:rFonts w:cs="Calibri"/>
          <w:sz w:val="24"/>
        </w:rPr>
        <w:t>educationalists</w:t>
      </w:r>
      <w:r w:rsidRPr="00CB7F1F">
        <w:rPr>
          <w:rFonts w:cs="Calibri"/>
          <w:sz w:val="24"/>
        </w:rPr>
        <w:t xml:space="preserve"> before being implemented and ultimately impact</w:t>
      </w:r>
      <w:r w:rsidR="00940BBA">
        <w:rPr>
          <w:rFonts w:cs="Calibri"/>
          <w:sz w:val="24"/>
        </w:rPr>
        <w:t>ing</w:t>
      </w:r>
      <w:r w:rsidRPr="00CB7F1F">
        <w:rPr>
          <w:rFonts w:cs="Calibri"/>
          <w:sz w:val="24"/>
        </w:rPr>
        <w:t xml:space="preserve"> on children. Critical policy researchers </w:t>
      </w:r>
      <w:r>
        <w:rPr>
          <w:rFonts w:cs="Calibri"/>
          <w:sz w:val="24"/>
        </w:rPr>
        <w:t>regard</w:t>
      </w:r>
      <w:r w:rsidRPr="00CB7F1F">
        <w:rPr>
          <w:rFonts w:cs="Calibri"/>
          <w:sz w:val="24"/>
        </w:rPr>
        <w:t xml:space="preserve"> policy as a political discourse and </w:t>
      </w:r>
      <w:r>
        <w:rPr>
          <w:rFonts w:cs="Calibri"/>
          <w:sz w:val="24"/>
        </w:rPr>
        <w:t xml:space="preserve">I </w:t>
      </w:r>
      <w:r w:rsidRPr="00CB7F1F">
        <w:rPr>
          <w:rFonts w:cs="Calibri"/>
          <w:sz w:val="24"/>
        </w:rPr>
        <w:t>approach my analysis and consideration of the EBac policy</w:t>
      </w:r>
      <w:r>
        <w:rPr>
          <w:rFonts w:cs="Calibri"/>
          <w:sz w:val="24"/>
        </w:rPr>
        <w:t xml:space="preserve"> in this manner</w:t>
      </w:r>
      <w:r w:rsidRPr="00CB7F1F">
        <w:rPr>
          <w:rFonts w:cs="Calibri"/>
          <w:sz w:val="24"/>
        </w:rPr>
        <w:t xml:space="preserve">. </w:t>
      </w:r>
      <w:r>
        <w:rPr>
          <w:rFonts w:cs="Calibri"/>
          <w:sz w:val="24"/>
        </w:rPr>
        <w:t>T</w:t>
      </w:r>
      <w:r w:rsidRPr="00CB7F1F">
        <w:rPr>
          <w:rFonts w:cs="Calibri"/>
          <w:sz w:val="24"/>
        </w:rPr>
        <w:t xml:space="preserve">he White Paper </w:t>
      </w:r>
      <w:r w:rsidR="00D25C59">
        <w:rPr>
          <w:rFonts w:cs="Calibri"/>
          <w:sz w:val="24"/>
        </w:rPr>
        <w:t>(</w:t>
      </w:r>
      <w:r>
        <w:rPr>
          <w:rFonts w:cs="Calibri"/>
          <w:sz w:val="24"/>
        </w:rPr>
        <w:t>2010</w:t>
      </w:r>
      <w:r w:rsidR="00D25C59">
        <w:rPr>
          <w:rFonts w:cs="Calibri"/>
          <w:sz w:val="24"/>
        </w:rPr>
        <w:t>)</w:t>
      </w:r>
      <w:r>
        <w:rPr>
          <w:rFonts w:cs="Calibri"/>
          <w:sz w:val="24"/>
        </w:rPr>
        <w:t xml:space="preserve"> </w:t>
      </w:r>
      <w:r w:rsidRPr="00CB7F1F">
        <w:rPr>
          <w:rFonts w:cs="Calibri"/>
          <w:sz w:val="24"/>
        </w:rPr>
        <w:t>high</w:t>
      </w:r>
      <w:r w:rsidR="00D25C59">
        <w:rPr>
          <w:rFonts w:cs="Calibri"/>
          <w:sz w:val="24"/>
        </w:rPr>
        <w:t>lights that even in</w:t>
      </w:r>
      <w:r w:rsidR="00940BBA">
        <w:rPr>
          <w:rFonts w:cs="Calibri"/>
          <w:sz w:val="24"/>
        </w:rPr>
        <w:t xml:space="preserve"> its</w:t>
      </w:r>
      <w:r w:rsidR="00D25C59">
        <w:rPr>
          <w:rFonts w:cs="Calibri"/>
          <w:sz w:val="24"/>
        </w:rPr>
        <w:t xml:space="preserve"> inception</w:t>
      </w:r>
      <w:r w:rsidR="00940BBA">
        <w:rPr>
          <w:rFonts w:cs="Calibri"/>
          <w:sz w:val="24"/>
        </w:rPr>
        <w:t>,</w:t>
      </w:r>
      <w:r w:rsidR="00D25C59">
        <w:rPr>
          <w:rFonts w:cs="Calibri"/>
          <w:sz w:val="24"/>
        </w:rPr>
        <w:t xml:space="preserve"> </w:t>
      </w:r>
      <w:r w:rsidRPr="00CB7F1F">
        <w:rPr>
          <w:rFonts w:cs="Calibri"/>
          <w:sz w:val="24"/>
        </w:rPr>
        <w:t>policy may be influenced by competing interests and values</w:t>
      </w:r>
      <w:r w:rsidR="00940BBA">
        <w:rPr>
          <w:rFonts w:cs="Calibri"/>
          <w:sz w:val="24"/>
        </w:rPr>
        <w:t>,</w:t>
      </w:r>
      <w:r w:rsidRPr="00CB7F1F">
        <w:rPr>
          <w:rFonts w:cs="Calibri"/>
          <w:sz w:val="24"/>
        </w:rPr>
        <w:t xml:space="preserve"> in this case, </w:t>
      </w:r>
      <w:r w:rsidR="00940BBA">
        <w:rPr>
          <w:rFonts w:cs="Calibri"/>
          <w:sz w:val="24"/>
        </w:rPr>
        <w:t>the</w:t>
      </w:r>
      <w:r w:rsidRPr="00CB7F1F">
        <w:rPr>
          <w:rFonts w:cs="Calibri"/>
          <w:sz w:val="24"/>
        </w:rPr>
        <w:t xml:space="preserve"> first major joint </w:t>
      </w:r>
      <w:r>
        <w:rPr>
          <w:rFonts w:cs="Calibri"/>
          <w:sz w:val="24"/>
        </w:rPr>
        <w:t xml:space="preserve">education </w:t>
      </w:r>
      <w:r w:rsidRPr="00CB7F1F">
        <w:rPr>
          <w:rFonts w:cs="Calibri"/>
          <w:sz w:val="24"/>
        </w:rPr>
        <w:t>policy</w:t>
      </w:r>
      <w:r>
        <w:rPr>
          <w:rFonts w:cs="Calibri"/>
          <w:sz w:val="24"/>
        </w:rPr>
        <w:t xml:space="preserve"> amalgamat</w:t>
      </w:r>
      <w:r w:rsidR="00940BBA">
        <w:rPr>
          <w:rFonts w:cs="Calibri"/>
          <w:sz w:val="24"/>
        </w:rPr>
        <w:t>ed</w:t>
      </w:r>
      <w:r>
        <w:rPr>
          <w:rFonts w:cs="Calibri"/>
          <w:sz w:val="24"/>
        </w:rPr>
        <w:t xml:space="preserve"> </w:t>
      </w:r>
      <w:r w:rsidR="00940BBA">
        <w:rPr>
          <w:rFonts w:cs="Calibri"/>
          <w:sz w:val="24"/>
        </w:rPr>
        <w:t>from</w:t>
      </w:r>
      <w:r>
        <w:rPr>
          <w:rFonts w:cs="Calibri"/>
          <w:sz w:val="24"/>
        </w:rPr>
        <w:t xml:space="preserve"> the beliefs of two </w:t>
      </w:r>
      <w:r w:rsidRPr="00CB7F1F">
        <w:rPr>
          <w:rFonts w:cs="Calibri"/>
          <w:sz w:val="24"/>
        </w:rPr>
        <w:t>political parties.</w:t>
      </w:r>
    </w:p>
    <w:p w14:paraId="5FBB000D" w14:textId="77777777" w:rsidR="001E54EB" w:rsidRDefault="001E54EB" w:rsidP="00A75A8F">
      <w:pPr>
        <w:tabs>
          <w:tab w:val="left" w:pos="8364"/>
        </w:tabs>
        <w:spacing w:line="360" w:lineRule="auto"/>
        <w:rPr>
          <w:rFonts w:cs="Calibri"/>
          <w:sz w:val="24"/>
        </w:rPr>
      </w:pPr>
    </w:p>
    <w:p w14:paraId="76A87D56" w14:textId="77777777" w:rsidR="001E54EB" w:rsidRPr="00CB7F1F" w:rsidRDefault="001E54EB" w:rsidP="00A75A8F">
      <w:pPr>
        <w:tabs>
          <w:tab w:val="left" w:pos="8364"/>
        </w:tabs>
        <w:spacing w:line="360" w:lineRule="auto"/>
        <w:rPr>
          <w:rFonts w:cs="Calibri"/>
          <w:sz w:val="24"/>
        </w:rPr>
      </w:pPr>
    </w:p>
    <w:p w14:paraId="6C0DDBC9" w14:textId="0ABA2E75" w:rsidR="00A75A8F" w:rsidRPr="00CB7F1F" w:rsidRDefault="00A75A8F" w:rsidP="00531995">
      <w:pPr>
        <w:pStyle w:val="Heading3"/>
      </w:pPr>
      <w:bookmarkStart w:id="31" w:name="_Toc452316316"/>
      <w:r w:rsidRPr="00CB7F1F">
        <w:lastRenderedPageBreak/>
        <w:t>2.</w:t>
      </w:r>
      <w:r>
        <w:t>6</w:t>
      </w:r>
      <w:r w:rsidRPr="00CB7F1F">
        <w:t>.</w:t>
      </w:r>
      <w:r w:rsidR="00BF3AC7">
        <w:t>1</w:t>
      </w:r>
      <w:r w:rsidRPr="00CB7F1F">
        <w:t xml:space="preserve"> Policy analysis</w:t>
      </w:r>
      <w:bookmarkEnd w:id="31"/>
    </w:p>
    <w:p w14:paraId="6AB599FD" w14:textId="2F2A5268" w:rsidR="00A75A8F" w:rsidRPr="00CB7F1F" w:rsidRDefault="00A75A8F" w:rsidP="00A75A8F">
      <w:pPr>
        <w:spacing w:line="360" w:lineRule="auto"/>
        <w:rPr>
          <w:rFonts w:cs="Calibri"/>
          <w:sz w:val="24"/>
        </w:rPr>
      </w:pPr>
      <w:r w:rsidRPr="00CB7F1F">
        <w:rPr>
          <w:rFonts w:cs="Calibri"/>
          <w:sz w:val="24"/>
        </w:rPr>
        <w:t xml:space="preserve">Policy analysis </w:t>
      </w:r>
      <w:r>
        <w:rPr>
          <w:rFonts w:cs="Calibri"/>
          <w:sz w:val="24"/>
        </w:rPr>
        <w:t>takes</w:t>
      </w:r>
      <w:r w:rsidRPr="00CB7F1F">
        <w:rPr>
          <w:rFonts w:cs="Calibri"/>
          <w:sz w:val="24"/>
        </w:rPr>
        <w:t xml:space="preserve"> many forms</w:t>
      </w:r>
      <w:r w:rsidR="00940BBA">
        <w:rPr>
          <w:rFonts w:cs="Calibri"/>
          <w:sz w:val="24"/>
        </w:rPr>
        <w:t>.</w:t>
      </w:r>
      <w:r w:rsidRPr="00CB7F1F">
        <w:rPr>
          <w:rFonts w:cs="Calibri"/>
          <w:sz w:val="24"/>
        </w:rPr>
        <w:t xml:space="preserve"> Maguire and Ball (1994) focus on qualitative policy analysis, identifying three types: elite studies, whereby major policy initiators are identified and interviewed to ga</w:t>
      </w:r>
      <w:r w:rsidR="00D25C59">
        <w:rPr>
          <w:rFonts w:cs="Calibri"/>
          <w:sz w:val="24"/>
        </w:rPr>
        <w:t>in an understanding of</w:t>
      </w:r>
      <w:r w:rsidRPr="00CB7F1F">
        <w:rPr>
          <w:rFonts w:cs="Calibri"/>
          <w:sz w:val="24"/>
        </w:rPr>
        <w:t xml:space="preserve"> the policy creation and the politics within and behind the policy text; trajectory studies, focusing on the wider policy life cycle from inception, creation, implementation and impact; and implementation studies, which focus on the context of pol</w:t>
      </w:r>
      <w:r w:rsidR="00D25C59">
        <w:rPr>
          <w:rFonts w:cs="Calibri"/>
          <w:sz w:val="24"/>
        </w:rPr>
        <w:t>icy practice</w:t>
      </w:r>
      <w:r w:rsidR="00940BBA">
        <w:rPr>
          <w:rFonts w:cs="Calibri"/>
          <w:sz w:val="24"/>
        </w:rPr>
        <w:t>,</w:t>
      </w:r>
      <w:r w:rsidR="00D25C59">
        <w:rPr>
          <w:rFonts w:cs="Calibri"/>
          <w:sz w:val="24"/>
        </w:rPr>
        <w:t xml:space="preserve"> researching</w:t>
      </w:r>
      <w:r w:rsidRPr="00CB7F1F">
        <w:rPr>
          <w:rFonts w:cs="Calibri"/>
          <w:sz w:val="24"/>
        </w:rPr>
        <w:t xml:space="preserve"> how the policy is interpreted and applied. </w:t>
      </w:r>
      <w:r>
        <w:rPr>
          <w:rFonts w:cs="Calibri"/>
          <w:sz w:val="24"/>
        </w:rPr>
        <w:t>I</w:t>
      </w:r>
      <w:r w:rsidRPr="00CB7F1F">
        <w:rPr>
          <w:rFonts w:cs="Calibri"/>
          <w:sz w:val="24"/>
        </w:rPr>
        <w:t>n order to consider my second research question, I tak</w:t>
      </w:r>
      <w:r>
        <w:rPr>
          <w:rFonts w:cs="Calibri"/>
          <w:sz w:val="24"/>
        </w:rPr>
        <w:t>e</w:t>
      </w:r>
      <w:r w:rsidRPr="00CB7F1F">
        <w:rPr>
          <w:rFonts w:cs="Calibri"/>
          <w:sz w:val="24"/>
        </w:rPr>
        <w:t xml:space="preserve"> </w:t>
      </w:r>
      <w:r w:rsidR="00940BBA">
        <w:rPr>
          <w:rFonts w:cs="Calibri"/>
          <w:sz w:val="24"/>
        </w:rPr>
        <w:t>the</w:t>
      </w:r>
      <w:r w:rsidRPr="00CB7F1F">
        <w:rPr>
          <w:rFonts w:cs="Calibri"/>
          <w:sz w:val="24"/>
        </w:rPr>
        <w:t xml:space="preserve"> implementation </w:t>
      </w:r>
      <w:r>
        <w:rPr>
          <w:rFonts w:cs="Calibri"/>
          <w:sz w:val="24"/>
        </w:rPr>
        <w:t xml:space="preserve">approach. </w:t>
      </w:r>
      <w:r w:rsidRPr="00CB7F1F">
        <w:rPr>
          <w:rFonts w:cs="Calibri"/>
          <w:sz w:val="24"/>
        </w:rPr>
        <w:t xml:space="preserve"> </w:t>
      </w:r>
    </w:p>
    <w:p w14:paraId="53E1755F" w14:textId="6C9C0052" w:rsidR="00A75A8F" w:rsidRPr="00CB7F1F" w:rsidRDefault="00A75A8F" w:rsidP="00A75A8F">
      <w:pPr>
        <w:tabs>
          <w:tab w:val="left" w:pos="8647"/>
        </w:tabs>
        <w:spacing w:line="360" w:lineRule="auto"/>
        <w:rPr>
          <w:rFonts w:cs="Calibri"/>
          <w:sz w:val="24"/>
        </w:rPr>
      </w:pPr>
      <w:r>
        <w:rPr>
          <w:rFonts w:cs="Calibri"/>
          <w:sz w:val="24"/>
        </w:rPr>
        <w:t>CDA</w:t>
      </w:r>
      <w:r w:rsidR="00940BBA">
        <w:rPr>
          <w:rFonts w:cs="Calibri"/>
          <w:sz w:val="24"/>
        </w:rPr>
        <w:t>,</w:t>
      </w:r>
      <w:r>
        <w:rPr>
          <w:rFonts w:cs="Calibri"/>
          <w:sz w:val="24"/>
        </w:rPr>
        <w:t xml:space="preserve"> </w:t>
      </w:r>
      <w:r w:rsidRPr="00CB7F1F">
        <w:rPr>
          <w:rFonts w:cs="Calibri"/>
          <w:sz w:val="24"/>
        </w:rPr>
        <w:t>advocated by Fairclough (19</w:t>
      </w:r>
      <w:r>
        <w:rPr>
          <w:rFonts w:cs="Calibri"/>
          <w:sz w:val="24"/>
        </w:rPr>
        <w:t>89</w:t>
      </w:r>
      <w:r w:rsidRPr="00CB7F1F">
        <w:rPr>
          <w:rFonts w:cs="Calibri"/>
          <w:sz w:val="24"/>
        </w:rPr>
        <w:t>)</w:t>
      </w:r>
      <w:r w:rsidR="00940BBA">
        <w:rPr>
          <w:rFonts w:cs="Calibri"/>
          <w:sz w:val="24"/>
        </w:rPr>
        <w:t>,</w:t>
      </w:r>
      <w:r w:rsidRPr="00CB7F1F">
        <w:rPr>
          <w:rFonts w:cs="Calibri"/>
          <w:sz w:val="24"/>
        </w:rPr>
        <w:t xml:space="preserve"> </w:t>
      </w:r>
      <w:r>
        <w:rPr>
          <w:rFonts w:cs="Calibri"/>
          <w:sz w:val="24"/>
        </w:rPr>
        <w:t xml:space="preserve">is </w:t>
      </w:r>
      <w:r w:rsidRPr="00CB7F1F">
        <w:rPr>
          <w:rFonts w:cs="Calibri"/>
          <w:sz w:val="24"/>
        </w:rPr>
        <w:t>based on Foucault’s theory of the relationship between power and knowledge</w:t>
      </w:r>
      <w:r>
        <w:rPr>
          <w:rFonts w:cs="Calibri"/>
          <w:sz w:val="24"/>
        </w:rPr>
        <w:t>. The analysis</w:t>
      </w:r>
      <w:r w:rsidRPr="00CB7F1F">
        <w:rPr>
          <w:rFonts w:cs="Calibri"/>
          <w:sz w:val="24"/>
        </w:rPr>
        <w:t xml:space="preserve"> </w:t>
      </w:r>
      <w:r>
        <w:rPr>
          <w:rFonts w:cs="Calibri"/>
          <w:sz w:val="24"/>
        </w:rPr>
        <w:t xml:space="preserve">of </w:t>
      </w:r>
      <w:r w:rsidRPr="00CB7F1F">
        <w:rPr>
          <w:rFonts w:cs="Calibri"/>
          <w:sz w:val="24"/>
        </w:rPr>
        <w:t>discourse</w:t>
      </w:r>
      <w:r>
        <w:rPr>
          <w:rFonts w:cs="Calibri"/>
          <w:sz w:val="24"/>
        </w:rPr>
        <w:t xml:space="preserve"> </w:t>
      </w:r>
      <w:r w:rsidRPr="00CB7F1F">
        <w:rPr>
          <w:rFonts w:cs="Calibri"/>
          <w:sz w:val="24"/>
        </w:rPr>
        <w:t>allow</w:t>
      </w:r>
      <w:r>
        <w:rPr>
          <w:rFonts w:cs="Calibri"/>
          <w:sz w:val="24"/>
        </w:rPr>
        <w:t>s</w:t>
      </w:r>
      <w:r w:rsidRPr="00CB7F1F">
        <w:rPr>
          <w:rFonts w:cs="Calibri"/>
          <w:sz w:val="24"/>
        </w:rPr>
        <w:t xml:space="preserve"> critical consideration of the text</w:t>
      </w:r>
      <w:r w:rsidR="002A5AAF">
        <w:rPr>
          <w:rFonts w:cs="Calibri"/>
          <w:sz w:val="24"/>
        </w:rPr>
        <w:t xml:space="preserve">, </w:t>
      </w:r>
      <w:r w:rsidRPr="00CB7F1F">
        <w:rPr>
          <w:rFonts w:cs="Calibri"/>
          <w:sz w:val="24"/>
        </w:rPr>
        <w:t>the overt and covert power relations</w:t>
      </w:r>
      <w:r w:rsidR="002A5AAF">
        <w:rPr>
          <w:rFonts w:cs="Calibri"/>
          <w:sz w:val="24"/>
        </w:rPr>
        <w:t>,</w:t>
      </w:r>
      <w:r w:rsidRPr="00CB7F1F">
        <w:rPr>
          <w:rFonts w:cs="Calibri"/>
          <w:sz w:val="24"/>
        </w:rPr>
        <w:t xml:space="preserve"> and power disputes within the policy. Ball adopts such a critical approach to policy analysis:</w:t>
      </w:r>
    </w:p>
    <w:p w14:paraId="0B609E06" w14:textId="77777777" w:rsidR="00A75A8F" w:rsidRPr="00CB7F1F" w:rsidRDefault="00A75A8F" w:rsidP="00A75A8F">
      <w:pPr>
        <w:spacing w:line="240" w:lineRule="auto"/>
        <w:ind w:left="720"/>
        <w:rPr>
          <w:rFonts w:cs="Calibri"/>
          <w:sz w:val="24"/>
        </w:rPr>
      </w:pPr>
      <w:r w:rsidRPr="00CB7F1F">
        <w:rPr>
          <w:rFonts w:cs="Calibri"/>
          <w:sz w:val="24"/>
        </w:rPr>
        <w:t>Policies are the operational statements of values…but values do not float free of their social context. We need to ask whose values are validated in policy and whose are not (</w:t>
      </w:r>
      <w:r>
        <w:rPr>
          <w:rFonts w:cs="Calibri"/>
          <w:sz w:val="24"/>
        </w:rPr>
        <w:t xml:space="preserve">1990, </w:t>
      </w:r>
      <w:r w:rsidRPr="00CB7F1F">
        <w:rPr>
          <w:rFonts w:cs="Calibri"/>
          <w:sz w:val="24"/>
        </w:rPr>
        <w:t>p.3).</w:t>
      </w:r>
    </w:p>
    <w:p w14:paraId="149AFDDC" w14:textId="35D96F20" w:rsidR="00A75A8F" w:rsidRPr="00CB7F1F" w:rsidRDefault="00A75A8F" w:rsidP="00A75A8F">
      <w:pPr>
        <w:spacing w:line="360" w:lineRule="auto"/>
        <w:rPr>
          <w:rFonts w:cs="Calibri"/>
          <w:sz w:val="24"/>
        </w:rPr>
      </w:pPr>
      <w:r w:rsidRPr="00CB7F1F">
        <w:rPr>
          <w:rFonts w:cs="Calibri"/>
          <w:sz w:val="24"/>
        </w:rPr>
        <w:t xml:space="preserve">Ball’s approach </w:t>
      </w:r>
      <w:r>
        <w:rPr>
          <w:rFonts w:cs="Calibri"/>
          <w:sz w:val="24"/>
        </w:rPr>
        <w:t>is</w:t>
      </w:r>
      <w:r w:rsidRPr="00CB7F1F">
        <w:rPr>
          <w:rFonts w:cs="Calibri"/>
          <w:sz w:val="24"/>
        </w:rPr>
        <w:t xml:space="preserve"> relevant to my research</w:t>
      </w:r>
      <w:r w:rsidR="002A5AAF">
        <w:rPr>
          <w:rFonts w:cs="Calibri"/>
          <w:sz w:val="24"/>
        </w:rPr>
        <w:t>,</w:t>
      </w:r>
      <w:r w:rsidRPr="00CB7F1F">
        <w:rPr>
          <w:rFonts w:cs="Calibri"/>
          <w:sz w:val="24"/>
        </w:rPr>
        <w:t xml:space="preserve"> as his analysis is based within critical policy sociology using qualitative methods and techniques to identify</w:t>
      </w:r>
      <w:r w:rsidR="002A5AAF">
        <w:rPr>
          <w:rFonts w:cs="Calibri"/>
          <w:sz w:val="24"/>
        </w:rPr>
        <w:t xml:space="preserve"> the</w:t>
      </w:r>
      <w:r w:rsidRPr="00CB7F1F">
        <w:rPr>
          <w:rFonts w:cs="Calibri"/>
          <w:sz w:val="24"/>
        </w:rPr>
        <w:t xml:space="preserve"> historical and current processes in operation within any policy.  This critical stance is important to my </w:t>
      </w:r>
      <w:r>
        <w:rPr>
          <w:rFonts w:cs="Calibri"/>
          <w:sz w:val="24"/>
        </w:rPr>
        <w:t>study</w:t>
      </w:r>
      <w:r w:rsidR="002A5AAF">
        <w:rPr>
          <w:rFonts w:cs="Calibri"/>
          <w:sz w:val="24"/>
        </w:rPr>
        <w:t>,</w:t>
      </w:r>
      <w:r w:rsidRPr="00CB7F1F">
        <w:rPr>
          <w:rFonts w:cs="Calibri"/>
          <w:sz w:val="24"/>
        </w:rPr>
        <w:t xml:space="preserve"> as I believe </w:t>
      </w:r>
      <w:r>
        <w:rPr>
          <w:rFonts w:cs="Calibri"/>
          <w:sz w:val="24"/>
        </w:rPr>
        <w:t>it is vital to</w:t>
      </w:r>
      <w:r w:rsidRPr="00CB7F1F">
        <w:rPr>
          <w:rFonts w:cs="Calibri"/>
          <w:sz w:val="24"/>
        </w:rPr>
        <w:t xml:space="preserve"> question</w:t>
      </w:r>
      <w:r>
        <w:rPr>
          <w:rFonts w:cs="Calibri"/>
          <w:sz w:val="24"/>
        </w:rPr>
        <w:t xml:space="preserve"> identified policy problems</w:t>
      </w:r>
      <w:r w:rsidRPr="00CB7F1F">
        <w:rPr>
          <w:rFonts w:cs="Calibri"/>
          <w:sz w:val="24"/>
        </w:rPr>
        <w:t xml:space="preserve"> </w:t>
      </w:r>
      <w:r>
        <w:rPr>
          <w:rFonts w:cs="Calibri"/>
          <w:sz w:val="24"/>
        </w:rPr>
        <w:t>and their perceived solutions</w:t>
      </w:r>
      <w:r w:rsidRPr="00CB7F1F">
        <w:rPr>
          <w:rFonts w:cs="Calibri"/>
          <w:sz w:val="24"/>
        </w:rPr>
        <w:t xml:space="preserve"> to </w:t>
      </w:r>
      <w:r>
        <w:rPr>
          <w:rFonts w:cs="Calibri"/>
          <w:sz w:val="24"/>
        </w:rPr>
        <w:t xml:space="preserve">address educational </w:t>
      </w:r>
      <w:r w:rsidRPr="00CB7F1F">
        <w:rPr>
          <w:rFonts w:cs="Calibri"/>
          <w:sz w:val="24"/>
        </w:rPr>
        <w:t>equalit</w:t>
      </w:r>
      <w:r>
        <w:rPr>
          <w:rFonts w:cs="Calibri"/>
          <w:sz w:val="24"/>
        </w:rPr>
        <w:t>y issues</w:t>
      </w:r>
      <w:r w:rsidRPr="00CB7F1F">
        <w:rPr>
          <w:rFonts w:cs="Calibri"/>
          <w:sz w:val="24"/>
        </w:rPr>
        <w:t>. Taylor et al (1997) summarise this approach as:</w:t>
      </w:r>
    </w:p>
    <w:p w14:paraId="1909A4CF" w14:textId="1E403B90" w:rsidR="00A75A8F" w:rsidRPr="00CB7F1F" w:rsidRDefault="00C426B4" w:rsidP="00A75A8F">
      <w:pPr>
        <w:spacing w:line="240" w:lineRule="auto"/>
        <w:ind w:left="720"/>
        <w:rPr>
          <w:rFonts w:cs="Calibri"/>
          <w:sz w:val="24"/>
        </w:rPr>
      </w:pPr>
      <w:r>
        <w:rPr>
          <w:rFonts w:cs="Calibri"/>
          <w:sz w:val="24"/>
        </w:rPr>
        <w:t>O</w:t>
      </w:r>
      <w:r w:rsidR="00A75A8F" w:rsidRPr="00CB7F1F">
        <w:rPr>
          <w:rFonts w:cs="Calibri"/>
          <w:sz w:val="24"/>
        </w:rPr>
        <w:t xml:space="preserve">ur stance is that in critical policy analysis there must be a concern with reform and change, recognising of course that these are value-laden terms…we have an interest in exploring the values and assumptions which underlie policies and the related issues of power, leading to questions such as, “In whose interests?” and “Who are the winners and losers?” in any particular policy initiative (p.37). </w:t>
      </w:r>
    </w:p>
    <w:p w14:paraId="22046268" w14:textId="655C172B" w:rsidR="00A75A8F" w:rsidRPr="00561854" w:rsidRDefault="00A75A8F" w:rsidP="00A75A8F">
      <w:pPr>
        <w:spacing w:line="360" w:lineRule="auto"/>
        <w:rPr>
          <w:rFonts w:cs="Calibri"/>
          <w:sz w:val="24"/>
        </w:rPr>
      </w:pPr>
      <w:r>
        <w:rPr>
          <w:rFonts w:cs="Calibri"/>
          <w:sz w:val="24"/>
        </w:rPr>
        <w:t>M</w:t>
      </w:r>
      <w:r w:rsidR="00FA544C">
        <w:rPr>
          <w:rFonts w:cs="Calibri"/>
          <w:sz w:val="24"/>
        </w:rPr>
        <w:t xml:space="preserve">y research </w:t>
      </w:r>
      <w:r w:rsidRPr="00CB7F1F">
        <w:rPr>
          <w:rFonts w:cs="Calibri"/>
          <w:sz w:val="24"/>
        </w:rPr>
        <w:t>contribute</w:t>
      </w:r>
      <w:r w:rsidR="00FA544C">
        <w:rPr>
          <w:rFonts w:cs="Calibri"/>
          <w:sz w:val="24"/>
        </w:rPr>
        <w:t>s</w:t>
      </w:r>
      <w:r w:rsidRPr="00CB7F1F">
        <w:rPr>
          <w:rFonts w:cs="Calibri"/>
          <w:sz w:val="24"/>
        </w:rPr>
        <w:t xml:space="preserve"> to </w:t>
      </w:r>
      <w:r w:rsidR="00CB6F89">
        <w:rPr>
          <w:rFonts w:cs="Calibri"/>
          <w:sz w:val="24"/>
        </w:rPr>
        <w:t xml:space="preserve">the </w:t>
      </w:r>
      <w:r w:rsidRPr="00CB7F1F">
        <w:rPr>
          <w:rFonts w:cs="Calibri"/>
          <w:sz w:val="24"/>
        </w:rPr>
        <w:t>academic and professional dialogue surrounding the EBac policy and implementation.</w:t>
      </w:r>
      <w:r>
        <w:rPr>
          <w:rFonts w:cs="Calibri"/>
          <w:sz w:val="24"/>
        </w:rPr>
        <w:t xml:space="preserve"> </w:t>
      </w:r>
      <w:r w:rsidRPr="00CB7F1F">
        <w:rPr>
          <w:rFonts w:cs="Calibri"/>
          <w:sz w:val="24"/>
        </w:rPr>
        <w:t xml:space="preserve">When carrying out an analysis of the </w:t>
      </w:r>
      <w:r>
        <w:rPr>
          <w:rFonts w:cs="Calibri"/>
          <w:sz w:val="24"/>
        </w:rPr>
        <w:t xml:space="preserve">policy </w:t>
      </w:r>
      <w:r w:rsidRPr="00CB7F1F">
        <w:rPr>
          <w:rFonts w:cs="Calibri"/>
          <w:sz w:val="24"/>
        </w:rPr>
        <w:t>text</w:t>
      </w:r>
      <w:r w:rsidR="00CB6F89">
        <w:rPr>
          <w:rFonts w:cs="Calibri"/>
          <w:sz w:val="24"/>
        </w:rPr>
        <w:t>,</w:t>
      </w:r>
      <w:r w:rsidRPr="00CB7F1F">
        <w:rPr>
          <w:rFonts w:cs="Calibri"/>
          <w:sz w:val="24"/>
        </w:rPr>
        <w:t xml:space="preserve"> I am keen to consider other statements of policy</w:t>
      </w:r>
      <w:r w:rsidR="00CB6F89">
        <w:rPr>
          <w:rFonts w:cs="Calibri"/>
          <w:sz w:val="24"/>
        </w:rPr>
        <w:t>,</w:t>
      </w:r>
      <w:r w:rsidRPr="00CB7F1F">
        <w:rPr>
          <w:rFonts w:cs="Calibri"/>
          <w:sz w:val="24"/>
        </w:rPr>
        <w:t xml:space="preserve"> along with sections of the actual policy itself. For e</w:t>
      </w:r>
      <w:r w:rsidR="00127537">
        <w:rPr>
          <w:rFonts w:cs="Calibri"/>
          <w:sz w:val="24"/>
        </w:rPr>
        <w:t xml:space="preserve">xample, Rizvi </w:t>
      </w:r>
      <w:r w:rsidR="00CB6F89">
        <w:rPr>
          <w:rFonts w:cs="Calibri"/>
          <w:sz w:val="24"/>
        </w:rPr>
        <w:t>and</w:t>
      </w:r>
      <w:r w:rsidR="00127537">
        <w:rPr>
          <w:rFonts w:cs="Calibri"/>
          <w:sz w:val="24"/>
        </w:rPr>
        <w:t xml:space="preserve"> Lingard (2010) and </w:t>
      </w:r>
      <w:r w:rsidRPr="00CB7F1F">
        <w:rPr>
          <w:rFonts w:cs="Calibri"/>
          <w:sz w:val="24"/>
        </w:rPr>
        <w:t>O</w:t>
      </w:r>
      <w:r w:rsidR="00127537">
        <w:rPr>
          <w:rFonts w:cs="Calibri"/>
          <w:sz w:val="24"/>
        </w:rPr>
        <w:t>zga (2000) comment that</w:t>
      </w:r>
      <w:r w:rsidRPr="00CB7F1F">
        <w:rPr>
          <w:rFonts w:cs="Calibri"/>
          <w:sz w:val="24"/>
        </w:rPr>
        <w:t xml:space="preserve"> political speeches by </w:t>
      </w:r>
      <w:r>
        <w:rPr>
          <w:rFonts w:cs="Calibri"/>
          <w:sz w:val="24"/>
        </w:rPr>
        <w:t>g</w:t>
      </w:r>
      <w:r w:rsidRPr="00CB7F1F">
        <w:rPr>
          <w:rFonts w:cs="Calibri"/>
          <w:sz w:val="24"/>
        </w:rPr>
        <w:t xml:space="preserve">overnment </w:t>
      </w:r>
      <w:r>
        <w:rPr>
          <w:rFonts w:cs="Calibri"/>
          <w:sz w:val="24"/>
        </w:rPr>
        <w:t>m</w:t>
      </w:r>
      <w:r w:rsidRPr="00CB7F1F">
        <w:rPr>
          <w:rFonts w:cs="Calibri"/>
          <w:sz w:val="24"/>
        </w:rPr>
        <w:t xml:space="preserve">inisters operate as policy and have real policy effects. When addressing my </w:t>
      </w:r>
      <w:r w:rsidRPr="00CB7F1F">
        <w:rPr>
          <w:rFonts w:cs="Calibri"/>
          <w:sz w:val="24"/>
        </w:rPr>
        <w:lastRenderedPageBreak/>
        <w:t>first research question</w:t>
      </w:r>
      <w:r w:rsidR="00440FCD">
        <w:rPr>
          <w:rFonts w:cs="Calibri"/>
          <w:sz w:val="24"/>
        </w:rPr>
        <w:t>,</w:t>
      </w:r>
      <w:r w:rsidRPr="00CB7F1F">
        <w:rPr>
          <w:rFonts w:cs="Calibri"/>
          <w:sz w:val="24"/>
        </w:rPr>
        <w:t xml:space="preserve"> I consider ex</w:t>
      </w:r>
      <w:r>
        <w:rPr>
          <w:rFonts w:cs="Calibri"/>
          <w:sz w:val="24"/>
        </w:rPr>
        <w:t xml:space="preserve">cerpts </w:t>
      </w:r>
      <w:r w:rsidRPr="00561854">
        <w:rPr>
          <w:rFonts w:cs="Calibri"/>
          <w:sz w:val="24"/>
        </w:rPr>
        <w:t xml:space="preserve">from both the </w:t>
      </w:r>
      <w:r>
        <w:rPr>
          <w:rFonts w:cs="Calibri"/>
          <w:sz w:val="24"/>
        </w:rPr>
        <w:t xml:space="preserve">EBac </w:t>
      </w:r>
      <w:r w:rsidRPr="00561854">
        <w:rPr>
          <w:rFonts w:cs="Calibri"/>
          <w:sz w:val="24"/>
        </w:rPr>
        <w:t xml:space="preserve">policy and the speech to Parliament introducing the </w:t>
      </w:r>
      <w:r>
        <w:rPr>
          <w:rFonts w:cs="Calibri"/>
          <w:sz w:val="24"/>
        </w:rPr>
        <w:t xml:space="preserve">EBac </w:t>
      </w:r>
      <w:r w:rsidRPr="00561854">
        <w:rPr>
          <w:rFonts w:cs="Calibri"/>
          <w:sz w:val="24"/>
        </w:rPr>
        <w:t xml:space="preserve">policy. </w:t>
      </w:r>
    </w:p>
    <w:p w14:paraId="1D3FF504" w14:textId="2394F115" w:rsidR="00A75A8F" w:rsidRPr="00561854" w:rsidRDefault="00A75A8F" w:rsidP="00531995">
      <w:pPr>
        <w:pStyle w:val="Heading3"/>
      </w:pPr>
      <w:bookmarkStart w:id="32" w:name="_Toc452316317"/>
      <w:r w:rsidRPr="00561854">
        <w:t>2.</w:t>
      </w:r>
      <w:r>
        <w:t>6</w:t>
      </w:r>
      <w:r w:rsidRPr="00561854">
        <w:t>.</w:t>
      </w:r>
      <w:r w:rsidR="00BF3AC7">
        <w:t>2</w:t>
      </w:r>
      <w:r w:rsidRPr="00561854">
        <w:t xml:space="preserve"> Policy archaeology</w:t>
      </w:r>
      <w:bookmarkEnd w:id="32"/>
    </w:p>
    <w:p w14:paraId="39A76E00" w14:textId="01818F72" w:rsidR="00A75A8F" w:rsidRPr="00561854" w:rsidRDefault="00A75A8F" w:rsidP="00A75A8F">
      <w:pPr>
        <w:spacing w:line="360" w:lineRule="auto"/>
        <w:rPr>
          <w:rFonts w:cs="Calibri"/>
          <w:sz w:val="24"/>
        </w:rPr>
      </w:pPr>
      <w:r>
        <w:rPr>
          <w:rFonts w:cs="Calibri"/>
          <w:sz w:val="24"/>
        </w:rPr>
        <w:t>T</w:t>
      </w:r>
      <w:r w:rsidRPr="00561854">
        <w:rPr>
          <w:rFonts w:cs="Calibri"/>
          <w:sz w:val="24"/>
        </w:rPr>
        <w:t>o co</w:t>
      </w:r>
      <w:r w:rsidR="009613E0">
        <w:rPr>
          <w:rFonts w:cs="Calibri"/>
          <w:sz w:val="24"/>
        </w:rPr>
        <w:t>nduct CDA</w:t>
      </w:r>
      <w:r w:rsidRPr="00561854">
        <w:rPr>
          <w:rFonts w:cs="Calibri"/>
          <w:sz w:val="24"/>
        </w:rPr>
        <w:t>, I</w:t>
      </w:r>
      <w:r>
        <w:rPr>
          <w:rFonts w:cs="Calibri"/>
          <w:sz w:val="24"/>
        </w:rPr>
        <w:t xml:space="preserve"> </w:t>
      </w:r>
      <w:r w:rsidRPr="00561854">
        <w:rPr>
          <w:rFonts w:cs="Calibri"/>
          <w:sz w:val="24"/>
        </w:rPr>
        <w:t>use Scheurich</w:t>
      </w:r>
      <w:r w:rsidR="00440FCD">
        <w:rPr>
          <w:rFonts w:cs="Calibri"/>
          <w:sz w:val="24"/>
        </w:rPr>
        <w:t>’s PA approach</w:t>
      </w:r>
      <w:r w:rsidRPr="00561854">
        <w:rPr>
          <w:rFonts w:cs="Calibri"/>
          <w:sz w:val="24"/>
        </w:rPr>
        <w:t xml:space="preserve"> (1994), building on ideas presented by Foucault</w:t>
      </w:r>
      <w:r w:rsidR="004444F3">
        <w:rPr>
          <w:rFonts w:cs="Calibri"/>
          <w:sz w:val="24"/>
        </w:rPr>
        <w:t xml:space="preserve"> (see Ball</w:t>
      </w:r>
      <w:r w:rsidR="00440FCD">
        <w:rPr>
          <w:rFonts w:cs="Calibri"/>
          <w:sz w:val="24"/>
        </w:rPr>
        <w:t>,</w:t>
      </w:r>
      <w:r w:rsidR="004444F3">
        <w:rPr>
          <w:rFonts w:cs="Calibri"/>
          <w:sz w:val="24"/>
        </w:rPr>
        <w:t xml:space="preserve"> 2013)</w:t>
      </w:r>
      <w:r w:rsidRPr="00561854">
        <w:rPr>
          <w:rFonts w:cs="Calibri"/>
          <w:sz w:val="24"/>
        </w:rPr>
        <w:t>. Scheurich argues that:</w:t>
      </w:r>
    </w:p>
    <w:p w14:paraId="6733BDC7" w14:textId="77777777" w:rsidR="00A75A8F" w:rsidRPr="00561854" w:rsidRDefault="00A75A8F" w:rsidP="00A75A8F">
      <w:pPr>
        <w:spacing w:line="240" w:lineRule="auto"/>
        <w:ind w:left="720"/>
        <w:rPr>
          <w:rFonts w:cs="Calibri"/>
          <w:sz w:val="24"/>
        </w:rPr>
      </w:pPr>
      <w:r w:rsidRPr="00561854">
        <w:rPr>
          <w:rFonts w:cs="Calibri"/>
          <w:sz w:val="24"/>
        </w:rPr>
        <w:t xml:space="preserve">Rather than concluding that social and education problems, policy solutions and policy studies are created by the conscious interplay of the free agents of history, </w:t>
      </w:r>
      <w:r>
        <w:rPr>
          <w:rFonts w:cs="Calibri"/>
          <w:sz w:val="24"/>
        </w:rPr>
        <w:t>policy archaeology</w:t>
      </w:r>
      <w:r w:rsidRPr="00561854">
        <w:rPr>
          <w:rFonts w:cs="Calibri"/>
          <w:sz w:val="24"/>
        </w:rPr>
        <w:t xml:space="preserve"> proposes that a grid of social regularities constitutes what is seen as a problem, what is socially legitimized as a policy solution, and what policy studies itself is (p.297).</w:t>
      </w:r>
    </w:p>
    <w:p w14:paraId="47047BF2" w14:textId="0CCA92D7" w:rsidR="00A75A8F" w:rsidRPr="00F949A0" w:rsidRDefault="00A75A8F" w:rsidP="00A75A8F">
      <w:pPr>
        <w:spacing w:line="360" w:lineRule="auto"/>
        <w:rPr>
          <w:rFonts w:asciiTheme="minorHAnsi" w:hAnsiTheme="minorHAnsi" w:cstheme="minorHAnsi"/>
          <w:sz w:val="24"/>
          <w:szCs w:val="24"/>
        </w:rPr>
      </w:pPr>
      <w:r w:rsidRPr="00561854">
        <w:rPr>
          <w:rFonts w:cs="Calibri"/>
          <w:sz w:val="24"/>
        </w:rPr>
        <w:t>He suggests that the i</w:t>
      </w:r>
      <w:r>
        <w:rPr>
          <w:rFonts w:cs="Calibri"/>
          <w:sz w:val="24"/>
        </w:rPr>
        <w:t>dentified</w:t>
      </w:r>
      <w:r w:rsidRPr="00561854">
        <w:rPr>
          <w:rFonts w:cs="Calibri"/>
          <w:sz w:val="24"/>
        </w:rPr>
        <w:t xml:space="preserve"> policy problems are themselves social constructs followed by supposedly logical policy solutions. </w:t>
      </w:r>
      <w:r>
        <w:rPr>
          <w:rFonts w:cs="Calibri"/>
          <w:sz w:val="24"/>
        </w:rPr>
        <w:t>T</w:t>
      </w:r>
      <w:r w:rsidRPr="00561854">
        <w:rPr>
          <w:rFonts w:cs="Calibri"/>
          <w:sz w:val="24"/>
        </w:rPr>
        <w:t>hese policy solutions may actually be a range o</w:t>
      </w:r>
      <w:r>
        <w:rPr>
          <w:rFonts w:cs="Calibri"/>
          <w:sz w:val="24"/>
        </w:rPr>
        <w:t>f</w:t>
      </w:r>
      <w:r w:rsidRPr="00561854">
        <w:rPr>
          <w:rFonts w:cs="Calibri"/>
          <w:sz w:val="24"/>
        </w:rPr>
        <w:t xml:space="preserve"> limited socially constructed solutions</w:t>
      </w:r>
      <w:r w:rsidR="00440FCD">
        <w:rPr>
          <w:rFonts w:cs="Calibri"/>
          <w:sz w:val="24"/>
        </w:rPr>
        <w:t>,</w:t>
      </w:r>
      <w:r w:rsidRPr="00561854">
        <w:rPr>
          <w:rFonts w:cs="Calibri"/>
          <w:sz w:val="24"/>
        </w:rPr>
        <w:t xml:space="preserve"> which </w:t>
      </w:r>
      <w:r>
        <w:rPr>
          <w:rFonts w:cs="Calibri"/>
          <w:sz w:val="24"/>
        </w:rPr>
        <w:t>are</w:t>
      </w:r>
      <w:r w:rsidRPr="00561854">
        <w:rPr>
          <w:rFonts w:cs="Calibri"/>
          <w:sz w:val="24"/>
        </w:rPr>
        <w:t xml:space="preserve"> then believe</w:t>
      </w:r>
      <w:r>
        <w:rPr>
          <w:rFonts w:cs="Calibri"/>
          <w:sz w:val="24"/>
        </w:rPr>
        <w:t>d to be</w:t>
      </w:r>
      <w:r w:rsidRPr="00561854">
        <w:rPr>
          <w:rFonts w:cs="Calibri"/>
          <w:sz w:val="24"/>
        </w:rPr>
        <w:t xml:space="preserve"> inevitable. S</w:t>
      </w:r>
      <w:r w:rsidR="004E1D06">
        <w:rPr>
          <w:rFonts w:cs="Calibri"/>
          <w:sz w:val="24"/>
        </w:rPr>
        <w:t>cheurich</w:t>
      </w:r>
      <w:r w:rsidRPr="00561854">
        <w:rPr>
          <w:rFonts w:cs="Calibri"/>
          <w:sz w:val="24"/>
        </w:rPr>
        <w:t xml:space="preserve"> suggest</w:t>
      </w:r>
      <w:r w:rsidR="004E1D06">
        <w:rPr>
          <w:rFonts w:cs="Calibri"/>
          <w:sz w:val="24"/>
        </w:rPr>
        <w:t>s</w:t>
      </w:r>
      <w:r w:rsidRPr="00561854">
        <w:rPr>
          <w:rFonts w:cs="Calibri"/>
          <w:sz w:val="24"/>
        </w:rPr>
        <w:t xml:space="preserve"> that policies become symbolic solutions, which were never designed to solve the p</w:t>
      </w:r>
      <w:r w:rsidR="004E1D06">
        <w:rPr>
          <w:rFonts w:cs="Calibri"/>
          <w:sz w:val="24"/>
        </w:rPr>
        <w:t>roblem</w:t>
      </w:r>
      <w:r w:rsidR="00440FCD">
        <w:rPr>
          <w:rFonts w:cs="Calibri"/>
          <w:sz w:val="24"/>
        </w:rPr>
        <w:t>s</w:t>
      </w:r>
      <w:r w:rsidR="004E1D06">
        <w:rPr>
          <w:rFonts w:cs="Calibri"/>
          <w:sz w:val="24"/>
        </w:rPr>
        <w:t xml:space="preserve"> </w:t>
      </w:r>
      <w:r w:rsidR="00440FCD">
        <w:rPr>
          <w:rFonts w:cs="Calibri"/>
          <w:sz w:val="24"/>
        </w:rPr>
        <w:t>themselves</w:t>
      </w:r>
      <w:r w:rsidR="004E1D06">
        <w:rPr>
          <w:rFonts w:cs="Calibri"/>
          <w:sz w:val="24"/>
        </w:rPr>
        <w:t>, but</w:t>
      </w:r>
      <w:r>
        <w:rPr>
          <w:rFonts w:cs="Calibri"/>
          <w:sz w:val="24"/>
        </w:rPr>
        <w:t xml:space="preserve"> </w:t>
      </w:r>
      <w:r w:rsidRPr="00561854">
        <w:rPr>
          <w:rFonts w:cs="Calibri"/>
          <w:sz w:val="24"/>
        </w:rPr>
        <w:t>to encourage people to think that they will sol</w:t>
      </w:r>
      <w:r w:rsidR="004E1D06">
        <w:rPr>
          <w:rFonts w:cs="Calibri"/>
          <w:sz w:val="24"/>
        </w:rPr>
        <w:t>ve the problem. He presents</w:t>
      </w:r>
      <w:r w:rsidRPr="00561854">
        <w:rPr>
          <w:rFonts w:cs="Calibri"/>
          <w:sz w:val="24"/>
        </w:rPr>
        <w:t xml:space="preserve"> four </w:t>
      </w:r>
      <w:r w:rsidR="00440FCD" w:rsidRPr="00561854">
        <w:rPr>
          <w:rFonts w:cs="Calibri"/>
          <w:sz w:val="24"/>
        </w:rPr>
        <w:t xml:space="preserve">required </w:t>
      </w:r>
      <w:r w:rsidRPr="00561854">
        <w:rPr>
          <w:rFonts w:cs="Calibri"/>
          <w:sz w:val="24"/>
        </w:rPr>
        <w:t>arenas of study or focus</w:t>
      </w:r>
      <w:r w:rsidR="00440FCD">
        <w:rPr>
          <w:rFonts w:cs="Calibri"/>
          <w:sz w:val="24"/>
        </w:rPr>
        <w:t xml:space="preserve"> </w:t>
      </w:r>
      <w:r w:rsidRPr="00561854">
        <w:rPr>
          <w:rFonts w:cs="Calibri"/>
          <w:sz w:val="24"/>
        </w:rPr>
        <w:t>to carry out his policy stud</w:t>
      </w:r>
      <w:r w:rsidR="00440FCD">
        <w:rPr>
          <w:rFonts w:cs="Calibri"/>
          <w:sz w:val="24"/>
        </w:rPr>
        <w:t>y</w:t>
      </w:r>
      <w:r w:rsidRPr="00561854">
        <w:rPr>
          <w:rFonts w:cs="Calibri"/>
          <w:sz w:val="24"/>
        </w:rPr>
        <w:t xml:space="preserve"> methodology. </w:t>
      </w:r>
      <w:r>
        <w:rPr>
          <w:rFonts w:cs="Calibri"/>
          <w:sz w:val="24"/>
        </w:rPr>
        <w:t>Gale (2001) turns each arena into a question</w:t>
      </w:r>
      <w:r w:rsidR="00440FCD">
        <w:rPr>
          <w:rFonts w:cs="Calibri"/>
          <w:sz w:val="24"/>
        </w:rPr>
        <w:t>,</w:t>
      </w:r>
      <w:r>
        <w:rPr>
          <w:rFonts w:cs="Calibri"/>
          <w:sz w:val="24"/>
        </w:rPr>
        <w:t xml:space="preserve"> which I </w:t>
      </w:r>
      <w:r w:rsidR="00440FCD">
        <w:rPr>
          <w:rFonts w:cs="Calibri"/>
          <w:sz w:val="24"/>
        </w:rPr>
        <w:t xml:space="preserve">have </w:t>
      </w:r>
      <w:r>
        <w:rPr>
          <w:rFonts w:cs="Calibri"/>
          <w:sz w:val="24"/>
        </w:rPr>
        <w:t>appl</w:t>
      </w:r>
      <w:r w:rsidR="00440FCD">
        <w:rPr>
          <w:rFonts w:cs="Calibri"/>
          <w:sz w:val="24"/>
        </w:rPr>
        <w:t>ied</w:t>
      </w:r>
      <w:r>
        <w:rPr>
          <w:rFonts w:cs="Calibri"/>
          <w:sz w:val="24"/>
        </w:rPr>
        <w:t xml:space="preserve"> to </w:t>
      </w:r>
      <w:r w:rsidRPr="00F949A0">
        <w:rPr>
          <w:rFonts w:asciiTheme="minorHAnsi" w:hAnsiTheme="minorHAnsi" w:cstheme="minorHAnsi"/>
          <w:sz w:val="24"/>
          <w:szCs w:val="24"/>
        </w:rPr>
        <w:t>my research.</w:t>
      </w:r>
    </w:p>
    <w:p w14:paraId="76C97DA6" w14:textId="77777777" w:rsidR="00440FCD" w:rsidRDefault="00B17214" w:rsidP="00C426B4">
      <w:pPr>
        <w:tabs>
          <w:tab w:val="left" w:pos="8364"/>
        </w:tabs>
        <w:autoSpaceDE w:val="0"/>
        <w:autoSpaceDN w:val="0"/>
        <w:adjustRightInd w:val="0"/>
        <w:spacing w:after="0" w:line="360" w:lineRule="auto"/>
        <w:rPr>
          <w:rFonts w:asciiTheme="minorHAnsi" w:hAnsiTheme="minorHAnsi" w:cstheme="minorHAnsi"/>
          <w:sz w:val="24"/>
          <w:szCs w:val="24"/>
        </w:rPr>
      </w:pPr>
      <w:r>
        <w:rPr>
          <w:rFonts w:asciiTheme="minorHAnsi" w:hAnsiTheme="minorHAnsi" w:cstheme="minorHAnsi"/>
          <w:sz w:val="24"/>
          <w:szCs w:val="24"/>
        </w:rPr>
        <w:t>Arena 1,</w:t>
      </w:r>
      <w:r w:rsidR="00A75A8F" w:rsidRPr="00F949A0">
        <w:rPr>
          <w:rFonts w:asciiTheme="minorHAnsi" w:hAnsiTheme="minorHAnsi" w:cstheme="minorHAnsi"/>
          <w:sz w:val="24"/>
          <w:szCs w:val="24"/>
        </w:rPr>
        <w:t xml:space="preserve"> the educa</w:t>
      </w:r>
      <w:r w:rsidR="009F5153">
        <w:rPr>
          <w:rFonts w:asciiTheme="minorHAnsi" w:hAnsiTheme="minorHAnsi" w:cstheme="minorHAnsi"/>
          <w:sz w:val="24"/>
          <w:szCs w:val="24"/>
        </w:rPr>
        <w:t>tion/social problem arena,</w:t>
      </w:r>
      <w:r w:rsidR="00A75A8F" w:rsidRPr="00F949A0">
        <w:rPr>
          <w:rFonts w:asciiTheme="minorHAnsi" w:hAnsiTheme="minorHAnsi" w:cstheme="minorHAnsi"/>
          <w:sz w:val="24"/>
          <w:szCs w:val="24"/>
        </w:rPr>
        <w:t xml:space="preserve"> is the investigation of the social construction behind and of the problem.  Scheurich states that the acceptance or public identification of a social problem is not a natural occurrence but rather a social construction that requires investigation. </w:t>
      </w:r>
      <w:r w:rsidR="00A75A8F">
        <w:rPr>
          <w:rFonts w:asciiTheme="minorHAnsi" w:hAnsiTheme="minorHAnsi" w:cstheme="minorHAnsi"/>
          <w:sz w:val="24"/>
          <w:szCs w:val="24"/>
        </w:rPr>
        <w:t>G</w:t>
      </w:r>
      <w:r w:rsidR="00A75A8F" w:rsidRPr="00F949A0">
        <w:rPr>
          <w:rFonts w:asciiTheme="minorHAnsi" w:hAnsiTheme="minorHAnsi" w:cstheme="minorHAnsi"/>
          <w:sz w:val="24"/>
          <w:szCs w:val="24"/>
        </w:rPr>
        <w:t xml:space="preserve">ale (2001) </w:t>
      </w:r>
      <w:r w:rsidR="00A75A8F" w:rsidRPr="00F949A0">
        <w:rPr>
          <w:rFonts w:asciiTheme="minorHAnsi" w:hAnsiTheme="minorHAnsi" w:cstheme="minorHAnsi"/>
          <w:sz w:val="24"/>
          <w:szCs w:val="24"/>
          <w:lang w:eastAsia="en-GB"/>
        </w:rPr>
        <w:t>asks “what are the conditions that make the emergence of a particular policy agenda possible</w:t>
      </w:r>
      <w:r w:rsidR="004E1D06">
        <w:rPr>
          <w:rFonts w:asciiTheme="minorHAnsi" w:hAnsiTheme="minorHAnsi" w:cstheme="minorHAnsi"/>
          <w:sz w:val="24"/>
          <w:szCs w:val="24"/>
          <w:lang w:eastAsia="en-GB"/>
        </w:rPr>
        <w:t>?</w:t>
      </w:r>
      <w:r w:rsidR="00A75A8F" w:rsidRPr="00F949A0">
        <w:rPr>
          <w:rFonts w:asciiTheme="minorHAnsi" w:hAnsiTheme="minorHAnsi" w:cstheme="minorHAnsi"/>
          <w:sz w:val="24"/>
          <w:szCs w:val="24"/>
          <w:lang w:eastAsia="en-GB"/>
        </w:rPr>
        <w:t>”</w:t>
      </w:r>
      <w:r w:rsidR="00A75A8F" w:rsidRPr="00F949A0">
        <w:rPr>
          <w:rFonts w:asciiTheme="minorHAnsi" w:hAnsiTheme="minorHAnsi" w:cstheme="minorHAnsi"/>
          <w:sz w:val="24"/>
          <w:szCs w:val="24"/>
        </w:rPr>
        <w:t xml:space="preserve"> (p.387).  </w:t>
      </w:r>
    </w:p>
    <w:p w14:paraId="5E20833F" w14:textId="77777777" w:rsidR="00440FCD" w:rsidRDefault="00440FCD" w:rsidP="00A75A8F">
      <w:pPr>
        <w:tabs>
          <w:tab w:val="left" w:pos="8364"/>
        </w:tabs>
        <w:autoSpaceDE w:val="0"/>
        <w:autoSpaceDN w:val="0"/>
        <w:adjustRightInd w:val="0"/>
        <w:spacing w:after="0" w:line="360" w:lineRule="auto"/>
        <w:rPr>
          <w:rFonts w:asciiTheme="minorHAnsi" w:hAnsiTheme="minorHAnsi" w:cstheme="minorHAnsi"/>
          <w:sz w:val="24"/>
          <w:szCs w:val="24"/>
        </w:rPr>
      </w:pPr>
    </w:p>
    <w:p w14:paraId="24596A98" w14:textId="212F3704" w:rsidR="00DD74FF" w:rsidRPr="00F949A0" w:rsidRDefault="00440FCD" w:rsidP="00A75A8F">
      <w:pPr>
        <w:tabs>
          <w:tab w:val="left" w:pos="8364"/>
        </w:tabs>
        <w:autoSpaceDE w:val="0"/>
        <w:autoSpaceDN w:val="0"/>
        <w:adjustRightInd w:val="0"/>
        <w:spacing w:after="0" w:line="360" w:lineRule="auto"/>
        <w:rPr>
          <w:rFonts w:asciiTheme="minorHAnsi" w:hAnsiTheme="minorHAnsi" w:cstheme="minorHAnsi"/>
          <w:sz w:val="24"/>
          <w:szCs w:val="24"/>
        </w:rPr>
      </w:pPr>
      <w:r>
        <w:rPr>
          <w:rFonts w:asciiTheme="minorHAnsi" w:hAnsiTheme="minorHAnsi" w:cstheme="minorHAnsi"/>
          <w:sz w:val="24"/>
          <w:szCs w:val="24"/>
        </w:rPr>
        <w:t xml:space="preserve">Regarding </w:t>
      </w:r>
      <w:r w:rsidR="00A75A8F" w:rsidRPr="00F949A0">
        <w:rPr>
          <w:rFonts w:asciiTheme="minorHAnsi" w:hAnsiTheme="minorHAnsi" w:cstheme="minorHAnsi"/>
          <w:sz w:val="24"/>
          <w:szCs w:val="24"/>
        </w:rPr>
        <w:t>the EBac</w:t>
      </w:r>
      <w:r>
        <w:rPr>
          <w:rFonts w:asciiTheme="minorHAnsi" w:hAnsiTheme="minorHAnsi" w:cstheme="minorHAnsi"/>
          <w:sz w:val="24"/>
          <w:szCs w:val="24"/>
        </w:rPr>
        <w:t>,</w:t>
      </w:r>
      <w:r w:rsidR="00A75A8F" w:rsidRPr="00F949A0">
        <w:rPr>
          <w:rFonts w:asciiTheme="minorHAnsi" w:hAnsiTheme="minorHAnsi" w:cstheme="minorHAnsi"/>
          <w:sz w:val="24"/>
          <w:szCs w:val="24"/>
        </w:rPr>
        <w:t xml:space="preserve"> I</w:t>
      </w:r>
      <w:r w:rsidR="00A75A8F">
        <w:rPr>
          <w:rFonts w:asciiTheme="minorHAnsi" w:hAnsiTheme="minorHAnsi" w:cstheme="minorHAnsi"/>
          <w:sz w:val="24"/>
          <w:szCs w:val="24"/>
        </w:rPr>
        <w:t xml:space="preserve"> suggest that the desire for the new government to establish itself, </w:t>
      </w:r>
      <w:r w:rsidR="00DD74FF">
        <w:rPr>
          <w:rFonts w:asciiTheme="minorHAnsi" w:hAnsiTheme="minorHAnsi" w:cstheme="minorHAnsi"/>
          <w:sz w:val="24"/>
          <w:szCs w:val="24"/>
        </w:rPr>
        <w:t xml:space="preserve">along </w:t>
      </w:r>
      <w:r w:rsidR="00A75A8F">
        <w:rPr>
          <w:rFonts w:asciiTheme="minorHAnsi" w:hAnsiTheme="minorHAnsi" w:cstheme="minorHAnsi"/>
          <w:sz w:val="24"/>
          <w:szCs w:val="24"/>
        </w:rPr>
        <w:t>with</w:t>
      </w:r>
      <w:r w:rsidR="00DD74FF">
        <w:rPr>
          <w:rFonts w:asciiTheme="minorHAnsi" w:hAnsiTheme="minorHAnsi" w:cstheme="minorHAnsi"/>
          <w:sz w:val="24"/>
          <w:szCs w:val="24"/>
        </w:rPr>
        <w:t xml:space="preserve"> </w:t>
      </w:r>
      <w:r w:rsidR="00A75A8F">
        <w:rPr>
          <w:rFonts w:asciiTheme="minorHAnsi" w:hAnsiTheme="minorHAnsi" w:cstheme="minorHAnsi"/>
          <w:sz w:val="24"/>
          <w:szCs w:val="24"/>
        </w:rPr>
        <w:t>growing concern over perceived declining academic standards and alarm over the Britain</w:t>
      </w:r>
      <w:r w:rsidR="00DD74FF">
        <w:rPr>
          <w:rFonts w:asciiTheme="minorHAnsi" w:hAnsiTheme="minorHAnsi" w:cstheme="minorHAnsi"/>
          <w:sz w:val="24"/>
          <w:szCs w:val="24"/>
        </w:rPr>
        <w:t>’s fall</w:t>
      </w:r>
      <w:r w:rsidR="00A75A8F">
        <w:rPr>
          <w:rFonts w:asciiTheme="minorHAnsi" w:hAnsiTheme="minorHAnsi" w:cstheme="minorHAnsi"/>
          <w:sz w:val="24"/>
          <w:szCs w:val="24"/>
        </w:rPr>
        <w:t xml:space="preserve"> in the PISA rankings (2006) all combined to make educational standards in England an identified problem.</w:t>
      </w:r>
    </w:p>
    <w:p w14:paraId="1BEDC1EF" w14:textId="77777777" w:rsidR="00A75A8F" w:rsidRDefault="00A75A8F" w:rsidP="00A75A8F">
      <w:pPr>
        <w:tabs>
          <w:tab w:val="left" w:pos="8364"/>
        </w:tabs>
        <w:autoSpaceDE w:val="0"/>
        <w:autoSpaceDN w:val="0"/>
        <w:adjustRightInd w:val="0"/>
        <w:spacing w:after="0" w:line="360" w:lineRule="auto"/>
        <w:rPr>
          <w:rFonts w:cs="Calibri"/>
          <w:sz w:val="24"/>
        </w:rPr>
      </w:pPr>
    </w:p>
    <w:p w14:paraId="0B35BE4D" w14:textId="300DE903" w:rsidR="00A75A8F" w:rsidRDefault="00A75A8F" w:rsidP="00A75A8F">
      <w:pPr>
        <w:tabs>
          <w:tab w:val="left" w:pos="8364"/>
          <w:tab w:val="left" w:pos="8647"/>
        </w:tabs>
        <w:autoSpaceDE w:val="0"/>
        <w:autoSpaceDN w:val="0"/>
        <w:adjustRightInd w:val="0"/>
        <w:spacing w:after="0" w:line="360" w:lineRule="auto"/>
        <w:rPr>
          <w:rFonts w:cs="Calibri"/>
          <w:sz w:val="24"/>
        </w:rPr>
      </w:pPr>
      <w:r w:rsidRPr="00561854">
        <w:rPr>
          <w:rFonts w:cs="Calibri"/>
          <w:sz w:val="24"/>
        </w:rPr>
        <w:t xml:space="preserve">Arena 2, the social regularities arena, focuses on </w:t>
      </w:r>
      <w:r>
        <w:rPr>
          <w:rFonts w:cs="Calibri"/>
          <w:sz w:val="24"/>
        </w:rPr>
        <w:t>grids</w:t>
      </w:r>
      <w:r w:rsidRPr="00561854">
        <w:rPr>
          <w:rFonts w:cs="Calibri"/>
          <w:sz w:val="24"/>
        </w:rPr>
        <w:t xml:space="preserve"> of social regularities wh</w:t>
      </w:r>
      <w:r w:rsidR="004E1D06">
        <w:rPr>
          <w:rFonts w:cs="Calibri"/>
          <w:sz w:val="24"/>
        </w:rPr>
        <w:t>ich exist across and between</w:t>
      </w:r>
      <w:r w:rsidRPr="00561854">
        <w:rPr>
          <w:rFonts w:cs="Calibri"/>
          <w:sz w:val="24"/>
        </w:rPr>
        <w:t xml:space="preserve"> social problems. This intersection of </w:t>
      </w:r>
      <w:r>
        <w:rPr>
          <w:rFonts w:cs="Calibri"/>
          <w:sz w:val="24"/>
        </w:rPr>
        <w:t>grid</w:t>
      </w:r>
      <w:r w:rsidRPr="00561854">
        <w:rPr>
          <w:rFonts w:cs="Calibri"/>
          <w:sz w:val="24"/>
        </w:rPr>
        <w:t>s determines what issues will be considered as problem</w:t>
      </w:r>
      <w:r>
        <w:rPr>
          <w:rFonts w:cs="Calibri"/>
          <w:sz w:val="24"/>
        </w:rPr>
        <w:t>atic</w:t>
      </w:r>
      <w:r w:rsidRPr="00561854">
        <w:rPr>
          <w:rFonts w:cs="Calibri"/>
          <w:sz w:val="24"/>
        </w:rPr>
        <w:t xml:space="preserve"> at any given time. The aim of </w:t>
      </w:r>
      <w:r w:rsidR="00DF24E7">
        <w:rPr>
          <w:rFonts w:cs="Calibri"/>
          <w:sz w:val="24"/>
        </w:rPr>
        <w:t xml:space="preserve">PA </w:t>
      </w:r>
      <w:r w:rsidRPr="00561854">
        <w:rPr>
          <w:rFonts w:cs="Calibri"/>
          <w:sz w:val="24"/>
        </w:rPr>
        <w:t xml:space="preserve">is to uncover these networks. </w:t>
      </w:r>
      <w:r w:rsidRPr="00561854">
        <w:rPr>
          <w:rFonts w:cs="Calibri"/>
          <w:sz w:val="24"/>
        </w:rPr>
        <w:lastRenderedPageBreak/>
        <w:t xml:space="preserve">Scheurich </w:t>
      </w:r>
      <w:r>
        <w:rPr>
          <w:rFonts w:cs="Calibri"/>
          <w:sz w:val="24"/>
        </w:rPr>
        <w:t xml:space="preserve">claims </w:t>
      </w:r>
      <w:r w:rsidRPr="00561854">
        <w:rPr>
          <w:rFonts w:cs="Calibri"/>
          <w:sz w:val="24"/>
        </w:rPr>
        <w:t>that these regularities are not intentional</w:t>
      </w:r>
      <w:r w:rsidR="00DD74FF">
        <w:rPr>
          <w:rFonts w:cs="Calibri"/>
          <w:sz w:val="24"/>
        </w:rPr>
        <w:t xml:space="preserve"> and</w:t>
      </w:r>
      <w:r w:rsidRPr="00561854">
        <w:rPr>
          <w:rFonts w:cs="Calibri"/>
          <w:sz w:val="24"/>
        </w:rPr>
        <w:t xml:space="preserve"> do not pre-determine any particular policy solution</w:t>
      </w:r>
      <w:r w:rsidR="00DD74FF">
        <w:rPr>
          <w:rFonts w:cs="Calibri"/>
          <w:sz w:val="24"/>
        </w:rPr>
        <w:t>,</w:t>
      </w:r>
      <w:r w:rsidRPr="00561854">
        <w:rPr>
          <w:rFonts w:cs="Calibri"/>
          <w:sz w:val="24"/>
        </w:rPr>
        <w:t xml:space="preserve"> </w:t>
      </w:r>
      <w:r w:rsidR="00DD74FF">
        <w:rPr>
          <w:rFonts w:cs="Calibri"/>
          <w:sz w:val="24"/>
        </w:rPr>
        <w:t>rather they</w:t>
      </w:r>
      <w:r w:rsidRPr="00561854">
        <w:rPr>
          <w:rFonts w:cs="Calibri"/>
          <w:sz w:val="24"/>
        </w:rPr>
        <w:t xml:space="preserve"> create a set of conditions </w:t>
      </w:r>
      <w:r w:rsidR="00DD74FF">
        <w:rPr>
          <w:rFonts w:cs="Calibri"/>
          <w:sz w:val="24"/>
        </w:rPr>
        <w:t xml:space="preserve">for </w:t>
      </w:r>
      <w:r w:rsidRPr="00561854">
        <w:rPr>
          <w:rFonts w:cs="Calibri"/>
          <w:sz w:val="24"/>
        </w:rPr>
        <w:t xml:space="preserve">solutions </w:t>
      </w:r>
      <w:r w:rsidR="00DD74FF">
        <w:rPr>
          <w:rFonts w:cs="Calibri"/>
          <w:sz w:val="24"/>
        </w:rPr>
        <w:t>to be</w:t>
      </w:r>
      <w:r w:rsidRPr="00561854">
        <w:rPr>
          <w:rFonts w:cs="Calibri"/>
          <w:sz w:val="24"/>
        </w:rPr>
        <w:t xml:space="preserve"> applied</w:t>
      </w:r>
      <w:r w:rsidR="00DD74FF">
        <w:rPr>
          <w:rFonts w:cs="Calibri"/>
          <w:sz w:val="24"/>
        </w:rPr>
        <w:t xml:space="preserve">, which </w:t>
      </w:r>
      <w:r w:rsidRPr="00561854">
        <w:rPr>
          <w:rFonts w:cs="Calibri"/>
          <w:sz w:val="24"/>
        </w:rPr>
        <w:t>are historical</w:t>
      </w:r>
      <w:r w:rsidR="00DD74FF">
        <w:rPr>
          <w:rFonts w:cs="Calibri"/>
          <w:sz w:val="24"/>
        </w:rPr>
        <w:t xml:space="preserve">, </w:t>
      </w:r>
      <w:r w:rsidRPr="00561854">
        <w:rPr>
          <w:rFonts w:cs="Calibri"/>
          <w:sz w:val="24"/>
        </w:rPr>
        <w:t xml:space="preserve">change over time and occur within the context of human activity rather than at a deep structural level. </w:t>
      </w:r>
      <w:r>
        <w:rPr>
          <w:rFonts w:cs="Calibri"/>
          <w:sz w:val="24"/>
        </w:rPr>
        <w:t xml:space="preserve">Gale (2001) asks “what are the rules or regularities that determine what is (and is not) a policy problem?” (p.387). Pillow (2004) argues that these regularities become </w:t>
      </w:r>
      <w:r w:rsidR="004E1D06">
        <w:rPr>
          <w:rFonts w:cs="Calibri"/>
          <w:sz w:val="24"/>
        </w:rPr>
        <w:t>totalising discourses</w:t>
      </w:r>
      <w:r>
        <w:rPr>
          <w:rFonts w:cs="Calibri"/>
          <w:sz w:val="24"/>
        </w:rPr>
        <w:t xml:space="preserve"> “creating or limiting educational policy options”, (p.9). Through my CDA I aim to uncover the grid of social regularities </w:t>
      </w:r>
      <w:r w:rsidR="00345F7D">
        <w:rPr>
          <w:rFonts w:cs="Calibri"/>
          <w:sz w:val="24"/>
        </w:rPr>
        <w:t xml:space="preserve">that </w:t>
      </w:r>
      <w:r>
        <w:rPr>
          <w:rFonts w:cs="Calibri"/>
          <w:sz w:val="24"/>
        </w:rPr>
        <w:t>led to the creation of the EBac policy</w:t>
      </w:r>
      <w:r w:rsidR="00345F7D">
        <w:rPr>
          <w:rFonts w:cs="Calibri"/>
          <w:sz w:val="24"/>
        </w:rPr>
        <w:t>.</w:t>
      </w:r>
    </w:p>
    <w:p w14:paraId="27D24699" w14:textId="77777777" w:rsidR="00A75A8F" w:rsidRDefault="00A75A8F" w:rsidP="00A75A8F">
      <w:pPr>
        <w:autoSpaceDE w:val="0"/>
        <w:autoSpaceDN w:val="0"/>
        <w:adjustRightInd w:val="0"/>
        <w:spacing w:after="0" w:line="360" w:lineRule="auto"/>
        <w:rPr>
          <w:rFonts w:cs="Calibri"/>
          <w:sz w:val="24"/>
        </w:rPr>
      </w:pPr>
    </w:p>
    <w:p w14:paraId="691CA791" w14:textId="3D7FD5C8" w:rsidR="00356DE3" w:rsidRDefault="00B17214" w:rsidP="00A75A8F">
      <w:pPr>
        <w:autoSpaceDE w:val="0"/>
        <w:autoSpaceDN w:val="0"/>
        <w:adjustRightInd w:val="0"/>
        <w:spacing w:after="0" w:line="360" w:lineRule="auto"/>
        <w:rPr>
          <w:rFonts w:cs="Calibri"/>
          <w:sz w:val="24"/>
        </w:rPr>
      </w:pPr>
      <w:r>
        <w:rPr>
          <w:rFonts w:cs="Calibri"/>
          <w:sz w:val="24"/>
        </w:rPr>
        <w:t>Arena 3</w:t>
      </w:r>
      <w:r w:rsidR="00F028BD">
        <w:rPr>
          <w:rFonts w:cs="Calibri"/>
          <w:sz w:val="24"/>
        </w:rPr>
        <w:t xml:space="preserve"> is </w:t>
      </w:r>
      <w:r w:rsidR="00A75A8F" w:rsidRPr="00561854">
        <w:rPr>
          <w:rFonts w:cs="Calibri"/>
          <w:sz w:val="24"/>
        </w:rPr>
        <w:t>the policy solution arena, wh</w:t>
      </w:r>
      <w:r w:rsidR="00A75A8F">
        <w:rPr>
          <w:rFonts w:cs="Calibri"/>
          <w:sz w:val="24"/>
        </w:rPr>
        <w:t xml:space="preserve">ere </w:t>
      </w:r>
      <w:r w:rsidR="00A75A8F" w:rsidRPr="00561854">
        <w:rPr>
          <w:rFonts w:cs="Calibri"/>
          <w:sz w:val="24"/>
        </w:rPr>
        <w:t>possible l</w:t>
      </w:r>
      <w:r w:rsidR="004E1D06">
        <w:rPr>
          <w:rFonts w:cs="Calibri"/>
          <w:sz w:val="24"/>
        </w:rPr>
        <w:t>egitimate policy solutions</w:t>
      </w:r>
      <w:r w:rsidR="00A75A8F" w:rsidRPr="00561854">
        <w:rPr>
          <w:rFonts w:cs="Calibri"/>
          <w:sz w:val="24"/>
        </w:rPr>
        <w:t xml:space="preserve"> </w:t>
      </w:r>
      <w:r w:rsidR="004E1D06" w:rsidRPr="00561854">
        <w:rPr>
          <w:rFonts w:cs="Calibri"/>
          <w:sz w:val="24"/>
        </w:rPr>
        <w:t>occur</w:t>
      </w:r>
      <w:r w:rsidR="004E1D06">
        <w:rPr>
          <w:rFonts w:cs="Calibri"/>
          <w:sz w:val="24"/>
        </w:rPr>
        <w:t>ring within the</w:t>
      </w:r>
      <w:r w:rsidR="00A75A8F" w:rsidRPr="00561854">
        <w:rPr>
          <w:rFonts w:cs="Calibri"/>
          <w:sz w:val="24"/>
        </w:rPr>
        <w:t xml:space="preserve"> social regularities a</w:t>
      </w:r>
      <w:r w:rsidR="00A75A8F">
        <w:rPr>
          <w:rFonts w:cs="Calibri"/>
          <w:sz w:val="24"/>
        </w:rPr>
        <w:t xml:space="preserve">re </w:t>
      </w:r>
      <w:r w:rsidR="00A75A8F" w:rsidRPr="00561854">
        <w:rPr>
          <w:rFonts w:cs="Calibri"/>
          <w:sz w:val="24"/>
        </w:rPr>
        <w:t>uncover</w:t>
      </w:r>
      <w:r w:rsidR="00A75A8F">
        <w:rPr>
          <w:rFonts w:cs="Calibri"/>
          <w:sz w:val="24"/>
        </w:rPr>
        <w:t>ed</w:t>
      </w:r>
      <w:r w:rsidR="00A75A8F" w:rsidRPr="00561854">
        <w:rPr>
          <w:rFonts w:cs="Calibri"/>
          <w:sz w:val="24"/>
        </w:rPr>
        <w:t>. Scheurich argu</w:t>
      </w:r>
      <w:r w:rsidR="004E1D06">
        <w:rPr>
          <w:rFonts w:cs="Calibri"/>
          <w:sz w:val="24"/>
        </w:rPr>
        <w:t>es that social regularities</w:t>
      </w:r>
      <w:r w:rsidR="00A75A8F" w:rsidRPr="00561854">
        <w:rPr>
          <w:rFonts w:cs="Calibri"/>
          <w:sz w:val="24"/>
        </w:rPr>
        <w:t xml:space="preserve"> lead to a range of possible and impossible policy solutions for any identified social problem.</w:t>
      </w:r>
      <w:r w:rsidR="00A75A8F">
        <w:rPr>
          <w:rFonts w:cs="Calibri"/>
          <w:sz w:val="24"/>
        </w:rPr>
        <w:t xml:space="preserve"> Gale (2001) asks, “how do these rules and regulations shape policy choices?” (p. 387). The EBac policy privileges some actions over others</w:t>
      </w:r>
      <w:r w:rsidR="003E64AD">
        <w:rPr>
          <w:rFonts w:cs="Calibri"/>
          <w:sz w:val="24"/>
        </w:rPr>
        <w:t>,</w:t>
      </w:r>
      <w:r w:rsidR="00A75A8F">
        <w:rPr>
          <w:rFonts w:cs="Calibri"/>
          <w:sz w:val="24"/>
        </w:rPr>
        <w:t xml:space="preserve"> which may solve some of the problems identified</w:t>
      </w:r>
      <w:r w:rsidR="003E64AD">
        <w:rPr>
          <w:rFonts w:cs="Calibri"/>
          <w:sz w:val="24"/>
        </w:rPr>
        <w:t>,</w:t>
      </w:r>
      <w:r w:rsidR="00A75A8F">
        <w:rPr>
          <w:rFonts w:cs="Calibri"/>
          <w:sz w:val="24"/>
        </w:rPr>
        <w:t xml:space="preserve"> such as the underperformance </w:t>
      </w:r>
      <w:r w:rsidR="003E64AD">
        <w:rPr>
          <w:rFonts w:cs="Calibri"/>
          <w:sz w:val="24"/>
        </w:rPr>
        <w:t>of</w:t>
      </w:r>
      <w:r w:rsidR="00A75A8F">
        <w:rPr>
          <w:rFonts w:cs="Calibri"/>
          <w:sz w:val="24"/>
        </w:rPr>
        <w:t xml:space="preserve"> disadvantaged students, </w:t>
      </w:r>
      <w:r w:rsidR="003E64AD">
        <w:rPr>
          <w:rFonts w:cs="Calibri"/>
          <w:sz w:val="24"/>
        </w:rPr>
        <w:t xml:space="preserve">but </w:t>
      </w:r>
      <w:r w:rsidR="00A75A8F">
        <w:rPr>
          <w:rFonts w:cs="Calibri"/>
          <w:sz w:val="24"/>
        </w:rPr>
        <w:t>may generate unintended consequences.</w:t>
      </w:r>
    </w:p>
    <w:p w14:paraId="7F11C892" w14:textId="77777777" w:rsidR="00A75A8F" w:rsidRDefault="00A75A8F" w:rsidP="00A75A8F">
      <w:pPr>
        <w:autoSpaceDE w:val="0"/>
        <w:autoSpaceDN w:val="0"/>
        <w:adjustRightInd w:val="0"/>
        <w:spacing w:after="0" w:line="360" w:lineRule="auto"/>
        <w:rPr>
          <w:rFonts w:cs="Calibri"/>
          <w:sz w:val="24"/>
        </w:rPr>
      </w:pPr>
    </w:p>
    <w:p w14:paraId="68488D5C" w14:textId="3659BBD1" w:rsidR="00A75A8F" w:rsidRDefault="00B044CC" w:rsidP="00A75A8F">
      <w:pPr>
        <w:autoSpaceDE w:val="0"/>
        <w:autoSpaceDN w:val="0"/>
        <w:adjustRightInd w:val="0"/>
        <w:spacing w:after="0" w:line="360" w:lineRule="auto"/>
        <w:rPr>
          <w:rFonts w:cs="Calibri"/>
          <w:sz w:val="24"/>
        </w:rPr>
      </w:pPr>
      <w:r>
        <w:rPr>
          <w:rFonts w:cs="Calibri"/>
          <w:sz w:val="24"/>
        </w:rPr>
        <w:t xml:space="preserve">Arena </w:t>
      </w:r>
      <w:r w:rsidR="009F5153">
        <w:rPr>
          <w:rFonts w:cs="Calibri"/>
          <w:sz w:val="24"/>
        </w:rPr>
        <w:t>4,</w:t>
      </w:r>
      <w:r w:rsidR="00A75A8F" w:rsidRPr="00561854">
        <w:rPr>
          <w:rFonts w:cs="Calibri"/>
          <w:sz w:val="24"/>
        </w:rPr>
        <w:t xml:space="preserve"> the policy studies arena, look</w:t>
      </w:r>
      <w:r>
        <w:rPr>
          <w:rFonts w:cs="Calibri"/>
          <w:sz w:val="24"/>
        </w:rPr>
        <w:t>s</w:t>
      </w:r>
      <w:r w:rsidR="00A75A8F" w:rsidRPr="00561854">
        <w:rPr>
          <w:rFonts w:cs="Calibri"/>
          <w:sz w:val="24"/>
        </w:rPr>
        <w:t xml:space="preserve"> at the wider social function of traditional policy studies, considering the effects of such policy analysis and discourses. Scheurich</w:t>
      </w:r>
      <w:r w:rsidR="00A75A8F">
        <w:rPr>
          <w:rFonts w:cs="Calibri"/>
          <w:sz w:val="24"/>
        </w:rPr>
        <w:t xml:space="preserve"> </w:t>
      </w:r>
      <w:r w:rsidR="00A75A8F" w:rsidRPr="00561854">
        <w:rPr>
          <w:rFonts w:cs="Calibri"/>
          <w:sz w:val="24"/>
        </w:rPr>
        <w:t>emphasi</w:t>
      </w:r>
      <w:r w:rsidR="00A75A8F">
        <w:rPr>
          <w:rFonts w:cs="Calibri"/>
          <w:sz w:val="24"/>
        </w:rPr>
        <w:t>ses</w:t>
      </w:r>
      <w:r w:rsidR="00A75A8F" w:rsidRPr="00561854">
        <w:rPr>
          <w:rFonts w:cs="Calibri"/>
          <w:sz w:val="24"/>
        </w:rPr>
        <w:t xml:space="preserve"> that the four arenas </w:t>
      </w:r>
      <w:r w:rsidR="00A75A8F">
        <w:rPr>
          <w:rFonts w:cs="Calibri"/>
          <w:sz w:val="24"/>
        </w:rPr>
        <w:t>a</w:t>
      </w:r>
      <w:r w:rsidR="00A75A8F" w:rsidRPr="00561854">
        <w:rPr>
          <w:rFonts w:cs="Calibri"/>
          <w:sz w:val="24"/>
        </w:rPr>
        <w:t>re permeable and that</w:t>
      </w:r>
      <w:r>
        <w:rPr>
          <w:rFonts w:cs="Calibri"/>
          <w:sz w:val="24"/>
        </w:rPr>
        <w:t xml:space="preserve"> </w:t>
      </w:r>
      <w:r w:rsidR="00A75A8F" w:rsidRPr="00561854">
        <w:rPr>
          <w:rFonts w:cs="Calibri"/>
          <w:sz w:val="24"/>
        </w:rPr>
        <w:t>issue</w:t>
      </w:r>
      <w:r>
        <w:rPr>
          <w:rFonts w:cs="Calibri"/>
          <w:sz w:val="24"/>
        </w:rPr>
        <w:t>s</w:t>
      </w:r>
      <w:r w:rsidR="00A75A8F" w:rsidRPr="00561854">
        <w:rPr>
          <w:rFonts w:cs="Calibri"/>
          <w:sz w:val="24"/>
        </w:rPr>
        <w:t xml:space="preserve"> d</w:t>
      </w:r>
      <w:r w:rsidR="00A75A8F">
        <w:rPr>
          <w:rFonts w:cs="Calibri"/>
          <w:sz w:val="24"/>
        </w:rPr>
        <w:t>o</w:t>
      </w:r>
      <w:r w:rsidR="00A75A8F" w:rsidRPr="00561854">
        <w:rPr>
          <w:rFonts w:cs="Calibri"/>
          <w:sz w:val="24"/>
        </w:rPr>
        <w:t xml:space="preserve"> not need to be considered in a line</w:t>
      </w:r>
      <w:r>
        <w:rPr>
          <w:rFonts w:cs="Calibri"/>
          <w:sz w:val="24"/>
        </w:rPr>
        <w:t>a</w:t>
      </w:r>
      <w:r w:rsidR="00A75A8F" w:rsidRPr="00561854">
        <w:rPr>
          <w:rFonts w:cs="Calibri"/>
          <w:sz w:val="24"/>
        </w:rPr>
        <w:t>r fashion</w:t>
      </w:r>
      <w:r>
        <w:rPr>
          <w:rFonts w:cs="Calibri"/>
          <w:sz w:val="24"/>
        </w:rPr>
        <w:t>, they can be examined in any order</w:t>
      </w:r>
      <w:r w:rsidR="00A75A8F">
        <w:rPr>
          <w:rFonts w:cs="Calibri"/>
          <w:sz w:val="24"/>
        </w:rPr>
        <w:t>.</w:t>
      </w:r>
      <w:r w:rsidR="00A75A8F" w:rsidRPr="00561854">
        <w:rPr>
          <w:rFonts w:cs="Calibri"/>
          <w:sz w:val="24"/>
        </w:rPr>
        <w:t xml:space="preserve"> </w:t>
      </w:r>
    </w:p>
    <w:p w14:paraId="40C3A1B3" w14:textId="77777777" w:rsidR="00AE6598" w:rsidRPr="00561854" w:rsidRDefault="00AE6598" w:rsidP="00A75A8F">
      <w:pPr>
        <w:autoSpaceDE w:val="0"/>
        <w:autoSpaceDN w:val="0"/>
        <w:adjustRightInd w:val="0"/>
        <w:spacing w:after="0" w:line="360" w:lineRule="auto"/>
        <w:rPr>
          <w:rFonts w:cs="Calibri"/>
          <w:sz w:val="24"/>
        </w:rPr>
      </w:pPr>
    </w:p>
    <w:p w14:paraId="4263FA3B" w14:textId="77777777" w:rsidR="00A75A8F" w:rsidRDefault="00A75A8F" w:rsidP="00C426B4">
      <w:pPr>
        <w:spacing w:after="100" w:line="240" w:lineRule="auto"/>
        <w:ind w:left="720"/>
        <w:rPr>
          <w:rFonts w:cs="Calibri"/>
          <w:sz w:val="24"/>
        </w:rPr>
      </w:pPr>
      <w:r>
        <w:rPr>
          <w:rFonts w:cs="Calibri"/>
          <w:sz w:val="24"/>
        </w:rPr>
        <w:t>Policy archaeology …</w:t>
      </w:r>
      <w:r w:rsidRPr="00561854">
        <w:rPr>
          <w:rFonts w:cs="Calibri"/>
          <w:sz w:val="24"/>
        </w:rPr>
        <w:t xml:space="preserve"> takes a radically different approach to policy studies in virtually all its aspects, including definitions of problems and problem groups, discussions of policies and policy alternatives, and presumptions about the functions of policy studies within the larger social order (p.299).</w:t>
      </w:r>
    </w:p>
    <w:p w14:paraId="2C1F34CF" w14:textId="77777777" w:rsidR="00AE6598" w:rsidRPr="00561854" w:rsidRDefault="00AE6598" w:rsidP="00C426B4">
      <w:pPr>
        <w:spacing w:after="100" w:line="240" w:lineRule="auto"/>
        <w:ind w:left="720"/>
        <w:rPr>
          <w:rFonts w:cs="Calibri"/>
          <w:sz w:val="24"/>
        </w:rPr>
      </w:pPr>
    </w:p>
    <w:p w14:paraId="10839449" w14:textId="2B871320" w:rsidR="00A75A8F" w:rsidRPr="00561854" w:rsidRDefault="00A75A8F" w:rsidP="00C426B4">
      <w:pPr>
        <w:spacing w:after="100" w:line="360" w:lineRule="auto"/>
        <w:rPr>
          <w:rFonts w:cs="Calibri"/>
          <w:sz w:val="24"/>
        </w:rPr>
      </w:pPr>
      <w:r w:rsidRPr="00561854">
        <w:rPr>
          <w:rFonts w:cs="Calibri"/>
          <w:sz w:val="24"/>
        </w:rPr>
        <w:t>This approach provides a framework for carrying out my policy analysis of the EBac within a poststructuralist approach</w:t>
      </w:r>
      <w:r w:rsidR="00AE6598">
        <w:rPr>
          <w:rFonts w:cs="Calibri"/>
          <w:sz w:val="24"/>
        </w:rPr>
        <w:t>,</w:t>
      </w:r>
      <w:r w:rsidRPr="00561854">
        <w:rPr>
          <w:rFonts w:cs="Calibri"/>
          <w:sz w:val="24"/>
        </w:rPr>
        <w:t xml:space="preserve"> as well as encouraging me to investigate aspects I may not have considered. </w:t>
      </w:r>
      <w:r w:rsidR="00DF24E7">
        <w:rPr>
          <w:rFonts w:cs="Calibri"/>
          <w:sz w:val="24"/>
        </w:rPr>
        <w:t xml:space="preserve">PA </w:t>
      </w:r>
      <w:r w:rsidRPr="00561854">
        <w:rPr>
          <w:rFonts w:cs="Calibri"/>
          <w:sz w:val="24"/>
        </w:rPr>
        <w:t>provide</w:t>
      </w:r>
      <w:r>
        <w:rPr>
          <w:rFonts w:cs="Calibri"/>
          <w:sz w:val="24"/>
        </w:rPr>
        <w:t>s</w:t>
      </w:r>
      <w:r w:rsidRPr="00561854">
        <w:rPr>
          <w:rFonts w:cs="Calibri"/>
          <w:sz w:val="24"/>
        </w:rPr>
        <w:t xml:space="preserve"> </w:t>
      </w:r>
      <w:r>
        <w:rPr>
          <w:rFonts w:cs="Calibri"/>
          <w:sz w:val="24"/>
        </w:rPr>
        <w:t xml:space="preserve">questions </w:t>
      </w:r>
      <w:r w:rsidRPr="00561854">
        <w:rPr>
          <w:rFonts w:cs="Calibri"/>
          <w:sz w:val="24"/>
        </w:rPr>
        <w:t>for considering the construction and definition of particular situations as potential problems</w:t>
      </w:r>
      <w:r w:rsidR="00AE6598">
        <w:rPr>
          <w:rFonts w:cs="Calibri"/>
          <w:sz w:val="24"/>
        </w:rPr>
        <w:t>,</w:t>
      </w:r>
      <w:r w:rsidRPr="00561854">
        <w:rPr>
          <w:rFonts w:cs="Calibri"/>
          <w:sz w:val="24"/>
        </w:rPr>
        <w:t xml:space="preserve"> as well as considering the interlinking </w:t>
      </w:r>
      <w:r>
        <w:rPr>
          <w:rFonts w:cs="Calibri"/>
          <w:sz w:val="24"/>
        </w:rPr>
        <w:t>grid</w:t>
      </w:r>
      <w:r w:rsidRPr="00561854">
        <w:rPr>
          <w:rFonts w:cs="Calibri"/>
          <w:sz w:val="24"/>
        </w:rPr>
        <w:t xml:space="preserve"> of </w:t>
      </w:r>
      <w:r w:rsidRPr="00561854">
        <w:rPr>
          <w:rFonts w:cs="Calibri"/>
          <w:sz w:val="24"/>
        </w:rPr>
        <w:lastRenderedPageBreak/>
        <w:t>social regularities which combine to construct and articulate a defined problem and corresponding acceptable policy solutions</w:t>
      </w:r>
      <w:r>
        <w:rPr>
          <w:rFonts w:cs="Calibri"/>
          <w:sz w:val="24"/>
        </w:rPr>
        <w:t>.</w:t>
      </w:r>
      <w:r w:rsidRPr="00561854">
        <w:rPr>
          <w:rFonts w:cs="Calibri"/>
          <w:sz w:val="24"/>
        </w:rPr>
        <w:t xml:space="preserve"> </w:t>
      </w:r>
    </w:p>
    <w:p w14:paraId="22DC68BF" w14:textId="6BD76DE4" w:rsidR="00A75A8F" w:rsidRPr="00561854" w:rsidRDefault="00C54697" w:rsidP="00A75A8F">
      <w:pPr>
        <w:spacing w:line="360" w:lineRule="auto"/>
        <w:rPr>
          <w:rFonts w:cs="Calibri"/>
          <w:sz w:val="24"/>
        </w:rPr>
      </w:pPr>
      <w:r>
        <w:rPr>
          <w:rFonts w:cs="Calibri"/>
          <w:sz w:val="24"/>
        </w:rPr>
        <w:t>Winter (2011</w:t>
      </w:r>
      <w:r w:rsidR="00A75A8F" w:rsidRPr="00561854">
        <w:rPr>
          <w:rFonts w:cs="Calibri"/>
          <w:sz w:val="24"/>
        </w:rPr>
        <w:t xml:space="preserve">) uses </w:t>
      </w:r>
      <w:r w:rsidR="00DF24E7">
        <w:rPr>
          <w:rFonts w:cs="Calibri"/>
          <w:sz w:val="24"/>
        </w:rPr>
        <w:t xml:space="preserve">PA </w:t>
      </w:r>
      <w:r w:rsidR="00A75A8F" w:rsidRPr="00561854">
        <w:rPr>
          <w:rFonts w:cs="Calibri"/>
          <w:sz w:val="24"/>
        </w:rPr>
        <w:t>in conjunction with Lingard</w:t>
      </w:r>
      <w:r w:rsidR="00A75A8F">
        <w:rPr>
          <w:rFonts w:cs="Calibri"/>
          <w:sz w:val="24"/>
        </w:rPr>
        <w:t>’s</w:t>
      </w:r>
      <w:r w:rsidR="00A75A8F" w:rsidRPr="00561854">
        <w:rPr>
          <w:rFonts w:cs="Calibri"/>
          <w:sz w:val="24"/>
        </w:rPr>
        <w:t xml:space="preserve"> </w:t>
      </w:r>
      <w:r w:rsidR="009F5153">
        <w:rPr>
          <w:rFonts w:cs="Calibri"/>
          <w:sz w:val="24"/>
        </w:rPr>
        <w:t xml:space="preserve">(2000) </w:t>
      </w:r>
      <w:r w:rsidR="00A75A8F" w:rsidRPr="00561854">
        <w:rPr>
          <w:rFonts w:cs="Calibri"/>
          <w:sz w:val="24"/>
        </w:rPr>
        <w:t xml:space="preserve">concept </w:t>
      </w:r>
      <w:r w:rsidR="00AE6598">
        <w:rPr>
          <w:rFonts w:cs="Calibri"/>
          <w:sz w:val="24"/>
        </w:rPr>
        <w:t xml:space="preserve">of </w:t>
      </w:r>
      <w:r w:rsidR="00A75A8F" w:rsidRPr="00561854">
        <w:rPr>
          <w:rFonts w:cs="Calibri"/>
          <w:sz w:val="24"/>
        </w:rPr>
        <w:t>“</w:t>
      </w:r>
      <w:r w:rsidR="00AE6598">
        <w:rPr>
          <w:rFonts w:cs="Calibri"/>
          <w:sz w:val="24"/>
        </w:rPr>
        <w:t>v</w:t>
      </w:r>
      <w:r w:rsidR="009F5153">
        <w:rPr>
          <w:rFonts w:cs="Calibri"/>
          <w:sz w:val="24"/>
        </w:rPr>
        <w:t>ernacular globalization”</w:t>
      </w:r>
      <w:r w:rsidR="00A75A8F" w:rsidRPr="00561854">
        <w:rPr>
          <w:rFonts w:cs="Calibri"/>
          <w:sz w:val="24"/>
        </w:rPr>
        <w:t xml:space="preserve"> to analyse the effects of globalisation on National Curriculum policy reform in England. She argues that </w:t>
      </w:r>
      <w:r w:rsidR="00DF24E7">
        <w:rPr>
          <w:rFonts w:cs="Calibri"/>
          <w:sz w:val="24"/>
        </w:rPr>
        <w:t>PA</w:t>
      </w:r>
      <w:r w:rsidR="00A75A8F" w:rsidRPr="00561854">
        <w:rPr>
          <w:rFonts w:cs="Calibri"/>
          <w:sz w:val="24"/>
        </w:rPr>
        <w:t xml:space="preserve"> is:</w:t>
      </w:r>
    </w:p>
    <w:p w14:paraId="506BD7BC" w14:textId="429FA5E9" w:rsidR="00AE6598" w:rsidRPr="00561854" w:rsidRDefault="00C426B4" w:rsidP="00AE6598">
      <w:pPr>
        <w:spacing w:after="100" w:line="240" w:lineRule="auto"/>
        <w:ind w:left="720"/>
        <w:rPr>
          <w:rFonts w:cs="Calibri"/>
          <w:sz w:val="24"/>
        </w:rPr>
      </w:pPr>
      <w:r>
        <w:rPr>
          <w:rFonts w:cs="Calibri"/>
          <w:sz w:val="24"/>
        </w:rPr>
        <w:t>…</w:t>
      </w:r>
      <w:r w:rsidR="00A75A8F" w:rsidRPr="00561854">
        <w:rPr>
          <w:rFonts w:cs="Calibri"/>
          <w:sz w:val="24"/>
        </w:rPr>
        <w:t>a methodology for investigating the conditions pertaining to the identification of a particular educational problem in order to understand why and how that problem emerged as amenable to policy solution (p.2).</w:t>
      </w:r>
    </w:p>
    <w:p w14:paraId="039AE969" w14:textId="77777777" w:rsidR="00AE6598" w:rsidRDefault="00AE6598" w:rsidP="00C426B4">
      <w:pPr>
        <w:spacing w:after="100" w:line="240" w:lineRule="auto"/>
        <w:ind w:left="720"/>
        <w:rPr>
          <w:rFonts w:cs="Calibri"/>
          <w:sz w:val="24"/>
        </w:rPr>
      </w:pPr>
    </w:p>
    <w:p w14:paraId="646C0ED7" w14:textId="01ACACA5" w:rsidR="00356DE3" w:rsidRDefault="00A75A8F" w:rsidP="003A47A6">
      <w:pPr>
        <w:spacing w:after="0" w:line="360" w:lineRule="auto"/>
        <w:rPr>
          <w:rFonts w:cs="Calibri"/>
          <w:sz w:val="24"/>
        </w:rPr>
      </w:pPr>
      <w:r>
        <w:rPr>
          <w:rFonts w:cs="Calibri"/>
          <w:sz w:val="24"/>
        </w:rPr>
        <w:t>T</w:t>
      </w:r>
      <w:r w:rsidRPr="00561854">
        <w:rPr>
          <w:rFonts w:cs="Calibri"/>
          <w:sz w:val="24"/>
        </w:rPr>
        <w:t>his approach allow</w:t>
      </w:r>
      <w:r>
        <w:rPr>
          <w:rFonts w:cs="Calibri"/>
          <w:sz w:val="24"/>
        </w:rPr>
        <w:t>s</w:t>
      </w:r>
      <w:r w:rsidRPr="00561854">
        <w:rPr>
          <w:rFonts w:cs="Calibri"/>
          <w:sz w:val="24"/>
        </w:rPr>
        <w:t xml:space="preserve"> a detailed exploration of the initial framing of the problem with a</w:t>
      </w:r>
      <w:r w:rsidR="009F5153">
        <w:rPr>
          <w:rFonts w:cs="Calibri"/>
          <w:sz w:val="24"/>
        </w:rPr>
        <w:t>n</w:t>
      </w:r>
      <w:r w:rsidRPr="00561854">
        <w:rPr>
          <w:rFonts w:cs="Calibri"/>
          <w:sz w:val="24"/>
        </w:rPr>
        <w:t xml:space="preserve"> attempt to understand the decision making process</w:t>
      </w:r>
      <w:r w:rsidR="00AE6598">
        <w:rPr>
          <w:rFonts w:cs="Calibri"/>
          <w:sz w:val="24"/>
        </w:rPr>
        <w:t>es</w:t>
      </w:r>
      <w:r w:rsidRPr="00561854">
        <w:rPr>
          <w:rFonts w:cs="Calibri"/>
          <w:sz w:val="24"/>
        </w:rPr>
        <w:t xml:space="preserve"> of ke</w:t>
      </w:r>
      <w:r w:rsidR="00E63F4D">
        <w:rPr>
          <w:rFonts w:cs="Calibri"/>
          <w:sz w:val="24"/>
        </w:rPr>
        <w:t xml:space="preserve">y participants </w:t>
      </w:r>
      <w:r w:rsidR="00AE6598">
        <w:rPr>
          <w:rFonts w:cs="Calibri"/>
          <w:sz w:val="24"/>
        </w:rPr>
        <w:t xml:space="preserve">ultimately </w:t>
      </w:r>
      <w:r w:rsidR="00E63F4D">
        <w:rPr>
          <w:rFonts w:cs="Calibri"/>
          <w:sz w:val="24"/>
        </w:rPr>
        <w:t>le</w:t>
      </w:r>
      <w:r w:rsidR="00AE6598">
        <w:rPr>
          <w:rFonts w:cs="Calibri"/>
          <w:sz w:val="24"/>
        </w:rPr>
        <w:t>a</w:t>
      </w:r>
      <w:r w:rsidR="00E63F4D">
        <w:rPr>
          <w:rFonts w:cs="Calibri"/>
          <w:sz w:val="24"/>
        </w:rPr>
        <w:t>d</w:t>
      </w:r>
      <w:r w:rsidR="00AE6598">
        <w:rPr>
          <w:rFonts w:cs="Calibri"/>
          <w:sz w:val="24"/>
        </w:rPr>
        <w:t>ing</w:t>
      </w:r>
      <w:r w:rsidR="00E63F4D">
        <w:rPr>
          <w:rFonts w:cs="Calibri"/>
          <w:sz w:val="24"/>
        </w:rPr>
        <w:t xml:space="preserve"> to the defining of the problem</w:t>
      </w:r>
      <w:r w:rsidRPr="00561854">
        <w:rPr>
          <w:rFonts w:cs="Calibri"/>
          <w:sz w:val="24"/>
        </w:rPr>
        <w:t xml:space="preserve">. </w:t>
      </w:r>
      <w:r w:rsidR="00E63F4D">
        <w:rPr>
          <w:rFonts w:cs="Calibri"/>
          <w:sz w:val="24"/>
        </w:rPr>
        <w:t>This generates a</w:t>
      </w:r>
      <w:r>
        <w:rPr>
          <w:rFonts w:cs="Calibri"/>
          <w:sz w:val="24"/>
        </w:rPr>
        <w:t xml:space="preserve"> </w:t>
      </w:r>
      <w:r w:rsidRPr="00561854">
        <w:rPr>
          <w:rFonts w:cs="Calibri"/>
          <w:sz w:val="24"/>
        </w:rPr>
        <w:t xml:space="preserve">rich </w:t>
      </w:r>
      <w:r>
        <w:rPr>
          <w:rFonts w:cs="Calibri"/>
          <w:sz w:val="24"/>
        </w:rPr>
        <w:t xml:space="preserve">and critical </w:t>
      </w:r>
      <w:r w:rsidRPr="00561854">
        <w:rPr>
          <w:rFonts w:cs="Calibri"/>
          <w:sz w:val="24"/>
        </w:rPr>
        <w:t xml:space="preserve">understanding of the actual policy as well as </w:t>
      </w:r>
      <w:r>
        <w:rPr>
          <w:rFonts w:cs="Calibri"/>
          <w:sz w:val="24"/>
        </w:rPr>
        <w:t xml:space="preserve">investigation of </w:t>
      </w:r>
      <w:r w:rsidRPr="00561854">
        <w:rPr>
          <w:rFonts w:cs="Calibri"/>
          <w:sz w:val="24"/>
        </w:rPr>
        <w:t>how the policy is translated in practice.</w:t>
      </w:r>
    </w:p>
    <w:p w14:paraId="6751B542" w14:textId="77777777" w:rsidR="00941E30" w:rsidRPr="00561854" w:rsidRDefault="00941E30" w:rsidP="00C426B4">
      <w:pPr>
        <w:spacing w:after="100" w:line="360" w:lineRule="auto"/>
        <w:rPr>
          <w:rFonts w:cs="Calibri"/>
          <w:sz w:val="24"/>
        </w:rPr>
      </w:pPr>
    </w:p>
    <w:p w14:paraId="01E29DB0" w14:textId="23F17D69" w:rsidR="00A75A8F" w:rsidRDefault="00A75A8F" w:rsidP="00C426B4">
      <w:pPr>
        <w:spacing w:after="0" w:line="360" w:lineRule="auto"/>
        <w:rPr>
          <w:rFonts w:cs="Calibri"/>
          <w:sz w:val="24"/>
        </w:rPr>
      </w:pPr>
      <w:r w:rsidRPr="00561854">
        <w:rPr>
          <w:rFonts w:cs="Calibri"/>
          <w:sz w:val="24"/>
        </w:rPr>
        <w:t>Despite my enthusiasm for this approach, Olssen</w:t>
      </w:r>
      <w:r w:rsidR="00AE6598">
        <w:rPr>
          <w:rFonts w:cs="Calibri"/>
          <w:sz w:val="24"/>
        </w:rPr>
        <w:t xml:space="preserve"> et al. </w:t>
      </w:r>
      <w:r w:rsidRPr="00561854">
        <w:rPr>
          <w:rFonts w:cs="Calibri"/>
          <w:sz w:val="24"/>
        </w:rPr>
        <w:t>(2004) are critical of Scheurich</w:t>
      </w:r>
      <w:r>
        <w:rPr>
          <w:rFonts w:cs="Calibri"/>
          <w:sz w:val="24"/>
        </w:rPr>
        <w:t>’s</w:t>
      </w:r>
      <w:r w:rsidRPr="000548CA">
        <w:rPr>
          <w:rFonts w:cs="Calibri"/>
          <w:sz w:val="24"/>
        </w:rPr>
        <w:t xml:space="preserve"> </w:t>
      </w:r>
      <w:r w:rsidRPr="00561854">
        <w:rPr>
          <w:rFonts w:cs="Calibri"/>
          <w:sz w:val="24"/>
        </w:rPr>
        <w:t>stance. The</w:t>
      </w:r>
      <w:r w:rsidR="00E63F4D">
        <w:rPr>
          <w:rFonts w:cs="Calibri"/>
          <w:sz w:val="24"/>
        </w:rPr>
        <w:t>y do not find his four arenas of focus to be useful or necessary due to overlap</w:t>
      </w:r>
      <w:r w:rsidR="00356DE3">
        <w:rPr>
          <w:rFonts w:cs="Calibri"/>
          <w:sz w:val="24"/>
        </w:rPr>
        <w:t>;</w:t>
      </w:r>
      <w:r w:rsidR="00E63F4D">
        <w:rPr>
          <w:rFonts w:cs="Calibri"/>
          <w:sz w:val="24"/>
        </w:rPr>
        <w:t xml:space="preserve"> </w:t>
      </w:r>
      <w:r w:rsidR="00356DE3">
        <w:rPr>
          <w:rFonts w:cs="Calibri"/>
          <w:sz w:val="24"/>
        </w:rPr>
        <w:t xml:space="preserve">they consider that </w:t>
      </w:r>
      <w:r w:rsidR="00BF3AC7">
        <w:rPr>
          <w:rFonts w:cs="Calibri"/>
          <w:sz w:val="24"/>
        </w:rPr>
        <w:t>A</w:t>
      </w:r>
      <w:r w:rsidRPr="00561854">
        <w:rPr>
          <w:rFonts w:cs="Calibri"/>
          <w:sz w:val="24"/>
        </w:rPr>
        <w:t>rena</w:t>
      </w:r>
      <w:r w:rsidR="00BF3AC7">
        <w:rPr>
          <w:rFonts w:cs="Calibri"/>
          <w:sz w:val="24"/>
        </w:rPr>
        <w:t>s</w:t>
      </w:r>
      <w:r w:rsidRPr="00561854">
        <w:rPr>
          <w:rFonts w:cs="Calibri"/>
          <w:sz w:val="24"/>
        </w:rPr>
        <w:t xml:space="preserve"> 2 and 3 are not distinct enough to be considered separat</w:t>
      </w:r>
      <w:r>
        <w:rPr>
          <w:rFonts w:cs="Calibri"/>
          <w:sz w:val="24"/>
        </w:rPr>
        <w:t>ely</w:t>
      </w:r>
      <w:r w:rsidRPr="00561854">
        <w:rPr>
          <w:rFonts w:cs="Calibri"/>
          <w:sz w:val="24"/>
        </w:rPr>
        <w:t xml:space="preserve">.  Scheurich comments that he has “left loose ends and confusing contradictions” (p.313). I feel that the four arenas may lead to greater complexity and require </w:t>
      </w:r>
      <w:r>
        <w:rPr>
          <w:rFonts w:cs="Calibri"/>
          <w:sz w:val="24"/>
        </w:rPr>
        <w:t xml:space="preserve">careful </w:t>
      </w:r>
      <w:r w:rsidRPr="00561854">
        <w:rPr>
          <w:rFonts w:cs="Calibri"/>
          <w:sz w:val="24"/>
        </w:rPr>
        <w:t>defin</w:t>
      </w:r>
      <w:r>
        <w:rPr>
          <w:rFonts w:cs="Calibri"/>
          <w:sz w:val="24"/>
        </w:rPr>
        <w:t>ition</w:t>
      </w:r>
      <w:r w:rsidRPr="00561854">
        <w:rPr>
          <w:rFonts w:cs="Calibri"/>
          <w:sz w:val="24"/>
        </w:rPr>
        <w:t xml:space="preserve">, </w:t>
      </w:r>
      <w:r w:rsidR="00356DE3">
        <w:rPr>
          <w:rFonts w:cs="Calibri"/>
          <w:sz w:val="24"/>
        </w:rPr>
        <w:t xml:space="preserve">but </w:t>
      </w:r>
      <w:r w:rsidRPr="00561854">
        <w:rPr>
          <w:rFonts w:cs="Calibri"/>
          <w:sz w:val="24"/>
        </w:rPr>
        <w:t>I believe that the concepts that under</w:t>
      </w:r>
      <w:r>
        <w:rPr>
          <w:rFonts w:cs="Calibri"/>
          <w:sz w:val="24"/>
        </w:rPr>
        <w:t>pin</w:t>
      </w:r>
      <w:r w:rsidRPr="00561854">
        <w:rPr>
          <w:rFonts w:cs="Calibri"/>
          <w:sz w:val="24"/>
        </w:rPr>
        <w:t xml:space="preserve"> each arena are distinct enough to allow separate consideration </w:t>
      </w:r>
      <w:r w:rsidR="00356DE3">
        <w:rPr>
          <w:rFonts w:cs="Calibri"/>
          <w:sz w:val="24"/>
        </w:rPr>
        <w:t xml:space="preserve">within </w:t>
      </w:r>
      <w:r w:rsidRPr="00561854">
        <w:rPr>
          <w:rFonts w:cs="Calibri"/>
          <w:sz w:val="24"/>
        </w:rPr>
        <w:t>a</w:t>
      </w:r>
      <w:r>
        <w:rPr>
          <w:rFonts w:cs="Calibri"/>
          <w:sz w:val="24"/>
        </w:rPr>
        <w:t>n</w:t>
      </w:r>
      <w:r w:rsidRPr="00561854">
        <w:rPr>
          <w:rFonts w:cs="Calibri"/>
          <w:sz w:val="24"/>
        </w:rPr>
        <w:t xml:space="preserve"> analysis of the EBac policy. Scheurich himself comments that the grid of social regularities is “based upon complex and difficult concepts” (p.313). In contrast, Winter (2011), when applying </w:t>
      </w:r>
      <w:r w:rsidR="00DF24E7">
        <w:rPr>
          <w:rFonts w:cs="Calibri"/>
          <w:sz w:val="24"/>
        </w:rPr>
        <w:t xml:space="preserve">PA </w:t>
      </w:r>
      <w:r w:rsidRPr="00561854">
        <w:rPr>
          <w:rFonts w:cs="Calibri"/>
          <w:sz w:val="24"/>
        </w:rPr>
        <w:t>in her work on school curriculum</w:t>
      </w:r>
      <w:r w:rsidR="00E63F4D">
        <w:rPr>
          <w:rFonts w:cs="Calibri"/>
          <w:sz w:val="24"/>
        </w:rPr>
        <w:t xml:space="preserve"> and globalisation, argues that</w:t>
      </w:r>
      <w:r w:rsidRPr="00561854">
        <w:rPr>
          <w:rFonts w:cs="Calibri"/>
          <w:sz w:val="24"/>
        </w:rPr>
        <w:t xml:space="preserve"> even if two or more grids are employed, </w:t>
      </w:r>
      <w:r>
        <w:rPr>
          <w:rFonts w:cs="Calibri"/>
          <w:sz w:val="24"/>
        </w:rPr>
        <w:t xml:space="preserve">this </w:t>
      </w:r>
      <w:r w:rsidRPr="00561854">
        <w:rPr>
          <w:rFonts w:cs="Calibri"/>
          <w:sz w:val="24"/>
        </w:rPr>
        <w:t xml:space="preserve">cannot “do justice to complex networks of discursive interactions between configuring curriculum problems and their solutions” (p.16). </w:t>
      </w:r>
      <w:r w:rsidR="00E63F4D">
        <w:rPr>
          <w:rFonts w:cs="Calibri"/>
          <w:sz w:val="24"/>
        </w:rPr>
        <w:t>Such ideas are</w:t>
      </w:r>
      <w:r w:rsidRPr="00561854">
        <w:rPr>
          <w:rFonts w:cs="Calibri"/>
          <w:sz w:val="24"/>
        </w:rPr>
        <w:t xml:space="preserve"> consider</w:t>
      </w:r>
      <w:r>
        <w:rPr>
          <w:rFonts w:cs="Calibri"/>
          <w:sz w:val="24"/>
        </w:rPr>
        <w:t>ed</w:t>
      </w:r>
      <w:r w:rsidRPr="00561854">
        <w:rPr>
          <w:rFonts w:cs="Calibri"/>
          <w:sz w:val="24"/>
        </w:rPr>
        <w:t xml:space="preserve"> to ensure that I </w:t>
      </w:r>
      <w:r>
        <w:rPr>
          <w:rFonts w:cs="Calibri"/>
          <w:sz w:val="24"/>
        </w:rPr>
        <w:t xml:space="preserve">can </w:t>
      </w:r>
      <w:r w:rsidRPr="00561854">
        <w:rPr>
          <w:rFonts w:cs="Calibri"/>
          <w:sz w:val="24"/>
        </w:rPr>
        <w:t>identify</w:t>
      </w:r>
      <w:r>
        <w:rPr>
          <w:rFonts w:cs="Calibri"/>
          <w:sz w:val="24"/>
        </w:rPr>
        <w:t xml:space="preserve"> relevant </w:t>
      </w:r>
      <w:r w:rsidRPr="00561854">
        <w:rPr>
          <w:rFonts w:cs="Calibri"/>
          <w:sz w:val="24"/>
        </w:rPr>
        <w:t>social regularity grids</w:t>
      </w:r>
      <w:r>
        <w:rPr>
          <w:rFonts w:cs="Calibri"/>
          <w:sz w:val="24"/>
        </w:rPr>
        <w:t>.</w:t>
      </w:r>
      <w:r w:rsidRPr="00561854">
        <w:rPr>
          <w:rFonts w:cs="Calibri"/>
          <w:sz w:val="24"/>
        </w:rPr>
        <w:t xml:space="preserve"> </w:t>
      </w:r>
    </w:p>
    <w:p w14:paraId="2929E6E8" w14:textId="77777777" w:rsidR="00941E30" w:rsidRPr="00561854" w:rsidRDefault="00941E30" w:rsidP="00C426B4">
      <w:pPr>
        <w:spacing w:after="0" w:line="360" w:lineRule="auto"/>
        <w:rPr>
          <w:rFonts w:cs="Calibri"/>
          <w:sz w:val="24"/>
        </w:rPr>
      </w:pPr>
    </w:p>
    <w:p w14:paraId="107E9AEC" w14:textId="5ABE186B" w:rsidR="00941E30" w:rsidRDefault="00A75A8F" w:rsidP="00C426B4">
      <w:pPr>
        <w:spacing w:after="0" w:line="360" w:lineRule="auto"/>
        <w:rPr>
          <w:rFonts w:cs="Calibri"/>
          <w:sz w:val="24"/>
        </w:rPr>
      </w:pPr>
      <w:r w:rsidRPr="00561854">
        <w:rPr>
          <w:rFonts w:cs="Calibri"/>
          <w:sz w:val="24"/>
        </w:rPr>
        <w:t xml:space="preserve">Walton (2010) employs </w:t>
      </w:r>
      <w:r w:rsidR="00DF24E7">
        <w:rPr>
          <w:rFonts w:cs="Calibri"/>
          <w:sz w:val="24"/>
        </w:rPr>
        <w:t xml:space="preserve">PA </w:t>
      </w:r>
      <w:r w:rsidRPr="00561854">
        <w:rPr>
          <w:rFonts w:cs="Calibri"/>
          <w:sz w:val="24"/>
        </w:rPr>
        <w:t>when exploring anti-bullying polic</w:t>
      </w:r>
      <w:r w:rsidR="00356DE3">
        <w:rPr>
          <w:rFonts w:cs="Calibri"/>
          <w:sz w:val="24"/>
        </w:rPr>
        <w:t>ies</w:t>
      </w:r>
      <w:r w:rsidRPr="00561854">
        <w:rPr>
          <w:rFonts w:cs="Calibri"/>
          <w:sz w:val="24"/>
        </w:rPr>
        <w:t xml:space="preserve"> in </w:t>
      </w:r>
      <w:r>
        <w:rPr>
          <w:rFonts w:cs="Calibri"/>
          <w:sz w:val="24"/>
        </w:rPr>
        <w:t xml:space="preserve">schools in </w:t>
      </w:r>
      <w:r w:rsidRPr="00561854">
        <w:rPr>
          <w:rFonts w:cs="Calibri"/>
          <w:sz w:val="24"/>
        </w:rPr>
        <w:t>British Columbia</w:t>
      </w:r>
      <w:r w:rsidR="00356DE3">
        <w:rPr>
          <w:rFonts w:cs="Calibri"/>
          <w:sz w:val="24"/>
        </w:rPr>
        <w:t>,</w:t>
      </w:r>
      <w:r w:rsidRPr="00561854">
        <w:rPr>
          <w:rFonts w:cs="Calibri"/>
          <w:sz w:val="24"/>
        </w:rPr>
        <w:t xml:space="preserve"> arguing that this approach allowed him to explore how the problem </w:t>
      </w:r>
      <w:r>
        <w:rPr>
          <w:rFonts w:cs="Calibri"/>
          <w:sz w:val="24"/>
        </w:rPr>
        <w:t xml:space="preserve">of bullying </w:t>
      </w:r>
      <w:r w:rsidRPr="00561854">
        <w:rPr>
          <w:rFonts w:cs="Calibri"/>
          <w:sz w:val="24"/>
        </w:rPr>
        <w:t xml:space="preserve">came to be understood. This provides a basis on which the social construction of policy solutions can be investigated, considered, understood and evaluated. Walton argues that </w:t>
      </w:r>
      <w:r w:rsidR="00DF24E7">
        <w:rPr>
          <w:rFonts w:cs="Calibri"/>
          <w:sz w:val="24"/>
        </w:rPr>
        <w:t xml:space="preserve">PA </w:t>
      </w:r>
      <w:r w:rsidRPr="00561854">
        <w:rPr>
          <w:rFonts w:cs="Calibri"/>
          <w:sz w:val="24"/>
        </w:rPr>
        <w:lastRenderedPageBreak/>
        <w:t>p</w:t>
      </w:r>
      <w:r w:rsidR="00E63F4D">
        <w:rPr>
          <w:rFonts w:cs="Calibri"/>
          <w:sz w:val="24"/>
        </w:rPr>
        <w:t>rovides a way of</w:t>
      </w:r>
      <w:r w:rsidRPr="00561854">
        <w:rPr>
          <w:rFonts w:cs="Calibri"/>
          <w:sz w:val="24"/>
        </w:rPr>
        <w:t xml:space="preserve"> accounting for the complexity of situation</w:t>
      </w:r>
      <w:r w:rsidR="00941E30">
        <w:rPr>
          <w:rFonts w:cs="Calibri"/>
          <w:sz w:val="24"/>
        </w:rPr>
        <w:t>s</w:t>
      </w:r>
      <w:r w:rsidRPr="00561854">
        <w:rPr>
          <w:rFonts w:cs="Calibri"/>
          <w:sz w:val="24"/>
        </w:rPr>
        <w:t xml:space="preserve"> compared to conventional policy analysis approaches. </w:t>
      </w:r>
      <w:r>
        <w:rPr>
          <w:rFonts w:cs="Calibri"/>
          <w:sz w:val="24"/>
        </w:rPr>
        <w:t xml:space="preserve">He </w:t>
      </w:r>
      <w:r w:rsidRPr="00561854">
        <w:rPr>
          <w:rFonts w:cs="Calibri"/>
          <w:sz w:val="24"/>
        </w:rPr>
        <w:t>explore</w:t>
      </w:r>
      <w:r>
        <w:rPr>
          <w:rFonts w:cs="Calibri"/>
          <w:sz w:val="24"/>
        </w:rPr>
        <w:t>s</w:t>
      </w:r>
      <w:r w:rsidRPr="00561854">
        <w:rPr>
          <w:rFonts w:cs="Calibri"/>
          <w:sz w:val="24"/>
        </w:rPr>
        <w:t xml:space="preserve"> the numerous and competing ways in which the initial problem is framed and articulated, considering whose voice is listened to and heard at any one point in time.</w:t>
      </w:r>
      <w:r w:rsidR="00DF24E7">
        <w:rPr>
          <w:rFonts w:cs="Calibri"/>
          <w:sz w:val="24"/>
        </w:rPr>
        <w:t xml:space="preserve"> PA</w:t>
      </w:r>
      <w:r w:rsidRPr="00561854">
        <w:rPr>
          <w:rFonts w:cs="Calibri"/>
          <w:sz w:val="24"/>
        </w:rPr>
        <w:t>, he argues, provides a permeable and non-linear framework in which to locate and po</w:t>
      </w:r>
      <w:r w:rsidR="00425739">
        <w:rPr>
          <w:rFonts w:cs="Calibri"/>
          <w:sz w:val="24"/>
        </w:rPr>
        <w:t>sition such an analysis. Walton</w:t>
      </w:r>
      <w:r w:rsidR="004711FD">
        <w:rPr>
          <w:rFonts w:cs="Calibri"/>
          <w:sz w:val="24"/>
        </w:rPr>
        <w:t xml:space="preserve"> </w:t>
      </w:r>
      <w:r w:rsidRPr="00561854">
        <w:rPr>
          <w:rFonts w:cs="Calibri"/>
          <w:sz w:val="24"/>
        </w:rPr>
        <w:t>provide</w:t>
      </w:r>
      <w:r w:rsidR="00425739">
        <w:rPr>
          <w:rFonts w:cs="Calibri"/>
          <w:sz w:val="24"/>
        </w:rPr>
        <w:t>s</w:t>
      </w:r>
      <w:r w:rsidRPr="00561854">
        <w:rPr>
          <w:rFonts w:cs="Calibri"/>
          <w:sz w:val="24"/>
        </w:rPr>
        <w:t xml:space="preserve"> a detailed description of the work of Scheurich and carefully applies </w:t>
      </w:r>
      <w:r w:rsidR="00DF24E7">
        <w:rPr>
          <w:rFonts w:cs="Calibri"/>
          <w:sz w:val="24"/>
        </w:rPr>
        <w:t xml:space="preserve">PA </w:t>
      </w:r>
      <w:r w:rsidRPr="00561854">
        <w:rPr>
          <w:rFonts w:cs="Calibri"/>
          <w:sz w:val="24"/>
        </w:rPr>
        <w:t xml:space="preserve">to the policy on bullying, </w:t>
      </w:r>
      <w:r w:rsidR="004711FD">
        <w:rPr>
          <w:rFonts w:cs="Calibri"/>
          <w:sz w:val="24"/>
        </w:rPr>
        <w:t xml:space="preserve">but </w:t>
      </w:r>
      <w:r w:rsidRPr="00561854">
        <w:rPr>
          <w:rFonts w:cs="Calibri"/>
          <w:sz w:val="24"/>
        </w:rPr>
        <w:t>he appears to accept Scheurich</w:t>
      </w:r>
      <w:r>
        <w:rPr>
          <w:rFonts w:cs="Calibri"/>
          <w:sz w:val="24"/>
        </w:rPr>
        <w:t>’s</w:t>
      </w:r>
      <w:r w:rsidRPr="00C0018A">
        <w:rPr>
          <w:rFonts w:cs="Calibri"/>
          <w:sz w:val="24"/>
        </w:rPr>
        <w:t xml:space="preserve"> </w:t>
      </w:r>
      <w:r w:rsidRPr="00561854">
        <w:rPr>
          <w:rFonts w:cs="Calibri"/>
          <w:sz w:val="24"/>
        </w:rPr>
        <w:t xml:space="preserve">work uncritically. He does not consider any potential difficulties with using </w:t>
      </w:r>
      <w:r w:rsidR="00DF24E7">
        <w:rPr>
          <w:rFonts w:cs="Calibri"/>
          <w:sz w:val="24"/>
        </w:rPr>
        <w:t xml:space="preserve">PA </w:t>
      </w:r>
      <w:r w:rsidRPr="00561854">
        <w:rPr>
          <w:rFonts w:cs="Calibri"/>
          <w:sz w:val="24"/>
        </w:rPr>
        <w:t xml:space="preserve">and does not offer any evaluation of his application to this topic. In contrast, Winter (2011) comments that </w:t>
      </w:r>
      <w:r w:rsidR="00DF24E7">
        <w:rPr>
          <w:rFonts w:cs="Calibri"/>
          <w:sz w:val="24"/>
        </w:rPr>
        <w:t xml:space="preserve">PA </w:t>
      </w:r>
      <w:r w:rsidRPr="00561854">
        <w:rPr>
          <w:rFonts w:cs="Calibri"/>
          <w:sz w:val="24"/>
        </w:rPr>
        <w:t xml:space="preserve">neglects the role and influence of global institutions in policy creation. </w:t>
      </w:r>
    </w:p>
    <w:p w14:paraId="71C4E248" w14:textId="77777777" w:rsidR="00941E30" w:rsidRPr="00561854" w:rsidRDefault="00941E30" w:rsidP="00C426B4">
      <w:pPr>
        <w:spacing w:after="0" w:line="360" w:lineRule="auto"/>
        <w:rPr>
          <w:rFonts w:cs="Calibri"/>
          <w:sz w:val="24"/>
        </w:rPr>
      </w:pPr>
    </w:p>
    <w:p w14:paraId="305E870A" w14:textId="1849EA6A" w:rsidR="00A75A8F" w:rsidRDefault="00A75A8F" w:rsidP="00C426B4">
      <w:pPr>
        <w:spacing w:after="0" w:line="360" w:lineRule="auto"/>
        <w:rPr>
          <w:rFonts w:cs="Calibri"/>
          <w:sz w:val="24"/>
        </w:rPr>
      </w:pPr>
      <w:r w:rsidRPr="00561854">
        <w:rPr>
          <w:rFonts w:cs="Calibri"/>
          <w:sz w:val="24"/>
        </w:rPr>
        <w:t xml:space="preserve">Scheurich’s </w:t>
      </w:r>
      <w:r>
        <w:rPr>
          <w:rFonts w:cs="Calibri"/>
          <w:sz w:val="24"/>
        </w:rPr>
        <w:t>policy archaeology</w:t>
      </w:r>
      <w:r w:rsidRPr="00561854">
        <w:rPr>
          <w:rFonts w:cs="Calibri"/>
          <w:sz w:val="24"/>
        </w:rPr>
        <w:t xml:space="preserve"> provide</w:t>
      </w:r>
      <w:r>
        <w:rPr>
          <w:rFonts w:cs="Calibri"/>
          <w:sz w:val="24"/>
        </w:rPr>
        <w:t>s</w:t>
      </w:r>
      <w:r w:rsidRPr="00561854">
        <w:rPr>
          <w:rFonts w:cs="Calibri"/>
          <w:sz w:val="24"/>
        </w:rPr>
        <w:t xml:space="preserve"> a framework to structure my policy analysis of the EBac</w:t>
      </w:r>
      <w:r w:rsidR="004711FD">
        <w:rPr>
          <w:rFonts w:cs="Calibri"/>
          <w:sz w:val="24"/>
        </w:rPr>
        <w:t xml:space="preserve"> in terms of</w:t>
      </w:r>
      <w:r w:rsidRPr="00561854">
        <w:rPr>
          <w:rFonts w:cs="Calibri"/>
          <w:sz w:val="24"/>
        </w:rPr>
        <w:t xml:space="preserve"> the initial conception of problem</w:t>
      </w:r>
      <w:r>
        <w:rPr>
          <w:rFonts w:cs="Calibri"/>
          <w:sz w:val="24"/>
        </w:rPr>
        <w:t>/s</w:t>
      </w:r>
      <w:r w:rsidR="004711FD">
        <w:rPr>
          <w:rFonts w:cs="Calibri"/>
          <w:sz w:val="24"/>
        </w:rPr>
        <w:t>,</w:t>
      </w:r>
      <w:r w:rsidRPr="00561854">
        <w:rPr>
          <w:rFonts w:cs="Calibri"/>
          <w:sz w:val="24"/>
        </w:rPr>
        <w:t xml:space="preserve"> but also in reflecting on the continuing negotiation and disputes that arise as policy is created and applied. Alternative perspectives or frameworks for policy analysis</w:t>
      </w:r>
      <w:r w:rsidR="004711FD">
        <w:rPr>
          <w:rFonts w:cs="Calibri"/>
          <w:sz w:val="24"/>
        </w:rPr>
        <w:t>,</w:t>
      </w:r>
      <w:r w:rsidRPr="00561854">
        <w:rPr>
          <w:rFonts w:cs="Calibri"/>
          <w:sz w:val="24"/>
        </w:rPr>
        <w:t xml:space="preserve"> such as </w:t>
      </w:r>
      <w:r>
        <w:rPr>
          <w:rFonts w:cs="Calibri"/>
          <w:sz w:val="24"/>
        </w:rPr>
        <w:t>the materialist Foucauldian analysis suggested by Olssen et al</w:t>
      </w:r>
      <w:r w:rsidR="00BF3AC7">
        <w:rPr>
          <w:rFonts w:cs="Calibri"/>
          <w:sz w:val="24"/>
        </w:rPr>
        <w:t>.</w:t>
      </w:r>
      <w:r>
        <w:rPr>
          <w:rFonts w:cs="Calibri"/>
          <w:sz w:val="24"/>
        </w:rPr>
        <w:t xml:space="preserve"> (2004)</w:t>
      </w:r>
      <w:r w:rsidR="004711FD">
        <w:rPr>
          <w:rFonts w:cs="Calibri"/>
          <w:sz w:val="24"/>
        </w:rPr>
        <w:t>,</w:t>
      </w:r>
      <w:r w:rsidRPr="00561854">
        <w:rPr>
          <w:rFonts w:cs="Calibri"/>
          <w:sz w:val="24"/>
        </w:rPr>
        <w:t xml:space="preserve"> do not appear to offer such a </w:t>
      </w:r>
      <w:r>
        <w:rPr>
          <w:rFonts w:cs="Calibri"/>
          <w:sz w:val="24"/>
        </w:rPr>
        <w:t xml:space="preserve">clear, </w:t>
      </w:r>
      <w:r w:rsidRPr="00561854">
        <w:rPr>
          <w:rFonts w:cs="Calibri"/>
          <w:sz w:val="24"/>
        </w:rPr>
        <w:t>structured way of considering the social construction of meaning at all stages of policy analysis.</w:t>
      </w:r>
    </w:p>
    <w:p w14:paraId="03AA6500" w14:textId="77777777" w:rsidR="004711FD" w:rsidRDefault="004711FD" w:rsidP="00C426B4">
      <w:pPr>
        <w:spacing w:after="0" w:line="360" w:lineRule="auto"/>
        <w:rPr>
          <w:rFonts w:cs="Calibri"/>
          <w:sz w:val="24"/>
        </w:rPr>
      </w:pPr>
    </w:p>
    <w:p w14:paraId="356F48E6" w14:textId="469FA678" w:rsidR="00A75A8F" w:rsidRDefault="00A75A8F" w:rsidP="00A75A8F">
      <w:pPr>
        <w:spacing w:line="360" w:lineRule="auto"/>
        <w:rPr>
          <w:rFonts w:cs="Calibri"/>
          <w:sz w:val="24"/>
        </w:rPr>
      </w:pPr>
      <w:r>
        <w:rPr>
          <w:rFonts w:cs="Calibri"/>
          <w:sz w:val="24"/>
        </w:rPr>
        <w:t xml:space="preserve">One </w:t>
      </w:r>
      <w:r w:rsidR="004711FD">
        <w:rPr>
          <w:rFonts w:cs="Calibri"/>
          <w:sz w:val="24"/>
        </w:rPr>
        <w:t>them</w:t>
      </w:r>
      <w:r w:rsidR="00C426B4">
        <w:rPr>
          <w:rFonts w:cs="Calibri"/>
          <w:sz w:val="24"/>
        </w:rPr>
        <w:t>e</w:t>
      </w:r>
      <w:r>
        <w:rPr>
          <w:rFonts w:cs="Calibri"/>
          <w:sz w:val="24"/>
        </w:rPr>
        <w:t xml:space="preserve"> that has become apparent in my study has been </w:t>
      </w:r>
      <w:r w:rsidR="004711FD">
        <w:rPr>
          <w:rFonts w:cs="Calibri"/>
          <w:sz w:val="24"/>
        </w:rPr>
        <w:t xml:space="preserve">the </w:t>
      </w:r>
      <w:r>
        <w:rPr>
          <w:rFonts w:cs="Calibri"/>
          <w:sz w:val="24"/>
        </w:rPr>
        <w:t>increased control exerted over schools</w:t>
      </w:r>
      <w:r w:rsidR="004711FD">
        <w:rPr>
          <w:rFonts w:cs="Calibri"/>
          <w:sz w:val="24"/>
        </w:rPr>
        <w:t>,</w:t>
      </w:r>
      <w:r>
        <w:rPr>
          <w:rFonts w:cs="Calibri"/>
          <w:sz w:val="24"/>
        </w:rPr>
        <w:t xml:space="preserve"> particularly in relation to the EBac, performance measures</w:t>
      </w:r>
      <w:r w:rsidR="004711FD">
        <w:rPr>
          <w:rFonts w:cs="Calibri"/>
          <w:sz w:val="24"/>
        </w:rPr>
        <w:t>,</w:t>
      </w:r>
      <w:r>
        <w:rPr>
          <w:rFonts w:cs="Calibri"/>
          <w:sz w:val="24"/>
        </w:rPr>
        <w:t xml:space="preserve"> and their impact on decision making. </w:t>
      </w:r>
      <w:r w:rsidR="004711FD">
        <w:rPr>
          <w:rFonts w:cs="Calibri"/>
          <w:sz w:val="24"/>
        </w:rPr>
        <w:t>T</w:t>
      </w:r>
      <w:r>
        <w:rPr>
          <w:rFonts w:cs="Calibri"/>
          <w:sz w:val="24"/>
        </w:rPr>
        <w:t>he performance tables and the rank</w:t>
      </w:r>
      <w:r w:rsidR="004711FD">
        <w:rPr>
          <w:rFonts w:cs="Calibri"/>
          <w:sz w:val="24"/>
        </w:rPr>
        <w:t xml:space="preserve"> conferred upon schools</w:t>
      </w:r>
      <w:r>
        <w:rPr>
          <w:rFonts w:cs="Calibri"/>
          <w:sz w:val="24"/>
        </w:rPr>
        <w:t xml:space="preserve"> </w:t>
      </w:r>
      <w:r w:rsidR="004711FD">
        <w:rPr>
          <w:rFonts w:cs="Calibri"/>
          <w:sz w:val="24"/>
        </w:rPr>
        <w:t xml:space="preserve">by their </w:t>
      </w:r>
      <w:r>
        <w:rPr>
          <w:rFonts w:cs="Calibri"/>
          <w:sz w:val="24"/>
        </w:rPr>
        <w:t xml:space="preserve">position </w:t>
      </w:r>
      <w:r w:rsidR="009A75E0">
        <w:rPr>
          <w:rFonts w:cs="Calibri"/>
          <w:sz w:val="24"/>
        </w:rPr>
        <w:t>with</w:t>
      </w:r>
      <w:r>
        <w:rPr>
          <w:rFonts w:cs="Calibri"/>
          <w:sz w:val="24"/>
        </w:rPr>
        <w:t>in the</w:t>
      </w:r>
      <w:r w:rsidR="004711FD">
        <w:rPr>
          <w:rFonts w:cs="Calibri"/>
          <w:sz w:val="24"/>
        </w:rPr>
        <w:t>m</w:t>
      </w:r>
      <w:r>
        <w:rPr>
          <w:rFonts w:cs="Calibri"/>
          <w:sz w:val="24"/>
        </w:rPr>
        <w:t xml:space="preserve"> appear to drive much</w:t>
      </w:r>
      <w:r w:rsidR="004711FD">
        <w:rPr>
          <w:rFonts w:cs="Calibri"/>
          <w:sz w:val="24"/>
        </w:rPr>
        <w:t>,</w:t>
      </w:r>
      <w:r>
        <w:rPr>
          <w:rFonts w:cs="Calibri"/>
          <w:sz w:val="24"/>
        </w:rPr>
        <w:t xml:space="preserve"> if not all of </w:t>
      </w:r>
      <w:r w:rsidR="004711FD">
        <w:rPr>
          <w:rFonts w:cs="Calibri"/>
          <w:sz w:val="24"/>
        </w:rPr>
        <w:t>schools’</w:t>
      </w:r>
      <w:r>
        <w:rPr>
          <w:rFonts w:cs="Calibri"/>
          <w:sz w:val="24"/>
        </w:rPr>
        <w:t xml:space="preserve"> curriculum decision making. I argue that this surveillance and control has now become internalised and is part of self-surveillance and control of schools</w:t>
      </w:r>
      <w:r w:rsidR="004711FD">
        <w:rPr>
          <w:rFonts w:cs="Calibri"/>
          <w:sz w:val="24"/>
        </w:rPr>
        <w:t>, which</w:t>
      </w:r>
      <w:r>
        <w:rPr>
          <w:rFonts w:cs="Calibri"/>
          <w:sz w:val="24"/>
        </w:rPr>
        <w:t xml:space="preserve"> link</w:t>
      </w:r>
      <w:r w:rsidR="004711FD">
        <w:rPr>
          <w:rFonts w:cs="Calibri"/>
          <w:sz w:val="24"/>
        </w:rPr>
        <w:t>s</w:t>
      </w:r>
      <w:r>
        <w:rPr>
          <w:rFonts w:cs="Calibri"/>
          <w:sz w:val="24"/>
        </w:rPr>
        <w:t xml:space="preserve"> to Foucault’s concept of governmentality. In the next section</w:t>
      </w:r>
      <w:r w:rsidR="004711FD">
        <w:rPr>
          <w:rFonts w:cs="Calibri"/>
          <w:sz w:val="24"/>
        </w:rPr>
        <w:t>,</w:t>
      </w:r>
      <w:r>
        <w:rPr>
          <w:rFonts w:cs="Calibri"/>
          <w:sz w:val="24"/>
        </w:rPr>
        <w:t xml:space="preserve"> I discuss this concept and consider </w:t>
      </w:r>
      <w:r w:rsidR="00E63F4D">
        <w:rPr>
          <w:rFonts w:cs="Calibri"/>
          <w:sz w:val="24"/>
        </w:rPr>
        <w:t>how surveillance and control</w:t>
      </w:r>
      <w:r>
        <w:rPr>
          <w:rFonts w:cs="Calibri"/>
          <w:sz w:val="24"/>
        </w:rPr>
        <w:t xml:space="preserve"> impact on the curriculum </w:t>
      </w:r>
      <w:r w:rsidR="00E63F4D">
        <w:rPr>
          <w:rFonts w:cs="Calibri"/>
          <w:sz w:val="24"/>
        </w:rPr>
        <w:t>decisions of a school and</w:t>
      </w:r>
      <w:r>
        <w:rPr>
          <w:rFonts w:cs="Calibri"/>
          <w:sz w:val="24"/>
        </w:rPr>
        <w:t xml:space="preserve"> on individual children.</w:t>
      </w:r>
    </w:p>
    <w:p w14:paraId="094C7739" w14:textId="77777777" w:rsidR="00A75A8F" w:rsidRDefault="00A75A8F" w:rsidP="00531995">
      <w:pPr>
        <w:pStyle w:val="Heading2"/>
      </w:pPr>
      <w:bookmarkStart w:id="33" w:name="_Toc452316318"/>
      <w:r w:rsidRPr="00561854">
        <w:t>2.</w:t>
      </w:r>
      <w:r>
        <w:t>7</w:t>
      </w:r>
      <w:r w:rsidRPr="00561854">
        <w:t xml:space="preserve"> </w:t>
      </w:r>
      <w:r>
        <w:t>Governmentality and surveillance</w:t>
      </w:r>
      <w:bookmarkEnd w:id="33"/>
    </w:p>
    <w:p w14:paraId="55868D1D" w14:textId="186D6760" w:rsidR="00A75A8F" w:rsidRDefault="00A75A8F" w:rsidP="00C426B4">
      <w:pPr>
        <w:tabs>
          <w:tab w:val="left" w:pos="8222"/>
        </w:tabs>
        <w:spacing w:after="0" w:line="360" w:lineRule="auto"/>
        <w:rPr>
          <w:rFonts w:cs="Calibri"/>
          <w:sz w:val="24"/>
        </w:rPr>
      </w:pPr>
      <w:r w:rsidRPr="002279CC">
        <w:rPr>
          <w:rFonts w:cs="Calibri"/>
          <w:sz w:val="24"/>
        </w:rPr>
        <w:t xml:space="preserve">Foucault’s concept of governmentality </w:t>
      </w:r>
      <w:r>
        <w:rPr>
          <w:rFonts w:cs="Calibri"/>
          <w:sz w:val="24"/>
        </w:rPr>
        <w:t>relates to control that is exerted over a population by those in power</w:t>
      </w:r>
      <w:r w:rsidR="009A75E0">
        <w:rPr>
          <w:rFonts w:cs="Calibri"/>
          <w:sz w:val="24"/>
        </w:rPr>
        <w:t>,</w:t>
      </w:r>
      <w:r>
        <w:rPr>
          <w:rFonts w:cs="Calibri"/>
          <w:sz w:val="24"/>
        </w:rPr>
        <w:t xml:space="preserve"> but also extends to the self-surveillance and control that individual</w:t>
      </w:r>
      <w:r w:rsidR="009A75E0">
        <w:rPr>
          <w:rFonts w:cs="Calibri"/>
          <w:sz w:val="24"/>
        </w:rPr>
        <w:t>s</w:t>
      </w:r>
      <w:r>
        <w:rPr>
          <w:rFonts w:cs="Calibri"/>
          <w:sz w:val="24"/>
        </w:rPr>
        <w:t xml:space="preserve"> exert over themselves. Foucault suggest</w:t>
      </w:r>
      <w:r w:rsidR="009A75E0">
        <w:rPr>
          <w:rFonts w:cs="Calibri"/>
          <w:sz w:val="24"/>
        </w:rPr>
        <w:t>s</w:t>
      </w:r>
      <w:r>
        <w:rPr>
          <w:rFonts w:cs="Calibri"/>
          <w:sz w:val="24"/>
        </w:rPr>
        <w:t xml:space="preserve"> that the power and influence of the state becomes less </w:t>
      </w:r>
      <w:r>
        <w:rPr>
          <w:rFonts w:cs="Calibri"/>
          <w:sz w:val="24"/>
        </w:rPr>
        <w:lastRenderedPageBreak/>
        <w:t>visible as the population becomes more self-regulating (Burchell et al</w:t>
      </w:r>
      <w:r w:rsidR="009A75E0">
        <w:rPr>
          <w:rFonts w:cs="Calibri"/>
          <w:sz w:val="24"/>
        </w:rPr>
        <w:t>.,</w:t>
      </w:r>
      <w:r>
        <w:rPr>
          <w:rFonts w:cs="Calibri"/>
          <w:sz w:val="24"/>
        </w:rPr>
        <w:t xml:space="preserve"> 1991). Rose (1999) argues that this process can be described as “an enabling state that will govern without governing </w:t>
      </w:r>
      <w:r w:rsidR="001879EE">
        <w:rPr>
          <w:rFonts w:cs="Calibri"/>
          <w:sz w:val="24"/>
        </w:rPr>
        <w:t>‘</w:t>
      </w:r>
      <w:r>
        <w:rPr>
          <w:rFonts w:cs="Calibri"/>
          <w:sz w:val="24"/>
        </w:rPr>
        <w:t>society</w:t>
      </w:r>
      <w:r w:rsidR="001879EE">
        <w:rPr>
          <w:rFonts w:cs="Calibri"/>
          <w:sz w:val="24"/>
        </w:rPr>
        <w:t>’</w:t>
      </w:r>
      <w:r>
        <w:rPr>
          <w:rFonts w:cs="Calibri"/>
          <w:sz w:val="24"/>
        </w:rPr>
        <w:t xml:space="preserve"> – governing by acting on the choices and self-steering properties of individuals, families, communities, organizations” (p.</w:t>
      </w:r>
      <w:r w:rsidR="001879EE">
        <w:rPr>
          <w:rFonts w:cs="Calibri"/>
          <w:sz w:val="24"/>
        </w:rPr>
        <w:t xml:space="preserve"> </w:t>
      </w:r>
      <w:r>
        <w:rPr>
          <w:rFonts w:cs="Calibri"/>
          <w:sz w:val="24"/>
        </w:rPr>
        <w:t>xxiii). In this way control is exercised not by threat</w:t>
      </w:r>
      <w:r w:rsidR="001879EE">
        <w:rPr>
          <w:rFonts w:cs="Calibri"/>
          <w:sz w:val="24"/>
        </w:rPr>
        <w:t xml:space="preserve">, </w:t>
      </w:r>
      <w:r>
        <w:rPr>
          <w:rFonts w:cs="Calibri"/>
          <w:sz w:val="24"/>
        </w:rPr>
        <w:t>law or control</w:t>
      </w:r>
      <w:r w:rsidR="001879EE">
        <w:rPr>
          <w:rFonts w:cs="Calibri"/>
          <w:sz w:val="24"/>
        </w:rPr>
        <w:t xml:space="preserve">; </w:t>
      </w:r>
      <w:r>
        <w:rPr>
          <w:rFonts w:cs="Calibri"/>
          <w:sz w:val="24"/>
        </w:rPr>
        <w:t>rather through self-surveillance and internalised behaviour</w:t>
      </w:r>
      <w:r w:rsidR="001879EE">
        <w:rPr>
          <w:rFonts w:cs="Calibri"/>
          <w:sz w:val="24"/>
        </w:rPr>
        <w:t>s</w:t>
      </w:r>
      <w:r>
        <w:rPr>
          <w:rFonts w:cs="Calibri"/>
          <w:sz w:val="24"/>
        </w:rPr>
        <w:t>. This is described as the contradictory position of freedom of choice within “new forms of control” (p.</w:t>
      </w:r>
      <w:r w:rsidR="001879EE">
        <w:rPr>
          <w:rFonts w:cs="Calibri"/>
          <w:sz w:val="24"/>
        </w:rPr>
        <w:t xml:space="preserve"> </w:t>
      </w:r>
      <w:r>
        <w:rPr>
          <w:rFonts w:cs="Calibri"/>
          <w:sz w:val="24"/>
        </w:rPr>
        <w:t>xxiii). Rose goes onto comment that the self is “intensively governed” (p</w:t>
      </w:r>
      <w:r w:rsidR="001879EE">
        <w:rPr>
          <w:rFonts w:cs="Calibri"/>
          <w:sz w:val="24"/>
        </w:rPr>
        <w:t>.</w:t>
      </w:r>
      <w:r>
        <w:rPr>
          <w:rFonts w:cs="Calibri"/>
          <w:sz w:val="24"/>
        </w:rPr>
        <w:t>1) to the extent that aspects that an individual may regard as personal</w:t>
      </w:r>
      <w:r w:rsidR="001879EE">
        <w:rPr>
          <w:rFonts w:cs="Calibri"/>
          <w:sz w:val="24"/>
        </w:rPr>
        <w:t>,</w:t>
      </w:r>
      <w:r>
        <w:rPr>
          <w:rFonts w:cs="Calibri"/>
          <w:sz w:val="24"/>
        </w:rPr>
        <w:t xml:space="preserve"> such as thoughts, feelings and beliefs</w:t>
      </w:r>
      <w:r w:rsidR="001879EE">
        <w:rPr>
          <w:rFonts w:cs="Calibri"/>
          <w:sz w:val="24"/>
        </w:rPr>
        <w:t>,</w:t>
      </w:r>
      <w:r>
        <w:rPr>
          <w:rFonts w:cs="Calibri"/>
          <w:sz w:val="24"/>
        </w:rPr>
        <w:t xml:space="preserve"> are in fact socially organised objects of power which are managed to the extent that “the </w:t>
      </w:r>
      <w:r w:rsidR="001879EE">
        <w:rPr>
          <w:rFonts w:cs="Calibri"/>
          <w:sz w:val="24"/>
        </w:rPr>
        <w:t>‘</w:t>
      </w:r>
      <w:r>
        <w:rPr>
          <w:rFonts w:cs="Calibri"/>
          <w:sz w:val="24"/>
        </w:rPr>
        <w:t>soul</w:t>
      </w:r>
      <w:r w:rsidR="001879EE">
        <w:rPr>
          <w:rFonts w:cs="Calibri"/>
          <w:sz w:val="24"/>
        </w:rPr>
        <w:t>’</w:t>
      </w:r>
      <w:r>
        <w:rPr>
          <w:rFonts w:cs="Calibri"/>
          <w:sz w:val="24"/>
        </w:rPr>
        <w:t xml:space="preserve"> of the citizen has entered directly into political discourse and the practice of government” (p.2). This concept of governmentality</w:t>
      </w:r>
      <w:r w:rsidR="00E01911">
        <w:rPr>
          <w:rFonts w:cs="Calibri"/>
          <w:sz w:val="24"/>
        </w:rPr>
        <w:t xml:space="preserve"> stems from a poststructuralist</w:t>
      </w:r>
      <w:r>
        <w:rPr>
          <w:rFonts w:cs="Calibri"/>
          <w:sz w:val="24"/>
        </w:rPr>
        <w:t xml:space="preserve"> approach</w:t>
      </w:r>
      <w:r w:rsidR="001879EE">
        <w:rPr>
          <w:rFonts w:cs="Calibri"/>
          <w:sz w:val="24"/>
        </w:rPr>
        <w:t>,</w:t>
      </w:r>
      <w:r>
        <w:rPr>
          <w:rFonts w:cs="Calibri"/>
          <w:sz w:val="24"/>
        </w:rPr>
        <w:t xml:space="preserve"> which regards power as being created within discourse and social relations</w:t>
      </w:r>
      <w:r w:rsidR="001879EE">
        <w:rPr>
          <w:rFonts w:cs="Calibri"/>
          <w:sz w:val="24"/>
        </w:rPr>
        <w:t>,</w:t>
      </w:r>
      <w:r>
        <w:rPr>
          <w:rFonts w:cs="Calibri"/>
          <w:sz w:val="24"/>
        </w:rPr>
        <w:t xml:space="preserve"> not within any underlying social structures.</w:t>
      </w:r>
    </w:p>
    <w:p w14:paraId="4872B270" w14:textId="77777777" w:rsidR="001879EE" w:rsidRDefault="001879EE" w:rsidP="00CD0C1C">
      <w:pPr>
        <w:tabs>
          <w:tab w:val="left" w:pos="8222"/>
        </w:tabs>
        <w:spacing w:after="0" w:line="360" w:lineRule="auto"/>
        <w:rPr>
          <w:rFonts w:cs="Calibri"/>
          <w:sz w:val="24"/>
        </w:rPr>
      </w:pPr>
    </w:p>
    <w:p w14:paraId="25E06F59" w14:textId="736F4B11" w:rsidR="00A75A8F" w:rsidRDefault="00A75A8F" w:rsidP="00CD0C1C">
      <w:pPr>
        <w:spacing w:after="0" w:line="360" w:lineRule="auto"/>
        <w:rPr>
          <w:rFonts w:cs="Calibri"/>
          <w:sz w:val="24"/>
        </w:rPr>
      </w:pPr>
      <w:r>
        <w:rPr>
          <w:rFonts w:cs="Calibri"/>
          <w:sz w:val="24"/>
        </w:rPr>
        <w:t>Rose (ibid) presents a compelling argument about the governance of children in terms of the quantity and unrelenting amount of surveillance that they experience from the health, social care and education sectors</w:t>
      </w:r>
      <w:r w:rsidR="007F19C3">
        <w:rPr>
          <w:rFonts w:cs="Calibri"/>
          <w:sz w:val="24"/>
        </w:rPr>
        <w:t>.</w:t>
      </w:r>
      <w:r>
        <w:rPr>
          <w:rFonts w:cs="Calibri"/>
          <w:sz w:val="24"/>
        </w:rPr>
        <w:t xml:space="preserve"> </w:t>
      </w:r>
      <w:r w:rsidR="007F19C3">
        <w:rPr>
          <w:rFonts w:cs="Calibri"/>
          <w:sz w:val="24"/>
        </w:rPr>
        <w:t>E</w:t>
      </w:r>
      <w:r>
        <w:rPr>
          <w:rFonts w:cs="Calibri"/>
          <w:sz w:val="24"/>
        </w:rPr>
        <w:t>very aspect of life</w:t>
      </w:r>
      <w:r w:rsidR="007F19C3">
        <w:rPr>
          <w:rFonts w:cs="Calibri"/>
          <w:sz w:val="24"/>
        </w:rPr>
        <w:t xml:space="preserve"> is</w:t>
      </w:r>
      <w:r>
        <w:rPr>
          <w:rFonts w:cs="Calibri"/>
          <w:sz w:val="24"/>
        </w:rPr>
        <w:t xml:space="preserve"> captured, recorded and increasingly anticipated by predictive statistical means</w:t>
      </w:r>
      <w:r w:rsidR="007F19C3">
        <w:rPr>
          <w:rFonts w:cs="Calibri"/>
          <w:sz w:val="24"/>
        </w:rPr>
        <w:t>, especially within contemporary schools</w:t>
      </w:r>
      <w:r>
        <w:rPr>
          <w:rFonts w:cs="Calibri"/>
          <w:sz w:val="24"/>
        </w:rPr>
        <w:t>. School procedures influence and control not only children but also teachers (Hope</w:t>
      </w:r>
      <w:r w:rsidR="007F19C3">
        <w:rPr>
          <w:rFonts w:cs="Calibri"/>
          <w:sz w:val="24"/>
        </w:rPr>
        <w:t>,</w:t>
      </w:r>
      <w:r>
        <w:rPr>
          <w:rFonts w:cs="Calibri"/>
          <w:sz w:val="24"/>
        </w:rPr>
        <w:t xml:space="preserve"> 2013). Hope goes onto use </w:t>
      </w:r>
      <w:r w:rsidR="00BF3AC7">
        <w:rPr>
          <w:rFonts w:cs="Calibri"/>
          <w:sz w:val="24"/>
        </w:rPr>
        <w:t>the</w:t>
      </w:r>
      <w:r w:rsidR="000B0938">
        <w:rPr>
          <w:rFonts w:cs="Calibri"/>
          <w:sz w:val="24"/>
        </w:rPr>
        <w:t xml:space="preserve"> concept</w:t>
      </w:r>
      <w:r w:rsidR="00BF3AC7">
        <w:rPr>
          <w:rFonts w:cs="Calibri"/>
          <w:sz w:val="24"/>
        </w:rPr>
        <w:t>,</w:t>
      </w:r>
      <w:r w:rsidR="000B0938">
        <w:rPr>
          <w:rFonts w:cs="Calibri"/>
          <w:sz w:val="24"/>
        </w:rPr>
        <w:t xml:space="preserve"> created by Clarke (1988</w:t>
      </w:r>
      <w:r>
        <w:rPr>
          <w:rFonts w:cs="Calibri"/>
          <w:sz w:val="24"/>
        </w:rPr>
        <w:t>)</w:t>
      </w:r>
      <w:r w:rsidR="00BF3AC7">
        <w:rPr>
          <w:rFonts w:cs="Calibri"/>
          <w:sz w:val="24"/>
        </w:rPr>
        <w:t>,</w:t>
      </w:r>
      <w:r>
        <w:rPr>
          <w:rFonts w:cs="Calibri"/>
          <w:sz w:val="24"/>
        </w:rPr>
        <w:t xml:space="preserve"> of “dataveillance”. This refers to the large amount of data that is collected on children, combined with the increasing capability of computers to handle, analyse and integrate with previous data to provide predictions and surveillance of future behaviour and outcomes. Computers do not control actions or forms of discipline</w:t>
      </w:r>
      <w:r w:rsidR="00023970">
        <w:rPr>
          <w:rFonts w:cs="Calibri"/>
          <w:sz w:val="24"/>
        </w:rPr>
        <w:t>,</w:t>
      </w:r>
      <w:r>
        <w:rPr>
          <w:rFonts w:cs="Calibri"/>
          <w:sz w:val="24"/>
        </w:rPr>
        <w:t xml:space="preserve"> but the everyday use </w:t>
      </w:r>
      <w:r w:rsidR="00023970">
        <w:rPr>
          <w:rFonts w:cs="Calibri"/>
          <w:sz w:val="24"/>
        </w:rPr>
        <w:t xml:space="preserve">of </w:t>
      </w:r>
      <w:r>
        <w:rPr>
          <w:rFonts w:cs="Calibri"/>
          <w:sz w:val="24"/>
        </w:rPr>
        <w:t xml:space="preserve">and reliance </w:t>
      </w:r>
      <w:r w:rsidR="00023970">
        <w:rPr>
          <w:rFonts w:cs="Calibri"/>
          <w:sz w:val="24"/>
        </w:rPr>
        <w:t>up</w:t>
      </w:r>
      <w:r>
        <w:rPr>
          <w:rFonts w:cs="Calibri"/>
          <w:sz w:val="24"/>
        </w:rPr>
        <w:t>on school data support</w:t>
      </w:r>
      <w:r w:rsidR="00023970">
        <w:rPr>
          <w:rFonts w:cs="Calibri"/>
          <w:sz w:val="24"/>
        </w:rPr>
        <w:t>s</w:t>
      </w:r>
      <w:r>
        <w:rPr>
          <w:rFonts w:cs="Calibri"/>
          <w:sz w:val="24"/>
        </w:rPr>
        <w:t xml:space="preserve"> the arguments of Hope and Clarke. Teachers are provided with predictive data about the likely achievements of children and their outcomes judged </w:t>
      </w:r>
      <w:r w:rsidR="00661293">
        <w:rPr>
          <w:rFonts w:cs="Calibri"/>
          <w:sz w:val="24"/>
        </w:rPr>
        <w:t>via high</w:t>
      </w:r>
      <w:r w:rsidR="00023970">
        <w:rPr>
          <w:rFonts w:cs="Calibri"/>
          <w:sz w:val="24"/>
        </w:rPr>
        <w:t>-</w:t>
      </w:r>
      <w:r w:rsidR="00661293">
        <w:rPr>
          <w:rFonts w:cs="Calibri"/>
          <w:sz w:val="24"/>
        </w:rPr>
        <w:t>stakes testing</w:t>
      </w:r>
      <w:r w:rsidR="00661293">
        <w:rPr>
          <w:rStyle w:val="FootnoteReference"/>
          <w:rFonts w:cs="Calibri"/>
          <w:sz w:val="24"/>
        </w:rPr>
        <w:footnoteReference w:id="29"/>
      </w:r>
      <w:r w:rsidR="00661293">
        <w:rPr>
          <w:rFonts w:cs="Calibri"/>
          <w:sz w:val="24"/>
        </w:rPr>
        <w:t xml:space="preserve"> </w:t>
      </w:r>
      <w:r>
        <w:rPr>
          <w:rFonts w:cs="Calibri"/>
          <w:sz w:val="24"/>
        </w:rPr>
        <w:t xml:space="preserve">against these predictions. </w:t>
      </w:r>
      <w:r w:rsidR="00023970">
        <w:rPr>
          <w:rFonts w:cs="Calibri"/>
          <w:sz w:val="24"/>
        </w:rPr>
        <w:t>I</w:t>
      </w:r>
      <w:r>
        <w:rPr>
          <w:rFonts w:cs="Calibri"/>
          <w:sz w:val="24"/>
        </w:rPr>
        <w:t xml:space="preserve">t is </w:t>
      </w:r>
      <w:r w:rsidR="00023970">
        <w:rPr>
          <w:rFonts w:cs="Calibri"/>
          <w:sz w:val="24"/>
        </w:rPr>
        <w:t xml:space="preserve">therefore </w:t>
      </w:r>
      <w:r>
        <w:rPr>
          <w:rFonts w:cs="Calibri"/>
          <w:sz w:val="24"/>
        </w:rPr>
        <w:t>unsurprising that teachers may begin to use such data not only to inform knowledge and expectations of children</w:t>
      </w:r>
      <w:r w:rsidR="0069444A">
        <w:rPr>
          <w:rFonts w:cs="Calibri"/>
          <w:sz w:val="24"/>
        </w:rPr>
        <w:t>,</w:t>
      </w:r>
      <w:r>
        <w:rPr>
          <w:rFonts w:cs="Calibri"/>
          <w:sz w:val="24"/>
        </w:rPr>
        <w:t xml:space="preserve"> but that such data may become a self-</w:t>
      </w:r>
      <w:r>
        <w:rPr>
          <w:rFonts w:cs="Calibri"/>
          <w:sz w:val="24"/>
        </w:rPr>
        <w:lastRenderedPageBreak/>
        <w:t>fulfilling prophecy. The data can</w:t>
      </w:r>
      <w:r w:rsidR="0069444A">
        <w:rPr>
          <w:rFonts w:cs="Calibri"/>
          <w:sz w:val="24"/>
        </w:rPr>
        <w:t xml:space="preserve"> not only</w:t>
      </w:r>
      <w:r>
        <w:rPr>
          <w:rFonts w:cs="Calibri"/>
          <w:sz w:val="24"/>
        </w:rPr>
        <w:t xml:space="preserve"> be used to identify </w:t>
      </w:r>
      <w:r w:rsidR="0069444A">
        <w:rPr>
          <w:rFonts w:cs="Calibri"/>
          <w:sz w:val="24"/>
        </w:rPr>
        <w:t xml:space="preserve">those </w:t>
      </w:r>
      <w:r>
        <w:rPr>
          <w:rFonts w:cs="Calibri"/>
          <w:sz w:val="24"/>
        </w:rPr>
        <w:t xml:space="preserve">children who are predicted to be most likely </w:t>
      </w:r>
      <w:r w:rsidR="0069444A">
        <w:rPr>
          <w:rFonts w:cs="Calibri"/>
          <w:sz w:val="24"/>
        </w:rPr>
        <w:t>to</w:t>
      </w:r>
      <w:r>
        <w:rPr>
          <w:rFonts w:cs="Calibri"/>
          <w:sz w:val="24"/>
        </w:rPr>
        <w:t xml:space="preserve"> succe</w:t>
      </w:r>
      <w:r w:rsidR="0069444A">
        <w:rPr>
          <w:rFonts w:cs="Calibri"/>
          <w:sz w:val="24"/>
        </w:rPr>
        <w:t>ed</w:t>
      </w:r>
      <w:r>
        <w:rPr>
          <w:rFonts w:cs="Calibri"/>
          <w:sz w:val="24"/>
        </w:rPr>
        <w:t xml:space="preserve"> at the EBac</w:t>
      </w:r>
      <w:r w:rsidR="0069444A">
        <w:rPr>
          <w:rFonts w:cs="Calibri"/>
          <w:sz w:val="24"/>
        </w:rPr>
        <w:t>,</w:t>
      </w:r>
      <w:r w:rsidR="00661293">
        <w:rPr>
          <w:rFonts w:cs="Calibri"/>
          <w:sz w:val="24"/>
        </w:rPr>
        <w:t xml:space="preserve"> but also those who are </w:t>
      </w:r>
      <w:r w:rsidR="0069444A">
        <w:rPr>
          <w:rFonts w:cs="Calibri"/>
          <w:sz w:val="24"/>
        </w:rPr>
        <w:t>less likely to do so</w:t>
      </w:r>
      <w:r>
        <w:rPr>
          <w:rFonts w:cs="Calibri"/>
          <w:sz w:val="24"/>
        </w:rPr>
        <w:t>.</w:t>
      </w:r>
      <w:r w:rsidR="00661293">
        <w:rPr>
          <w:rFonts w:cs="Calibri"/>
          <w:sz w:val="24"/>
        </w:rPr>
        <w:t xml:space="preserve"> </w:t>
      </w:r>
    </w:p>
    <w:p w14:paraId="0732EC62" w14:textId="77777777" w:rsidR="0069444A" w:rsidRDefault="0069444A" w:rsidP="00CD0C1C">
      <w:pPr>
        <w:spacing w:after="0" w:line="360" w:lineRule="auto"/>
        <w:rPr>
          <w:rFonts w:cs="Calibri"/>
          <w:sz w:val="24"/>
        </w:rPr>
      </w:pPr>
    </w:p>
    <w:p w14:paraId="2E1C6CB2" w14:textId="4C1BCF54" w:rsidR="00A75A8F" w:rsidRDefault="00A75A8F" w:rsidP="00CD0C1C">
      <w:pPr>
        <w:spacing w:after="0" w:line="360" w:lineRule="auto"/>
        <w:rPr>
          <w:rFonts w:cs="Calibri"/>
          <w:sz w:val="24"/>
        </w:rPr>
      </w:pPr>
      <w:r>
        <w:rPr>
          <w:rFonts w:cs="Calibri"/>
          <w:sz w:val="24"/>
        </w:rPr>
        <w:t>Extending this approach</w:t>
      </w:r>
      <w:r w:rsidR="0069444A">
        <w:rPr>
          <w:rFonts w:cs="Calibri"/>
          <w:sz w:val="24"/>
        </w:rPr>
        <w:t>,</w:t>
      </w:r>
      <w:r>
        <w:rPr>
          <w:rFonts w:cs="Calibri"/>
          <w:sz w:val="24"/>
        </w:rPr>
        <w:t xml:space="preserve"> Billington (2000) draws on the work of Rose in his research on the “pathologizing of children”. He comments that such govern</w:t>
      </w:r>
      <w:r w:rsidR="00CE1A59">
        <w:rPr>
          <w:rFonts w:cs="Calibri"/>
          <w:sz w:val="24"/>
        </w:rPr>
        <w:t>ance</w:t>
      </w:r>
      <w:r>
        <w:rPr>
          <w:rFonts w:cs="Calibri"/>
          <w:sz w:val="24"/>
        </w:rPr>
        <w:t xml:space="preserve"> requires the role of the teacher and other such professionals as the “expert” (p.29). Experts are encouraged to make judgements</w:t>
      </w:r>
      <w:r w:rsidR="00CE1A59">
        <w:rPr>
          <w:rFonts w:cs="Calibri"/>
          <w:sz w:val="24"/>
        </w:rPr>
        <w:t>,</w:t>
      </w:r>
      <w:r>
        <w:rPr>
          <w:rFonts w:cs="Calibri"/>
          <w:sz w:val="24"/>
        </w:rPr>
        <w:t xml:space="preserve"> which can have serious consequences for children and their experience of education. Billington focuses on </w:t>
      </w:r>
      <w:r w:rsidR="00CE1A59">
        <w:rPr>
          <w:rFonts w:cs="Calibri"/>
          <w:sz w:val="24"/>
        </w:rPr>
        <w:t xml:space="preserve">the </w:t>
      </w:r>
      <w:r>
        <w:rPr>
          <w:rFonts w:cs="Calibri"/>
          <w:sz w:val="24"/>
        </w:rPr>
        <w:t>labelling and treatment of students diagnosed with SEND</w:t>
      </w:r>
      <w:r w:rsidR="00CE1A59">
        <w:rPr>
          <w:rFonts w:cs="Calibri"/>
          <w:sz w:val="24"/>
        </w:rPr>
        <w:t>;</w:t>
      </w:r>
      <w:r>
        <w:rPr>
          <w:rFonts w:cs="Calibri"/>
          <w:sz w:val="24"/>
        </w:rPr>
        <w:t xml:space="preserve"> however</w:t>
      </w:r>
      <w:r w:rsidR="00CE1A59">
        <w:rPr>
          <w:rFonts w:cs="Calibri"/>
          <w:sz w:val="24"/>
        </w:rPr>
        <w:t>,</w:t>
      </w:r>
      <w:r>
        <w:rPr>
          <w:rFonts w:cs="Calibri"/>
          <w:sz w:val="24"/>
        </w:rPr>
        <w:t xml:space="preserve"> his analysis could be applied to the labelling and classification of all children.</w:t>
      </w:r>
      <w:r w:rsidRPr="008F17E7">
        <w:rPr>
          <w:rFonts w:cs="Calibri"/>
          <w:sz w:val="24"/>
        </w:rPr>
        <w:t xml:space="preserve"> </w:t>
      </w:r>
      <w:r>
        <w:rPr>
          <w:rFonts w:cs="Calibri"/>
          <w:sz w:val="24"/>
        </w:rPr>
        <w:t>T</w:t>
      </w:r>
      <w:r w:rsidRPr="008F17E7">
        <w:rPr>
          <w:rFonts w:cs="Calibri"/>
          <w:sz w:val="24"/>
        </w:rPr>
        <w:t>he theory of poststructuralism can provide a</w:t>
      </w:r>
      <w:r>
        <w:rPr>
          <w:rFonts w:cs="Calibri"/>
          <w:sz w:val="24"/>
        </w:rPr>
        <w:t xml:space="preserve"> </w:t>
      </w:r>
      <w:r w:rsidRPr="008F17E7">
        <w:rPr>
          <w:rFonts w:cs="Calibri"/>
          <w:sz w:val="24"/>
        </w:rPr>
        <w:t xml:space="preserve">way of considering and applying </w:t>
      </w:r>
      <w:r w:rsidR="00921106" w:rsidRPr="008F17E7">
        <w:rPr>
          <w:rFonts w:cs="Calibri"/>
          <w:sz w:val="24"/>
        </w:rPr>
        <w:t>Billington</w:t>
      </w:r>
      <w:r w:rsidR="00921106">
        <w:rPr>
          <w:rFonts w:cs="Calibri"/>
          <w:sz w:val="24"/>
        </w:rPr>
        <w:t xml:space="preserve">’s </w:t>
      </w:r>
      <w:r w:rsidRPr="008F17E7">
        <w:rPr>
          <w:rFonts w:cs="Calibri"/>
          <w:sz w:val="24"/>
        </w:rPr>
        <w:t>arguments. The discourse of prediction</w:t>
      </w:r>
      <w:r>
        <w:rPr>
          <w:rFonts w:cs="Calibri"/>
          <w:sz w:val="24"/>
        </w:rPr>
        <w:t xml:space="preserve"> and outcomes </w:t>
      </w:r>
      <w:r w:rsidR="00921106">
        <w:rPr>
          <w:rFonts w:cs="Calibri"/>
          <w:sz w:val="24"/>
        </w:rPr>
        <w:t>is</w:t>
      </w:r>
      <w:r>
        <w:rPr>
          <w:rFonts w:cs="Calibri"/>
          <w:sz w:val="24"/>
        </w:rPr>
        <w:t xml:space="preserve"> now central to the judgements made about school</w:t>
      </w:r>
      <w:r w:rsidR="00921106">
        <w:rPr>
          <w:rFonts w:cs="Calibri"/>
          <w:sz w:val="24"/>
        </w:rPr>
        <w:t>s’</w:t>
      </w:r>
      <w:r>
        <w:rPr>
          <w:rFonts w:cs="Calibri"/>
          <w:sz w:val="24"/>
        </w:rPr>
        <w:t xml:space="preserve"> effectiveness. Such a discourse may prove to be more powerful than the EBac discourse, predetermining which students will be put onto the EBac irrespective of the stated policy intention that all students</w:t>
      </w:r>
      <w:r w:rsidR="00921106">
        <w:rPr>
          <w:rFonts w:cs="Calibri"/>
          <w:sz w:val="24"/>
        </w:rPr>
        <w:t xml:space="preserve"> should</w:t>
      </w:r>
      <w:r>
        <w:rPr>
          <w:rFonts w:cs="Calibri"/>
          <w:sz w:val="24"/>
        </w:rPr>
        <w:t xml:space="preserve"> have access to </w:t>
      </w:r>
      <w:r w:rsidR="00921106">
        <w:rPr>
          <w:rFonts w:cs="Calibri"/>
          <w:sz w:val="24"/>
        </w:rPr>
        <w:t>it</w:t>
      </w:r>
      <w:r>
        <w:rPr>
          <w:rFonts w:cs="Calibri"/>
          <w:sz w:val="24"/>
        </w:rPr>
        <w:t xml:space="preserve">. </w:t>
      </w:r>
      <w:r w:rsidRPr="008F17E7">
        <w:rPr>
          <w:rFonts w:cs="Calibri"/>
          <w:sz w:val="24"/>
        </w:rPr>
        <w:t xml:space="preserve"> </w:t>
      </w:r>
      <w:r>
        <w:rPr>
          <w:rFonts w:cs="Calibri"/>
          <w:sz w:val="24"/>
        </w:rPr>
        <w:t>In relation to my research questions</w:t>
      </w:r>
      <w:r w:rsidR="00921106">
        <w:rPr>
          <w:rFonts w:cs="Calibri"/>
          <w:sz w:val="24"/>
        </w:rPr>
        <w:t>,</w:t>
      </w:r>
      <w:r>
        <w:rPr>
          <w:rFonts w:cs="Calibri"/>
          <w:sz w:val="24"/>
        </w:rPr>
        <w:t xml:space="preserve"> I consider to what extent the EBac policy is yet another form of control and governmentality over both children and teachers.</w:t>
      </w:r>
      <w:r w:rsidDel="008F1D18">
        <w:rPr>
          <w:rFonts w:cs="Calibri"/>
          <w:sz w:val="24"/>
        </w:rPr>
        <w:t xml:space="preserve"> </w:t>
      </w:r>
    </w:p>
    <w:p w14:paraId="06407F8E" w14:textId="77777777" w:rsidR="00921106" w:rsidRPr="002279CC" w:rsidRDefault="00921106" w:rsidP="00CD0C1C">
      <w:pPr>
        <w:spacing w:after="0" w:line="360" w:lineRule="auto"/>
        <w:rPr>
          <w:rFonts w:cs="Calibri"/>
          <w:sz w:val="24"/>
        </w:rPr>
      </w:pPr>
    </w:p>
    <w:p w14:paraId="40A33ABF" w14:textId="3623DAC1" w:rsidR="00AD0DAD" w:rsidRPr="003A47A6" w:rsidRDefault="00A75A8F" w:rsidP="003A47A6">
      <w:pPr>
        <w:spacing w:line="360" w:lineRule="auto"/>
        <w:rPr>
          <w:sz w:val="24"/>
        </w:rPr>
      </w:pPr>
      <w:r>
        <w:rPr>
          <w:rFonts w:cs="Calibri"/>
          <w:sz w:val="24"/>
        </w:rPr>
        <w:t>Since the announcement of the EBac in 2010</w:t>
      </w:r>
      <w:r w:rsidR="00875ED8">
        <w:rPr>
          <w:rFonts w:cs="Calibri"/>
          <w:sz w:val="24"/>
        </w:rPr>
        <w:t>,</w:t>
      </w:r>
      <w:r>
        <w:rPr>
          <w:rFonts w:cs="Calibri"/>
          <w:sz w:val="24"/>
        </w:rPr>
        <w:t xml:space="preserve"> there have been a number of official reports into the impact of the EBac on subject uptake and the </w:t>
      </w:r>
      <w:r w:rsidR="00875ED8">
        <w:rPr>
          <w:rFonts w:cs="Calibri"/>
          <w:sz w:val="24"/>
        </w:rPr>
        <w:t xml:space="preserve">associated </w:t>
      </w:r>
      <w:r>
        <w:rPr>
          <w:rFonts w:cs="Calibri"/>
          <w:sz w:val="24"/>
        </w:rPr>
        <w:t>statistical trends. A number of professional/subject associations, particularly those representing subjects outside of the EBac</w:t>
      </w:r>
      <w:r w:rsidR="00875ED8">
        <w:rPr>
          <w:rFonts w:cs="Calibri"/>
          <w:sz w:val="24"/>
        </w:rPr>
        <w:t>,</w:t>
      </w:r>
      <w:r>
        <w:rPr>
          <w:rFonts w:cs="Calibri"/>
          <w:sz w:val="24"/>
        </w:rPr>
        <w:t xml:space="preserve"> have also reported their concerns with the EBac policy. </w:t>
      </w:r>
    </w:p>
    <w:p w14:paraId="165EEF3A" w14:textId="77777777" w:rsidR="00A75A8F" w:rsidRPr="00561854" w:rsidRDefault="00A75A8F" w:rsidP="00531995">
      <w:pPr>
        <w:pStyle w:val="Heading2"/>
      </w:pPr>
      <w:bookmarkStart w:id="34" w:name="_Toc452316319"/>
      <w:r>
        <w:t xml:space="preserve">2.8 Impact of the </w:t>
      </w:r>
      <w:r w:rsidRPr="00561854">
        <w:t>E</w:t>
      </w:r>
      <w:r>
        <w:t>B</w:t>
      </w:r>
      <w:r w:rsidRPr="00561854">
        <w:t xml:space="preserve">ac </w:t>
      </w:r>
      <w:r>
        <w:t>policy</w:t>
      </w:r>
      <w:bookmarkEnd w:id="34"/>
    </w:p>
    <w:p w14:paraId="530C2EA1" w14:textId="5F166E67" w:rsidR="00A75A8F" w:rsidRPr="00561854" w:rsidRDefault="00A75A8F" w:rsidP="00A75A8F">
      <w:pPr>
        <w:spacing w:line="360" w:lineRule="auto"/>
        <w:rPr>
          <w:rFonts w:cs="Calibri"/>
          <w:sz w:val="24"/>
        </w:rPr>
      </w:pPr>
      <w:r w:rsidRPr="00561854">
        <w:rPr>
          <w:rFonts w:cs="Calibri"/>
          <w:sz w:val="24"/>
        </w:rPr>
        <w:t>Initially, a number of negative articles and comment</w:t>
      </w:r>
      <w:r>
        <w:rPr>
          <w:rFonts w:cs="Calibri"/>
          <w:sz w:val="24"/>
        </w:rPr>
        <w:t>aries</w:t>
      </w:r>
      <w:r w:rsidRPr="00561854">
        <w:rPr>
          <w:rFonts w:cs="Calibri"/>
          <w:sz w:val="24"/>
        </w:rPr>
        <w:t xml:space="preserve"> regarding the EBac were generated by</w:t>
      </w:r>
      <w:r w:rsidR="00875ED8">
        <w:rPr>
          <w:rFonts w:cs="Calibri"/>
          <w:sz w:val="24"/>
        </w:rPr>
        <w:t xml:space="preserve"> the</w:t>
      </w:r>
      <w:r w:rsidRPr="00561854">
        <w:rPr>
          <w:rFonts w:cs="Calibri"/>
          <w:sz w:val="24"/>
        </w:rPr>
        <w:t xml:space="preserve"> subject associations of those subjects excluded from the EBac, for example, </w:t>
      </w:r>
      <w:r>
        <w:rPr>
          <w:rFonts w:cs="Calibri"/>
          <w:sz w:val="24"/>
        </w:rPr>
        <w:t xml:space="preserve">the </w:t>
      </w:r>
      <w:r w:rsidRPr="00561854">
        <w:rPr>
          <w:rFonts w:cs="Calibri"/>
          <w:sz w:val="24"/>
        </w:rPr>
        <w:t>Religious Education Council of England and Wales (May 2011)</w:t>
      </w:r>
      <w:r>
        <w:rPr>
          <w:rFonts w:cs="Calibri"/>
          <w:sz w:val="24"/>
        </w:rPr>
        <w:t xml:space="preserve"> and Adams (2013)</w:t>
      </w:r>
      <w:r w:rsidR="00875ED8">
        <w:rPr>
          <w:rFonts w:cs="Calibri"/>
          <w:sz w:val="24"/>
        </w:rPr>
        <w:t>,</w:t>
      </w:r>
      <w:r>
        <w:rPr>
          <w:rFonts w:cs="Calibri"/>
          <w:sz w:val="24"/>
        </w:rPr>
        <w:t xml:space="preserve"> writing on behalf of Art and Design education</w:t>
      </w:r>
      <w:r w:rsidRPr="00561854">
        <w:rPr>
          <w:rFonts w:cs="Calibri"/>
          <w:sz w:val="24"/>
        </w:rPr>
        <w:t xml:space="preserve">. </w:t>
      </w:r>
      <w:r>
        <w:rPr>
          <w:rFonts w:cs="Calibri"/>
          <w:sz w:val="24"/>
        </w:rPr>
        <w:t>T</w:t>
      </w:r>
      <w:r w:rsidRPr="00561854">
        <w:rPr>
          <w:rFonts w:cs="Calibri"/>
          <w:sz w:val="24"/>
        </w:rPr>
        <w:t xml:space="preserve">he </w:t>
      </w:r>
      <w:r w:rsidR="000B0938">
        <w:rPr>
          <w:rFonts w:cs="Calibri"/>
          <w:sz w:val="24"/>
        </w:rPr>
        <w:t xml:space="preserve">British Government </w:t>
      </w:r>
      <w:r w:rsidRPr="00561854">
        <w:rPr>
          <w:rFonts w:cs="Calibri"/>
          <w:sz w:val="24"/>
        </w:rPr>
        <w:t xml:space="preserve">Education </w:t>
      </w:r>
      <w:r>
        <w:rPr>
          <w:rFonts w:cs="Calibri"/>
          <w:sz w:val="24"/>
        </w:rPr>
        <w:t>S</w:t>
      </w:r>
      <w:r w:rsidRPr="00561854">
        <w:rPr>
          <w:rFonts w:cs="Calibri"/>
          <w:sz w:val="24"/>
        </w:rPr>
        <w:t xml:space="preserve">elect </w:t>
      </w:r>
      <w:r>
        <w:rPr>
          <w:rFonts w:cs="Calibri"/>
          <w:sz w:val="24"/>
        </w:rPr>
        <w:t>C</w:t>
      </w:r>
      <w:r w:rsidRPr="00561854">
        <w:rPr>
          <w:rFonts w:cs="Calibri"/>
          <w:sz w:val="24"/>
        </w:rPr>
        <w:t>ommittee</w:t>
      </w:r>
      <w:r>
        <w:rPr>
          <w:rStyle w:val="FootnoteReference"/>
          <w:rFonts w:cs="Calibri"/>
          <w:sz w:val="24"/>
        </w:rPr>
        <w:footnoteReference w:id="30"/>
      </w:r>
      <w:r w:rsidRPr="00561854">
        <w:rPr>
          <w:rFonts w:cs="Calibri"/>
          <w:sz w:val="24"/>
        </w:rPr>
        <w:t xml:space="preserve"> produced a report in </w:t>
      </w:r>
      <w:r>
        <w:rPr>
          <w:rFonts w:cs="Calibri"/>
          <w:sz w:val="24"/>
        </w:rPr>
        <w:t xml:space="preserve">July </w:t>
      </w:r>
      <w:r w:rsidRPr="00561854">
        <w:rPr>
          <w:rFonts w:cs="Calibri"/>
          <w:sz w:val="24"/>
        </w:rPr>
        <w:t xml:space="preserve">2011 on the retrospective introduction of the </w:t>
      </w:r>
      <w:r w:rsidRPr="00561854">
        <w:rPr>
          <w:rFonts w:cs="Calibri"/>
          <w:sz w:val="24"/>
        </w:rPr>
        <w:lastRenderedPageBreak/>
        <w:t>EBac</w:t>
      </w:r>
      <w:r w:rsidR="00875ED8">
        <w:rPr>
          <w:rFonts w:cs="Calibri"/>
          <w:sz w:val="24"/>
        </w:rPr>
        <w:t>,</w:t>
      </w:r>
      <w:r w:rsidRPr="00561854">
        <w:rPr>
          <w:rFonts w:cs="Calibri"/>
          <w:sz w:val="24"/>
        </w:rPr>
        <w:t xml:space="preserve"> which was followed in 2012 by a DfE</w:t>
      </w:r>
      <w:r w:rsidR="00875ED8">
        <w:rPr>
          <w:rFonts w:cs="Calibri"/>
          <w:sz w:val="24"/>
        </w:rPr>
        <w:t>-</w:t>
      </w:r>
      <w:r w:rsidRPr="00561854">
        <w:rPr>
          <w:rFonts w:cs="Calibri"/>
          <w:sz w:val="24"/>
        </w:rPr>
        <w:t xml:space="preserve">commissioned research report </w:t>
      </w:r>
      <w:r>
        <w:rPr>
          <w:rFonts w:cs="Calibri"/>
          <w:sz w:val="24"/>
        </w:rPr>
        <w:t>o</w:t>
      </w:r>
      <w:r w:rsidRPr="00561854">
        <w:rPr>
          <w:rFonts w:cs="Calibri"/>
          <w:sz w:val="24"/>
        </w:rPr>
        <w:t xml:space="preserve">n the </w:t>
      </w:r>
      <w:r>
        <w:rPr>
          <w:rFonts w:cs="Calibri"/>
          <w:sz w:val="24"/>
        </w:rPr>
        <w:t>e</w:t>
      </w:r>
      <w:r w:rsidRPr="00561854">
        <w:rPr>
          <w:rFonts w:cs="Calibri"/>
          <w:sz w:val="24"/>
        </w:rPr>
        <w:t>ffect</w:t>
      </w:r>
      <w:r w:rsidR="00875ED8">
        <w:rPr>
          <w:rFonts w:cs="Calibri"/>
          <w:sz w:val="24"/>
        </w:rPr>
        <w:t>s</w:t>
      </w:r>
      <w:r w:rsidRPr="00561854">
        <w:rPr>
          <w:rFonts w:cs="Calibri"/>
          <w:sz w:val="24"/>
        </w:rPr>
        <w:t xml:space="preserve"> of the EBac. </w:t>
      </w:r>
      <w:r>
        <w:rPr>
          <w:rFonts w:cs="Calibri"/>
          <w:sz w:val="24"/>
        </w:rPr>
        <w:t>In November 2011</w:t>
      </w:r>
      <w:r w:rsidR="00875ED8">
        <w:rPr>
          <w:rFonts w:cs="Calibri"/>
          <w:sz w:val="24"/>
        </w:rPr>
        <w:t>,</w:t>
      </w:r>
      <w:r>
        <w:rPr>
          <w:rFonts w:cs="Calibri"/>
          <w:sz w:val="24"/>
        </w:rPr>
        <w:t xml:space="preserve"> the government published a response to issues raised by the Education Select Committee. </w:t>
      </w:r>
      <w:r w:rsidRPr="00561854">
        <w:rPr>
          <w:rFonts w:cs="Calibri"/>
          <w:sz w:val="24"/>
        </w:rPr>
        <w:t xml:space="preserve">Whilst reviewing the key arguments put forward by these reports, I also critically evaluate the </w:t>
      </w:r>
      <w:r w:rsidRPr="00E415E2">
        <w:rPr>
          <w:rFonts w:cs="Calibri"/>
          <w:i/>
          <w:sz w:val="24"/>
        </w:rPr>
        <w:t xml:space="preserve">Shift Learning </w:t>
      </w:r>
      <w:r>
        <w:rPr>
          <w:rFonts w:cs="Calibri"/>
          <w:i/>
          <w:sz w:val="24"/>
        </w:rPr>
        <w:t>R</w:t>
      </w:r>
      <w:r w:rsidRPr="00E415E2">
        <w:rPr>
          <w:rFonts w:cs="Calibri"/>
          <w:i/>
          <w:sz w:val="24"/>
        </w:rPr>
        <w:t>eport</w:t>
      </w:r>
      <w:r w:rsidRPr="00561854">
        <w:rPr>
          <w:rFonts w:cs="Calibri"/>
          <w:sz w:val="24"/>
        </w:rPr>
        <w:t xml:space="preserve"> (</w:t>
      </w:r>
      <w:r>
        <w:rPr>
          <w:rFonts w:cs="Calibri"/>
          <w:sz w:val="24"/>
        </w:rPr>
        <w:t>Powell</w:t>
      </w:r>
      <w:r w:rsidR="00875ED8">
        <w:rPr>
          <w:rFonts w:cs="Calibri"/>
          <w:sz w:val="24"/>
        </w:rPr>
        <w:t>,</w:t>
      </w:r>
      <w:r>
        <w:rPr>
          <w:rFonts w:cs="Calibri"/>
          <w:sz w:val="24"/>
        </w:rPr>
        <w:t xml:space="preserve"> </w:t>
      </w:r>
      <w:r w:rsidRPr="00561854">
        <w:rPr>
          <w:rFonts w:cs="Calibri"/>
          <w:sz w:val="24"/>
        </w:rPr>
        <w:t>2011)</w:t>
      </w:r>
      <w:r>
        <w:rPr>
          <w:rFonts w:cs="Calibri"/>
          <w:i/>
          <w:sz w:val="24"/>
        </w:rPr>
        <w:t xml:space="preserve"> The effects </w:t>
      </w:r>
      <w:r w:rsidRPr="00E415E2">
        <w:rPr>
          <w:rFonts w:cs="Calibri"/>
          <w:i/>
          <w:sz w:val="24"/>
        </w:rPr>
        <w:t>of the English Baccalaureate</w:t>
      </w:r>
      <w:r>
        <w:rPr>
          <w:rFonts w:cs="Calibri"/>
          <w:sz w:val="24"/>
        </w:rPr>
        <w:t xml:space="preserve"> (Greevy et al</w:t>
      </w:r>
      <w:r w:rsidR="00875ED8">
        <w:rPr>
          <w:rFonts w:cs="Calibri"/>
          <w:sz w:val="24"/>
        </w:rPr>
        <w:t>.,</w:t>
      </w:r>
      <w:r>
        <w:rPr>
          <w:rFonts w:cs="Calibri"/>
          <w:sz w:val="24"/>
        </w:rPr>
        <w:t xml:space="preserve"> 2012) </w:t>
      </w:r>
      <w:r w:rsidRPr="00561854">
        <w:rPr>
          <w:rFonts w:cs="Calibri"/>
          <w:sz w:val="24"/>
        </w:rPr>
        <w:t>and</w:t>
      </w:r>
      <w:r>
        <w:rPr>
          <w:rFonts w:cs="Calibri"/>
          <w:sz w:val="24"/>
        </w:rPr>
        <w:t xml:space="preserve"> </w:t>
      </w:r>
      <w:r w:rsidRPr="00E415E2">
        <w:rPr>
          <w:rFonts w:cs="Calibri"/>
          <w:i/>
          <w:sz w:val="24"/>
        </w:rPr>
        <w:t>The English Baccalaureate: how not to measure school performance</w:t>
      </w:r>
      <w:r>
        <w:rPr>
          <w:rFonts w:cs="Calibri"/>
          <w:i/>
          <w:sz w:val="24"/>
        </w:rPr>
        <w:t xml:space="preserve"> (</w:t>
      </w:r>
      <w:r w:rsidRPr="000B0938">
        <w:rPr>
          <w:rFonts w:cs="Calibri"/>
          <w:sz w:val="24"/>
        </w:rPr>
        <w:t>Taylor</w:t>
      </w:r>
      <w:r w:rsidR="00875ED8">
        <w:rPr>
          <w:rFonts w:cs="Calibri"/>
          <w:sz w:val="24"/>
        </w:rPr>
        <w:t>,</w:t>
      </w:r>
      <w:r w:rsidRPr="000B0938">
        <w:rPr>
          <w:rFonts w:cs="Calibri"/>
          <w:sz w:val="24"/>
        </w:rPr>
        <w:t xml:space="preserve"> 2011</w:t>
      </w:r>
      <w:r>
        <w:rPr>
          <w:rFonts w:cs="Calibri"/>
          <w:i/>
          <w:sz w:val="24"/>
        </w:rPr>
        <w:t>)</w:t>
      </w:r>
      <w:r w:rsidRPr="00561854">
        <w:rPr>
          <w:rFonts w:cs="Calibri"/>
          <w:sz w:val="24"/>
        </w:rPr>
        <w:t xml:space="preserve">, a highly critical early report. </w:t>
      </w:r>
    </w:p>
    <w:p w14:paraId="1565B6ED" w14:textId="3499A145" w:rsidR="00A75A8F" w:rsidRDefault="00A75A8F" w:rsidP="00CD0C1C">
      <w:pPr>
        <w:spacing w:after="0" w:line="360" w:lineRule="auto"/>
        <w:rPr>
          <w:rFonts w:cs="Calibri"/>
          <w:sz w:val="24"/>
        </w:rPr>
      </w:pPr>
      <w:r w:rsidRPr="00561854">
        <w:rPr>
          <w:rFonts w:cs="Calibri"/>
          <w:sz w:val="24"/>
        </w:rPr>
        <w:t xml:space="preserve">Taylor (2011) criticises the EBac policy on four counts. </w:t>
      </w:r>
      <w:r w:rsidR="00875ED8">
        <w:rPr>
          <w:rFonts w:cs="Calibri"/>
          <w:sz w:val="24"/>
        </w:rPr>
        <w:t xml:space="preserve">He states that it </w:t>
      </w:r>
      <w:r w:rsidRPr="00561854">
        <w:rPr>
          <w:rFonts w:cs="Calibri"/>
          <w:sz w:val="24"/>
        </w:rPr>
        <w:t>favour</w:t>
      </w:r>
      <w:r>
        <w:rPr>
          <w:rFonts w:cs="Calibri"/>
          <w:sz w:val="24"/>
        </w:rPr>
        <w:t>s</w:t>
      </w:r>
      <w:r w:rsidRPr="00561854">
        <w:rPr>
          <w:rFonts w:cs="Calibri"/>
          <w:sz w:val="24"/>
        </w:rPr>
        <w:t xml:space="preserve"> specialis</w:t>
      </w:r>
      <w:r>
        <w:rPr>
          <w:rFonts w:cs="Calibri"/>
          <w:sz w:val="24"/>
        </w:rPr>
        <w:t>t</w:t>
      </w:r>
      <w:r w:rsidRPr="00561854">
        <w:rPr>
          <w:rFonts w:cs="Calibri"/>
          <w:sz w:val="24"/>
        </w:rPr>
        <w:t xml:space="preserve"> language</w:t>
      </w:r>
      <w:r>
        <w:rPr>
          <w:rFonts w:cs="Calibri"/>
          <w:sz w:val="24"/>
        </w:rPr>
        <w:t xml:space="preserve"> schools</w:t>
      </w:r>
      <w:r w:rsidR="00FD470A">
        <w:rPr>
          <w:rFonts w:cs="Calibri"/>
          <w:sz w:val="24"/>
        </w:rPr>
        <w:t xml:space="preserve"> and those</w:t>
      </w:r>
      <w:r w:rsidRPr="00561854">
        <w:rPr>
          <w:rFonts w:cs="Calibri"/>
          <w:sz w:val="24"/>
        </w:rPr>
        <w:t xml:space="preserve"> schools </w:t>
      </w:r>
      <w:r w:rsidR="00FD470A">
        <w:rPr>
          <w:rFonts w:cs="Calibri"/>
          <w:sz w:val="24"/>
        </w:rPr>
        <w:t>with academically able cohorts whilst disadvantaging</w:t>
      </w:r>
      <w:r w:rsidRPr="00561854">
        <w:rPr>
          <w:rFonts w:cs="Calibri"/>
          <w:sz w:val="24"/>
        </w:rPr>
        <w:t xml:space="preserve"> schools with high </w:t>
      </w:r>
      <w:r w:rsidR="00FD470A">
        <w:rPr>
          <w:rFonts w:cs="Calibri"/>
          <w:sz w:val="24"/>
        </w:rPr>
        <w:t>proportions</w:t>
      </w:r>
      <w:r w:rsidR="00875ED8">
        <w:rPr>
          <w:rFonts w:cs="Calibri"/>
          <w:sz w:val="24"/>
        </w:rPr>
        <w:t xml:space="preserve"> of </w:t>
      </w:r>
      <w:r w:rsidRPr="00561854">
        <w:rPr>
          <w:rFonts w:cs="Calibri"/>
          <w:sz w:val="24"/>
        </w:rPr>
        <w:t>SEN</w:t>
      </w:r>
      <w:r>
        <w:rPr>
          <w:rFonts w:cs="Calibri"/>
          <w:sz w:val="24"/>
        </w:rPr>
        <w:t>D students</w:t>
      </w:r>
      <w:r w:rsidR="00FD470A">
        <w:rPr>
          <w:rFonts w:cs="Calibri"/>
          <w:sz w:val="24"/>
        </w:rPr>
        <w:t xml:space="preserve"> and</w:t>
      </w:r>
      <w:r w:rsidRPr="00561854">
        <w:rPr>
          <w:rFonts w:cs="Calibri"/>
          <w:sz w:val="24"/>
        </w:rPr>
        <w:t xml:space="preserve"> children from low</w:t>
      </w:r>
      <w:r w:rsidR="00875ED8">
        <w:rPr>
          <w:rFonts w:cs="Calibri"/>
          <w:sz w:val="24"/>
        </w:rPr>
        <w:t>-</w:t>
      </w:r>
      <w:r w:rsidRPr="00561854">
        <w:rPr>
          <w:rFonts w:cs="Calibri"/>
          <w:sz w:val="24"/>
        </w:rPr>
        <w:t xml:space="preserve">income families. Taylor goes onto comment that the EBac figure for a school </w:t>
      </w:r>
      <w:r>
        <w:rPr>
          <w:rFonts w:cs="Calibri"/>
          <w:sz w:val="24"/>
        </w:rPr>
        <w:t>does not provide information</w:t>
      </w:r>
      <w:r w:rsidRPr="00561854">
        <w:rPr>
          <w:rFonts w:cs="Calibri"/>
          <w:sz w:val="24"/>
        </w:rPr>
        <w:t xml:space="preserve"> about the progress that a child has made within the school or indeed the performance of the school</w:t>
      </w:r>
      <w:r w:rsidR="00875ED8">
        <w:rPr>
          <w:rFonts w:cs="Calibri"/>
          <w:sz w:val="24"/>
        </w:rPr>
        <w:t>,</w:t>
      </w:r>
      <w:r w:rsidRPr="00561854">
        <w:rPr>
          <w:rFonts w:cs="Calibri"/>
          <w:sz w:val="24"/>
        </w:rPr>
        <w:t xml:space="preserve"> rathe</w:t>
      </w:r>
      <w:r>
        <w:rPr>
          <w:rFonts w:cs="Calibri"/>
          <w:sz w:val="24"/>
        </w:rPr>
        <w:t xml:space="preserve">r </w:t>
      </w:r>
      <w:r w:rsidR="00875ED8">
        <w:rPr>
          <w:rFonts w:cs="Calibri"/>
          <w:sz w:val="24"/>
        </w:rPr>
        <w:t>focusing on</w:t>
      </w:r>
      <w:r w:rsidRPr="00561854">
        <w:rPr>
          <w:rFonts w:cs="Calibri"/>
          <w:sz w:val="24"/>
        </w:rPr>
        <w:t xml:space="preserve"> the prior attainment of the child and their family background. In critici</w:t>
      </w:r>
      <w:r w:rsidR="00875ED8">
        <w:rPr>
          <w:rFonts w:cs="Calibri"/>
          <w:sz w:val="24"/>
        </w:rPr>
        <w:t>sing</w:t>
      </w:r>
      <w:r w:rsidRPr="00561854">
        <w:rPr>
          <w:rFonts w:cs="Calibri"/>
          <w:sz w:val="24"/>
        </w:rPr>
        <w:t xml:space="preserve"> this view, Taylor is a strong supporter of Contextual Value Added (CVA) a measure of progress</w:t>
      </w:r>
      <w:r w:rsidR="00875ED8">
        <w:rPr>
          <w:rFonts w:cs="Calibri"/>
          <w:sz w:val="24"/>
        </w:rPr>
        <w:t>,</w:t>
      </w:r>
      <w:r w:rsidRPr="00561854">
        <w:rPr>
          <w:rFonts w:cs="Calibri"/>
          <w:sz w:val="24"/>
        </w:rPr>
        <w:t xml:space="preserve"> which takes into account factors such as deprivation, English as an additional</w:t>
      </w:r>
      <w:r>
        <w:rPr>
          <w:rFonts w:cs="Calibri"/>
          <w:sz w:val="24"/>
        </w:rPr>
        <w:t xml:space="preserve"> </w:t>
      </w:r>
      <w:r w:rsidRPr="00561854">
        <w:rPr>
          <w:rFonts w:cs="Calibri"/>
          <w:sz w:val="24"/>
        </w:rPr>
        <w:t>language, gender and ethnicity</w:t>
      </w:r>
      <w:r>
        <w:rPr>
          <w:rStyle w:val="FootnoteReference"/>
          <w:rFonts w:cs="Calibri"/>
          <w:sz w:val="24"/>
        </w:rPr>
        <w:footnoteReference w:id="31"/>
      </w:r>
      <w:r w:rsidRPr="00561854">
        <w:rPr>
          <w:rFonts w:cs="Calibri"/>
          <w:sz w:val="24"/>
        </w:rPr>
        <w:t xml:space="preserve">. The </w:t>
      </w:r>
      <w:r>
        <w:rPr>
          <w:rFonts w:cs="Calibri"/>
          <w:sz w:val="24"/>
        </w:rPr>
        <w:t>C</w:t>
      </w:r>
      <w:r w:rsidRPr="00561854">
        <w:rPr>
          <w:rFonts w:cs="Calibri"/>
          <w:sz w:val="24"/>
        </w:rPr>
        <w:t>oalition governm</w:t>
      </w:r>
      <w:r w:rsidRPr="00E415E2">
        <w:rPr>
          <w:rFonts w:cs="Calibri"/>
          <w:sz w:val="24"/>
        </w:rPr>
        <w:t xml:space="preserve">ent moved away from CVA to a more straightforward </w:t>
      </w:r>
      <w:r>
        <w:rPr>
          <w:rFonts w:cs="Calibri"/>
          <w:sz w:val="24"/>
        </w:rPr>
        <w:t>V</w:t>
      </w:r>
      <w:r w:rsidRPr="00E415E2">
        <w:rPr>
          <w:rFonts w:cs="Calibri"/>
          <w:sz w:val="24"/>
        </w:rPr>
        <w:t xml:space="preserve">alue </w:t>
      </w:r>
      <w:r>
        <w:rPr>
          <w:rFonts w:cs="Calibri"/>
          <w:sz w:val="24"/>
        </w:rPr>
        <w:t>A</w:t>
      </w:r>
      <w:r w:rsidRPr="00E415E2">
        <w:rPr>
          <w:rFonts w:cs="Calibri"/>
          <w:sz w:val="24"/>
        </w:rPr>
        <w:t>dded (VA)</w:t>
      </w:r>
      <w:r w:rsidR="00875ED8">
        <w:rPr>
          <w:rFonts w:cs="Calibri"/>
          <w:sz w:val="24"/>
        </w:rPr>
        <w:t xml:space="preserve"> measure,</w:t>
      </w:r>
      <w:r w:rsidRPr="00E415E2">
        <w:rPr>
          <w:rFonts w:cs="Calibri"/>
          <w:sz w:val="24"/>
        </w:rPr>
        <w:t xml:space="preserve"> which only takes into account </w:t>
      </w:r>
      <w:r>
        <w:rPr>
          <w:rFonts w:cs="Calibri"/>
          <w:sz w:val="24"/>
        </w:rPr>
        <w:t>outcome data</w:t>
      </w:r>
      <w:r w:rsidRPr="00E415E2">
        <w:rPr>
          <w:rFonts w:cs="Calibri"/>
          <w:sz w:val="24"/>
        </w:rPr>
        <w:t xml:space="preserve"> with no external factors included in the calculations</w:t>
      </w:r>
      <w:r>
        <w:rPr>
          <w:rStyle w:val="FootnoteReference"/>
          <w:rFonts w:cs="Calibri"/>
          <w:sz w:val="24"/>
        </w:rPr>
        <w:footnoteReference w:id="32"/>
      </w:r>
      <w:r w:rsidRPr="00E415E2">
        <w:rPr>
          <w:rFonts w:cs="Calibri"/>
          <w:sz w:val="24"/>
        </w:rPr>
        <w:t xml:space="preserve">. The </w:t>
      </w:r>
      <w:r>
        <w:rPr>
          <w:rFonts w:cs="Calibri"/>
          <w:sz w:val="24"/>
        </w:rPr>
        <w:t>government</w:t>
      </w:r>
      <w:r w:rsidRPr="00E415E2">
        <w:rPr>
          <w:rFonts w:cs="Calibri"/>
          <w:sz w:val="24"/>
        </w:rPr>
        <w:t xml:space="preserve"> argued that CVA was being used as an excuse for underperform</w:t>
      </w:r>
      <w:r w:rsidR="000B0938">
        <w:rPr>
          <w:rFonts w:cs="Calibri"/>
          <w:sz w:val="24"/>
        </w:rPr>
        <w:t>ance by groups such as disadvantaged</w:t>
      </w:r>
      <w:r w:rsidRPr="00E415E2">
        <w:rPr>
          <w:rFonts w:cs="Calibri"/>
          <w:sz w:val="24"/>
        </w:rPr>
        <w:t xml:space="preserve"> and ethnic minorit</w:t>
      </w:r>
      <w:r>
        <w:rPr>
          <w:rFonts w:cs="Calibri"/>
          <w:sz w:val="24"/>
        </w:rPr>
        <w:t>y students</w:t>
      </w:r>
      <w:r w:rsidR="00875ED8">
        <w:rPr>
          <w:rFonts w:cs="Calibri"/>
          <w:sz w:val="24"/>
        </w:rPr>
        <w:t>;</w:t>
      </w:r>
      <w:r w:rsidRPr="00E415E2">
        <w:rPr>
          <w:rFonts w:cs="Calibri"/>
          <w:sz w:val="24"/>
        </w:rPr>
        <w:t xml:space="preserve"> while </w:t>
      </w:r>
      <w:r w:rsidR="00875ED8">
        <w:rPr>
          <w:rFonts w:cs="Calibri"/>
          <w:sz w:val="24"/>
        </w:rPr>
        <w:t xml:space="preserve">accepting that </w:t>
      </w:r>
      <w:r w:rsidRPr="00E415E2">
        <w:rPr>
          <w:rFonts w:cs="Calibri"/>
          <w:sz w:val="24"/>
        </w:rPr>
        <w:t xml:space="preserve">external factors </w:t>
      </w:r>
      <w:r>
        <w:rPr>
          <w:rFonts w:cs="Calibri"/>
          <w:sz w:val="24"/>
        </w:rPr>
        <w:t xml:space="preserve">do </w:t>
      </w:r>
      <w:r w:rsidRPr="00E415E2">
        <w:rPr>
          <w:rFonts w:cs="Calibri"/>
          <w:sz w:val="24"/>
        </w:rPr>
        <w:t xml:space="preserve">have an impact on performance, good schools should be encouraged to overcome these </w:t>
      </w:r>
      <w:r w:rsidR="00875ED8">
        <w:rPr>
          <w:rFonts w:cs="Calibri"/>
          <w:sz w:val="24"/>
        </w:rPr>
        <w:t>rather than</w:t>
      </w:r>
      <w:r w:rsidRPr="00E415E2">
        <w:rPr>
          <w:rFonts w:cs="Calibri"/>
          <w:sz w:val="24"/>
        </w:rPr>
        <w:t xml:space="preserve"> accept them. The DfE </w:t>
      </w:r>
      <w:r w:rsidRPr="00E415E2">
        <w:rPr>
          <w:rFonts w:cs="Calibri"/>
          <w:i/>
          <w:sz w:val="24"/>
        </w:rPr>
        <w:t xml:space="preserve">Equalities </w:t>
      </w:r>
      <w:r w:rsidR="001E4D2E">
        <w:rPr>
          <w:rFonts w:cs="Calibri"/>
          <w:i/>
          <w:sz w:val="24"/>
        </w:rPr>
        <w:t>I</w:t>
      </w:r>
      <w:r w:rsidRPr="00E415E2">
        <w:rPr>
          <w:rFonts w:cs="Calibri"/>
          <w:i/>
          <w:sz w:val="24"/>
        </w:rPr>
        <w:t>mpact assessment</w:t>
      </w:r>
      <w:r w:rsidRPr="00E415E2">
        <w:rPr>
          <w:rFonts w:cs="Calibri"/>
          <w:sz w:val="24"/>
        </w:rPr>
        <w:t xml:space="preserve"> (2010c) states that: “it is morally wrong to have an attainment measure which entrenches low aspiration for children because of their background” (p.13). While it is difficult to argue with this statement, children enter schools with a range of external issues </w:t>
      </w:r>
      <w:r>
        <w:rPr>
          <w:rFonts w:cs="Calibri"/>
          <w:sz w:val="24"/>
        </w:rPr>
        <w:t>such as SEND or difficult home circumstances</w:t>
      </w:r>
      <w:r w:rsidR="002C7B36">
        <w:rPr>
          <w:rFonts w:cs="Calibri"/>
          <w:sz w:val="24"/>
        </w:rPr>
        <w:t>,</w:t>
      </w:r>
      <w:r>
        <w:rPr>
          <w:rFonts w:cs="Calibri"/>
          <w:sz w:val="24"/>
        </w:rPr>
        <w:t xml:space="preserve"> </w:t>
      </w:r>
      <w:r w:rsidRPr="00E415E2">
        <w:rPr>
          <w:rFonts w:cs="Calibri"/>
          <w:sz w:val="24"/>
        </w:rPr>
        <w:t>which do have a bearing on their progress</w:t>
      </w:r>
      <w:r w:rsidR="002C7B36">
        <w:rPr>
          <w:rFonts w:cs="Calibri"/>
          <w:sz w:val="24"/>
        </w:rPr>
        <w:t>.</w:t>
      </w:r>
      <w:r w:rsidRPr="00E415E2">
        <w:rPr>
          <w:rFonts w:cs="Calibri"/>
          <w:sz w:val="24"/>
        </w:rPr>
        <w:t xml:space="preserve"> </w:t>
      </w:r>
      <w:r w:rsidR="002C7B36">
        <w:rPr>
          <w:rFonts w:cs="Calibri"/>
          <w:sz w:val="24"/>
        </w:rPr>
        <w:t>I</w:t>
      </w:r>
      <w:r w:rsidRPr="00E415E2">
        <w:rPr>
          <w:rFonts w:cs="Calibri"/>
          <w:sz w:val="24"/>
        </w:rPr>
        <w:t xml:space="preserve">t is </w:t>
      </w:r>
      <w:r w:rsidR="002C7B36">
        <w:rPr>
          <w:rFonts w:cs="Calibri"/>
          <w:sz w:val="24"/>
        </w:rPr>
        <w:t>unfair</w:t>
      </w:r>
      <w:r w:rsidRPr="00E415E2">
        <w:rPr>
          <w:rFonts w:cs="Calibri"/>
          <w:sz w:val="24"/>
        </w:rPr>
        <w:t xml:space="preserve"> to label a school as </w:t>
      </w:r>
      <w:r>
        <w:rPr>
          <w:rFonts w:cs="Calibri"/>
          <w:sz w:val="24"/>
        </w:rPr>
        <w:t>‘</w:t>
      </w:r>
      <w:r w:rsidRPr="00E415E2">
        <w:rPr>
          <w:rFonts w:cs="Calibri"/>
          <w:sz w:val="24"/>
        </w:rPr>
        <w:t>failing</w:t>
      </w:r>
      <w:r>
        <w:rPr>
          <w:rFonts w:cs="Calibri"/>
          <w:sz w:val="24"/>
        </w:rPr>
        <w:t>’</w:t>
      </w:r>
      <w:r w:rsidRPr="00E415E2">
        <w:rPr>
          <w:rFonts w:cs="Calibri"/>
          <w:sz w:val="24"/>
        </w:rPr>
        <w:t xml:space="preserve"> if they are unable to address all of these structural issues within the short time a child is at school</w:t>
      </w:r>
      <w:r w:rsidR="000B0938">
        <w:rPr>
          <w:rFonts w:cs="Calibri"/>
          <w:sz w:val="24"/>
        </w:rPr>
        <w:t xml:space="preserve"> (Ball et al</w:t>
      </w:r>
      <w:r w:rsidR="002C7B36">
        <w:rPr>
          <w:rFonts w:cs="Calibri"/>
          <w:sz w:val="24"/>
        </w:rPr>
        <w:t>.,</w:t>
      </w:r>
      <w:r w:rsidR="000B0938">
        <w:rPr>
          <w:rFonts w:cs="Calibri"/>
          <w:sz w:val="24"/>
        </w:rPr>
        <w:t xml:space="preserve"> 2012</w:t>
      </w:r>
      <w:r>
        <w:rPr>
          <w:rFonts w:cs="Calibri"/>
          <w:sz w:val="24"/>
        </w:rPr>
        <w:t xml:space="preserve">). </w:t>
      </w:r>
    </w:p>
    <w:p w14:paraId="3CA941A8" w14:textId="77777777" w:rsidR="002C7B36" w:rsidRPr="00E415E2" w:rsidRDefault="002C7B36" w:rsidP="008E308E">
      <w:pPr>
        <w:spacing w:after="0" w:line="360" w:lineRule="auto"/>
        <w:rPr>
          <w:rFonts w:cs="Calibri"/>
          <w:sz w:val="24"/>
        </w:rPr>
      </w:pPr>
    </w:p>
    <w:p w14:paraId="368F50A2" w14:textId="5FD59E29" w:rsidR="009A146C" w:rsidRDefault="000B0938" w:rsidP="00A75A8F">
      <w:pPr>
        <w:tabs>
          <w:tab w:val="left" w:pos="8505"/>
        </w:tabs>
        <w:spacing w:line="360" w:lineRule="auto"/>
        <w:rPr>
          <w:rFonts w:cs="Calibri"/>
          <w:sz w:val="24"/>
        </w:rPr>
      </w:pPr>
      <w:r>
        <w:rPr>
          <w:rFonts w:cs="Calibri"/>
          <w:sz w:val="24"/>
        </w:rPr>
        <w:t>The speed of</w:t>
      </w:r>
      <w:r w:rsidR="00A75A8F" w:rsidRPr="00E415E2">
        <w:rPr>
          <w:rFonts w:cs="Calibri"/>
          <w:sz w:val="24"/>
        </w:rPr>
        <w:t xml:space="preserve"> introduction of the EBac and the retrospective nature of the first performance tables </w:t>
      </w:r>
      <w:r w:rsidR="00A75A8F">
        <w:rPr>
          <w:rFonts w:cs="Calibri"/>
          <w:sz w:val="24"/>
        </w:rPr>
        <w:t>led</w:t>
      </w:r>
      <w:r w:rsidR="00A75A8F" w:rsidRPr="00E415E2">
        <w:rPr>
          <w:rFonts w:cs="Calibri"/>
          <w:sz w:val="24"/>
        </w:rPr>
        <w:t xml:space="preserve"> to a </w:t>
      </w:r>
      <w:r w:rsidR="002C7B36">
        <w:rPr>
          <w:rFonts w:cs="Calibri"/>
          <w:sz w:val="24"/>
        </w:rPr>
        <w:t>c</w:t>
      </w:r>
      <w:r w:rsidR="00A75A8F">
        <w:rPr>
          <w:rFonts w:cs="Calibri"/>
          <w:sz w:val="24"/>
        </w:rPr>
        <w:t>ross-party S</w:t>
      </w:r>
      <w:r w:rsidR="00A75A8F" w:rsidRPr="00E415E2">
        <w:rPr>
          <w:rFonts w:cs="Calibri"/>
          <w:sz w:val="24"/>
        </w:rPr>
        <w:t xml:space="preserve">elect </w:t>
      </w:r>
      <w:r w:rsidR="00A75A8F">
        <w:rPr>
          <w:rFonts w:cs="Calibri"/>
          <w:sz w:val="24"/>
        </w:rPr>
        <w:t>C</w:t>
      </w:r>
      <w:r w:rsidR="00A75A8F" w:rsidRPr="00E415E2">
        <w:rPr>
          <w:rFonts w:cs="Calibri"/>
          <w:sz w:val="24"/>
        </w:rPr>
        <w:t xml:space="preserve">ommittee </w:t>
      </w:r>
      <w:r w:rsidR="00A75A8F">
        <w:rPr>
          <w:rFonts w:cs="Calibri"/>
          <w:sz w:val="24"/>
        </w:rPr>
        <w:t>R</w:t>
      </w:r>
      <w:r w:rsidR="00A75A8F" w:rsidRPr="00E415E2">
        <w:rPr>
          <w:rFonts w:cs="Calibri"/>
          <w:sz w:val="24"/>
        </w:rPr>
        <w:t xml:space="preserve">eport in </w:t>
      </w:r>
      <w:r w:rsidR="00A75A8F">
        <w:rPr>
          <w:rFonts w:cs="Calibri"/>
          <w:sz w:val="24"/>
        </w:rPr>
        <w:t xml:space="preserve">July </w:t>
      </w:r>
      <w:r w:rsidR="00A75A8F" w:rsidRPr="00E415E2">
        <w:rPr>
          <w:rFonts w:cs="Calibri"/>
          <w:sz w:val="24"/>
        </w:rPr>
        <w:t>2011 which considered 640 submissions. The report cited three government reasons for the introduction of the EBac: to narrow the at</w:t>
      </w:r>
      <w:r w:rsidR="005901E6">
        <w:rPr>
          <w:rFonts w:cs="Calibri"/>
          <w:sz w:val="24"/>
        </w:rPr>
        <w:t>tainment gap between children from different income backgrounds; to give access to an</w:t>
      </w:r>
      <w:r w:rsidR="00A75A8F" w:rsidRPr="00E415E2">
        <w:rPr>
          <w:rFonts w:cs="Calibri"/>
          <w:sz w:val="24"/>
        </w:rPr>
        <w:t xml:space="preserve"> academic curriculum whi</w:t>
      </w:r>
      <w:r w:rsidR="005901E6">
        <w:rPr>
          <w:rFonts w:cs="Calibri"/>
          <w:sz w:val="24"/>
        </w:rPr>
        <w:t xml:space="preserve">lst </w:t>
      </w:r>
      <w:r w:rsidR="00C73859">
        <w:rPr>
          <w:rFonts w:cs="Calibri"/>
          <w:sz w:val="24"/>
        </w:rPr>
        <w:t>increasing the uptake of target</w:t>
      </w:r>
      <w:r w:rsidR="005901E6">
        <w:rPr>
          <w:rFonts w:cs="Calibri"/>
          <w:sz w:val="24"/>
        </w:rPr>
        <w:t>ed</w:t>
      </w:r>
      <w:r w:rsidR="00A75A8F" w:rsidRPr="00E415E2">
        <w:rPr>
          <w:rFonts w:cs="Calibri"/>
          <w:sz w:val="24"/>
        </w:rPr>
        <w:t xml:space="preserve"> subjects</w:t>
      </w:r>
      <w:r w:rsidR="005901E6">
        <w:rPr>
          <w:rFonts w:cs="Calibri"/>
          <w:sz w:val="24"/>
        </w:rPr>
        <w:t>;</w:t>
      </w:r>
      <w:r w:rsidR="00A75A8F" w:rsidRPr="00E415E2">
        <w:rPr>
          <w:rFonts w:cs="Calibri"/>
          <w:sz w:val="24"/>
        </w:rPr>
        <w:t xml:space="preserve"> and to ensure greater school accountability. </w:t>
      </w:r>
      <w:r w:rsidR="00A75A8F">
        <w:rPr>
          <w:rFonts w:cs="Calibri"/>
          <w:sz w:val="24"/>
        </w:rPr>
        <w:t>T</w:t>
      </w:r>
      <w:r w:rsidR="00A75A8F" w:rsidRPr="00E415E2">
        <w:rPr>
          <w:rFonts w:cs="Calibri"/>
          <w:sz w:val="24"/>
        </w:rPr>
        <w:t xml:space="preserve">he committee expressed concern over </w:t>
      </w:r>
      <w:r w:rsidR="00A75A8F">
        <w:rPr>
          <w:rFonts w:cs="Calibri"/>
          <w:sz w:val="24"/>
        </w:rPr>
        <w:t>eight</w:t>
      </w:r>
      <w:r w:rsidR="00A75A8F" w:rsidRPr="00E415E2">
        <w:rPr>
          <w:rFonts w:cs="Calibri"/>
          <w:sz w:val="24"/>
        </w:rPr>
        <w:t xml:space="preserve"> main areas</w:t>
      </w:r>
      <w:r w:rsidR="00A75A8F">
        <w:rPr>
          <w:rFonts w:cs="Calibri"/>
          <w:sz w:val="24"/>
        </w:rPr>
        <w:t xml:space="preserve"> (see table below). </w:t>
      </w:r>
      <w:r w:rsidR="00A75A8F" w:rsidRPr="00E415E2">
        <w:rPr>
          <w:rFonts w:cs="Calibri"/>
          <w:sz w:val="24"/>
        </w:rPr>
        <w:t xml:space="preserve">Though these concerns were expressed early in the life of the EBac, no changes </w:t>
      </w:r>
      <w:r w:rsidR="00A75A8F">
        <w:rPr>
          <w:rFonts w:cs="Calibri"/>
          <w:sz w:val="24"/>
        </w:rPr>
        <w:t>were made to the policy.</w:t>
      </w:r>
      <w:r w:rsidR="00A75A8F" w:rsidRPr="00E415E2">
        <w:rPr>
          <w:rFonts w:cs="Calibri"/>
          <w:sz w:val="24"/>
        </w:rPr>
        <w:t xml:space="preserve"> </w:t>
      </w:r>
      <w:r w:rsidR="00A75A8F">
        <w:rPr>
          <w:rFonts w:cs="Calibri"/>
          <w:sz w:val="24"/>
        </w:rPr>
        <w:t xml:space="preserve">In November, 2011 the government responded to the concerns raised and rebutted or justified their position on each point (see table below). </w:t>
      </w:r>
    </w:p>
    <w:p w14:paraId="50BA6934" w14:textId="18A3D987" w:rsidR="00A75A8F" w:rsidRPr="00531995" w:rsidRDefault="005D4630" w:rsidP="00531995">
      <w:pPr>
        <w:pStyle w:val="Caption"/>
        <w:keepNext/>
        <w:rPr>
          <w:b/>
          <w:color w:val="000000" w:themeColor="text1"/>
          <w:sz w:val="24"/>
          <w:szCs w:val="24"/>
        </w:rPr>
      </w:pPr>
      <w:bookmarkStart w:id="35" w:name="_Toc450170429"/>
      <w:r w:rsidRPr="00531995">
        <w:rPr>
          <w:b/>
          <w:color w:val="000000" w:themeColor="text1"/>
          <w:sz w:val="24"/>
          <w:szCs w:val="24"/>
        </w:rPr>
        <w:t xml:space="preserve">Table </w:t>
      </w:r>
      <w:r w:rsidRPr="00531995">
        <w:rPr>
          <w:b/>
          <w:color w:val="000000" w:themeColor="text1"/>
          <w:sz w:val="24"/>
          <w:szCs w:val="24"/>
        </w:rPr>
        <w:fldChar w:fldCharType="begin"/>
      </w:r>
      <w:r w:rsidRPr="00531995">
        <w:rPr>
          <w:b/>
          <w:color w:val="000000" w:themeColor="text1"/>
          <w:sz w:val="24"/>
          <w:szCs w:val="24"/>
        </w:rPr>
        <w:instrText xml:space="preserve"> SEQ Table \* ARABIC </w:instrText>
      </w:r>
      <w:r w:rsidRPr="00531995">
        <w:rPr>
          <w:b/>
          <w:color w:val="000000" w:themeColor="text1"/>
          <w:sz w:val="24"/>
          <w:szCs w:val="24"/>
        </w:rPr>
        <w:fldChar w:fldCharType="separate"/>
      </w:r>
      <w:r w:rsidR="00ED3AF0">
        <w:rPr>
          <w:b/>
          <w:noProof/>
          <w:color w:val="000000" w:themeColor="text1"/>
          <w:sz w:val="24"/>
          <w:szCs w:val="24"/>
        </w:rPr>
        <w:t>1</w:t>
      </w:r>
      <w:r w:rsidRPr="00531995">
        <w:rPr>
          <w:b/>
          <w:color w:val="000000" w:themeColor="text1"/>
          <w:sz w:val="24"/>
          <w:szCs w:val="24"/>
        </w:rPr>
        <w:fldChar w:fldCharType="end"/>
      </w:r>
      <w:r w:rsidR="001C6830">
        <w:rPr>
          <w:b/>
          <w:color w:val="000000" w:themeColor="text1"/>
          <w:sz w:val="24"/>
          <w:szCs w:val="24"/>
        </w:rPr>
        <w:t xml:space="preserve"> – Government responses to Select Committee concerns</w:t>
      </w:r>
      <w:bookmarkEnd w:id="35"/>
    </w:p>
    <w:tbl>
      <w:tblPr>
        <w:tblStyle w:val="TableGrid"/>
        <w:tblW w:w="0" w:type="auto"/>
        <w:tblLook w:val="04A0" w:firstRow="1" w:lastRow="0" w:firstColumn="1" w:lastColumn="0" w:noHBand="0" w:noVBand="1"/>
      </w:tblPr>
      <w:tblGrid>
        <w:gridCol w:w="447"/>
        <w:gridCol w:w="4197"/>
        <w:gridCol w:w="4362"/>
      </w:tblGrid>
      <w:tr w:rsidR="00A75A8F" w14:paraId="4017DE3E" w14:textId="77777777" w:rsidTr="00CE4761">
        <w:tc>
          <w:tcPr>
            <w:tcW w:w="447" w:type="dxa"/>
          </w:tcPr>
          <w:p w14:paraId="1A62DF29" w14:textId="77777777" w:rsidR="00A75A8F" w:rsidRPr="002610F1" w:rsidRDefault="00A75A8F" w:rsidP="00CE4761">
            <w:pPr>
              <w:tabs>
                <w:tab w:val="left" w:pos="8505"/>
              </w:tabs>
              <w:spacing w:line="360" w:lineRule="auto"/>
              <w:rPr>
                <w:rFonts w:cs="Calibri"/>
                <w:sz w:val="24"/>
              </w:rPr>
            </w:pPr>
          </w:p>
        </w:tc>
        <w:tc>
          <w:tcPr>
            <w:tcW w:w="4197" w:type="dxa"/>
          </w:tcPr>
          <w:p w14:paraId="5E17F79E" w14:textId="60DCBC19" w:rsidR="00A75A8F" w:rsidRPr="000C5EA4" w:rsidRDefault="00A75A8F" w:rsidP="00CE4761">
            <w:pPr>
              <w:tabs>
                <w:tab w:val="left" w:pos="8505"/>
              </w:tabs>
              <w:spacing w:line="360" w:lineRule="auto"/>
              <w:rPr>
                <w:rFonts w:cs="Calibri"/>
                <w:b/>
                <w:sz w:val="24"/>
              </w:rPr>
            </w:pPr>
            <w:r w:rsidRPr="000C5EA4">
              <w:rPr>
                <w:rFonts w:cs="Calibri"/>
                <w:b/>
                <w:sz w:val="24"/>
              </w:rPr>
              <w:t xml:space="preserve">Select </w:t>
            </w:r>
            <w:r w:rsidR="001C6830">
              <w:rPr>
                <w:rFonts w:cs="Calibri"/>
                <w:b/>
                <w:sz w:val="24"/>
              </w:rPr>
              <w:t>C</w:t>
            </w:r>
            <w:r w:rsidRPr="000C5EA4">
              <w:rPr>
                <w:rFonts w:cs="Calibri"/>
                <w:b/>
                <w:sz w:val="24"/>
              </w:rPr>
              <w:t>ommittee concerns</w:t>
            </w:r>
          </w:p>
        </w:tc>
        <w:tc>
          <w:tcPr>
            <w:tcW w:w="4362" w:type="dxa"/>
          </w:tcPr>
          <w:p w14:paraId="58834C6D" w14:textId="77777777" w:rsidR="00A75A8F" w:rsidRPr="000C5EA4" w:rsidRDefault="00A75A8F" w:rsidP="00CE4761">
            <w:pPr>
              <w:tabs>
                <w:tab w:val="left" w:pos="8505"/>
              </w:tabs>
              <w:spacing w:line="360" w:lineRule="auto"/>
              <w:rPr>
                <w:rFonts w:cs="Calibri"/>
                <w:b/>
                <w:sz w:val="24"/>
              </w:rPr>
            </w:pPr>
            <w:r w:rsidRPr="000C5EA4">
              <w:rPr>
                <w:rFonts w:cs="Calibri"/>
                <w:b/>
                <w:sz w:val="24"/>
              </w:rPr>
              <w:t>Government response</w:t>
            </w:r>
          </w:p>
        </w:tc>
      </w:tr>
      <w:tr w:rsidR="00A75A8F" w14:paraId="2C4E9EC1" w14:textId="77777777" w:rsidTr="00CE4761">
        <w:tc>
          <w:tcPr>
            <w:tcW w:w="447" w:type="dxa"/>
          </w:tcPr>
          <w:p w14:paraId="6EB5D8E5" w14:textId="77777777" w:rsidR="00A75A8F" w:rsidRPr="002610F1" w:rsidRDefault="00A75A8F" w:rsidP="00CE4761">
            <w:pPr>
              <w:tabs>
                <w:tab w:val="left" w:pos="8505"/>
              </w:tabs>
              <w:spacing w:line="360" w:lineRule="auto"/>
              <w:rPr>
                <w:rFonts w:cs="Calibri"/>
                <w:sz w:val="24"/>
              </w:rPr>
            </w:pPr>
            <w:r>
              <w:rPr>
                <w:rFonts w:cs="Calibri"/>
                <w:sz w:val="24"/>
              </w:rPr>
              <w:t>1</w:t>
            </w:r>
          </w:p>
        </w:tc>
        <w:tc>
          <w:tcPr>
            <w:tcW w:w="4197" w:type="dxa"/>
          </w:tcPr>
          <w:p w14:paraId="514ECA5E" w14:textId="77777777" w:rsidR="00A75A8F" w:rsidRDefault="00A75A8F" w:rsidP="00CE4761">
            <w:pPr>
              <w:tabs>
                <w:tab w:val="left" w:pos="8505"/>
              </w:tabs>
              <w:spacing w:line="360" w:lineRule="auto"/>
              <w:rPr>
                <w:rFonts w:cs="Calibri"/>
                <w:sz w:val="24"/>
              </w:rPr>
            </w:pPr>
            <w:r>
              <w:rPr>
                <w:rFonts w:cs="Calibri"/>
                <w:sz w:val="24"/>
              </w:rPr>
              <w:t>R</w:t>
            </w:r>
            <w:r w:rsidRPr="00E415E2">
              <w:rPr>
                <w:rFonts w:cs="Calibri"/>
                <w:sz w:val="24"/>
              </w:rPr>
              <w:t>etrospective measure of EBac performance</w:t>
            </w:r>
            <w:r>
              <w:rPr>
                <w:rFonts w:cs="Calibri"/>
                <w:sz w:val="24"/>
              </w:rPr>
              <w:t xml:space="preserve"> </w:t>
            </w:r>
            <w:r w:rsidRPr="00E415E2">
              <w:rPr>
                <w:rFonts w:cs="Calibri"/>
                <w:sz w:val="24"/>
              </w:rPr>
              <w:t>with no consultation</w:t>
            </w:r>
          </w:p>
        </w:tc>
        <w:tc>
          <w:tcPr>
            <w:tcW w:w="4362" w:type="dxa"/>
          </w:tcPr>
          <w:p w14:paraId="56B657AE" w14:textId="025F1DA5" w:rsidR="00A75A8F" w:rsidRDefault="00A75A8F" w:rsidP="00425739">
            <w:pPr>
              <w:tabs>
                <w:tab w:val="left" w:pos="8505"/>
              </w:tabs>
              <w:spacing w:line="360" w:lineRule="auto"/>
              <w:rPr>
                <w:rFonts w:cs="Calibri"/>
                <w:sz w:val="24"/>
              </w:rPr>
            </w:pPr>
            <w:r>
              <w:rPr>
                <w:rFonts w:cs="Calibri"/>
                <w:sz w:val="24"/>
              </w:rPr>
              <w:t>Justified - Agreed to consult on future accountability measure changes</w:t>
            </w:r>
          </w:p>
        </w:tc>
      </w:tr>
      <w:tr w:rsidR="00A75A8F" w14:paraId="7DAD851D" w14:textId="77777777" w:rsidTr="00CE4761">
        <w:tc>
          <w:tcPr>
            <w:tcW w:w="447" w:type="dxa"/>
          </w:tcPr>
          <w:p w14:paraId="5F2D2535" w14:textId="77777777" w:rsidR="00A75A8F" w:rsidRPr="002610F1" w:rsidRDefault="00A75A8F" w:rsidP="00CE4761">
            <w:pPr>
              <w:tabs>
                <w:tab w:val="left" w:pos="8505"/>
              </w:tabs>
              <w:spacing w:line="360" w:lineRule="auto"/>
              <w:rPr>
                <w:rFonts w:cs="Calibri"/>
                <w:sz w:val="24"/>
              </w:rPr>
            </w:pPr>
            <w:r>
              <w:rPr>
                <w:rFonts w:cs="Calibri"/>
                <w:sz w:val="24"/>
              </w:rPr>
              <w:t>2</w:t>
            </w:r>
          </w:p>
        </w:tc>
        <w:tc>
          <w:tcPr>
            <w:tcW w:w="4197" w:type="dxa"/>
          </w:tcPr>
          <w:p w14:paraId="61F94CF3" w14:textId="77777777" w:rsidR="00A75A8F" w:rsidRDefault="00A75A8F" w:rsidP="00CE4761">
            <w:pPr>
              <w:tabs>
                <w:tab w:val="left" w:pos="8505"/>
              </w:tabs>
              <w:spacing w:line="360" w:lineRule="auto"/>
              <w:rPr>
                <w:rFonts w:cs="Calibri"/>
                <w:sz w:val="24"/>
              </w:rPr>
            </w:pPr>
            <w:r>
              <w:rPr>
                <w:rFonts w:cs="Calibri"/>
                <w:sz w:val="24"/>
              </w:rPr>
              <w:t>Launch of EBac before National Curriculum review</w:t>
            </w:r>
          </w:p>
        </w:tc>
        <w:tc>
          <w:tcPr>
            <w:tcW w:w="4362" w:type="dxa"/>
          </w:tcPr>
          <w:p w14:paraId="3409F94B" w14:textId="77777777" w:rsidR="00A75A8F" w:rsidRDefault="00A75A8F" w:rsidP="00CE4761">
            <w:pPr>
              <w:tabs>
                <w:tab w:val="left" w:pos="8505"/>
              </w:tabs>
              <w:spacing w:line="360" w:lineRule="auto"/>
              <w:rPr>
                <w:rFonts w:cs="Calibri"/>
                <w:sz w:val="24"/>
              </w:rPr>
            </w:pPr>
            <w:r>
              <w:rPr>
                <w:rFonts w:cs="Calibri"/>
                <w:sz w:val="24"/>
              </w:rPr>
              <w:t>Rebutted – EBac is not part of or determined by the National Curriculum</w:t>
            </w:r>
          </w:p>
        </w:tc>
      </w:tr>
      <w:tr w:rsidR="00A75A8F" w14:paraId="31F8B33C" w14:textId="77777777" w:rsidTr="00CE4761">
        <w:tc>
          <w:tcPr>
            <w:tcW w:w="447" w:type="dxa"/>
          </w:tcPr>
          <w:p w14:paraId="04D8A5B2" w14:textId="77777777" w:rsidR="00A75A8F" w:rsidRPr="002610F1" w:rsidRDefault="00A75A8F" w:rsidP="00CE4761">
            <w:pPr>
              <w:tabs>
                <w:tab w:val="left" w:pos="8505"/>
              </w:tabs>
              <w:spacing w:line="360" w:lineRule="auto"/>
              <w:rPr>
                <w:rFonts w:cs="Calibri"/>
                <w:sz w:val="24"/>
              </w:rPr>
            </w:pPr>
            <w:r>
              <w:rPr>
                <w:rFonts w:cs="Calibri"/>
                <w:sz w:val="24"/>
              </w:rPr>
              <w:t>3</w:t>
            </w:r>
          </w:p>
        </w:tc>
        <w:tc>
          <w:tcPr>
            <w:tcW w:w="4197" w:type="dxa"/>
          </w:tcPr>
          <w:p w14:paraId="06595065" w14:textId="4AA047E5" w:rsidR="00A75A8F" w:rsidRDefault="00A75A8F" w:rsidP="00CE4761">
            <w:pPr>
              <w:tabs>
                <w:tab w:val="left" w:pos="8505"/>
              </w:tabs>
              <w:spacing w:line="360" w:lineRule="auto"/>
              <w:rPr>
                <w:rFonts w:cs="Calibri"/>
                <w:sz w:val="24"/>
              </w:rPr>
            </w:pPr>
            <w:r>
              <w:rPr>
                <w:rFonts w:cs="Calibri"/>
                <w:sz w:val="24"/>
              </w:rPr>
              <w:t>Inappropriate u</w:t>
            </w:r>
            <w:r w:rsidRPr="00E415E2">
              <w:rPr>
                <w:rFonts w:cs="Calibri"/>
                <w:sz w:val="24"/>
              </w:rPr>
              <w:t xml:space="preserve">se of the term </w:t>
            </w:r>
            <w:r w:rsidR="005821C2">
              <w:rPr>
                <w:rFonts w:cs="Calibri"/>
                <w:sz w:val="24"/>
              </w:rPr>
              <w:t>‘</w:t>
            </w:r>
            <w:r w:rsidRPr="00E415E2">
              <w:rPr>
                <w:rFonts w:cs="Calibri"/>
                <w:sz w:val="24"/>
              </w:rPr>
              <w:t>Baccalaureate</w:t>
            </w:r>
            <w:r w:rsidR="005821C2">
              <w:rPr>
                <w:rFonts w:cs="Calibri"/>
                <w:sz w:val="24"/>
              </w:rPr>
              <w:t>’</w:t>
            </w:r>
            <w:r w:rsidRPr="00E415E2">
              <w:rPr>
                <w:rFonts w:cs="Calibri"/>
                <w:sz w:val="24"/>
              </w:rPr>
              <w:t xml:space="preserve"> </w:t>
            </w:r>
          </w:p>
        </w:tc>
        <w:tc>
          <w:tcPr>
            <w:tcW w:w="4362" w:type="dxa"/>
          </w:tcPr>
          <w:p w14:paraId="2B6DE50B" w14:textId="77777777" w:rsidR="00A75A8F" w:rsidRDefault="00A75A8F" w:rsidP="00CE4761">
            <w:pPr>
              <w:tabs>
                <w:tab w:val="left" w:pos="8505"/>
              </w:tabs>
              <w:spacing w:line="360" w:lineRule="auto"/>
              <w:rPr>
                <w:rFonts w:cs="Calibri"/>
                <w:sz w:val="24"/>
              </w:rPr>
            </w:pPr>
            <w:r>
              <w:rPr>
                <w:rFonts w:cs="Calibri"/>
                <w:sz w:val="24"/>
              </w:rPr>
              <w:t xml:space="preserve">Rebutted -  concept of EBac is understood by parents </w:t>
            </w:r>
          </w:p>
        </w:tc>
      </w:tr>
      <w:tr w:rsidR="00A75A8F" w14:paraId="655DB337" w14:textId="77777777" w:rsidTr="00CE4761">
        <w:tc>
          <w:tcPr>
            <w:tcW w:w="447" w:type="dxa"/>
          </w:tcPr>
          <w:p w14:paraId="2D00CF47" w14:textId="77777777" w:rsidR="00A75A8F" w:rsidRPr="002610F1" w:rsidRDefault="00A75A8F" w:rsidP="00CE4761">
            <w:pPr>
              <w:tabs>
                <w:tab w:val="left" w:pos="8505"/>
              </w:tabs>
              <w:spacing w:line="360" w:lineRule="auto"/>
              <w:rPr>
                <w:rFonts w:cs="Calibri"/>
                <w:sz w:val="24"/>
              </w:rPr>
            </w:pPr>
            <w:r>
              <w:rPr>
                <w:rFonts w:cs="Calibri"/>
                <w:sz w:val="24"/>
              </w:rPr>
              <w:t>4</w:t>
            </w:r>
          </w:p>
        </w:tc>
        <w:tc>
          <w:tcPr>
            <w:tcW w:w="4197" w:type="dxa"/>
          </w:tcPr>
          <w:p w14:paraId="131C9F67" w14:textId="77777777" w:rsidR="00A75A8F" w:rsidRDefault="00A75A8F" w:rsidP="00CE4761">
            <w:pPr>
              <w:tabs>
                <w:tab w:val="left" w:pos="8505"/>
              </w:tabs>
              <w:spacing w:line="360" w:lineRule="auto"/>
              <w:rPr>
                <w:rFonts w:cs="Calibri"/>
                <w:sz w:val="24"/>
              </w:rPr>
            </w:pPr>
            <w:r>
              <w:rPr>
                <w:rFonts w:cs="Calibri"/>
                <w:sz w:val="24"/>
              </w:rPr>
              <w:t>Equality of opportunity for all with improved attainment of FSM students</w:t>
            </w:r>
          </w:p>
        </w:tc>
        <w:tc>
          <w:tcPr>
            <w:tcW w:w="4362" w:type="dxa"/>
          </w:tcPr>
          <w:p w14:paraId="4C1BE645" w14:textId="77777777" w:rsidR="00A75A8F" w:rsidRDefault="00A75A8F" w:rsidP="00CE4761">
            <w:pPr>
              <w:tabs>
                <w:tab w:val="left" w:pos="8505"/>
              </w:tabs>
              <w:spacing w:line="360" w:lineRule="auto"/>
              <w:rPr>
                <w:rFonts w:cs="Calibri"/>
                <w:sz w:val="24"/>
              </w:rPr>
            </w:pPr>
            <w:r>
              <w:rPr>
                <w:rFonts w:cs="Calibri"/>
                <w:sz w:val="24"/>
              </w:rPr>
              <w:t>Justified - EBac one measure of FSM progress. No expectation that all students take the EBac</w:t>
            </w:r>
          </w:p>
        </w:tc>
      </w:tr>
      <w:tr w:rsidR="00A75A8F" w14:paraId="20A9448B" w14:textId="77777777" w:rsidTr="00CE4761">
        <w:tc>
          <w:tcPr>
            <w:tcW w:w="447" w:type="dxa"/>
          </w:tcPr>
          <w:p w14:paraId="56B13020" w14:textId="77777777" w:rsidR="00A75A8F" w:rsidRPr="002610F1" w:rsidRDefault="00A75A8F" w:rsidP="00CE4761">
            <w:pPr>
              <w:tabs>
                <w:tab w:val="left" w:pos="8505"/>
              </w:tabs>
              <w:spacing w:line="360" w:lineRule="auto"/>
              <w:rPr>
                <w:rFonts w:cs="Calibri"/>
                <w:sz w:val="24"/>
              </w:rPr>
            </w:pPr>
            <w:r w:rsidRPr="002610F1">
              <w:rPr>
                <w:rFonts w:cs="Calibri"/>
                <w:sz w:val="24"/>
              </w:rPr>
              <w:t>5</w:t>
            </w:r>
          </w:p>
        </w:tc>
        <w:tc>
          <w:tcPr>
            <w:tcW w:w="4197" w:type="dxa"/>
          </w:tcPr>
          <w:p w14:paraId="66903216" w14:textId="77777777" w:rsidR="00A75A8F" w:rsidRDefault="00A75A8F" w:rsidP="00CE4761">
            <w:pPr>
              <w:tabs>
                <w:tab w:val="left" w:pos="8505"/>
              </w:tabs>
              <w:spacing w:line="360" w:lineRule="auto"/>
              <w:rPr>
                <w:rFonts w:cs="Calibri"/>
                <w:sz w:val="24"/>
              </w:rPr>
            </w:pPr>
            <w:r>
              <w:rPr>
                <w:rFonts w:cs="Calibri"/>
                <w:sz w:val="24"/>
              </w:rPr>
              <w:t>S</w:t>
            </w:r>
            <w:r w:rsidRPr="00E415E2">
              <w:rPr>
                <w:rFonts w:cs="Calibri"/>
                <w:sz w:val="24"/>
              </w:rPr>
              <w:t>ubjects excluded from the EBac</w:t>
            </w:r>
          </w:p>
        </w:tc>
        <w:tc>
          <w:tcPr>
            <w:tcW w:w="4362" w:type="dxa"/>
          </w:tcPr>
          <w:p w14:paraId="44DE5680" w14:textId="77777777" w:rsidR="00A75A8F" w:rsidRDefault="00A75A8F" w:rsidP="00CE4761">
            <w:pPr>
              <w:tabs>
                <w:tab w:val="left" w:pos="8505"/>
              </w:tabs>
              <w:spacing w:line="360" w:lineRule="auto"/>
              <w:rPr>
                <w:rFonts w:cs="Calibri"/>
                <w:sz w:val="24"/>
              </w:rPr>
            </w:pPr>
            <w:r>
              <w:rPr>
                <w:rFonts w:cs="Calibri"/>
                <w:sz w:val="24"/>
              </w:rPr>
              <w:t>Rebutted – EBac focus on key academic subjects. Students remain able to take other subjects alongside</w:t>
            </w:r>
          </w:p>
        </w:tc>
      </w:tr>
      <w:tr w:rsidR="00A75A8F" w14:paraId="651F8BDE" w14:textId="77777777" w:rsidTr="00CE4761">
        <w:tc>
          <w:tcPr>
            <w:tcW w:w="447" w:type="dxa"/>
          </w:tcPr>
          <w:p w14:paraId="18B74C62" w14:textId="77777777" w:rsidR="00A75A8F" w:rsidRPr="002610F1" w:rsidRDefault="00A75A8F" w:rsidP="00CE4761">
            <w:pPr>
              <w:tabs>
                <w:tab w:val="left" w:pos="8505"/>
              </w:tabs>
              <w:spacing w:line="360" w:lineRule="auto"/>
              <w:rPr>
                <w:rFonts w:cs="Calibri"/>
                <w:sz w:val="24"/>
              </w:rPr>
            </w:pPr>
            <w:r w:rsidRPr="002610F1">
              <w:rPr>
                <w:rFonts w:cs="Calibri"/>
                <w:sz w:val="24"/>
              </w:rPr>
              <w:t>6</w:t>
            </w:r>
          </w:p>
        </w:tc>
        <w:tc>
          <w:tcPr>
            <w:tcW w:w="4197" w:type="dxa"/>
          </w:tcPr>
          <w:p w14:paraId="4AFA14CE" w14:textId="77777777" w:rsidR="00A75A8F" w:rsidRDefault="00A75A8F" w:rsidP="00CE4761">
            <w:pPr>
              <w:tabs>
                <w:tab w:val="left" w:pos="8505"/>
              </w:tabs>
              <w:spacing w:line="360" w:lineRule="auto"/>
              <w:rPr>
                <w:rFonts w:cs="Calibri"/>
                <w:sz w:val="24"/>
              </w:rPr>
            </w:pPr>
            <w:r>
              <w:rPr>
                <w:rFonts w:cs="Calibri"/>
                <w:sz w:val="24"/>
              </w:rPr>
              <w:t>International evidence for creation of EBac</w:t>
            </w:r>
          </w:p>
        </w:tc>
        <w:tc>
          <w:tcPr>
            <w:tcW w:w="4362" w:type="dxa"/>
          </w:tcPr>
          <w:p w14:paraId="76FD0E6E" w14:textId="77777777" w:rsidR="00A75A8F" w:rsidRDefault="00A75A8F" w:rsidP="00CE4761">
            <w:pPr>
              <w:tabs>
                <w:tab w:val="left" w:pos="8505"/>
              </w:tabs>
              <w:spacing w:line="360" w:lineRule="auto"/>
              <w:rPr>
                <w:rFonts w:cs="Calibri"/>
                <w:sz w:val="24"/>
              </w:rPr>
            </w:pPr>
            <w:r>
              <w:rPr>
                <w:rFonts w:cs="Calibri"/>
                <w:sz w:val="24"/>
              </w:rPr>
              <w:t>Justified – no international parallel but most high performing countries insist on key academic subjects until aged 16</w:t>
            </w:r>
          </w:p>
        </w:tc>
      </w:tr>
      <w:tr w:rsidR="00A75A8F" w14:paraId="03AF2E33" w14:textId="77777777" w:rsidTr="00CE4761">
        <w:tc>
          <w:tcPr>
            <w:tcW w:w="447" w:type="dxa"/>
          </w:tcPr>
          <w:p w14:paraId="0645B1DF" w14:textId="77777777" w:rsidR="00A75A8F" w:rsidRPr="002610F1" w:rsidRDefault="00A75A8F" w:rsidP="00CE4761">
            <w:pPr>
              <w:tabs>
                <w:tab w:val="left" w:pos="8505"/>
              </w:tabs>
              <w:spacing w:line="360" w:lineRule="auto"/>
              <w:rPr>
                <w:rFonts w:cs="Calibri"/>
                <w:sz w:val="24"/>
              </w:rPr>
            </w:pPr>
            <w:r>
              <w:rPr>
                <w:rFonts w:cs="Calibri"/>
                <w:sz w:val="24"/>
              </w:rPr>
              <w:lastRenderedPageBreak/>
              <w:t>7</w:t>
            </w:r>
          </w:p>
        </w:tc>
        <w:tc>
          <w:tcPr>
            <w:tcW w:w="4197" w:type="dxa"/>
          </w:tcPr>
          <w:p w14:paraId="3AC572E8" w14:textId="77777777" w:rsidR="00A75A8F" w:rsidRDefault="00A75A8F" w:rsidP="00CE4761">
            <w:pPr>
              <w:tabs>
                <w:tab w:val="left" w:pos="8505"/>
              </w:tabs>
              <w:spacing w:line="360" w:lineRule="auto"/>
              <w:rPr>
                <w:rFonts w:cs="Calibri"/>
                <w:sz w:val="24"/>
              </w:rPr>
            </w:pPr>
            <w:r>
              <w:rPr>
                <w:rFonts w:cs="Calibri"/>
                <w:sz w:val="24"/>
              </w:rPr>
              <w:t>Confusion on status of EBac with regard to Higher Education and Universities</w:t>
            </w:r>
          </w:p>
        </w:tc>
        <w:tc>
          <w:tcPr>
            <w:tcW w:w="4362" w:type="dxa"/>
          </w:tcPr>
          <w:p w14:paraId="43D5FF47" w14:textId="77777777" w:rsidR="00A75A8F" w:rsidRDefault="00A75A8F" w:rsidP="00CE4761">
            <w:pPr>
              <w:tabs>
                <w:tab w:val="left" w:pos="8505"/>
              </w:tabs>
              <w:spacing w:line="360" w:lineRule="auto"/>
              <w:rPr>
                <w:rFonts w:cs="Calibri"/>
                <w:sz w:val="24"/>
              </w:rPr>
            </w:pPr>
            <w:r>
              <w:rPr>
                <w:rFonts w:cs="Calibri"/>
                <w:sz w:val="24"/>
              </w:rPr>
              <w:t xml:space="preserve">Rebutted – EBac is not a qualification </w:t>
            </w:r>
          </w:p>
        </w:tc>
      </w:tr>
      <w:tr w:rsidR="00A75A8F" w14:paraId="5D6D267C" w14:textId="77777777" w:rsidTr="00CE4761">
        <w:tc>
          <w:tcPr>
            <w:tcW w:w="447" w:type="dxa"/>
          </w:tcPr>
          <w:p w14:paraId="728C011D" w14:textId="77777777" w:rsidR="00A75A8F" w:rsidRDefault="00A75A8F" w:rsidP="00CE4761">
            <w:pPr>
              <w:tabs>
                <w:tab w:val="left" w:pos="8505"/>
              </w:tabs>
              <w:spacing w:line="360" w:lineRule="auto"/>
              <w:rPr>
                <w:rFonts w:cs="Calibri"/>
                <w:sz w:val="24"/>
              </w:rPr>
            </w:pPr>
            <w:r>
              <w:rPr>
                <w:rFonts w:cs="Calibri"/>
                <w:sz w:val="24"/>
              </w:rPr>
              <w:t>8</w:t>
            </w:r>
          </w:p>
        </w:tc>
        <w:tc>
          <w:tcPr>
            <w:tcW w:w="4197" w:type="dxa"/>
          </w:tcPr>
          <w:p w14:paraId="0013A449" w14:textId="5E6A08A3" w:rsidR="00A75A8F" w:rsidRDefault="00A75A8F" w:rsidP="00CE4761">
            <w:pPr>
              <w:tabs>
                <w:tab w:val="left" w:pos="8505"/>
              </w:tabs>
              <w:spacing w:line="360" w:lineRule="auto"/>
              <w:rPr>
                <w:rFonts w:cs="Calibri"/>
                <w:sz w:val="24"/>
              </w:rPr>
            </w:pPr>
            <w:r>
              <w:rPr>
                <w:rFonts w:cs="Calibri"/>
                <w:sz w:val="24"/>
              </w:rPr>
              <w:t xml:space="preserve">EBac </w:t>
            </w:r>
            <w:r w:rsidR="005901E6">
              <w:rPr>
                <w:rFonts w:cs="Calibri"/>
                <w:sz w:val="24"/>
              </w:rPr>
              <w:t>as a device to reduce</w:t>
            </w:r>
            <w:r>
              <w:rPr>
                <w:rFonts w:cs="Calibri"/>
                <w:sz w:val="24"/>
              </w:rPr>
              <w:t xml:space="preserve"> ‘perverse incentives’ in existing performance tables</w:t>
            </w:r>
          </w:p>
        </w:tc>
        <w:tc>
          <w:tcPr>
            <w:tcW w:w="4362" w:type="dxa"/>
          </w:tcPr>
          <w:p w14:paraId="0C92239E" w14:textId="77777777" w:rsidR="00A75A8F" w:rsidRDefault="00A75A8F" w:rsidP="00CE4761">
            <w:pPr>
              <w:tabs>
                <w:tab w:val="left" w:pos="8505"/>
              </w:tabs>
              <w:spacing w:line="360" w:lineRule="auto"/>
              <w:rPr>
                <w:rFonts w:cs="Calibri"/>
                <w:sz w:val="24"/>
              </w:rPr>
            </w:pPr>
            <w:r>
              <w:rPr>
                <w:rFonts w:cs="Calibri"/>
                <w:sz w:val="24"/>
              </w:rPr>
              <w:t>Justified – EBac is one performance measure amongst many</w:t>
            </w:r>
          </w:p>
        </w:tc>
      </w:tr>
    </w:tbl>
    <w:p w14:paraId="3F6A527C" w14:textId="77777777" w:rsidR="00A75A8F" w:rsidRDefault="00A75A8F" w:rsidP="00A75A8F">
      <w:pPr>
        <w:tabs>
          <w:tab w:val="left" w:pos="8505"/>
        </w:tabs>
        <w:spacing w:line="360" w:lineRule="auto"/>
        <w:rPr>
          <w:rFonts w:cs="Calibri"/>
          <w:sz w:val="24"/>
        </w:rPr>
      </w:pPr>
    </w:p>
    <w:p w14:paraId="3D8FDD55" w14:textId="3AFD06BE" w:rsidR="00425739" w:rsidRDefault="00425739" w:rsidP="00425739">
      <w:pPr>
        <w:tabs>
          <w:tab w:val="left" w:pos="8505"/>
        </w:tabs>
        <w:spacing w:line="360" w:lineRule="auto"/>
        <w:rPr>
          <w:rFonts w:cs="Calibri"/>
          <w:sz w:val="24"/>
        </w:rPr>
      </w:pPr>
      <w:r>
        <w:rPr>
          <w:rFonts w:cs="Calibri"/>
          <w:sz w:val="24"/>
        </w:rPr>
        <w:t>Six</w:t>
      </w:r>
      <w:r w:rsidRPr="00E415E2">
        <w:rPr>
          <w:rFonts w:cs="Calibri"/>
          <w:sz w:val="24"/>
        </w:rPr>
        <w:t xml:space="preserve"> of the</w:t>
      </w:r>
      <w:r>
        <w:rPr>
          <w:rFonts w:cs="Calibri"/>
          <w:sz w:val="24"/>
        </w:rPr>
        <w:t xml:space="preserve"> eight </w:t>
      </w:r>
      <w:r w:rsidRPr="00E415E2">
        <w:rPr>
          <w:rFonts w:cs="Calibri"/>
          <w:sz w:val="24"/>
        </w:rPr>
        <w:t xml:space="preserve">concerns were reflected in </w:t>
      </w:r>
      <w:r>
        <w:rPr>
          <w:rFonts w:cs="Calibri"/>
          <w:sz w:val="24"/>
        </w:rPr>
        <w:t>my</w:t>
      </w:r>
      <w:r w:rsidRPr="00E415E2">
        <w:rPr>
          <w:rFonts w:cs="Calibri"/>
          <w:sz w:val="24"/>
        </w:rPr>
        <w:t xml:space="preserve"> interviews with school leaders in 2013</w:t>
      </w:r>
      <w:r>
        <w:rPr>
          <w:rFonts w:cs="Calibri"/>
          <w:sz w:val="24"/>
        </w:rPr>
        <w:t xml:space="preserve">. Not mentioned were </w:t>
      </w:r>
      <w:r w:rsidR="0021448B">
        <w:rPr>
          <w:rFonts w:cs="Calibri"/>
          <w:sz w:val="24"/>
        </w:rPr>
        <w:t>the use</w:t>
      </w:r>
      <w:r>
        <w:rPr>
          <w:rFonts w:cs="Calibri"/>
          <w:sz w:val="24"/>
        </w:rPr>
        <w:t xml:space="preserve"> of the term ‘Baccalaureate’</w:t>
      </w:r>
      <w:r w:rsidR="0021448B">
        <w:rPr>
          <w:rFonts w:cs="Calibri"/>
          <w:sz w:val="24"/>
        </w:rPr>
        <w:t xml:space="preserve"> and the International evidence for the creation of the EBac.</w:t>
      </w:r>
    </w:p>
    <w:p w14:paraId="6CEB34D6" w14:textId="14536FF0" w:rsidR="00A75A8F" w:rsidRDefault="00A75A8F" w:rsidP="008E308E">
      <w:pPr>
        <w:tabs>
          <w:tab w:val="left" w:pos="8364"/>
        </w:tabs>
        <w:spacing w:after="0" w:line="360" w:lineRule="auto"/>
        <w:rPr>
          <w:rFonts w:cs="Calibri"/>
          <w:sz w:val="24"/>
        </w:rPr>
      </w:pPr>
      <w:r w:rsidRPr="00E415E2">
        <w:rPr>
          <w:rFonts w:cs="Calibri"/>
          <w:sz w:val="24"/>
        </w:rPr>
        <w:t xml:space="preserve">In contrast to this negative evaluation by the </w:t>
      </w:r>
      <w:r>
        <w:rPr>
          <w:rFonts w:cs="Calibri"/>
          <w:sz w:val="24"/>
        </w:rPr>
        <w:t>S</w:t>
      </w:r>
      <w:r w:rsidRPr="00E415E2">
        <w:rPr>
          <w:rFonts w:cs="Calibri"/>
          <w:sz w:val="24"/>
        </w:rPr>
        <w:t xml:space="preserve">elect </w:t>
      </w:r>
      <w:r>
        <w:rPr>
          <w:rFonts w:cs="Calibri"/>
          <w:sz w:val="24"/>
        </w:rPr>
        <w:t>C</w:t>
      </w:r>
      <w:r w:rsidRPr="00E415E2">
        <w:rPr>
          <w:rFonts w:cs="Calibri"/>
          <w:sz w:val="24"/>
        </w:rPr>
        <w:t>ommittee, the DfE commissioned a report by Ipsos MORI into the effects of the EBac</w:t>
      </w:r>
      <w:r w:rsidR="00F2602D">
        <w:rPr>
          <w:rFonts w:cs="Calibri"/>
          <w:sz w:val="24"/>
        </w:rPr>
        <w:t>, which was</w:t>
      </w:r>
      <w:r w:rsidRPr="00E415E2">
        <w:rPr>
          <w:rFonts w:cs="Calibri"/>
          <w:sz w:val="24"/>
        </w:rPr>
        <w:t xml:space="preserve"> conducted by Greevy et al</w:t>
      </w:r>
      <w:r w:rsidR="005D4630">
        <w:rPr>
          <w:rFonts w:cs="Calibri"/>
          <w:sz w:val="24"/>
        </w:rPr>
        <w:t>.</w:t>
      </w:r>
      <w:r>
        <w:rPr>
          <w:rFonts w:cs="Calibri"/>
          <w:sz w:val="24"/>
        </w:rPr>
        <w:t xml:space="preserve"> (2012)</w:t>
      </w:r>
      <w:r w:rsidRPr="00E415E2">
        <w:rPr>
          <w:rFonts w:cs="Calibri"/>
          <w:sz w:val="24"/>
        </w:rPr>
        <w:t xml:space="preserve"> </w:t>
      </w:r>
      <w:r w:rsidR="00F2602D">
        <w:rPr>
          <w:rFonts w:cs="Calibri"/>
          <w:sz w:val="24"/>
        </w:rPr>
        <w:t>and</w:t>
      </w:r>
      <w:r w:rsidRPr="00E415E2">
        <w:rPr>
          <w:rFonts w:cs="Calibri"/>
          <w:sz w:val="24"/>
        </w:rPr>
        <w:t xml:space="preserve"> had more positive </w:t>
      </w:r>
      <w:r>
        <w:rPr>
          <w:rFonts w:cs="Calibri"/>
          <w:sz w:val="24"/>
        </w:rPr>
        <w:t>conclusions</w:t>
      </w:r>
      <w:r w:rsidRPr="00E415E2">
        <w:rPr>
          <w:rFonts w:cs="Calibri"/>
          <w:sz w:val="24"/>
        </w:rPr>
        <w:t>. This report stated the contradictory finding that little change had taken place in uptake of EB</w:t>
      </w:r>
      <w:r w:rsidR="005A2F2E">
        <w:rPr>
          <w:rFonts w:cs="Calibri"/>
          <w:sz w:val="24"/>
        </w:rPr>
        <w:t xml:space="preserve">ac subjects in 2012, yet 50% </w:t>
      </w:r>
      <w:r w:rsidRPr="00E415E2">
        <w:rPr>
          <w:rFonts w:cs="Calibri"/>
          <w:sz w:val="24"/>
        </w:rPr>
        <w:t xml:space="preserve">of schools had made changes to the curriculum. Some </w:t>
      </w:r>
      <w:r>
        <w:rPr>
          <w:rFonts w:cs="Calibri"/>
          <w:sz w:val="24"/>
        </w:rPr>
        <w:t xml:space="preserve">schools </w:t>
      </w:r>
      <w:r w:rsidRPr="00E415E2">
        <w:rPr>
          <w:rFonts w:cs="Calibri"/>
          <w:sz w:val="24"/>
        </w:rPr>
        <w:t xml:space="preserve">had withdrawn courses and </w:t>
      </w:r>
      <w:r>
        <w:rPr>
          <w:rFonts w:cs="Calibri"/>
          <w:sz w:val="24"/>
        </w:rPr>
        <w:t xml:space="preserve">introduced </w:t>
      </w:r>
      <w:r w:rsidRPr="00E415E2">
        <w:rPr>
          <w:rFonts w:cs="Calibri"/>
          <w:sz w:val="24"/>
        </w:rPr>
        <w:t xml:space="preserve">staffing changes </w:t>
      </w:r>
      <w:r>
        <w:rPr>
          <w:rFonts w:cs="Calibri"/>
          <w:sz w:val="24"/>
        </w:rPr>
        <w:t xml:space="preserve">to increase EBac provision and </w:t>
      </w:r>
      <w:r w:rsidRPr="00E415E2">
        <w:rPr>
          <w:rFonts w:cs="Calibri"/>
          <w:sz w:val="24"/>
        </w:rPr>
        <w:t xml:space="preserve">some schools were targeting the high achievers for the EBac, often making </w:t>
      </w:r>
      <w:r>
        <w:rPr>
          <w:rFonts w:cs="Calibri"/>
          <w:sz w:val="24"/>
        </w:rPr>
        <w:t xml:space="preserve">EBac subject </w:t>
      </w:r>
      <w:r w:rsidRPr="00E415E2">
        <w:rPr>
          <w:rFonts w:cs="Calibri"/>
          <w:sz w:val="24"/>
        </w:rPr>
        <w:t>combination</w:t>
      </w:r>
      <w:r w:rsidR="00F2602D">
        <w:rPr>
          <w:rFonts w:cs="Calibri"/>
          <w:sz w:val="24"/>
        </w:rPr>
        <w:t>s</w:t>
      </w:r>
      <w:r w:rsidRPr="00E415E2">
        <w:rPr>
          <w:rFonts w:cs="Calibri"/>
          <w:sz w:val="24"/>
        </w:rPr>
        <w:t xml:space="preserve"> compulsory for </w:t>
      </w:r>
      <w:r>
        <w:rPr>
          <w:rFonts w:cs="Calibri"/>
          <w:sz w:val="24"/>
        </w:rPr>
        <w:t>specific</w:t>
      </w:r>
      <w:r w:rsidRPr="00E415E2">
        <w:rPr>
          <w:rFonts w:cs="Calibri"/>
          <w:sz w:val="24"/>
        </w:rPr>
        <w:t xml:space="preserve"> students. The report also found confusion over the immediate and future value of the EBac. These findings were reflected in the </w:t>
      </w:r>
      <w:r w:rsidRPr="000C5EA4">
        <w:rPr>
          <w:rFonts w:cs="Calibri"/>
          <w:i/>
          <w:sz w:val="24"/>
        </w:rPr>
        <w:t>Shift Learning Report</w:t>
      </w:r>
      <w:r w:rsidRPr="00E415E2">
        <w:rPr>
          <w:rFonts w:cs="Calibri"/>
          <w:sz w:val="24"/>
        </w:rPr>
        <w:t xml:space="preserve"> (Powell</w:t>
      </w:r>
      <w:r w:rsidR="00F2602D">
        <w:rPr>
          <w:rFonts w:cs="Calibri"/>
          <w:sz w:val="24"/>
        </w:rPr>
        <w:t>,</w:t>
      </w:r>
      <w:r w:rsidRPr="00E415E2">
        <w:rPr>
          <w:rFonts w:cs="Calibri"/>
          <w:sz w:val="24"/>
        </w:rPr>
        <w:t xml:space="preserve"> 2011)</w:t>
      </w:r>
      <w:r>
        <w:rPr>
          <w:rFonts w:cs="Calibri"/>
          <w:sz w:val="24"/>
        </w:rPr>
        <w:t xml:space="preserve"> which</w:t>
      </w:r>
      <w:r w:rsidRPr="00E415E2">
        <w:rPr>
          <w:rFonts w:cs="Calibri"/>
          <w:sz w:val="24"/>
        </w:rPr>
        <w:t xml:space="preserve"> highlighted </w:t>
      </w:r>
      <w:r>
        <w:rPr>
          <w:rFonts w:cs="Calibri"/>
          <w:sz w:val="24"/>
        </w:rPr>
        <w:t xml:space="preserve">differing effects on </w:t>
      </w:r>
      <w:r w:rsidRPr="00E415E2">
        <w:rPr>
          <w:rFonts w:cs="Calibri"/>
          <w:sz w:val="24"/>
        </w:rPr>
        <w:t xml:space="preserve">different types of school, for example, only 15% of selective schools were undergoing curriculum changes in response to the EBac compared to 44% of comprehensive schools. </w:t>
      </w:r>
      <w:r w:rsidR="00F2602D">
        <w:rPr>
          <w:rFonts w:cs="Calibri"/>
          <w:sz w:val="24"/>
        </w:rPr>
        <w:t>T</w:t>
      </w:r>
      <w:r w:rsidRPr="00E415E2">
        <w:rPr>
          <w:rFonts w:cs="Calibri"/>
          <w:sz w:val="24"/>
        </w:rPr>
        <w:t xml:space="preserve">his report drew </w:t>
      </w:r>
      <w:r w:rsidR="00F2602D">
        <w:rPr>
          <w:rFonts w:cs="Calibri"/>
          <w:sz w:val="24"/>
        </w:rPr>
        <w:t xml:space="preserve">additional </w:t>
      </w:r>
      <w:r w:rsidRPr="00E415E2">
        <w:rPr>
          <w:rFonts w:cs="Calibri"/>
          <w:sz w:val="24"/>
        </w:rPr>
        <w:t>attention to the fact that many schools previously designated as specialist schools were now making their specialist subject</w:t>
      </w:r>
      <w:r w:rsidR="00F2602D">
        <w:rPr>
          <w:rFonts w:cs="Calibri"/>
          <w:sz w:val="24"/>
        </w:rPr>
        <w:t>s</w:t>
      </w:r>
      <w:r w:rsidR="00F2602D" w:rsidRPr="00F2602D">
        <w:rPr>
          <w:rFonts w:cs="Calibri"/>
          <w:sz w:val="24"/>
        </w:rPr>
        <w:t xml:space="preserve"> </w:t>
      </w:r>
      <w:r w:rsidR="00F2602D" w:rsidRPr="00E415E2">
        <w:rPr>
          <w:rFonts w:cs="Calibri"/>
          <w:sz w:val="24"/>
        </w:rPr>
        <w:t>optional</w:t>
      </w:r>
      <w:r w:rsidRPr="00E415E2">
        <w:rPr>
          <w:rFonts w:cs="Calibri"/>
          <w:sz w:val="24"/>
        </w:rPr>
        <w:t xml:space="preserve">; for example, Technology </w:t>
      </w:r>
      <w:r>
        <w:rPr>
          <w:rFonts w:cs="Calibri"/>
          <w:sz w:val="24"/>
        </w:rPr>
        <w:t>C</w:t>
      </w:r>
      <w:r w:rsidRPr="00E415E2">
        <w:rPr>
          <w:rFonts w:cs="Calibri"/>
          <w:sz w:val="24"/>
        </w:rPr>
        <w:t xml:space="preserve">olleges were now allowing GCSE </w:t>
      </w:r>
      <w:r w:rsidR="00F2602D">
        <w:rPr>
          <w:rFonts w:cs="Calibri"/>
          <w:sz w:val="24"/>
        </w:rPr>
        <w:t>T</w:t>
      </w:r>
      <w:r w:rsidRPr="00E415E2">
        <w:rPr>
          <w:rFonts w:cs="Calibri"/>
          <w:sz w:val="24"/>
        </w:rPr>
        <w:t>echnology to be an option</w:t>
      </w:r>
      <w:r>
        <w:rPr>
          <w:rFonts w:cs="Calibri"/>
          <w:sz w:val="24"/>
        </w:rPr>
        <w:t>,</w:t>
      </w:r>
      <w:r w:rsidRPr="00E415E2">
        <w:rPr>
          <w:rFonts w:cs="Calibri"/>
          <w:sz w:val="24"/>
        </w:rPr>
        <w:t xml:space="preserve"> a move that may not have been anticipated </w:t>
      </w:r>
      <w:r>
        <w:rPr>
          <w:rFonts w:cs="Calibri"/>
          <w:sz w:val="24"/>
        </w:rPr>
        <w:t>when designing</w:t>
      </w:r>
      <w:r w:rsidRPr="00E415E2">
        <w:rPr>
          <w:rFonts w:cs="Calibri"/>
          <w:sz w:val="24"/>
        </w:rPr>
        <w:t xml:space="preserve"> the EBac policy. The </w:t>
      </w:r>
      <w:r w:rsidRPr="008E308E">
        <w:rPr>
          <w:i/>
          <w:sz w:val="24"/>
        </w:rPr>
        <w:t xml:space="preserve">Shift Learning </w:t>
      </w:r>
      <w:r w:rsidR="00F2602D" w:rsidRPr="008E308E">
        <w:rPr>
          <w:rFonts w:cs="Calibri"/>
          <w:i/>
          <w:sz w:val="24"/>
        </w:rPr>
        <w:t>R</w:t>
      </w:r>
      <w:r w:rsidRPr="008E308E">
        <w:rPr>
          <w:i/>
          <w:sz w:val="24"/>
        </w:rPr>
        <w:t>eport</w:t>
      </w:r>
      <w:r w:rsidRPr="00E415E2">
        <w:rPr>
          <w:rFonts w:cs="Calibri"/>
          <w:sz w:val="24"/>
        </w:rPr>
        <w:t xml:space="preserve"> aimed only to document the changes that schools claimed to be making and did not provide any qualitative commentary or reflection on these changes</w:t>
      </w:r>
      <w:r w:rsidR="00F2602D">
        <w:rPr>
          <w:rFonts w:cs="Calibri"/>
          <w:sz w:val="24"/>
        </w:rPr>
        <w:t>,</w:t>
      </w:r>
      <w:r w:rsidRPr="00E415E2">
        <w:rPr>
          <w:rFonts w:cs="Calibri"/>
          <w:sz w:val="24"/>
        </w:rPr>
        <w:t xml:space="preserve"> but </w:t>
      </w:r>
      <w:r w:rsidR="00F2602D">
        <w:rPr>
          <w:rFonts w:cs="Calibri"/>
          <w:sz w:val="24"/>
        </w:rPr>
        <w:t xml:space="preserve">nonetheless </w:t>
      </w:r>
      <w:r w:rsidRPr="00E415E2">
        <w:rPr>
          <w:rFonts w:cs="Calibri"/>
          <w:sz w:val="24"/>
        </w:rPr>
        <w:t>provide</w:t>
      </w:r>
      <w:r w:rsidR="00F2602D">
        <w:rPr>
          <w:rFonts w:cs="Calibri"/>
          <w:sz w:val="24"/>
        </w:rPr>
        <w:t>s</w:t>
      </w:r>
      <w:r w:rsidRPr="00E415E2">
        <w:rPr>
          <w:rFonts w:cs="Calibri"/>
          <w:sz w:val="24"/>
        </w:rPr>
        <w:t xml:space="preserve"> an interesting comparison to the DfE</w:t>
      </w:r>
      <w:r w:rsidR="00F2602D">
        <w:rPr>
          <w:rFonts w:cs="Calibri"/>
          <w:sz w:val="24"/>
        </w:rPr>
        <w:t>-</w:t>
      </w:r>
      <w:r w:rsidRPr="00E415E2">
        <w:rPr>
          <w:rFonts w:cs="Calibri"/>
          <w:sz w:val="24"/>
        </w:rPr>
        <w:t>commissioned research.</w:t>
      </w:r>
    </w:p>
    <w:p w14:paraId="78982757" w14:textId="77777777" w:rsidR="00F2602D" w:rsidRPr="00E415E2" w:rsidRDefault="00F2602D" w:rsidP="008E308E">
      <w:pPr>
        <w:tabs>
          <w:tab w:val="left" w:pos="8364"/>
        </w:tabs>
        <w:spacing w:after="0" w:line="360" w:lineRule="auto"/>
        <w:rPr>
          <w:rFonts w:cs="Calibri"/>
          <w:sz w:val="24"/>
        </w:rPr>
      </w:pPr>
    </w:p>
    <w:p w14:paraId="1656F520" w14:textId="48B3EBEE" w:rsidR="00A75A8F" w:rsidRDefault="00A75A8F" w:rsidP="008E308E">
      <w:pPr>
        <w:spacing w:after="0" w:line="360" w:lineRule="auto"/>
        <w:rPr>
          <w:rFonts w:cs="Calibri"/>
          <w:sz w:val="24"/>
        </w:rPr>
      </w:pPr>
      <w:r w:rsidRPr="00E415E2">
        <w:rPr>
          <w:rFonts w:cs="Calibri"/>
          <w:sz w:val="24"/>
        </w:rPr>
        <w:lastRenderedPageBreak/>
        <w:t xml:space="preserve">The reviews and evaluations </w:t>
      </w:r>
      <w:r w:rsidR="00F2602D">
        <w:rPr>
          <w:rFonts w:cs="Calibri"/>
          <w:sz w:val="24"/>
        </w:rPr>
        <w:t>of</w:t>
      </w:r>
      <w:r w:rsidR="00F2602D" w:rsidRPr="00E415E2">
        <w:rPr>
          <w:rFonts w:cs="Calibri"/>
          <w:sz w:val="24"/>
        </w:rPr>
        <w:t xml:space="preserve"> the EBac </w:t>
      </w:r>
      <w:r w:rsidRPr="00E415E2">
        <w:rPr>
          <w:rFonts w:cs="Calibri"/>
          <w:sz w:val="24"/>
        </w:rPr>
        <w:t xml:space="preserve">undertaken </w:t>
      </w:r>
      <w:r w:rsidR="00F2602D" w:rsidRPr="00E415E2">
        <w:rPr>
          <w:rFonts w:cs="Calibri"/>
          <w:sz w:val="24"/>
        </w:rPr>
        <w:t xml:space="preserve">so far </w:t>
      </w:r>
      <w:r w:rsidRPr="00E415E2">
        <w:rPr>
          <w:rFonts w:cs="Calibri"/>
          <w:sz w:val="24"/>
        </w:rPr>
        <w:t xml:space="preserve">provide a starting point for </w:t>
      </w:r>
      <w:r>
        <w:rPr>
          <w:rFonts w:cs="Calibri"/>
          <w:sz w:val="24"/>
        </w:rPr>
        <w:t xml:space="preserve">my research questions investigating </w:t>
      </w:r>
      <w:r w:rsidRPr="00E415E2">
        <w:rPr>
          <w:rFonts w:cs="Calibri"/>
          <w:sz w:val="24"/>
        </w:rPr>
        <w:t>the composition and construction of the EBac policy</w:t>
      </w:r>
      <w:r>
        <w:rPr>
          <w:rFonts w:cs="Calibri"/>
          <w:sz w:val="24"/>
        </w:rPr>
        <w:t>; teachers’ perspectives on the constitution and implementation of the EBac policy</w:t>
      </w:r>
      <w:r w:rsidR="00F2602D">
        <w:rPr>
          <w:rFonts w:cs="Calibri"/>
          <w:sz w:val="24"/>
        </w:rPr>
        <w:t>,</w:t>
      </w:r>
      <w:r w:rsidRPr="00E415E2">
        <w:rPr>
          <w:rFonts w:cs="Calibri"/>
          <w:sz w:val="24"/>
        </w:rPr>
        <w:t xml:space="preserve"> and </w:t>
      </w:r>
      <w:r w:rsidR="00F2602D">
        <w:rPr>
          <w:rFonts w:cs="Calibri"/>
          <w:sz w:val="24"/>
        </w:rPr>
        <w:t xml:space="preserve">the consideration and evaluation of </w:t>
      </w:r>
      <w:r w:rsidRPr="00E415E2">
        <w:rPr>
          <w:rFonts w:cs="Calibri"/>
          <w:sz w:val="24"/>
        </w:rPr>
        <w:t>quality issues arising within four different types of secondary schools.</w:t>
      </w:r>
      <w:r>
        <w:rPr>
          <w:rFonts w:cs="Calibri"/>
          <w:sz w:val="24"/>
        </w:rPr>
        <w:t xml:space="preserve"> </w:t>
      </w:r>
      <w:r w:rsidR="00F2602D">
        <w:rPr>
          <w:rFonts w:cs="Calibri"/>
          <w:sz w:val="24"/>
        </w:rPr>
        <w:t>To conclude</w:t>
      </w:r>
      <w:r>
        <w:rPr>
          <w:rFonts w:cs="Calibri"/>
          <w:sz w:val="24"/>
        </w:rPr>
        <w:t xml:space="preserve"> my literature review</w:t>
      </w:r>
      <w:r w:rsidR="00F2602D">
        <w:rPr>
          <w:rFonts w:cs="Calibri"/>
          <w:sz w:val="24"/>
        </w:rPr>
        <w:t>,</w:t>
      </w:r>
      <w:r>
        <w:rPr>
          <w:rFonts w:cs="Calibri"/>
          <w:sz w:val="24"/>
        </w:rPr>
        <w:t xml:space="preserve"> I now discuss my theoretical approach.</w:t>
      </w:r>
    </w:p>
    <w:p w14:paraId="237FA3B5" w14:textId="77777777" w:rsidR="00F2602D" w:rsidRPr="00E63B6F" w:rsidRDefault="00F2602D" w:rsidP="008E308E">
      <w:pPr>
        <w:spacing w:after="0" w:line="360" w:lineRule="auto"/>
        <w:rPr>
          <w:rFonts w:cs="Calibri"/>
          <w:sz w:val="24"/>
        </w:rPr>
      </w:pPr>
    </w:p>
    <w:p w14:paraId="21067803" w14:textId="77777777" w:rsidR="00A75A8F" w:rsidRPr="00476D54" w:rsidRDefault="00A75A8F" w:rsidP="00531995">
      <w:pPr>
        <w:pStyle w:val="Heading2"/>
      </w:pPr>
      <w:bookmarkStart w:id="36" w:name="_Toc452316320"/>
      <w:r w:rsidRPr="00476D54">
        <w:t>2.9 Theoretical approach</w:t>
      </w:r>
      <w:bookmarkEnd w:id="36"/>
    </w:p>
    <w:p w14:paraId="1036C516" w14:textId="337D0F92" w:rsidR="00A75A8F" w:rsidRDefault="00A75A8F" w:rsidP="003A47A6">
      <w:pPr>
        <w:tabs>
          <w:tab w:val="left" w:pos="7371"/>
        </w:tabs>
        <w:spacing w:after="0" w:line="360" w:lineRule="auto"/>
        <w:rPr>
          <w:rFonts w:cs="Calibri"/>
          <w:sz w:val="24"/>
        </w:rPr>
      </w:pPr>
      <w:r w:rsidRPr="00476D54">
        <w:rPr>
          <w:rFonts w:cs="Calibri"/>
          <w:sz w:val="24"/>
        </w:rPr>
        <w:t xml:space="preserve">My research interest has arisen from a range of work which </w:t>
      </w:r>
      <w:r w:rsidR="0021448B">
        <w:rPr>
          <w:rFonts w:cs="Calibri"/>
          <w:sz w:val="24"/>
        </w:rPr>
        <w:t>at first sight appeared</w:t>
      </w:r>
      <w:r w:rsidRPr="00476D54">
        <w:rPr>
          <w:rFonts w:cs="Calibri"/>
          <w:sz w:val="24"/>
        </w:rPr>
        <w:t xml:space="preserve"> disjointed, spanning a range of theorists and political perspectives. </w:t>
      </w:r>
      <w:r w:rsidR="004C38B2">
        <w:rPr>
          <w:rFonts w:cs="Calibri"/>
          <w:sz w:val="24"/>
        </w:rPr>
        <w:t>The</w:t>
      </w:r>
      <w:r w:rsidRPr="00476D54">
        <w:rPr>
          <w:rFonts w:cs="Calibri"/>
          <w:sz w:val="24"/>
        </w:rPr>
        <w:t xml:space="preserve"> perspective that </w:t>
      </w:r>
      <w:r w:rsidR="004C38B2">
        <w:rPr>
          <w:rFonts w:cs="Calibri"/>
          <w:sz w:val="24"/>
        </w:rPr>
        <w:t xml:space="preserve">makes the </w:t>
      </w:r>
      <w:r w:rsidRPr="00476D54">
        <w:rPr>
          <w:rFonts w:cs="Calibri"/>
          <w:sz w:val="24"/>
        </w:rPr>
        <w:t>connect</w:t>
      </w:r>
      <w:r w:rsidR="004C38B2">
        <w:rPr>
          <w:rFonts w:cs="Calibri"/>
          <w:sz w:val="24"/>
        </w:rPr>
        <w:t>ions</w:t>
      </w:r>
      <w:r w:rsidRPr="00476D54">
        <w:rPr>
          <w:rFonts w:cs="Calibri"/>
          <w:sz w:val="24"/>
        </w:rPr>
        <w:t xml:space="preserve"> across a range of studies</w:t>
      </w:r>
      <w:r w:rsidR="004C38B2">
        <w:rPr>
          <w:rFonts w:cs="Calibri"/>
          <w:sz w:val="24"/>
        </w:rPr>
        <w:t xml:space="preserve"> and</w:t>
      </w:r>
      <w:r w:rsidRPr="00476D54">
        <w:rPr>
          <w:rFonts w:cs="Calibri"/>
          <w:sz w:val="24"/>
        </w:rPr>
        <w:t xml:space="preserve"> illuminat</w:t>
      </w:r>
      <w:r w:rsidR="004C38B2">
        <w:rPr>
          <w:rFonts w:cs="Calibri"/>
          <w:sz w:val="24"/>
        </w:rPr>
        <w:t>es</w:t>
      </w:r>
      <w:r w:rsidRPr="00476D54">
        <w:rPr>
          <w:rFonts w:cs="Calibri"/>
          <w:sz w:val="24"/>
        </w:rPr>
        <w:t xml:space="preserve"> my research aims and questions is </w:t>
      </w:r>
      <w:r w:rsidR="004C38B2">
        <w:rPr>
          <w:rFonts w:cs="Calibri"/>
          <w:sz w:val="24"/>
        </w:rPr>
        <w:t xml:space="preserve">the </w:t>
      </w:r>
      <w:r w:rsidRPr="00476D54">
        <w:rPr>
          <w:rFonts w:cs="Calibri"/>
          <w:sz w:val="24"/>
        </w:rPr>
        <w:t>poststructuralis</w:t>
      </w:r>
      <w:r w:rsidR="004C38B2">
        <w:rPr>
          <w:rFonts w:cs="Calibri"/>
          <w:sz w:val="24"/>
        </w:rPr>
        <w:t>t perspective</w:t>
      </w:r>
      <w:r w:rsidRPr="00476D54">
        <w:rPr>
          <w:rFonts w:cs="Calibri"/>
          <w:sz w:val="24"/>
        </w:rPr>
        <w:t xml:space="preserve">. Poststructuralism arose from the work of structuralists in response to some of the perceived weaknesses </w:t>
      </w:r>
      <w:r w:rsidR="0094219C" w:rsidRPr="00476D54">
        <w:rPr>
          <w:rFonts w:cs="Calibri"/>
          <w:sz w:val="24"/>
        </w:rPr>
        <w:t>and</w:t>
      </w:r>
      <w:r w:rsidR="00DD2FF3" w:rsidRPr="00476D54">
        <w:rPr>
          <w:rFonts w:cs="Calibri"/>
          <w:sz w:val="24"/>
        </w:rPr>
        <w:t xml:space="preserve"> areas </w:t>
      </w:r>
      <w:r w:rsidR="004C38B2">
        <w:rPr>
          <w:rFonts w:cs="Calibri"/>
          <w:sz w:val="24"/>
        </w:rPr>
        <w:t xml:space="preserve">felt to be inadequate </w:t>
      </w:r>
      <w:r w:rsidR="00A1772B" w:rsidRPr="00476D54">
        <w:rPr>
          <w:rFonts w:cs="Calibri"/>
          <w:sz w:val="24"/>
        </w:rPr>
        <w:t xml:space="preserve">(Peters </w:t>
      </w:r>
      <w:r w:rsidR="004C38B2">
        <w:rPr>
          <w:rFonts w:cs="Calibri"/>
          <w:sz w:val="24"/>
        </w:rPr>
        <w:t>and</w:t>
      </w:r>
      <w:r w:rsidR="00A1772B" w:rsidRPr="00476D54">
        <w:rPr>
          <w:rFonts w:cs="Calibri"/>
          <w:sz w:val="24"/>
        </w:rPr>
        <w:t xml:space="preserve"> Wain</w:t>
      </w:r>
      <w:r w:rsidR="004C38B2">
        <w:rPr>
          <w:rFonts w:cs="Calibri"/>
          <w:sz w:val="24"/>
        </w:rPr>
        <w:t>,</w:t>
      </w:r>
      <w:r w:rsidR="00A1772B" w:rsidRPr="00476D54">
        <w:rPr>
          <w:rFonts w:cs="Calibri"/>
          <w:sz w:val="24"/>
        </w:rPr>
        <w:t xml:space="preserve"> 2003). N</w:t>
      </w:r>
      <w:r w:rsidRPr="00476D54">
        <w:rPr>
          <w:rFonts w:cs="Calibri"/>
          <w:sz w:val="24"/>
        </w:rPr>
        <w:t>either set of theorists identified themselves in clear terms</w:t>
      </w:r>
      <w:r w:rsidR="004C38B2">
        <w:rPr>
          <w:rFonts w:cs="Calibri"/>
          <w:sz w:val="24"/>
        </w:rPr>
        <w:t>, instead</w:t>
      </w:r>
      <w:r w:rsidRPr="00476D54">
        <w:rPr>
          <w:rFonts w:cs="Calibri"/>
          <w:sz w:val="24"/>
        </w:rPr>
        <w:t xml:space="preserve"> highlighting the contested nature of the</w:t>
      </w:r>
      <w:r w:rsidR="004C38B2">
        <w:rPr>
          <w:rFonts w:cs="Calibri"/>
          <w:sz w:val="24"/>
        </w:rPr>
        <w:t>m</w:t>
      </w:r>
      <w:r w:rsidR="00DD2FF3" w:rsidRPr="00476D54">
        <w:rPr>
          <w:rFonts w:cs="Calibri"/>
          <w:sz w:val="24"/>
        </w:rPr>
        <w:t>.</w:t>
      </w:r>
      <w:r w:rsidR="0094219C" w:rsidRPr="00476D54">
        <w:rPr>
          <w:rFonts w:cs="Calibri"/>
          <w:sz w:val="24"/>
        </w:rPr>
        <w:t xml:space="preserve"> </w:t>
      </w:r>
      <w:r w:rsidR="00DD2FF3" w:rsidRPr="00476D54">
        <w:rPr>
          <w:rFonts w:cs="Calibri"/>
          <w:sz w:val="24"/>
        </w:rPr>
        <w:t>Peters and Wain</w:t>
      </w:r>
      <w:r w:rsidR="004C38B2">
        <w:rPr>
          <w:rFonts w:cs="Calibri"/>
          <w:sz w:val="24"/>
        </w:rPr>
        <w:t xml:space="preserve"> (2003) indeed</w:t>
      </w:r>
      <w:r w:rsidR="00DD2FF3" w:rsidRPr="00476D54">
        <w:rPr>
          <w:rFonts w:cs="Calibri"/>
          <w:sz w:val="24"/>
        </w:rPr>
        <w:t xml:space="preserve"> state that poststructuralism “is best referred to as a movement of thought</w:t>
      </w:r>
      <w:r w:rsidR="0094219C" w:rsidRPr="00476D54">
        <w:rPr>
          <w:rFonts w:cs="Calibri"/>
          <w:sz w:val="24"/>
        </w:rPr>
        <w:t xml:space="preserve"> – a complex skein of thought – embodying different forms of cultural practice</w:t>
      </w:r>
      <w:r w:rsidR="00DD2FF3" w:rsidRPr="00476D54">
        <w:rPr>
          <w:rFonts w:cs="Calibri"/>
          <w:sz w:val="24"/>
        </w:rPr>
        <w:t xml:space="preserve">” </w:t>
      </w:r>
      <w:r w:rsidR="0094219C" w:rsidRPr="00476D54">
        <w:rPr>
          <w:rFonts w:cs="Calibri"/>
          <w:sz w:val="24"/>
        </w:rPr>
        <w:t>(</w:t>
      </w:r>
      <w:r w:rsidR="00DD2FF3" w:rsidRPr="00476D54">
        <w:rPr>
          <w:rFonts w:cs="Calibri"/>
          <w:sz w:val="24"/>
        </w:rPr>
        <w:t>p</w:t>
      </w:r>
      <w:r w:rsidR="0094219C" w:rsidRPr="00476D54">
        <w:rPr>
          <w:rFonts w:cs="Calibri"/>
          <w:sz w:val="24"/>
        </w:rPr>
        <w:t>.</w:t>
      </w:r>
      <w:r w:rsidR="00DD2FF3" w:rsidRPr="00476D54">
        <w:rPr>
          <w:rFonts w:cs="Calibri"/>
          <w:sz w:val="24"/>
        </w:rPr>
        <w:t>61)</w:t>
      </w:r>
      <w:r w:rsidR="0094219C" w:rsidRPr="00476D54">
        <w:rPr>
          <w:rFonts w:cs="Calibri"/>
          <w:sz w:val="24"/>
        </w:rPr>
        <w:t xml:space="preserve"> rather than a theory or perspective</w:t>
      </w:r>
      <w:r w:rsidRPr="00476D54">
        <w:rPr>
          <w:rFonts w:cs="Calibri"/>
          <w:sz w:val="24"/>
        </w:rPr>
        <w:t>.</w:t>
      </w:r>
      <w:r w:rsidR="00DD2FF3" w:rsidRPr="00476D54">
        <w:rPr>
          <w:rFonts w:cs="Calibri"/>
          <w:sz w:val="24"/>
        </w:rPr>
        <w:t xml:space="preserve"> </w:t>
      </w:r>
      <w:r w:rsidRPr="00476D54">
        <w:rPr>
          <w:rFonts w:cs="Calibri"/>
          <w:sz w:val="24"/>
        </w:rPr>
        <w:t xml:space="preserve">It is impossible to </w:t>
      </w:r>
      <w:r w:rsidR="004C38B2">
        <w:rPr>
          <w:rFonts w:cs="Calibri"/>
          <w:sz w:val="24"/>
        </w:rPr>
        <w:t xml:space="preserve">separate the two entirely </w:t>
      </w:r>
      <w:r w:rsidR="00EE4741" w:rsidRPr="00476D54">
        <w:rPr>
          <w:rFonts w:cs="Calibri"/>
          <w:sz w:val="24"/>
        </w:rPr>
        <w:t>when</w:t>
      </w:r>
      <w:r w:rsidR="004C38B2">
        <w:rPr>
          <w:rFonts w:cs="Calibri"/>
          <w:sz w:val="24"/>
        </w:rPr>
        <w:t xml:space="preserve"> </w:t>
      </w:r>
      <w:r w:rsidRPr="00476D54">
        <w:rPr>
          <w:rFonts w:cs="Calibri"/>
          <w:sz w:val="24"/>
        </w:rPr>
        <w:t>expla</w:t>
      </w:r>
      <w:r w:rsidR="004C38B2">
        <w:rPr>
          <w:rFonts w:cs="Calibri"/>
          <w:sz w:val="24"/>
        </w:rPr>
        <w:t>i</w:t>
      </w:r>
      <w:r w:rsidRPr="00476D54">
        <w:rPr>
          <w:rFonts w:cs="Calibri"/>
          <w:sz w:val="24"/>
        </w:rPr>
        <w:t>n</w:t>
      </w:r>
      <w:r w:rsidR="004C38B2">
        <w:rPr>
          <w:rFonts w:cs="Calibri"/>
          <w:sz w:val="24"/>
        </w:rPr>
        <w:t>ing</w:t>
      </w:r>
      <w:r w:rsidRPr="00476D54">
        <w:rPr>
          <w:rFonts w:cs="Calibri"/>
          <w:sz w:val="24"/>
        </w:rPr>
        <w:t xml:space="preserve"> poststructural</w:t>
      </w:r>
      <w:r w:rsidR="00EE4741" w:rsidRPr="00476D54">
        <w:rPr>
          <w:rFonts w:cs="Calibri"/>
          <w:sz w:val="24"/>
        </w:rPr>
        <w:t>ism</w:t>
      </w:r>
      <w:r w:rsidRPr="00476D54">
        <w:rPr>
          <w:rFonts w:cs="Calibri"/>
          <w:sz w:val="24"/>
        </w:rPr>
        <w:t xml:space="preserve">. </w:t>
      </w:r>
    </w:p>
    <w:p w14:paraId="2B2E1AEF" w14:textId="77777777" w:rsidR="003A47A6" w:rsidRPr="00476D54" w:rsidRDefault="003A47A6" w:rsidP="003A47A6">
      <w:pPr>
        <w:tabs>
          <w:tab w:val="left" w:pos="7371"/>
        </w:tabs>
        <w:spacing w:after="0" w:line="360" w:lineRule="auto"/>
        <w:rPr>
          <w:rFonts w:cs="Calibri"/>
          <w:sz w:val="24"/>
        </w:rPr>
      </w:pPr>
    </w:p>
    <w:p w14:paraId="2033A719" w14:textId="638CFDEC" w:rsidR="00A75A8F" w:rsidRDefault="00A75A8F" w:rsidP="008E308E">
      <w:pPr>
        <w:tabs>
          <w:tab w:val="left" w:pos="7371"/>
        </w:tabs>
        <w:spacing w:after="0" w:line="360" w:lineRule="auto"/>
        <w:rPr>
          <w:rFonts w:cs="Calibri"/>
          <w:sz w:val="24"/>
        </w:rPr>
      </w:pPr>
      <w:r w:rsidRPr="00476D54">
        <w:rPr>
          <w:rFonts w:cs="Calibri"/>
          <w:sz w:val="24"/>
        </w:rPr>
        <w:t>Structuralism is based on the belief that human life</w:t>
      </w:r>
      <w:r w:rsidR="00853A89">
        <w:rPr>
          <w:rFonts w:cs="Calibri"/>
          <w:sz w:val="24"/>
        </w:rPr>
        <w:t xml:space="preserve">, </w:t>
      </w:r>
      <w:r w:rsidRPr="00476D54">
        <w:rPr>
          <w:rFonts w:cs="Calibri"/>
          <w:sz w:val="24"/>
        </w:rPr>
        <w:t>individual behaviour</w:t>
      </w:r>
      <w:r w:rsidR="00853A89">
        <w:rPr>
          <w:rFonts w:cs="Calibri"/>
          <w:sz w:val="24"/>
        </w:rPr>
        <w:t>,</w:t>
      </w:r>
      <w:r w:rsidRPr="00476D54">
        <w:rPr>
          <w:rFonts w:cs="Calibri"/>
          <w:sz w:val="24"/>
        </w:rPr>
        <w:t xml:space="preserve"> and conscience are determined by various underlying structures and that a metanarrative acts as the overarching base for all social life and actions. Thinking and actions can change and develop</w:t>
      </w:r>
      <w:r w:rsidR="00980FE5">
        <w:rPr>
          <w:rFonts w:cs="Calibri"/>
          <w:sz w:val="24"/>
        </w:rPr>
        <w:t>,</w:t>
      </w:r>
      <w:r w:rsidRPr="00476D54">
        <w:rPr>
          <w:rFonts w:cs="Calibri"/>
          <w:sz w:val="24"/>
        </w:rPr>
        <w:t xml:space="preserve"> but only within the structure</w:t>
      </w:r>
      <w:r w:rsidR="00980FE5">
        <w:rPr>
          <w:rFonts w:cs="Calibri"/>
          <w:sz w:val="24"/>
        </w:rPr>
        <w:t>,</w:t>
      </w:r>
      <w:r w:rsidRPr="00476D54">
        <w:rPr>
          <w:rFonts w:cs="Calibri"/>
          <w:sz w:val="24"/>
        </w:rPr>
        <w:t xml:space="preserve"> which for most people will remain hidden or at least obscured. In contrast</w:t>
      </w:r>
      <w:r w:rsidR="00980FE5">
        <w:rPr>
          <w:rFonts w:cs="Calibri"/>
          <w:sz w:val="24"/>
        </w:rPr>
        <w:t>,</w:t>
      </w:r>
      <w:r w:rsidRPr="00476D54">
        <w:rPr>
          <w:rFonts w:cs="Calibri"/>
          <w:sz w:val="24"/>
        </w:rPr>
        <w:t xml:space="preserve"> poststructuralists do not believe that such an underlying structure exists and that there is a plurality of meaning with no ‘universal truths’. </w:t>
      </w:r>
    </w:p>
    <w:p w14:paraId="2C0D85A4" w14:textId="77777777" w:rsidR="00980FE5" w:rsidRPr="00476D54" w:rsidRDefault="00980FE5" w:rsidP="008E308E">
      <w:pPr>
        <w:tabs>
          <w:tab w:val="left" w:pos="7371"/>
        </w:tabs>
        <w:spacing w:after="0" w:line="360" w:lineRule="auto"/>
        <w:rPr>
          <w:rFonts w:cs="Calibri"/>
          <w:sz w:val="24"/>
        </w:rPr>
      </w:pPr>
    </w:p>
    <w:p w14:paraId="789E3635" w14:textId="15FD7A2C" w:rsidR="00A75A8F" w:rsidRDefault="00A75A8F" w:rsidP="008E308E">
      <w:pPr>
        <w:tabs>
          <w:tab w:val="left" w:pos="8505"/>
          <w:tab w:val="left" w:pos="8789"/>
        </w:tabs>
        <w:spacing w:after="0" w:line="360" w:lineRule="auto"/>
        <w:rPr>
          <w:rFonts w:cs="Calibri"/>
          <w:sz w:val="24"/>
        </w:rPr>
      </w:pPr>
      <w:r w:rsidRPr="00476D54">
        <w:rPr>
          <w:rFonts w:cs="Calibri"/>
          <w:sz w:val="24"/>
        </w:rPr>
        <w:t xml:space="preserve">Both structuralists and poststructuralists see language and political </w:t>
      </w:r>
      <w:r w:rsidRPr="00476D54">
        <w:rPr>
          <w:rFonts w:cs="Calibri"/>
          <w:sz w:val="24"/>
          <w:szCs w:val="24"/>
        </w:rPr>
        <w:t>discourse</w:t>
      </w:r>
      <w:r w:rsidRPr="00476D54">
        <w:rPr>
          <w:rStyle w:val="CommentReference"/>
          <w:sz w:val="24"/>
          <w:szCs w:val="24"/>
        </w:rPr>
        <w:t xml:space="preserve"> a</w:t>
      </w:r>
      <w:r w:rsidRPr="00476D54">
        <w:rPr>
          <w:rFonts w:cs="Calibri"/>
          <w:sz w:val="24"/>
          <w:szCs w:val="24"/>
        </w:rPr>
        <w:t>s the key</w:t>
      </w:r>
      <w:r w:rsidRPr="00476D54">
        <w:rPr>
          <w:rFonts w:cs="Calibri"/>
          <w:sz w:val="24"/>
        </w:rPr>
        <w:t xml:space="preserve"> to understanding the social world</w:t>
      </w:r>
      <w:r w:rsidR="00980FE5">
        <w:rPr>
          <w:rFonts w:cs="Calibri"/>
          <w:sz w:val="24"/>
        </w:rPr>
        <w:t>,</w:t>
      </w:r>
      <w:r w:rsidRPr="00476D54">
        <w:rPr>
          <w:rFonts w:cs="Calibri"/>
          <w:sz w:val="24"/>
        </w:rPr>
        <w:t xml:space="preserve"> as social life is conducted through and shaped by language</w:t>
      </w:r>
      <w:r w:rsidR="00980FE5">
        <w:rPr>
          <w:rFonts w:cs="Calibri"/>
          <w:sz w:val="24"/>
        </w:rPr>
        <w:t>.</w:t>
      </w:r>
      <w:r w:rsidRPr="00476D54">
        <w:rPr>
          <w:rFonts w:cs="Calibri"/>
          <w:sz w:val="24"/>
        </w:rPr>
        <w:t xml:space="preserve"> </w:t>
      </w:r>
      <w:r w:rsidR="00980FE5">
        <w:rPr>
          <w:rFonts w:cs="Calibri"/>
          <w:sz w:val="24"/>
        </w:rPr>
        <w:t>T</w:t>
      </w:r>
      <w:r w:rsidRPr="00476D54">
        <w:rPr>
          <w:rFonts w:cs="Calibri"/>
          <w:sz w:val="24"/>
        </w:rPr>
        <w:t>heir conceptions of language differ</w:t>
      </w:r>
      <w:r w:rsidR="00980FE5">
        <w:rPr>
          <w:rFonts w:cs="Calibri"/>
          <w:sz w:val="24"/>
        </w:rPr>
        <w:t>, however</w:t>
      </w:r>
      <w:r w:rsidRPr="00476D54">
        <w:rPr>
          <w:rFonts w:cs="Calibri"/>
          <w:sz w:val="24"/>
        </w:rPr>
        <w:t xml:space="preserve">. Structuralism has its roots in semiotics as a linguistic study in order to attempt to uncover and understand </w:t>
      </w:r>
      <w:r w:rsidR="00980FE5">
        <w:rPr>
          <w:rFonts w:cs="Calibri"/>
          <w:sz w:val="24"/>
        </w:rPr>
        <w:t xml:space="preserve">relationships </w:t>
      </w:r>
      <w:r w:rsidRPr="00476D54">
        <w:rPr>
          <w:rFonts w:cs="Calibri"/>
          <w:sz w:val="24"/>
        </w:rPr>
        <w:t xml:space="preserve">between the phenomena of human life as a reflection of </w:t>
      </w:r>
      <w:r w:rsidR="00980FE5">
        <w:rPr>
          <w:rFonts w:cs="Calibri"/>
          <w:sz w:val="24"/>
        </w:rPr>
        <w:t xml:space="preserve">its </w:t>
      </w:r>
      <w:r w:rsidRPr="00476D54">
        <w:rPr>
          <w:rFonts w:cs="Calibri"/>
          <w:sz w:val="24"/>
        </w:rPr>
        <w:t>underlying structure</w:t>
      </w:r>
      <w:r w:rsidR="00980FE5">
        <w:rPr>
          <w:rFonts w:cs="Calibri"/>
          <w:sz w:val="24"/>
        </w:rPr>
        <w:t>s</w:t>
      </w:r>
      <w:r w:rsidRPr="00476D54">
        <w:rPr>
          <w:rFonts w:cs="Calibri"/>
          <w:sz w:val="24"/>
        </w:rPr>
        <w:t xml:space="preserve">. </w:t>
      </w:r>
      <w:r w:rsidR="00980FE5">
        <w:rPr>
          <w:rFonts w:cs="Calibri"/>
          <w:sz w:val="24"/>
        </w:rPr>
        <w:t>P</w:t>
      </w:r>
      <w:r w:rsidRPr="00476D54">
        <w:rPr>
          <w:rFonts w:cs="Calibri"/>
          <w:sz w:val="24"/>
        </w:rPr>
        <w:t>oststructuralism</w:t>
      </w:r>
      <w:r w:rsidR="00980FE5">
        <w:rPr>
          <w:rFonts w:cs="Calibri"/>
          <w:sz w:val="24"/>
        </w:rPr>
        <w:t xml:space="preserve">, </w:t>
      </w:r>
      <w:r w:rsidR="00980FE5">
        <w:rPr>
          <w:rFonts w:cs="Calibri"/>
          <w:sz w:val="24"/>
        </w:rPr>
        <w:lastRenderedPageBreak/>
        <w:t>meanwhile,</w:t>
      </w:r>
      <w:r w:rsidRPr="00476D54">
        <w:rPr>
          <w:rFonts w:cs="Calibri"/>
          <w:sz w:val="24"/>
        </w:rPr>
        <w:t xml:space="preserve"> does not regard meaning as existing outside of the text and that meaning is not fixed</w:t>
      </w:r>
      <w:r w:rsidR="00980FE5">
        <w:rPr>
          <w:rFonts w:cs="Calibri"/>
          <w:sz w:val="24"/>
        </w:rPr>
        <w:t>,</w:t>
      </w:r>
      <w:r w:rsidRPr="00476D54">
        <w:rPr>
          <w:rFonts w:cs="Calibri"/>
          <w:sz w:val="24"/>
        </w:rPr>
        <w:t xml:space="preserve"> but rather contingent and unstable. </w:t>
      </w:r>
    </w:p>
    <w:p w14:paraId="0C73F2C4" w14:textId="77777777" w:rsidR="00980FE5" w:rsidRPr="00476D54" w:rsidRDefault="00980FE5" w:rsidP="008E308E">
      <w:pPr>
        <w:tabs>
          <w:tab w:val="left" w:pos="8505"/>
          <w:tab w:val="left" w:pos="8789"/>
        </w:tabs>
        <w:spacing w:after="0" w:line="360" w:lineRule="auto"/>
        <w:rPr>
          <w:rFonts w:cs="Calibri"/>
          <w:sz w:val="24"/>
        </w:rPr>
      </w:pPr>
    </w:p>
    <w:p w14:paraId="7AB33D0C" w14:textId="3844A2B5" w:rsidR="005B26DB" w:rsidRDefault="00A75A8F" w:rsidP="003A47A6">
      <w:pPr>
        <w:spacing w:after="0" w:line="360" w:lineRule="auto"/>
        <w:rPr>
          <w:rFonts w:cs="Calibri"/>
          <w:sz w:val="24"/>
        </w:rPr>
      </w:pPr>
      <w:r w:rsidRPr="00476D54">
        <w:rPr>
          <w:rFonts w:cs="Calibri"/>
          <w:sz w:val="24"/>
        </w:rPr>
        <w:t>Poststructuralism developed out of a rejection of the concept of underlying structures determining social reality. Foucault, with his focus on power and power relations</w:t>
      </w:r>
      <w:r w:rsidR="00351F2C">
        <w:rPr>
          <w:rFonts w:cs="Calibri"/>
          <w:sz w:val="24"/>
        </w:rPr>
        <w:t>,</w:t>
      </w:r>
      <w:r w:rsidR="0094219C" w:rsidRPr="00476D54">
        <w:rPr>
          <w:rFonts w:cs="Calibri"/>
          <w:sz w:val="24"/>
        </w:rPr>
        <w:t xml:space="preserve"> regards power as</w:t>
      </w:r>
      <w:r w:rsidRPr="00476D54">
        <w:rPr>
          <w:rFonts w:cs="Calibri"/>
          <w:sz w:val="24"/>
        </w:rPr>
        <w:t xml:space="preserve"> created within discourse and social relations</w:t>
      </w:r>
      <w:r w:rsidR="005B26DB" w:rsidRPr="00476D54">
        <w:rPr>
          <w:rFonts w:cs="Calibri"/>
          <w:sz w:val="24"/>
        </w:rPr>
        <w:t>,</w:t>
      </w:r>
      <w:r w:rsidR="00A1772B" w:rsidRPr="00476D54">
        <w:rPr>
          <w:rFonts w:cs="Calibri"/>
          <w:sz w:val="24"/>
        </w:rPr>
        <w:t xml:space="preserve"> </w:t>
      </w:r>
      <w:r w:rsidRPr="00476D54">
        <w:rPr>
          <w:rFonts w:cs="Calibri"/>
          <w:sz w:val="24"/>
        </w:rPr>
        <w:t>creat</w:t>
      </w:r>
      <w:r w:rsidR="00A1772B" w:rsidRPr="00476D54">
        <w:rPr>
          <w:rFonts w:cs="Calibri"/>
          <w:sz w:val="24"/>
        </w:rPr>
        <w:t>ing</w:t>
      </w:r>
      <w:r w:rsidRPr="00476D54">
        <w:rPr>
          <w:rFonts w:cs="Calibri"/>
          <w:sz w:val="24"/>
        </w:rPr>
        <w:t xml:space="preserve"> reality at any given time rather than merely reflecting it</w:t>
      </w:r>
      <w:r w:rsidR="0094219C" w:rsidRPr="00476D54">
        <w:rPr>
          <w:rFonts w:cs="Calibri"/>
          <w:sz w:val="24"/>
        </w:rPr>
        <w:t>.</w:t>
      </w:r>
      <w:r w:rsidRPr="00476D54">
        <w:rPr>
          <w:rFonts w:cs="Calibri"/>
          <w:sz w:val="24"/>
        </w:rPr>
        <w:t xml:space="preserve"> </w:t>
      </w:r>
      <w:r w:rsidR="00A1772B" w:rsidRPr="00476D54">
        <w:rPr>
          <w:rFonts w:cs="Calibri"/>
          <w:sz w:val="24"/>
        </w:rPr>
        <w:t>Foucault’s work “falls between determinism and freedom. We are historically conditioned, but take our place in an open and contingent system” (</w:t>
      </w:r>
      <w:r w:rsidR="00661293" w:rsidRPr="00476D54">
        <w:rPr>
          <w:rFonts w:cs="Calibri"/>
          <w:sz w:val="24"/>
        </w:rPr>
        <w:t>Williams</w:t>
      </w:r>
      <w:r w:rsidR="00351F2C">
        <w:rPr>
          <w:rFonts w:cs="Calibri"/>
          <w:sz w:val="24"/>
        </w:rPr>
        <w:t>,</w:t>
      </w:r>
      <w:r w:rsidR="00661293" w:rsidRPr="00476D54">
        <w:rPr>
          <w:rFonts w:cs="Calibri"/>
          <w:sz w:val="24"/>
        </w:rPr>
        <w:t xml:space="preserve"> </w:t>
      </w:r>
      <w:r w:rsidR="00351F2C" w:rsidRPr="00476D54">
        <w:rPr>
          <w:rFonts w:cs="Calibri"/>
          <w:sz w:val="24"/>
        </w:rPr>
        <w:t>2005</w:t>
      </w:r>
      <w:r w:rsidR="00351F2C">
        <w:rPr>
          <w:rFonts w:cs="Calibri"/>
          <w:sz w:val="24"/>
        </w:rPr>
        <w:t xml:space="preserve">, </w:t>
      </w:r>
      <w:r w:rsidR="00A1772B" w:rsidRPr="00476D54">
        <w:rPr>
          <w:rFonts w:cs="Calibri"/>
          <w:sz w:val="24"/>
        </w:rPr>
        <w:t xml:space="preserve">p.106,). </w:t>
      </w:r>
      <w:r w:rsidR="005B26DB" w:rsidRPr="00476D54">
        <w:rPr>
          <w:rFonts w:cs="Calibri"/>
          <w:sz w:val="24"/>
        </w:rPr>
        <w:t>In this way</w:t>
      </w:r>
      <w:r w:rsidR="00351F2C">
        <w:rPr>
          <w:rFonts w:cs="Calibri"/>
          <w:sz w:val="24"/>
        </w:rPr>
        <w:t>,</w:t>
      </w:r>
      <w:r w:rsidR="005B26DB" w:rsidRPr="00476D54">
        <w:rPr>
          <w:rFonts w:cs="Calibri"/>
          <w:sz w:val="24"/>
        </w:rPr>
        <w:t xml:space="preserve"> history provides “a network of constraints” (p.110) in which individuals have to operate. </w:t>
      </w:r>
      <w:r w:rsidRPr="00476D54">
        <w:rPr>
          <w:rFonts w:cs="Calibri"/>
          <w:sz w:val="24"/>
        </w:rPr>
        <w:t xml:space="preserve">Poststructuralism does not accept that a final or definitive position or answer about any given issue can ever be reached. Any research, theory or definition can only ever be a partial reflection of a specific individual, local issue or struggle. </w:t>
      </w:r>
    </w:p>
    <w:p w14:paraId="2700328E" w14:textId="77777777" w:rsidR="003A47A6" w:rsidRPr="00476D54" w:rsidRDefault="003A47A6" w:rsidP="003A47A6">
      <w:pPr>
        <w:spacing w:after="0" w:line="360" w:lineRule="auto"/>
        <w:rPr>
          <w:rFonts w:cs="Calibri"/>
          <w:sz w:val="24"/>
        </w:rPr>
      </w:pPr>
    </w:p>
    <w:p w14:paraId="68927E12" w14:textId="20AEAEB3" w:rsidR="00A75A8F" w:rsidRDefault="00A75A8F" w:rsidP="003A47A6">
      <w:pPr>
        <w:spacing w:after="0" w:line="360" w:lineRule="auto"/>
        <w:rPr>
          <w:rFonts w:cs="Calibri"/>
          <w:sz w:val="24"/>
        </w:rPr>
      </w:pPr>
      <w:r w:rsidRPr="00476D54">
        <w:rPr>
          <w:rFonts w:cs="Calibri"/>
          <w:sz w:val="24"/>
        </w:rPr>
        <w:t xml:space="preserve">Parkes (2012) describes poststructuralism as adopting three key positions. First, a distrust of totalising discourses, in that there is no single history to study or document </w:t>
      </w:r>
      <w:r w:rsidR="00351F2C">
        <w:rPr>
          <w:rFonts w:cs="Calibri"/>
          <w:sz w:val="24"/>
        </w:rPr>
        <w:t xml:space="preserve">that </w:t>
      </w:r>
      <w:r w:rsidRPr="00476D54">
        <w:rPr>
          <w:rFonts w:cs="Calibri"/>
          <w:sz w:val="24"/>
        </w:rPr>
        <w:t>an understanding of will allow progress to an ultimate goal. Rather, the role of the researcher is to uncover partial and often competing histories and to resist ‘universal truths’. Second, a rejection of any f</w:t>
      </w:r>
      <w:r w:rsidR="00351F2C">
        <w:rPr>
          <w:rFonts w:cs="Calibri"/>
          <w:sz w:val="24"/>
        </w:rPr>
        <w:t>undamental</w:t>
      </w:r>
      <w:r w:rsidRPr="00476D54">
        <w:rPr>
          <w:rFonts w:cs="Calibri"/>
          <w:sz w:val="24"/>
        </w:rPr>
        <w:t xml:space="preserve"> truth from which to make authoritative statements </w:t>
      </w:r>
      <w:r w:rsidR="00351F2C">
        <w:rPr>
          <w:rFonts w:cs="Calibri"/>
          <w:sz w:val="24"/>
        </w:rPr>
        <w:t xml:space="preserve">to </w:t>
      </w:r>
      <w:r w:rsidRPr="00476D54">
        <w:rPr>
          <w:rFonts w:cs="Calibri"/>
          <w:sz w:val="24"/>
        </w:rPr>
        <w:t>encompass all people and third, a rejection of the idea of a universal human subject and nature</w:t>
      </w:r>
      <w:r w:rsidR="00351F2C">
        <w:rPr>
          <w:rFonts w:cs="Calibri"/>
          <w:sz w:val="24"/>
        </w:rPr>
        <w:t>. H</w:t>
      </w:r>
      <w:r w:rsidRPr="00476D54">
        <w:rPr>
          <w:rFonts w:cs="Calibri"/>
          <w:sz w:val="24"/>
        </w:rPr>
        <w:t>uman subjectivity is</w:t>
      </w:r>
      <w:r w:rsidR="00351F2C">
        <w:rPr>
          <w:rFonts w:cs="Calibri"/>
          <w:sz w:val="24"/>
        </w:rPr>
        <w:t xml:space="preserve"> instead</w:t>
      </w:r>
      <w:r w:rsidRPr="00476D54">
        <w:rPr>
          <w:rFonts w:cs="Calibri"/>
          <w:sz w:val="24"/>
        </w:rPr>
        <w:t xml:space="preserve"> regarded as a fluid process.</w:t>
      </w:r>
    </w:p>
    <w:p w14:paraId="095D77A8" w14:textId="77777777" w:rsidR="003A47A6" w:rsidRPr="00476D54" w:rsidRDefault="003A47A6" w:rsidP="003A47A6">
      <w:pPr>
        <w:spacing w:after="0" w:line="360" w:lineRule="auto"/>
        <w:rPr>
          <w:rFonts w:cs="Calibri"/>
          <w:sz w:val="24"/>
        </w:rPr>
      </w:pPr>
    </w:p>
    <w:p w14:paraId="56FB6B41" w14:textId="32470CE8" w:rsidR="00A75A8F" w:rsidRDefault="00A75A8F" w:rsidP="008E308E">
      <w:pPr>
        <w:tabs>
          <w:tab w:val="left" w:pos="8647"/>
        </w:tabs>
        <w:spacing w:after="0" w:line="360" w:lineRule="auto"/>
        <w:rPr>
          <w:rFonts w:cs="Calibri"/>
          <w:sz w:val="24"/>
        </w:rPr>
      </w:pPr>
      <w:r w:rsidRPr="00476D54">
        <w:rPr>
          <w:rFonts w:cs="Calibri"/>
          <w:sz w:val="24"/>
        </w:rPr>
        <w:t xml:space="preserve">During the course of my research, </w:t>
      </w:r>
      <w:r w:rsidR="00351F2C">
        <w:rPr>
          <w:rFonts w:cs="Calibri"/>
          <w:sz w:val="24"/>
        </w:rPr>
        <w:t>my personal position has</w:t>
      </w:r>
      <w:r w:rsidRPr="00476D54">
        <w:rPr>
          <w:rFonts w:cs="Calibri"/>
          <w:sz w:val="24"/>
        </w:rPr>
        <w:t xml:space="preserve"> moved from the intellectual tradition of </w:t>
      </w:r>
      <w:r w:rsidR="00EA3551" w:rsidRPr="00476D54">
        <w:rPr>
          <w:rFonts w:cs="Calibri"/>
          <w:sz w:val="24"/>
        </w:rPr>
        <w:t>structuralism</w:t>
      </w:r>
      <w:r w:rsidRPr="00476D54">
        <w:rPr>
          <w:rFonts w:cs="Calibri"/>
          <w:sz w:val="24"/>
        </w:rPr>
        <w:t xml:space="preserve"> to a more poststructuralist position, yet </w:t>
      </w:r>
      <w:r w:rsidR="00351F2C">
        <w:rPr>
          <w:rFonts w:cs="Calibri"/>
          <w:sz w:val="24"/>
        </w:rPr>
        <w:t xml:space="preserve">I </w:t>
      </w:r>
      <w:r w:rsidRPr="00476D54">
        <w:rPr>
          <w:rFonts w:cs="Calibri"/>
          <w:sz w:val="24"/>
        </w:rPr>
        <w:t>have struggled to completely abandon the concept of underlying structures</w:t>
      </w:r>
      <w:r w:rsidR="000F725B">
        <w:rPr>
          <w:rFonts w:cs="Calibri"/>
          <w:sz w:val="24"/>
        </w:rPr>
        <w:t>. This has been</w:t>
      </w:r>
      <w:r w:rsidRPr="00476D54">
        <w:rPr>
          <w:rFonts w:cs="Calibri"/>
          <w:sz w:val="24"/>
        </w:rPr>
        <w:t xml:space="preserve"> particularly </w:t>
      </w:r>
      <w:r w:rsidR="000F725B">
        <w:rPr>
          <w:rFonts w:cs="Calibri"/>
          <w:sz w:val="24"/>
        </w:rPr>
        <w:t xml:space="preserve">pertinent </w:t>
      </w:r>
      <w:r w:rsidRPr="00476D54">
        <w:rPr>
          <w:rFonts w:cs="Calibri"/>
          <w:sz w:val="24"/>
        </w:rPr>
        <w:t xml:space="preserve">when considering the nature of knowledge and whether some </w:t>
      </w:r>
      <w:r w:rsidR="000F725B">
        <w:rPr>
          <w:rFonts w:cs="Calibri"/>
          <w:sz w:val="24"/>
        </w:rPr>
        <w:t xml:space="preserve">knowledge </w:t>
      </w:r>
      <w:r w:rsidRPr="00476D54">
        <w:rPr>
          <w:rFonts w:cs="Calibri"/>
          <w:sz w:val="24"/>
        </w:rPr>
        <w:t>is more inherently valuable and powerful</w:t>
      </w:r>
      <w:r w:rsidR="000F725B">
        <w:rPr>
          <w:rFonts w:cs="Calibri"/>
          <w:sz w:val="24"/>
        </w:rPr>
        <w:t>,</w:t>
      </w:r>
      <w:r w:rsidRPr="00476D54">
        <w:rPr>
          <w:rFonts w:cs="Calibri"/>
          <w:sz w:val="24"/>
        </w:rPr>
        <w:t xml:space="preserve"> therefore </w:t>
      </w:r>
      <w:r w:rsidR="000F725B">
        <w:rPr>
          <w:rFonts w:cs="Calibri"/>
          <w:sz w:val="24"/>
        </w:rPr>
        <w:t xml:space="preserve">deserving to </w:t>
      </w:r>
      <w:r w:rsidRPr="00476D54">
        <w:rPr>
          <w:rFonts w:cs="Calibri"/>
          <w:sz w:val="24"/>
        </w:rPr>
        <w:t>be a key part of any school curriculum. Young (2008</w:t>
      </w:r>
      <w:r w:rsidR="000F725B">
        <w:rPr>
          <w:rFonts w:cs="Calibri"/>
          <w:sz w:val="24"/>
        </w:rPr>
        <w:t>;</w:t>
      </w:r>
      <w:r w:rsidRPr="00476D54">
        <w:rPr>
          <w:rFonts w:cs="Calibri"/>
          <w:sz w:val="24"/>
        </w:rPr>
        <w:t xml:space="preserve"> 2013) put forward a strong argument for a structural position regarding knowledge</w:t>
      </w:r>
      <w:r w:rsidR="00FE35E3">
        <w:rPr>
          <w:rFonts w:cs="Calibri"/>
          <w:sz w:val="24"/>
        </w:rPr>
        <w:t>,</w:t>
      </w:r>
      <w:r w:rsidRPr="00476D54">
        <w:rPr>
          <w:rFonts w:cs="Calibri"/>
          <w:sz w:val="24"/>
        </w:rPr>
        <w:t xml:space="preserve"> which </w:t>
      </w:r>
      <w:r w:rsidR="00FE35E3">
        <w:rPr>
          <w:rFonts w:cs="Calibri"/>
          <w:sz w:val="24"/>
        </w:rPr>
        <w:t>w</w:t>
      </w:r>
      <w:r w:rsidRPr="00476D54">
        <w:rPr>
          <w:rFonts w:cs="Calibri"/>
          <w:sz w:val="24"/>
        </w:rPr>
        <w:t xml:space="preserve">as discussed in </w:t>
      </w:r>
      <w:r w:rsidR="00FE35E3">
        <w:rPr>
          <w:rFonts w:cs="Calibri"/>
          <w:sz w:val="24"/>
        </w:rPr>
        <w:t>S</w:t>
      </w:r>
      <w:r w:rsidRPr="00476D54">
        <w:rPr>
          <w:rFonts w:cs="Calibri"/>
          <w:sz w:val="24"/>
        </w:rPr>
        <w:t>ection 2.5</w:t>
      </w:r>
      <w:r w:rsidR="00FE35E3">
        <w:rPr>
          <w:rFonts w:cs="Calibri"/>
          <w:sz w:val="24"/>
        </w:rPr>
        <w:t>.</w:t>
      </w:r>
      <w:r w:rsidRPr="00476D54">
        <w:rPr>
          <w:rFonts w:cs="Calibri"/>
          <w:sz w:val="24"/>
        </w:rPr>
        <w:t xml:space="preserve"> </w:t>
      </w:r>
      <w:r w:rsidR="00FE35E3">
        <w:rPr>
          <w:rFonts w:cs="Calibri"/>
          <w:sz w:val="24"/>
        </w:rPr>
        <w:t>H</w:t>
      </w:r>
      <w:r w:rsidRPr="00476D54">
        <w:rPr>
          <w:rFonts w:cs="Calibri"/>
          <w:sz w:val="24"/>
        </w:rPr>
        <w:t xml:space="preserve">e describes </w:t>
      </w:r>
      <w:r w:rsidR="00FE35E3">
        <w:rPr>
          <w:rFonts w:cs="Calibri"/>
          <w:sz w:val="24"/>
        </w:rPr>
        <w:t xml:space="preserve">this </w:t>
      </w:r>
      <w:r w:rsidRPr="00476D54">
        <w:rPr>
          <w:rFonts w:cs="Calibri"/>
          <w:sz w:val="24"/>
        </w:rPr>
        <w:t xml:space="preserve">as a </w:t>
      </w:r>
      <w:r w:rsidR="00FE35E3">
        <w:rPr>
          <w:rFonts w:cs="Calibri"/>
          <w:sz w:val="24"/>
        </w:rPr>
        <w:t>‘</w:t>
      </w:r>
      <w:r w:rsidRPr="00476D54">
        <w:rPr>
          <w:rFonts w:cs="Calibri"/>
          <w:sz w:val="24"/>
        </w:rPr>
        <w:t>social realist</w:t>
      </w:r>
      <w:r w:rsidR="00FE35E3">
        <w:rPr>
          <w:rFonts w:cs="Calibri"/>
          <w:sz w:val="24"/>
        </w:rPr>
        <w:t>’</w:t>
      </w:r>
      <w:r w:rsidRPr="00476D54">
        <w:rPr>
          <w:rFonts w:cs="Calibri"/>
          <w:sz w:val="24"/>
        </w:rPr>
        <w:t xml:space="preserve"> position. This position states that knowledge exists external to any socially created power groups who may work to impose their belief</w:t>
      </w:r>
      <w:r w:rsidR="00FE35E3">
        <w:rPr>
          <w:rFonts w:cs="Calibri"/>
          <w:sz w:val="24"/>
        </w:rPr>
        <w:t>s</w:t>
      </w:r>
      <w:r w:rsidRPr="00476D54">
        <w:rPr>
          <w:rFonts w:cs="Calibri"/>
          <w:sz w:val="24"/>
        </w:rPr>
        <w:t xml:space="preserve"> about what constitutes valuable </w:t>
      </w:r>
      <w:r w:rsidRPr="00476D54">
        <w:rPr>
          <w:rFonts w:cs="Calibri"/>
          <w:sz w:val="24"/>
        </w:rPr>
        <w:lastRenderedPageBreak/>
        <w:t>knowledge on others</w:t>
      </w:r>
      <w:r w:rsidR="00FE35E3">
        <w:rPr>
          <w:rFonts w:cs="Calibri"/>
          <w:sz w:val="24"/>
        </w:rPr>
        <w:t>, whilst</w:t>
      </w:r>
      <w:r w:rsidRPr="00476D54">
        <w:rPr>
          <w:rFonts w:cs="Calibri"/>
          <w:sz w:val="24"/>
        </w:rPr>
        <w:t xml:space="preserve"> </w:t>
      </w:r>
      <w:r w:rsidR="00FE35E3">
        <w:rPr>
          <w:rFonts w:cs="Calibri"/>
          <w:sz w:val="24"/>
        </w:rPr>
        <w:t>s</w:t>
      </w:r>
      <w:r w:rsidRPr="00476D54">
        <w:rPr>
          <w:rFonts w:cs="Calibri"/>
          <w:sz w:val="24"/>
        </w:rPr>
        <w:t>till recognising that people have a role in the production of knowledge and therefore any knowledge is socially produced (Wheelahan</w:t>
      </w:r>
      <w:r w:rsidR="00FE35E3">
        <w:rPr>
          <w:rFonts w:cs="Calibri"/>
          <w:sz w:val="24"/>
        </w:rPr>
        <w:t>,</w:t>
      </w:r>
      <w:r w:rsidRPr="00476D54">
        <w:rPr>
          <w:rFonts w:cs="Calibri"/>
          <w:sz w:val="24"/>
        </w:rPr>
        <w:t xml:space="preserve"> 2007). In this way</w:t>
      </w:r>
      <w:r w:rsidR="00FE35E3">
        <w:rPr>
          <w:rFonts w:cs="Calibri"/>
          <w:sz w:val="24"/>
        </w:rPr>
        <w:t>,</w:t>
      </w:r>
      <w:r w:rsidRPr="00476D54">
        <w:rPr>
          <w:rFonts w:cs="Calibri"/>
          <w:sz w:val="24"/>
        </w:rPr>
        <w:t xml:space="preserve"> the social realist position attempts to balance a socially constructed position with an underlying, if sometimes obscure or hidden, structure. Young now argues that </w:t>
      </w:r>
      <w:r w:rsidR="00FE35E3">
        <w:rPr>
          <w:rFonts w:cs="Calibri"/>
          <w:sz w:val="24"/>
        </w:rPr>
        <w:t xml:space="preserve">the </w:t>
      </w:r>
      <w:r w:rsidRPr="00476D54">
        <w:rPr>
          <w:rFonts w:cs="Calibri"/>
          <w:sz w:val="24"/>
        </w:rPr>
        <w:t>knowledge</w:t>
      </w:r>
      <w:r w:rsidR="00FE35E3">
        <w:rPr>
          <w:rFonts w:cs="Calibri"/>
          <w:sz w:val="24"/>
        </w:rPr>
        <w:t xml:space="preserve"> </w:t>
      </w:r>
      <w:r w:rsidRPr="00476D54">
        <w:rPr>
          <w:rFonts w:cs="Calibri"/>
          <w:sz w:val="24"/>
        </w:rPr>
        <w:t xml:space="preserve">he describes as </w:t>
      </w:r>
      <w:r w:rsidR="007C077D">
        <w:rPr>
          <w:rFonts w:cs="Calibri"/>
          <w:sz w:val="24"/>
        </w:rPr>
        <w:t>‘</w:t>
      </w:r>
      <w:r w:rsidRPr="00476D54">
        <w:rPr>
          <w:rFonts w:cs="Calibri"/>
          <w:sz w:val="24"/>
        </w:rPr>
        <w:t>powerful knowledge</w:t>
      </w:r>
      <w:r w:rsidR="007C077D">
        <w:rPr>
          <w:rFonts w:cs="Calibri"/>
          <w:sz w:val="24"/>
        </w:rPr>
        <w:t>’</w:t>
      </w:r>
      <w:r w:rsidRPr="00476D54">
        <w:rPr>
          <w:rFonts w:cs="Calibri"/>
          <w:sz w:val="24"/>
        </w:rPr>
        <w:t xml:space="preserve">, should be recognised by all and therefore provided for all children; to deny some children access to this knowledge is, in his view, to condemn them to a low social position. </w:t>
      </w:r>
    </w:p>
    <w:p w14:paraId="4CE479F3" w14:textId="77777777" w:rsidR="002B372C" w:rsidRPr="00476D54" w:rsidRDefault="002B372C" w:rsidP="008E308E">
      <w:pPr>
        <w:tabs>
          <w:tab w:val="left" w:pos="8647"/>
        </w:tabs>
        <w:spacing w:after="0" w:line="360" w:lineRule="auto"/>
        <w:rPr>
          <w:rFonts w:cs="Calibri"/>
          <w:sz w:val="24"/>
        </w:rPr>
      </w:pPr>
    </w:p>
    <w:p w14:paraId="064E79FA" w14:textId="5FCB2110" w:rsidR="00A75A8F" w:rsidRDefault="00A75A8F" w:rsidP="008E308E">
      <w:pPr>
        <w:tabs>
          <w:tab w:val="left" w:pos="8647"/>
        </w:tabs>
        <w:spacing w:after="0" w:line="360" w:lineRule="auto"/>
        <w:rPr>
          <w:rFonts w:cs="Calibri"/>
          <w:sz w:val="24"/>
        </w:rPr>
      </w:pPr>
      <w:r w:rsidRPr="00476D54">
        <w:rPr>
          <w:rFonts w:cs="Calibri"/>
          <w:sz w:val="24"/>
        </w:rPr>
        <w:t>I am attracted to the concept of social realism with its focus on powerful knowledge, and while Wheelahan (2007) and Young (2008</w:t>
      </w:r>
      <w:r w:rsidR="00A10FB2">
        <w:rPr>
          <w:rFonts w:cs="Calibri"/>
          <w:sz w:val="24"/>
        </w:rPr>
        <w:t>;</w:t>
      </w:r>
      <w:r w:rsidRPr="00476D54">
        <w:rPr>
          <w:rFonts w:cs="Calibri"/>
          <w:sz w:val="24"/>
        </w:rPr>
        <w:t xml:space="preserve"> 2009</w:t>
      </w:r>
      <w:r w:rsidR="00A10FB2">
        <w:rPr>
          <w:rFonts w:cs="Calibri"/>
          <w:sz w:val="24"/>
        </w:rPr>
        <w:t>;</w:t>
      </w:r>
      <w:r w:rsidRPr="00476D54">
        <w:rPr>
          <w:rFonts w:cs="Calibri"/>
          <w:sz w:val="24"/>
        </w:rPr>
        <w:t xml:space="preserve"> 2013) provide a useful perspective from which to view my research, I find I disagree with their position or feel that they overstate their conclusions</w:t>
      </w:r>
      <w:r w:rsidR="00A10FB2">
        <w:rPr>
          <w:rFonts w:cs="Calibri"/>
          <w:sz w:val="24"/>
        </w:rPr>
        <w:t xml:space="preserve"> on many points</w:t>
      </w:r>
      <w:r w:rsidRPr="00476D54">
        <w:rPr>
          <w:rFonts w:cs="Calibri"/>
          <w:sz w:val="24"/>
        </w:rPr>
        <w:t xml:space="preserve"> presented from their initial premise. For example, the social realist position argues that there is a set of underlying principles or epistemic standards to any knowledge, albeit ones mediated by a range of factors including power and privilege (Wheelahan</w:t>
      </w:r>
      <w:r w:rsidR="00D9126B">
        <w:rPr>
          <w:rFonts w:cs="Calibri"/>
          <w:sz w:val="24"/>
        </w:rPr>
        <w:t>,</w:t>
      </w:r>
      <w:r w:rsidRPr="00476D54">
        <w:rPr>
          <w:rFonts w:cs="Calibri"/>
          <w:sz w:val="24"/>
        </w:rPr>
        <w:t xml:space="preserve"> 2007). </w:t>
      </w:r>
      <w:r w:rsidR="00D9126B">
        <w:rPr>
          <w:rFonts w:cs="Calibri"/>
          <w:sz w:val="24"/>
        </w:rPr>
        <w:t>A</w:t>
      </w:r>
      <w:r w:rsidRPr="00476D54">
        <w:rPr>
          <w:rFonts w:cs="Calibri"/>
          <w:sz w:val="24"/>
        </w:rPr>
        <w:t>ccepting that these principles exist</w:t>
      </w:r>
      <w:r w:rsidR="00D9126B">
        <w:rPr>
          <w:rFonts w:cs="Calibri"/>
          <w:sz w:val="24"/>
        </w:rPr>
        <w:t>, however,</w:t>
      </w:r>
      <w:r w:rsidRPr="00476D54">
        <w:rPr>
          <w:rFonts w:cs="Calibri"/>
          <w:sz w:val="24"/>
        </w:rPr>
        <w:t xml:space="preserve"> may again reflect the power of some groups at a given time to determine and present these standards as inherent rather than structural.  </w:t>
      </w:r>
      <w:r w:rsidR="00EA3551" w:rsidRPr="00476D54">
        <w:rPr>
          <w:rFonts w:cs="Calibri"/>
          <w:sz w:val="24"/>
        </w:rPr>
        <w:t>S</w:t>
      </w:r>
      <w:r w:rsidRPr="00476D54">
        <w:rPr>
          <w:rFonts w:cs="Calibri"/>
          <w:sz w:val="24"/>
        </w:rPr>
        <w:t xml:space="preserve">ocial realists are trying to combine two opposing positions which ultimately may be incompatible. </w:t>
      </w:r>
    </w:p>
    <w:p w14:paraId="5FF9F917" w14:textId="77777777" w:rsidR="005D4630" w:rsidRPr="00476D54" w:rsidRDefault="005D4630" w:rsidP="008E308E">
      <w:pPr>
        <w:tabs>
          <w:tab w:val="left" w:pos="8647"/>
        </w:tabs>
        <w:spacing w:after="0" w:line="360" w:lineRule="auto"/>
        <w:rPr>
          <w:rFonts w:cs="Calibri"/>
          <w:sz w:val="24"/>
        </w:rPr>
      </w:pPr>
    </w:p>
    <w:p w14:paraId="0BAA2BBD" w14:textId="01F01DF2" w:rsidR="00A75A8F" w:rsidRDefault="00A75A8F" w:rsidP="008E308E">
      <w:pPr>
        <w:tabs>
          <w:tab w:val="left" w:pos="8647"/>
        </w:tabs>
        <w:spacing w:after="0" w:line="360" w:lineRule="auto"/>
        <w:rPr>
          <w:rFonts w:cs="Calibri"/>
          <w:sz w:val="24"/>
        </w:rPr>
      </w:pPr>
      <w:r w:rsidRPr="00476D54">
        <w:rPr>
          <w:rFonts w:cs="Calibri"/>
          <w:sz w:val="24"/>
        </w:rPr>
        <w:t>Wheelahan (2007) provides a robust argument as to how competency</w:t>
      </w:r>
      <w:r w:rsidR="00D9126B">
        <w:rPr>
          <w:rFonts w:cs="Calibri"/>
          <w:sz w:val="24"/>
        </w:rPr>
        <w:t>-</w:t>
      </w:r>
      <w:r w:rsidRPr="00476D54">
        <w:rPr>
          <w:rFonts w:cs="Calibri"/>
          <w:sz w:val="24"/>
        </w:rPr>
        <w:t>based training</w:t>
      </w:r>
      <w:r w:rsidR="00D9126B">
        <w:rPr>
          <w:rFonts w:cs="Calibri"/>
          <w:sz w:val="24"/>
        </w:rPr>
        <w:t>,</w:t>
      </w:r>
      <w:r w:rsidRPr="00476D54">
        <w:rPr>
          <w:rFonts w:cs="Calibri"/>
          <w:sz w:val="24"/>
        </w:rPr>
        <w:t xml:space="preserve"> with </w:t>
      </w:r>
      <w:r w:rsidR="007A7244" w:rsidRPr="00476D54">
        <w:rPr>
          <w:rFonts w:cs="Calibri"/>
          <w:sz w:val="24"/>
        </w:rPr>
        <w:t xml:space="preserve">its </w:t>
      </w:r>
      <w:r w:rsidRPr="00476D54">
        <w:rPr>
          <w:rFonts w:cs="Calibri"/>
          <w:sz w:val="24"/>
        </w:rPr>
        <w:t>lack of theoretical content</w:t>
      </w:r>
      <w:r w:rsidR="00D9126B">
        <w:rPr>
          <w:rFonts w:cs="Calibri"/>
          <w:sz w:val="24"/>
        </w:rPr>
        <w:t>,</w:t>
      </w:r>
      <w:r w:rsidRPr="00476D54">
        <w:rPr>
          <w:rFonts w:cs="Calibri"/>
          <w:sz w:val="24"/>
        </w:rPr>
        <w:t xml:space="preserve"> </w:t>
      </w:r>
      <w:r w:rsidR="007A7244" w:rsidRPr="00476D54">
        <w:rPr>
          <w:rFonts w:cs="Calibri"/>
          <w:sz w:val="24"/>
        </w:rPr>
        <w:t>may</w:t>
      </w:r>
      <w:r w:rsidRPr="00476D54">
        <w:rPr>
          <w:rFonts w:cs="Calibri"/>
          <w:sz w:val="24"/>
        </w:rPr>
        <w:t xml:space="preserve"> operate to exclude learners (usually working class) from abstract, powerful knowledge</w:t>
      </w:r>
      <w:r w:rsidR="00D9126B">
        <w:rPr>
          <w:rFonts w:cs="Calibri"/>
          <w:sz w:val="24"/>
        </w:rPr>
        <w:t>.</w:t>
      </w:r>
      <w:r w:rsidRPr="00476D54">
        <w:rPr>
          <w:rFonts w:cs="Calibri"/>
          <w:sz w:val="24"/>
        </w:rPr>
        <w:t xml:space="preserve"> </w:t>
      </w:r>
      <w:r w:rsidR="00D9126B">
        <w:rPr>
          <w:rFonts w:cs="Calibri"/>
          <w:sz w:val="24"/>
        </w:rPr>
        <w:t>This</w:t>
      </w:r>
      <w:r w:rsidRPr="00476D54">
        <w:rPr>
          <w:rFonts w:cs="Calibri"/>
          <w:sz w:val="24"/>
        </w:rPr>
        <w:t xml:space="preserve"> in turn excludes such learners from access to higher learning or positions. A similar ar</w:t>
      </w:r>
      <w:r w:rsidR="00E11EE7">
        <w:rPr>
          <w:rFonts w:cs="Calibri"/>
          <w:sz w:val="24"/>
        </w:rPr>
        <w:t>gument was put forward in Britain</w:t>
      </w:r>
      <w:r w:rsidRPr="00476D54">
        <w:rPr>
          <w:rFonts w:cs="Calibri"/>
          <w:sz w:val="24"/>
        </w:rPr>
        <w:t xml:space="preserve"> by </w:t>
      </w:r>
      <w:r w:rsidR="00D9126B">
        <w:rPr>
          <w:rFonts w:cs="Calibri"/>
          <w:sz w:val="24"/>
        </w:rPr>
        <w:t>T</w:t>
      </w:r>
      <w:r w:rsidRPr="00476D54">
        <w:rPr>
          <w:rFonts w:cs="Calibri"/>
          <w:sz w:val="24"/>
        </w:rPr>
        <w:t>he Wolf Report (2011) into vocational education and qualifications</w:t>
      </w:r>
      <w:r w:rsidR="007A7244" w:rsidRPr="00476D54">
        <w:rPr>
          <w:rFonts w:cs="Calibri"/>
          <w:sz w:val="24"/>
        </w:rPr>
        <w:t>,</w:t>
      </w:r>
      <w:r w:rsidRPr="00476D54">
        <w:rPr>
          <w:rFonts w:cs="Calibri"/>
          <w:sz w:val="24"/>
        </w:rPr>
        <w:t xml:space="preserve"> which has led to the reduction in the availability of such courses </w:t>
      </w:r>
      <w:r w:rsidR="00BC19D7">
        <w:rPr>
          <w:rFonts w:cs="Calibri"/>
          <w:sz w:val="24"/>
        </w:rPr>
        <w:t>within</w:t>
      </w:r>
      <w:r w:rsidRPr="00BC19D7">
        <w:rPr>
          <w:rFonts w:cs="Calibri"/>
          <w:sz w:val="24"/>
        </w:rPr>
        <w:t xml:space="preserve"> schools. I agree with this position for some vocational or competency based programmes, </w:t>
      </w:r>
      <w:r w:rsidR="00EA3551" w:rsidRPr="00BC19D7">
        <w:rPr>
          <w:rFonts w:cs="Calibri"/>
          <w:sz w:val="24"/>
        </w:rPr>
        <w:t xml:space="preserve">though </w:t>
      </w:r>
      <w:r w:rsidRPr="00BC19D7">
        <w:rPr>
          <w:rFonts w:cs="Calibri"/>
          <w:sz w:val="24"/>
        </w:rPr>
        <w:t xml:space="preserve">this </w:t>
      </w:r>
      <w:r w:rsidR="00EA3551" w:rsidRPr="00BC19D7">
        <w:rPr>
          <w:rFonts w:cs="Calibri"/>
          <w:sz w:val="24"/>
        </w:rPr>
        <w:t>maybe</w:t>
      </w:r>
      <w:r w:rsidRPr="00BC19D7">
        <w:rPr>
          <w:rFonts w:cs="Calibri"/>
          <w:sz w:val="24"/>
        </w:rPr>
        <w:t xml:space="preserve"> an issue about specific course construction and course </w:t>
      </w:r>
      <w:r w:rsidR="00B16C93">
        <w:rPr>
          <w:rFonts w:cs="Calibri"/>
          <w:sz w:val="24"/>
        </w:rPr>
        <w:t>presentation</w:t>
      </w:r>
      <w:r w:rsidRPr="00BC19D7">
        <w:rPr>
          <w:rFonts w:cs="Calibri"/>
          <w:sz w:val="24"/>
        </w:rPr>
        <w:t xml:space="preserve"> by teachers, </w:t>
      </w:r>
      <w:r w:rsidR="00D9126B">
        <w:rPr>
          <w:rFonts w:cs="Calibri"/>
          <w:sz w:val="24"/>
        </w:rPr>
        <w:t>rather than</w:t>
      </w:r>
      <w:r w:rsidRPr="00BC19D7">
        <w:rPr>
          <w:rFonts w:cs="Calibri"/>
          <w:sz w:val="24"/>
        </w:rPr>
        <w:t xml:space="preserve"> a fundamental weakness of all vocational courses. Teachers of vocational courses, as with more academic courses, are free to embed context</w:t>
      </w:r>
      <w:r w:rsidR="00D9126B">
        <w:rPr>
          <w:rFonts w:cs="Calibri"/>
          <w:sz w:val="24"/>
        </w:rPr>
        <w:t>-</w:t>
      </w:r>
      <w:r w:rsidRPr="00BC19D7">
        <w:rPr>
          <w:rFonts w:cs="Calibri"/>
          <w:sz w:val="24"/>
        </w:rPr>
        <w:t>bound knowledge within a wider theoretical framework and to encourage interests and ambition within their students. I do not believe that such arguments provide a compelling explanation for the social realist position</w:t>
      </w:r>
      <w:r w:rsidR="00D9126B">
        <w:rPr>
          <w:rFonts w:cs="Calibri"/>
          <w:sz w:val="24"/>
        </w:rPr>
        <w:t>.</w:t>
      </w:r>
      <w:r w:rsidRPr="00BC19D7">
        <w:rPr>
          <w:rFonts w:cs="Calibri"/>
          <w:sz w:val="24"/>
        </w:rPr>
        <w:t xml:space="preserve"> </w:t>
      </w:r>
      <w:r w:rsidR="00D9126B">
        <w:rPr>
          <w:rFonts w:cs="Calibri"/>
          <w:sz w:val="24"/>
        </w:rPr>
        <w:t xml:space="preserve">Furthermore, </w:t>
      </w:r>
      <w:r w:rsidRPr="00BC19D7">
        <w:rPr>
          <w:rFonts w:cs="Calibri"/>
          <w:sz w:val="24"/>
        </w:rPr>
        <w:t xml:space="preserve">if </w:t>
      </w:r>
      <w:r w:rsidRPr="00BC19D7">
        <w:rPr>
          <w:rFonts w:cs="Calibri"/>
          <w:sz w:val="24"/>
        </w:rPr>
        <w:lastRenderedPageBreak/>
        <w:t xml:space="preserve">taken to </w:t>
      </w:r>
      <w:r w:rsidR="00D9126B">
        <w:rPr>
          <w:rFonts w:cs="Calibri"/>
          <w:sz w:val="24"/>
        </w:rPr>
        <w:t>its</w:t>
      </w:r>
      <w:r w:rsidRPr="00BC19D7">
        <w:rPr>
          <w:rFonts w:cs="Calibri"/>
          <w:sz w:val="24"/>
        </w:rPr>
        <w:t xml:space="preserve"> logical conclusion of insisting that all students are exposed to powerful abstract knowledge, student dissatisfaction and disillusion</w:t>
      </w:r>
      <w:r w:rsidR="007A7244" w:rsidRPr="00BC19D7">
        <w:rPr>
          <w:rFonts w:cs="Calibri"/>
          <w:sz w:val="24"/>
        </w:rPr>
        <w:t>ment</w:t>
      </w:r>
      <w:r w:rsidRPr="00BC19D7">
        <w:rPr>
          <w:rFonts w:cs="Calibri"/>
          <w:sz w:val="24"/>
        </w:rPr>
        <w:t xml:space="preserve"> with education</w:t>
      </w:r>
      <w:r w:rsidR="00D9126B">
        <w:rPr>
          <w:rFonts w:cs="Calibri"/>
          <w:sz w:val="24"/>
        </w:rPr>
        <w:t xml:space="preserve"> may result</w:t>
      </w:r>
      <w:r w:rsidRPr="00BC19D7">
        <w:rPr>
          <w:rFonts w:cs="Calibri"/>
          <w:sz w:val="24"/>
        </w:rPr>
        <w:t xml:space="preserve">. Subsequently, this </w:t>
      </w:r>
      <w:r w:rsidR="00BC19D7">
        <w:rPr>
          <w:rFonts w:cs="Calibri"/>
          <w:sz w:val="24"/>
        </w:rPr>
        <w:t xml:space="preserve">may </w:t>
      </w:r>
      <w:r w:rsidRPr="00BC19D7">
        <w:rPr>
          <w:rFonts w:cs="Calibri"/>
          <w:sz w:val="24"/>
        </w:rPr>
        <w:t>narrow rather than widen progression choices</w:t>
      </w:r>
      <w:r w:rsidR="00BC19D7">
        <w:rPr>
          <w:rFonts w:cs="Calibri"/>
          <w:sz w:val="24"/>
        </w:rPr>
        <w:t>.</w:t>
      </w:r>
      <w:r w:rsidRPr="00BC19D7">
        <w:rPr>
          <w:rFonts w:cs="Calibri"/>
          <w:sz w:val="24"/>
        </w:rPr>
        <w:t xml:space="preserve"> I </w:t>
      </w:r>
      <w:r w:rsidR="00D9126B">
        <w:rPr>
          <w:rFonts w:cs="Calibri"/>
          <w:sz w:val="24"/>
        </w:rPr>
        <w:t xml:space="preserve">therefore </w:t>
      </w:r>
      <w:r w:rsidRPr="00BC19D7">
        <w:rPr>
          <w:rFonts w:cs="Calibri"/>
          <w:sz w:val="24"/>
        </w:rPr>
        <w:t>do not subscribe to the social realism perspective as presented as theory or in application.</w:t>
      </w:r>
    </w:p>
    <w:p w14:paraId="2EA34E99" w14:textId="77777777" w:rsidR="00D9126B" w:rsidRPr="00BC19D7" w:rsidRDefault="00D9126B" w:rsidP="008E308E">
      <w:pPr>
        <w:tabs>
          <w:tab w:val="left" w:pos="8647"/>
        </w:tabs>
        <w:spacing w:after="0" w:line="360" w:lineRule="auto"/>
        <w:rPr>
          <w:rFonts w:cs="Calibri"/>
          <w:sz w:val="24"/>
        </w:rPr>
      </w:pPr>
    </w:p>
    <w:p w14:paraId="1A5CA2D1" w14:textId="7CB6BBE5" w:rsidR="00A75A8F" w:rsidRPr="00BC19D7" w:rsidRDefault="00A75A8F" w:rsidP="00531995">
      <w:pPr>
        <w:spacing w:after="120" w:line="360" w:lineRule="auto"/>
        <w:rPr>
          <w:rFonts w:cs="Calibri"/>
          <w:sz w:val="24"/>
        </w:rPr>
      </w:pPr>
      <w:r w:rsidRPr="00BC19D7">
        <w:rPr>
          <w:rFonts w:cs="Calibri"/>
          <w:sz w:val="24"/>
        </w:rPr>
        <w:t xml:space="preserve">I have also struggled to reconcile the structuralist position </w:t>
      </w:r>
      <w:r w:rsidR="00D9126B">
        <w:rPr>
          <w:rFonts w:cs="Calibri"/>
          <w:sz w:val="24"/>
        </w:rPr>
        <w:t>(</w:t>
      </w:r>
      <w:r w:rsidRPr="00BC19D7">
        <w:rPr>
          <w:rFonts w:cs="Calibri"/>
          <w:sz w:val="24"/>
        </w:rPr>
        <w:t>and therefore relevance</w:t>
      </w:r>
      <w:r w:rsidR="00D9126B">
        <w:rPr>
          <w:rFonts w:cs="Calibri"/>
          <w:sz w:val="24"/>
        </w:rPr>
        <w:t>)</w:t>
      </w:r>
      <w:r w:rsidRPr="00BC19D7">
        <w:rPr>
          <w:rFonts w:cs="Calibri"/>
          <w:sz w:val="24"/>
        </w:rPr>
        <w:t xml:space="preserve"> of Bowles and Gintis</w:t>
      </w:r>
      <w:r w:rsidR="008E308E">
        <w:rPr>
          <w:rFonts w:cs="Calibri"/>
          <w:sz w:val="24"/>
        </w:rPr>
        <w:t xml:space="preserve"> (1976)</w:t>
      </w:r>
      <w:r w:rsidRPr="00BC19D7">
        <w:rPr>
          <w:rFonts w:cs="Calibri"/>
          <w:sz w:val="24"/>
        </w:rPr>
        <w:t>, Bourdieu</w:t>
      </w:r>
      <w:r w:rsidR="001635AD">
        <w:rPr>
          <w:rFonts w:cs="Calibri"/>
          <w:sz w:val="24"/>
        </w:rPr>
        <w:t xml:space="preserve"> and Passeron (1977)</w:t>
      </w:r>
      <w:r w:rsidR="00D9126B">
        <w:rPr>
          <w:rFonts w:cs="Calibri"/>
          <w:sz w:val="24"/>
        </w:rPr>
        <w:t>,</w:t>
      </w:r>
      <w:r w:rsidRPr="00BC19D7">
        <w:rPr>
          <w:rFonts w:cs="Calibri"/>
          <w:sz w:val="24"/>
        </w:rPr>
        <w:t xml:space="preserve"> and Apple</w:t>
      </w:r>
      <w:r w:rsidR="008E308E">
        <w:rPr>
          <w:rFonts w:cs="Calibri"/>
          <w:sz w:val="24"/>
        </w:rPr>
        <w:t xml:space="preserve"> (1982)</w:t>
      </w:r>
      <w:r w:rsidRPr="00BC19D7">
        <w:rPr>
          <w:rFonts w:cs="Calibri"/>
          <w:sz w:val="24"/>
        </w:rPr>
        <w:t xml:space="preserve"> when looking at social and cultural reproduction with the emerging poststructural approach of my research. Carlson (2006) has</w:t>
      </w:r>
      <w:r w:rsidR="00D9126B">
        <w:rPr>
          <w:rFonts w:cs="Calibri"/>
          <w:sz w:val="24"/>
        </w:rPr>
        <w:t>, however,</w:t>
      </w:r>
      <w:r w:rsidRPr="00BC19D7">
        <w:rPr>
          <w:rFonts w:cs="Calibri"/>
          <w:sz w:val="24"/>
        </w:rPr>
        <w:t xml:space="preserve"> provided one possible resolution </w:t>
      </w:r>
      <w:r w:rsidR="00D9126B">
        <w:rPr>
          <w:rFonts w:cs="Calibri"/>
          <w:sz w:val="24"/>
        </w:rPr>
        <w:t>to</w:t>
      </w:r>
      <w:r w:rsidRPr="00BC19D7">
        <w:rPr>
          <w:rFonts w:cs="Calibri"/>
          <w:sz w:val="24"/>
        </w:rPr>
        <w:t xml:space="preserve"> these dilemmas</w:t>
      </w:r>
      <w:r w:rsidR="00D9126B">
        <w:rPr>
          <w:rFonts w:cs="Calibri"/>
          <w:sz w:val="24"/>
        </w:rPr>
        <w:t>:</w:t>
      </w:r>
    </w:p>
    <w:p w14:paraId="6EDEE565" w14:textId="77777777" w:rsidR="00A75A8F" w:rsidRDefault="00A75A8F" w:rsidP="001635AD">
      <w:pPr>
        <w:spacing w:after="0" w:line="240" w:lineRule="auto"/>
        <w:ind w:left="720"/>
        <w:rPr>
          <w:rFonts w:cs="Calibri"/>
          <w:sz w:val="24"/>
        </w:rPr>
      </w:pPr>
      <w:r w:rsidRPr="00BC19D7">
        <w:rPr>
          <w:rFonts w:cs="Calibri"/>
          <w:sz w:val="24"/>
        </w:rPr>
        <w:t>One answer is that a structural theory of schooling in advanced capitalist society is still very useful, in fact essential, in developing a comprehensive theory of how schools work to produce and reproduce class, as well as race, gender, sexual, and other inequalities. There are real material structures, including economic, political and educational structures that need to be accounted for in understanding how schools work and the forces that block transformative change. Sometimes, as Apple has pointed out, poststructuralists sound as if the only thing that matters is discourse and subjectivity, or that discourse and subjectivity are freer and more open than they really are. Furthermore, for all the limitations of structuralist theories of schooling, because of their deterministic tendencies and the fact that they overfix, overunify, and overgeneralize about the schooling process, these theories do provide a useful “big picture” of how the system works to reproduce itself. The important thing to remember is that we have created this picture; and that the picture is not reality, not the thing it claims to represent. If this picture proves useful in understanding how schools work and how they might be transformed, then it is worth studying. But when we turn to intervention in public schools and engage in battles over the meaning of a democratic public education in our times, then I believe a poststructuralist theory better serves us and opens up more democratic possibilities (p.93, 2006)</w:t>
      </w:r>
    </w:p>
    <w:p w14:paraId="02CA11D6" w14:textId="77777777" w:rsidR="00D9126B" w:rsidRPr="00BC19D7" w:rsidRDefault="00D9126B" w:rsidP="001635AD">
      <w:pPr>
        <w:spacing w:after="0" w:line="240" w:lineRule="auto"/>
        <w:ind w:left="720"/>
        <w:rPr>
          <w:rFonts w:cs="Calibri"/>
          <w:sz w:val="24"/>
        </w:rPr>
      </w:pPr>
    </w:p>
    <w:p w14:paraId="781339BE" w14:textId="07A3E497" w:rsidR="00A75A8F" w:rsidRDefault="00A75A8F" w:rsidP="001635AD">
      <w:pPr>
        <w:spacing w:after="0" w:line="360" w:lineRule="auto"/>
        <w:rPr>
          <w:rFonts w:cs="Calibri"/>
          <w:sz w:val="24"/>
        </w:rPr>
      </w:pPr>
      <w:r w:rsidRPr="00BC19D7">
        <w:rPr>
          <w:rFonts w:cs="Calibri"/>
          <w:sz w:val="24"/>
        </w:rPr>
        <w:t>Carlson reconciles the two perspectives in his wider writing using the notion of a continuum of approach, highlighting the poststructural aspects of Apple’s thinking. Carlson focus</w:t>
      </w:r>
      <w:r w:rsidR="00EE4741" w:rsidRPr="00BC19D7">
        <w:rPr>
          <w:rFonts w:cs="Calibri"/>
          <w:sz w:val="24"/>
        </w:rPr>
        <w:t>es</w:t>
      </w:r>
      <w:r w:rsidRPr="00BC19D7">
        <w:rPr>
          <w:rFonts w:cs="Calibri"/>
          <w:sz w:val="24"/>
        </w:rPr>
        <w:t xml:space="preserve"> on meaning of language </w:t>
      </w:r>
      <w:r w:rsidR="00D9126B">
        <w:rPr>
          <w:rFonts w:cs="Calibri"/>
          <w:sz w:val="24"/>
        </w:rPr>
        <w:t xml:space="preserve">and the uses this has </w:t>
      </w:r>
      <w:r w:rsidRPr="00BC19D7">
        <w:rPr>
          <w:rFonts w:cs="Calibri"/>
          <w:sz w:val="24"/>
        </w:rPr>
        <w:t>when discussing educational progress and democracy. He argues that poststructural perspectives can be useful when attempting to address “the current reform discourse on progress” (2006</w:t>
      </w:r>
      <w:r w:rsidR="00244AAF">
        <w:rPr>
          <w:rFonts w:cs="Calibri"/>
          <w:sz w:val="24"/>
        </w:rPr>
        <w:t>,</w:t>
      </w:r>
      <w:r w:rsidRPr="00BC19D7">
        <w:rPr>
          <w:rFonts w:cs="Calibri"/>
          <w:sz w:val="24"/>
        </w:rPr>
        <w:t xml:space="preserve"> p.110)</w:t>
      </w:r>
      <w:r w:rsidR="00244AAF">
        <w:rPr>
          <w:rFonts w:cs="Calibri"/>
          <w:sz w:val="24"/>
        </w:rPr>
        <w:t>,</w:t>
      </w:r>
      <w:r w:rsidRPr="00BC19D7">
        <w:rPr>
          <w:rFonts w:cs="Calibri"/>
          <w:sz w:val="24"/>
        </w:rPr>
        <w:t xml:space="preserve"> which he feels has become a totalising discourse. On the basis of Carlson’s argument, I feel I can </w:t>
      </w:r>
      <w:r w:rsidR="00244AAF">
        <w:rPr>
          <w:rFonts w:cs="Calibri"/>
          <w:sz w:val="24"/>
        </w:rPr>
        <w:t xml:space="preserve">not only </w:t>
      </w:r>
      <w:r w:rsidRPr="00BC19D7">
        <w:rPr>
          <w:rFonts w:cs="Calibri"/>
          <w:sz w:val="24"/>
        </w:rPr>
        <w:t xml:space="preserve">legitimately consider issues of social and cultural reproduction </w:t>
      </w:r>
      <w:r w:rsidR="00244AAF">
        <w:rPr>
          <w:rFonts w:cs="Calibri"/>
          <w:sz w:val="24"/>
        </w:rPr>
        <w:t>as they relate</w:t>
      </w:r>
      <w:r w:rsidRPr="00BC19D7">
        <w:rPr>
          <w:rFonts w:cs="Calibri"/>
          <w:sz w:val="24"/>
        </w:rPr>
        <w:t xml:space="preserve"> to the EBac</w:t>
      </w:r>
      <w:r w:rsidR="00244AAF">
        <w:rPr>
          <w:rFonts w:cs="Calibri"/>
          <w:sz w:val="24"/>
        </w:rPr>
        <w:t>,</w:t>
      </w:r>
      <w:r w:rsidRPr="00BC19D7">
        <w:rPr>
          <w:rFonts w:cs="Calibri"/>
          <w:sz w:val="24"/>
        </w:rPr>
        <w:t xml:space="preserve"> but </w:t>
      </w:r>
      <w:r w:rsidR="00244AAF">
        <w:rPr>
          <w:rFonts w:cs="Calibri"/>
          <w:sz w:val="24"/>
        </w:rPr>
        <w:t xml:space="preserve">also </w:t>
      </w:r>
      <w:r w:rsidRPr="00BC19D7">
        <w:rPr>
          <w:rFonts w:cs="Calibri"/>
          <w:sz w:val="24"/>
        </w:rPr>
        <w:t>take these ideas forward within a poststructuralist approach</w:t>
      </w:r>
      <w:r w:rsidR="00D935E5" w:rsidRPr="00BC19D7">
        <w:rPr>
          <w:rFonts w:cs="Calibri"/>
          <w:sz w:val="24"/>
        </w:rPr>
        <w:t>,</w:t>
      </w:r>
      <w:r w:rsidRPr="00BC19D7">
        <w:rPr>
          <w:rFonts w:cs="Calibri"/>
          <w:sz w:val="24"/>
        </w:rPr>
        <w:t xml:space="preserve"> </w:t>
      </w:r>
      <w:r w:rsidR="00EA3551" w:rsidRPr="00BC19D7">
        <w:rPr>
          <w:rFonts w:cs="Calibri"/>
          <w:sz w:val="24"/>
        </w:rPr>
        <w:t>considering</w:t>
      </w:r>
      <w:r w:rsidRPr="00BC19D7">
        <w:rPr>
          <w:rFonts w:cs="Calibri"/>
          <w:sz w:val="24"/>
        </w:rPr>
        <w:t xml:space="preserve"> the wider </w:t>
      </w:r>
      <w:r w:rsidRPr="00BC19D7">
        <w:rPr>
          <w:rFonts w:cs="Calibri"/>
          <w:sz w:val="24"/>
        </w:rPr>
        <w:lastRenderedPageBreak/>
        <w:t>origins and impact of these changes outside a totalising discourse of Marxism or indeed socialism.</w:t>
      </w:r>
    </w:p>
    <w:p w14:paraId="0F3CB2EF" w14:textId="77777777" w:rsidR="00244AAF" w:rsidRPr="00BC19D7" w:rsidRDefault="00244AAF" w:rsidP="001635AD">
      <w:pPr>
        <w:spacing w:after="0" w:line="360" w:lineRule="auto"/>
        <w:rPr>
          <w:rFonts w:cs="Calibri"/>
          <w:sz w:val="24"/>
        </w:rPr>
      </w:pPr>
    </w:p>
    <w:p w14:paraId="149B1727" w14:textId="35852410" w:rsidR="00A75A8F" w:rsidRDefault="00A75A8F" w:rsidP="001635AD">
      <w:pPr>
        <w:tabs>
          <w:tab w:val="left" w:pos="7371"/>
        </w:tabs>
        <w:spacing w:after="0" w:line="360" w:lineRule="auto"/>
        <w:rPr>
          <w:rFonts w:cs="Calibri"/>
          <w:sz w:val="24"/>
        </w:rPr>
      </w:pPr>
      <w:r w:rsidRPr="00BC19D7">
        <w:rPr>
          <w:rFonts w:cs="Calibri"/>
          <w:sz w:val="24"/>
        </w:rPr>
        <w:t>Ball also provided a solution for a way to combine these two positions into a logical approach when stating that “theory for me is not a perceptual straightjacket but a set of possibilities for thinking with. Theory should not bear down upon us a</w:t>
      </w:r>
      <w:r w:rsidR="004444F3">
        <w:rPr>
          <w:rFonts w:cs="Calibri"/>
          <w:sz w:val="24"/>
        </w:rPr>
        <w:t>nd stultify our thinking” (</w:t>
      </w:r>
      <w:r w:rsidRPr="00BC19D7">
        <w:rPr>
          <w:rFonts w:cs="Calibri"/>
          <w:sz w:val="24"/>
        </w:rPr>
        <w:t>2006</w:t>
      </w:r>
      <w:r w:rsidR="00485778">
        <w:rPr>
          <w:rFonts w:cs="Calibri"/>
          <w:sz w:val="24"/>
        </w:rPr>
        <w:t>,</w:t>
      </w:r>
      <w:r w:rsidR="004444F3">
        <w:rPr>
          <w:rFonts w:cs="Calibri"/>
          <w:sz w:val="24"/>
        </w:rPr>
        <w:t xml:space="preserve"> p.2</w:t>
      </w:r>
      <w:r w:rsidRPr="00BC19D7">
        <w:rPr>
          <w:rFonts w:cs="Calibri"/>
          <w:sz w:val="24"/>
        </w:rPr>
        <w:t>). Ball describes how he successfully used and combined the work of both Bourdieu and Foucault to “enable me to think about how I think” (2006</w:t>
      </w:r>
      <w:r w:rsidR="00485778">
        <w:rPr>
          <w:rFonts w:cs="Calibri"/>
          <w:sz w:val="24"/>
        </w:rPr>
        <w:t>,</w:t>
      </w:r>
      <w:r w:rsidR="00485778" w:rsidRPr="00485778">
        <w:rPr>
          <w:rFonts w:cs="Calibri"/>
          <w:sz w:val="24"/>
        </w:rPr>
        <w:t xml:space="preserve"> </w:t>
      </w:r>
      <w:r w:rsidR="00485778" w:rsidRPr="00BC19D7">
        <w:rPr>
          <w:rFonts w:cs="Calibri"/>
          <w:sz w:val="24"/>
        </w:rPr>
        <w:t>p.3</w:t>
      </w:r>
      <w:r w:rsidRPr="00BC19D7">
        <w:rPr>
          <w:rFonts w:cs="Calibri"/>
          <w:sz w:val="24"/>
        </w:rPr>
        <w:t xml:space="preserve">) by incorporating an ethnographic approach using interview data within his research. </w:t>
      </w:r>
    </w:p>
    <w:p w14:paraId="26A936EB" w14:textId="77777777" w:rsidR="00244AAF" w:rsidRPr="00BC19D7" w:rsidRDefault="00244AAF" w:rsidP="001635AD">
      <w:pPr>
        <w:tabs>
          <w:tab w:val="left" w:pos="7371"/>
        </w:tabs>
        <w:spacing w:after="0" w:line="360" w:lineRule="auto"/>
        <w:rPr>
          <w:rFonts w:cs="Calibri"/>
          <w:sz w:val="24"/>
        </w:rPr>
      </w:pPr>
    </w:p>
    <w:p w14:paraId="2142B219" w14:textId="002A5CF6" w:rsidR="005D4630" w:rsidRDefault="00A75A8F" w:rsidP="003A47A6">
      <w:pPr>
        <w:spacing w:line="360" w:lineRule="auto"/>
        <w:rPr>
          <w:rFonts w:cs="Calibri"/>
          <w:sz w:val="24"/>
        </w:rPr>
      </w:pPr>
      <w:r w:rsidRPr="00BC19D7">
        <w:rPr>
          <w:rFonts w:cs="Calibri"/>
          <w:sz w:val="24"/>
        </w:rPr>
        <w:t>My theoretical approach aims to encapsulate the key work</w:t>
      </w:r>
      <w:r w:rsidR="00485778">
        <w:rPr>
          <w:rFonts w:cs="Calibri"/>
          <w:sz w:val="24"/>
        </w:rPr>
        <w:t>s</w:t>
      </w:r>
      <w:r w:rsidRPr="00BC19D7">
        <w:rPr>
          <w:rFonts w:cs="Calibri"/>
          <w:sz w:val="24"/>
        </w:rPr>
        <w:t xml:space="preserve"> of influential social and cultural reproduction theorists, at the same time draw</w:t>
      </w:r>
      <w:r w:rsidR="00485778">
        <w:rPr>
          <w:rFonts w:cs="Calibri"/>
          <w:sz w:val="24"/>
        </w:rPr>
        <w:t>ing</w:t>
      </w:r>
      <w:r w:rsidRPr="00BC19D7">
        <w:rPr>
          <w:rFonts w:cs="Calibri"/>
          <w:sz w:val="24"/>
        </w:rPr>
        <w:t xml:space="preserve"> on a poststructuralist approach </w:t>
      </w:r>
      <w:r w:rsidR="00D935E5" w:rsidRPr="00BC19D7">
        <w:rPr>
          <w:rFonts w:cs="Calibri"/>
          <w:sz w:val="24"/>
        </w:rPr>
        <w:t xml:space="preserve">in order </w:t>
      </w:r>
      <w:r w:rsidRPr="00BC19D7">
        <w:rPr>
          <w:rFonts w:cs="Calibri"/>
          <w:sz w:val="24"/>
        </w:rPr>
        <w:t>to illuminate educational policy discourse and its interpretation, implementation and impact on four secondary schools and their respective departments. My research does not seek to find a single truth</w:t>
      </w:r>
      <w:r w:rsidR="00485778">
        <w:rPr>
          <w:rFonts w:cs="Calibri"/>
          <w:sz w:val="24"/>
        </w:rPr>
        <w:t xml:space="preserve">, nor do I </w:t>
      </w:r>
      <w:r w:rsidRPr="00BC19D7">
        <w:rPr>
          <w:rFonts w:cs="Calibri"/>
          <w:sz w:val="24"/>
        </w:rPr>
        <w:t xml:space="preserve">believe that I have found such a truth. Rather, I discuss the generated findings relating to specific educational </w:t>
      </w:r>
      <w:r w:rsidR="00D935E5" w:rsidRPr="00BC19D7">
        <w:rPr>
          <w:rFonts w:cs="Calibri"/>
          <w:sz w:val="24"/>
        </w:rPr>
        <w:t xml:space="preserve">contexts, </w:t>
      </w:r>
      <w:r w:rsidRPr="00BC19D7">
        <w:rPr>
          <w:rFonts w:cs="Calibri"/>
          <w:sz w:val="24"/>
        </w:rPr>
        <w:t>policy and equality at this given moment in time.</w:t>
      </w:r>
      <w:r w:rsidR="006258BB" w:rsidRPr="00476D54">
        <w:rPr>
          <w:rFonts w:cs="Calibri"/>
          <w:sz w:val="24"/>
        </w:rPr>
        <w:t xml:space="preserve"> </w:t>
      </w:r>
    </w:p>
    <w:p w14:paraId="075E23F7" w14:textId="77777777" w:rsidR="00A75A8F" w:rsidRDefault="00A75A8F" w:rsidP="00531995">
      <w:pPr>
        <w:pStyle w:val="Heading2"/>
      </w:pPr>
      <w:bookmarkStart w:id="37" w:name="_Toc452316321"/>
      <w:r w:rsidRPr="008E070A">
        <w:t>2.10 Conclusion</w:t>
      </w:r>
      <w:bookmarkEnd w:id="37"/>
      <w:r w:rsidRPr="008E070A">
        <w:t xml:space="preserve"> </w:t>
      </w:r>
    </w:p>
    <w:p w14:paraId="40A7949A" w14:textId="06B547E8" w:rsidR="00A75A8F" w:rsidRPr="00D347E1" w:rsidRDefault="00A75A8F" w:rsidP="00A75A8F">
      <w:pPr>
        <w:spacing w:line="360" w:lineRule="auto"/>
        <w:rPr>
          <w:rFonts w:cs="Calibri"/>
          <w:sz w:val="24"/>
          <w:szCs w:val="24"/>
        </w:rPr>
      </w:pPr>
      <w:r w:rsidRPr="008E070A">
        <w:rPr>
          <w:rFonts w:cs="Calibri"/>
          <w:sz w:val="24"/>
          <w:szCs w:val="24"/>
        </w:rPr>
        <w:t xml:space="preserve">My literature review has provided the background and the context for my study. The next chapter discusses the methodology and methods selected to address my three research questions. </w:t>
      </w:r>
      <w:r w:rsidRPr="008E070A">
        <w:rPr>
          <w:rFonts w:cs="Calibri"/>
          <w:sz w:val="24"/>
          <w:szCs w:val="24"/>
        </w:rPr>
        <w:br w:type="page"/>
      </w:r>
    </w:p>
    <w:p w14:paraId="77FCB0E2" w14:textId="17554BBB" w:rsidR="00A75A8F" w:rsidRPr="00444D7A" w:rsidRDefault="00A75A8F" w:rsidP="00531995">
      <w:pPr>
        <w:pStyle w:val="Heading1"/>
        <w:jc w:val="center"/>
      </w:pPr>
      <w:bookmarkStart w:id="38" w:name="_Toc452316322"/>
      <w:r w:rsidRPr="00444D7A">
        <w:lastRenderedPageBreak/>
        <w:t xml:space="preserve">Chapter </w:t>
      </w:r>
      <w:r w:rsidR="00485778">
        <w:t>3</w:t>
      </w:r>
      <w:r w:rsidRPr="00444D7A">
        <w:t xml:space="preserve"> - Methodology and Methods</w:t>
      </w:r>
      <w:bookmarkEnd w:id="38"/>
    </w:p>
    <w:p w14:paraId="6308AA90" w14:textId="1730949C" w:rsidR="005D2FFB" w:rsidRPr="00444D7A" w:rsidRDefault="00A75A8F" w:rsidP="00531995">
      <w:pPr>
        <w:pStyle w:val="Heading2"/>
      </w:pPr>
      <w:bookmarkStart w:id="39" w:name="_Toc452316323"/>
      <w:r w:rsidRPr="00444D7A">
        <w:t>3.</w:t>
      </w:r>
      <w:r w:rsidR="005D4630">
        <w:t>1</w:t>
      </w:r>
      <w:r w:rsidRPr="00444D7A">
        <w:t xml:space="preserve"> Introduction</w:t>
      </w:r>
      <w:bookmarkEnd w:id="39"/>
      <w:r w:rsidRPr="00444D7A">
        <w:tab/>
      </w:r>
    </w:p>
    <w:p w14:paraId="661EB9D5" w14:textId="4F43D9F2" w:rsidR="00A75A8F" w:rsidRPr="00444D7A" w:rsidRDefault="00A75A8F" w:rsidP="003A47A6">
      <w:pPr>
        <w:tabs>
          <w:tab w:val="left" w:pos="8364"/>
        </w:tabs>
        <w:spacing w:line="360" w:lineRule="auto"/>
        <w:rPr>
          <w:rFonts w:cs="Calibri"/>
          <w:sz w:val="24"/>
        </w:rPr>
      </w:pPr>
      <w:r w:rsidRPr="00444D7A">
        <w:rPr>
          <w:rFonts w:cs="Calibri"/>
          <w:sz w:val="24"/>
        </w:rPr>
        <w:t xml:space="preserve">This chapter </w:t>
      </w:r>
      <w:r>
        <w:rPr>
          <w:rFonts w:cs="Calibri"/>
          <w:sz w:val="24"/>
        </w:rPr>
        <w:t>introduces, describes and</w:t>
      </w:r>
      <w:r w:rsidRPr="00444D7A">
        <w:rPr>
          <w:rFonts w:cs="Calibri"/>
          <w:sz w:val="24"/>
        </w:rPr>
        <w:t xml:space="preserve"> justif</w:t>
      </w:r>
      <w:r>
        <w:rPr>
          <w:rFonts w:cs="Calibri"/>
          <w:sz w:val="24"/>
        </w:rPr>
        <w:t>ies</w:t>
      </w:r>
      <w:r w:rsidRPr="00444D7A">
        <w:rPr>
          <w:rFonts w:cs="Calibri"/>
          <w:sz w:val="24"/>
        </w:rPr>
        <w:t xml:space="preserve"> my chosen methodology, research assumptions, methods </w:t>
      </w:r>
      <w:r>
        <w:rPr>
          <w:rFonts w:cs="Calibri"/>
          <w:sz w:val="24"/>
        </w:rPr>
        <w:t>and</w:t>
      </w:r>
      <w:r w:rsidRPr="00444D7A">
        <w:rPr>
          <w:rFonts w:cs="Calibri"/>
          <w:sz w:val="24"/>
        </w:rPr>
        <w:t xml:space="preserve"> research tools. The chapter </w:t>
      </w:r>
      <w:r>
        <w:rPr>
          <w:rFonts w:cs="Calibri"/>
          <w:sz w:val="24"/>
        </w:rPr>
        <w:t>is</w:t>
      </w:r>
      <w:r w:rsidRPr="00444D7A">
        <w:rPr>
          <w:rFonts w:cs="Calibri"/>
          <w:sz w:val="24"/>
        </w:rPr>
        <w:t xml:space="preserve"> divided into </w:t>
      </w:r>
      <w:r>
        <w:rPr>
          <w:rFonts w:cs="Calibri"/>
          <w:sz w:val="24"/>
        </w:rPr>
        <w:t>seven</w:t>
      </w:r>
      <w:r w:rsidRPr="00444D7A">
        <w:rPr>
          <w:rFonts w:cs="Calibri"/>
          <w:sz w:val="24"/>
        </w:rPr>
        <w:t xml:space="preserve"> sections</w:t>
      </w:r>
      <w:r>
        <w:rPr>
          <w:rFonts w:cs="Calibri"/>
          <w:sz w:val="24"/>
        </w:rPr>
        <w:t>, commencing with a</w:t>
      </w:r>
      <w:r w:rsidRPr="00444D7A">
        <w:rPr>
          <w:rFonts w:cs="Calibri"/>
          <w:sz w:val="24"/>
        </w:rPr>
        <w:t xml:space="preserve"> consider</w:t>
      </w:r>
      <w:r>
        <w:rPr>
          <w:rFonts w:cs="Calibri"/>
          <w:sz w:val="24"/>
        </w:rPr>
        <w:t>ation of</w:t>
      </w:r>
      <w:r w:rsidRPr="00444D7A">
        <w:rPr>
          <w:rFonts w:cs="Calibri"/>
          <w:sz w:val="24"/>
        </w:rPr>
        <w:t xml:space="preserve"> my research assumptions, exploring the ontology and epistemology underpinning my research methodology </w:t>
      </w:r>
      <w:r>
        <w:rPr>
          <w:rFonts w:cs="Calibri"/>
          <w:sz w:val="24"/>
        </w:rPr>
        <w:t>in addition to</w:t>
      </w:r>
      <w:r w:rsidRPr="00444D7A">
        <w:rPr>
          <w:rFonts w:cs="Calibri"/>
          <w:sz w:val="24"/>
        </w:rPr>
        <w:t xml:space="preserve"> outlining and justifying </w:t>
      </w:r>
      <w:r>
        <w:rPr>
          <w:rFonts w:cs="Calibri"/>
          <w:sz w:val="24"/>
        </w:rPr>
        <w:t>my</w:t>
      </w:r>
      <w:r w:rsidRPr="00444D7A">
        <w:rPr>
          <w:rFonts w:cs="Calibri"/>
          <w:sz w:val="24"/>
        </w:rPr>
        <w:t xml:space="preserve"> </w:t>
      </w:r>
      <w:r>
        <w:rPr>
          <w:rFonts w:cs="Calibri"/>
          <w:sz w:val="24"/>
        </w:rPr>
        <w:t>research</w:t>
      </w:r>
      <w:r w:rsidRPr="00444D7A">
        <w:rPr>
          <w:rFonts w:cs="Calibri"/>
          <w:sz w:val="24"/>
        </w:rPr>
        <w:t xml:space="preserve"> methods, namely </w:t>
      </w:r>
      <w:r>
        <w:rPr>
          <w:rFonts w:cs="Calibri"/>
          <w:sz w:val="24"/>
        </w:rPr>
        <w:t>CDA</w:t>
      </w:r>
      <w:r w:rsidRPr="00444D7A">
        <w:rPr>
          <w:rFonts w:cs="Calibri"/>
          <w:sz w:val="24"/>
        </w:rPr>
        <w:t xml:space="preserve"> and semi-structured interviews. </w:t>
      </w:r>
      <w:r>
        <w:rPr>
          <w:rFonts w:cs="Calibri"/>
          <w:sz w:val="24"/>
        </w:rPr>
        <w:t>M</w:t>
      </w:r>
      <w:r w:rsidRPr="00444D7A">
        <w:rPr>
          <w:rFonts w:cs="Calibri"/>
          <w:sz w:val="24"/>
        </w:rPr>
        <w:t>y positionality as a researcher</w:t>
      </w:r>
      <w:r>
        <w:rPr>
          <w:rFonts w:cs="Calibri"/>
          <w:sz w:val="24"/>
        </w:rPr>
        <w:t xml:space="preserve"> is</w:t>
      </w:r>
      <w:r w:rsidRPr="00444D7A">
        <w:rPr>
          <w:rFonts w:cs="Calibri"/>
          <w:sz w:val="24"/>
        </w:rPr>
        <w:t xml:space="preserve"> critically consider</w:t>
      </w:r>
      <w:r>
        <w:rPr>
          <w:rFonts w:cs="Calibri"/>
          <w:sz w:val="24"/>
        </w:rPr>
        <w:t xml:space="preserve">ed </w:t>
      </w:r>
      <w:r w:rsidRPr="00444D7A">
        <w:rPr>
          <w:rFonts w:cs="Calibri"/>
          <w:sz w:val="24"/>
        </w:rPr>
        <w:t xml:space="preserve">in relation to </w:t>
      </w:r>
      <w:r>
        <w:rPr>
          <w:rFonts w:cs="Calibri"/>
          <w:sz w:val="24"/>
        </w:rPr>
        <w:t>my</w:t>
      </w:r>
      <w:r w:rsidRPr="00444D7A">
        <w:rPr>
          <w:rFonts w:cs="Calibri"/>
          <w:sz w:val="24"/>
        </w:rPr>
        <w:t xml:space="preserve"> </w:t>
      </w:r>
      <w:r>
        <w:rPr>
          <w:rFonts w:cs="Calibri"/>
          <w:sz w:val="24"/>
        </w:rPr>
        <w:t xml:space="preserve">methods and </w:t>
      </w:r>
      <w:r w:rsidRPr="00444D7A">
        <w:rPr>
          <w:rFonts w:cs="Calibri"/>
          <w:sz w:val="24"/>
        </w:rPr>
        <w:t>approach.</w:t>
      </w:r>
      <w:r>
        <w:rPr>
          <w:rFonts w:cs="Calibri"/>
          <w:sz w:val="24"/>
        </w:rPr>
        <w:t xml:space="preserve"> </w:t>
      </w:r>
      <w:r w:rsidRPr="00444D7A">
        <w:rPr>
          <w:rFonts w:cs="Calibri"/>
          <w:sz w:val="24"/>
        </w:rPr>
        <w:t xml:space="preserve">The third section </w:t>
      </w:r>
      <w:r>
        <w:rPr>
          <w:rFonts w:cs="Calibri"/>
          <w:sz w:val="24"/>
        </w:rPr>
        <w:t xml:space="preserve">focuses on the rationale for </w:t>
      </w:r>
      <w:r w:rsidRPr="00444D7A">
        <w:rPr>
          <w:rFonts w:cs="Calibri"/>
          <w:sz w:val="24"/>
        </w:rPr>
        <w:t>my research questions</w:t>
      </w:r>
      <w:r>
        <w:rPr>
          <w:rFonts w:cs="Calibri"/>
          <w:sz w:val="24"/>
        </w:rPr>
        <w:t xml:space="preserve"> followed by a </w:t>
      </w:r>
      <w:r w:rsidRPr="00444D7A">
        <w:rPr>
          <w:rFonts w:cs="Calibri"/>
          <w:sz w:val="24"/>
        </w:rPr>
        <w:t>discuss</w:t>
      </w:r>
      <w:r>
        <w:rPr>
          <w:rFonts w:cs="Calibri"/>
          <w:sz w:val="24"/>
        </w:rPr>
        <w:t>ion</w:t>
      </w:r>
      <w:r w:rsidRPr="00444D7A">
        <w:rPr>
          <w:rFonts w:cs="Calibri"/>
          <w:sz w:val="24"/>
        </w:rPr>
        <w:t xml:space="preserve"> and evaluat</w:t>
      </w:r>
      <w:r>
        <w:rPr>
          <w:rFonts w:cs="Calibri"/>
          <w:sz w:val="24"/>
        </w:rPr>
        <w:t xml:space="preserve">ion of </w:t>
      </w:r>
      <w:r w:rsidRPr="00444D7A">
        <w:rPr>
          <w:rFonts w:cs="Calibri"/>
          <w:sz w:val="24"/>
        </w:rPr>
        <w:t>the two methods</w:t>
      </w:r>
      <w:r>
        <w:rPr>
          <w:rFonts w:cs="Calibri"/>
          <w:sz w:val="24"/>
        </w:rPr>
        <w:t xml:space="preserve"> fundamental to</w:t>
      </w:r>
      <w:r w:rsidRPr="00444D7A">
        <w:rPr>
          <w:rFonts w:cs="Calibri"/>
          <w:sz w:val="24"/>
        </w:rPr>
        <w:t xml:space="preserve"> this research. </w:t>
      </w:r>
      <w:r>
        <w:rPr>
          <w:rFonts w:cs="Calibri"/>
          <w:sz w:val="24"/>
        </w:rPr>
        <w:t>Subsequent to t</w:t>
      </w:r>
      <w:r w:rsidRPr="00444D7A">
        <w:rPr>
          <w:rFonts w:cs="Calibri"/>
          <w:sz w:val="24"/>
        </w:rPr>
        <w:t>his</w:t>
      </w:r>
      <w:r w:rsidR="00AD6328">
        <w:rPr>
          <w:rFonts w:cs="Calibri"/>
          <w:sz w:val="24"/>
        </w:rPr>
        <w:t>,</w:t>
      </w:r>
      <w:r w:rsidRPr="00444D7A">
        <w:rPr>
          <w:rFonts w:cs="Calibri"/>
          <w:sz w:val="24"/>
        </w:rPr>
        <w:t xml:space="preserve"> my pilot studies and </w:t>
      </w:r>
      <w:r>
        <w:rPr>
          <w:rFonts w:cs="Calibri"/>
          <w:sz w:val="24"/>
        </w:rPr>
        <w:t xml:space="preserve">the </w:t>
      </w:r>
      <w:r w:rsidR="00AD6328">
        <w:rPr>
          <w:rFonts w:cs="Calibri"/>
          <w:sz w:val="24"/>
        </w:rPr>
        <w:t xml:space="preserve">resulting </w:t>
      </w:r>
      <w:r w:rsidRPr="00444D7A">
        <w:rPr>
          <w:rFonts w:cs="Calibri"/>
          <w:sz w:val="24"/>
        </w:rPr>
        <w:t xml:space="preserve">amendments </w:t>
      </w:r>
      <w:r>
        <w:rPr>
          <w:rFonts w:cs="Calibri"/>
          <w:sz w:val="24"/>
        </w:rPr>
        <w:t>are presented</w:t>
      </w:r>
      <w:r w:rsidRPr="00444D7A">
        <w:rPr>
          <w:rFonts w:cs="Calibri"/>
          <w:sz w:val="24"/>
        </w:rPr>
        <w:t xml:space="preserve">. </w:t>
      </w:r>
      <w:r>
        <w:rPr>
          <w:rFonts w:cs="Calibri"/>
          <w:sz w:val="24"/>
        </w:rPr>
        <w:t>Justification for the selected sample of policy texts, schools and their respective</w:t>
      </w:r>
      <w:r w:rsidR="009F43D9">
        <w:rPr>
          <w:rFonts w:cs="Calibri"/>
          <w:sz w:val="24"/>
        </w:rPr>
        <w:t xml:space="preserve"> teachers is outlined alongside</w:t>
      </w:r>
      <w:r w:rsidRPr="00444D7A">
        <w:rPr>
          <w:rFonts w:cs="Calibri"/>
          <w:sz w:val="24"/>
        </w:rPr>
        <w:t xml:space="preserve"> my </w:t>
      </w:r>
      <w:r w:rsidR="00AD6328">
        <w:rPr>
          <w:rFonts w:cs="Calibri"/>
          <w:sz w:val="24"/>
        </w:rPr>
        <w:t xml:space="preserve">chosen </w:t>
      </w:r>
      <w:r w:rsidRPr="00444D7A">
        <w:rPr>
          <w:rFonts w:cs="Calibri"/>
          <w:sz w:val="24"/>
        </w:rPr>
        <w:t>methods of data analysis</w:t>
      </w:r>
      <w:r>
        <w:rPr>
          <w:rFonts w:cs="Calibri"/>
          <w:sz w:val="24"/>
        </w:rPr>
        <w:t xml:space="preserve"> </w:t>
      </w:r>
      <w:r w:rsidR="00AD6328">
        <w:rPr>
          <w:rFonts w:cs="Calibri"/>
          <w:sz w:val="24"/>
        </w:rPr>
        <w:t>for</w:t>
      </w:r>
      <w:r>
        <w:rPr>
          <w:rFonts w:cs="Calibri"/>
          <w:sz w:val="24"/>
        </w:rPr>
        <w:t xml:space="preserve"> the selected </w:t>
      </w:r>
      <w:r w:rsidRPr="00444D7A">
        <w:rPr>
          <w:rFonts w:cs="Calibri"/>
          <w:sz w:val="24"/>
        </w:rPr>
        <w:t xml:space="preserve">policy </w:t>
      </w:r>
      <w:r>
        <w:rPr>
          <w:rFonts w:cs="Calibri"/>
          <w:sz w:val="24"/>
        </w:rPr>
        <w:t xml:space="preserve">text and </w:t>
      </w:r>
      <w:r w:rsidRPr="00444D7A">
        <w:rPr>
          <w:rFonts w:cs="Calibri"/>
          <w:sz w:val="24"/>
        </w:rPr>
        <w:t>semi</w:t>
      </w:r>
      <w:r>
        <w:rPr>
          <w:rFonts w:cs="Calibri"/>
          <w:sz w:val="24"/>
        </w:rPr>
        <w:t>-</w:t>
      </w:r>
      <w:r w:rsidRPr="00444D7A">
        <w:rPr>
          <w:rFonts w:cs="Calibri"/>
          <w:sz w:val="24"/>
        </w:rPr>
        <w:t xml:space="preserve">structured interviews. </w:t>
      </w:r>
      <w:r>
        <w:rPr>
          <w:rFonts w:cs="Calibri"/>
          <w:sz w:val="24"/>
        </w:rPr>
        <w:t xml:space="preserve">In </w:t>
      </w:r>
      <w:r w:rsidR="00AD6328">
        <w:rPr>
          <w:rFonts w:cs="Calibri"/>
          <w:sz w:val="24"/>
        </w:rPr>
        <w:t>S</w:t>
      </w:r>
      <w:r>
        <w:rPr>
          <w:rFonts w:cs="Calibri"/>
          <w:sz w:val="24"/>
        </w:rPr>
        <w:t xml:space="preserve">ection </w:t>
      </w:r>
      <w:r w:rsidR="00AD6328">
        <w:rPr>
          <w:rFonts w:cs="Calibri"/>
          <w:sz w:val="24"/>
        </w:rPr>
        <w:t>5,</w:t>
      </w:r>
      <w:r>
        <w:rPr>
          <w:rFonts w:cs="Calibri"/>
          <w:sz w:val="24"/>
        </w:rPr>
        <w:t xml:space="preserve"> I </w:t>
      </w:r>
      <w:r w:rsidRPr="00444D7A">
        <w:rPr>
          <w:rFonts w:cs="Calibri"/>
          <w:sz w:val="24"/>
        </w:rPr>
        <w:t xml:space="preserve">consider the ethical </w:t>
      </w:r>
      <w:r>
        <w:rPr>
          <w:rFonts w:cs="Calibri"/>
          <w:sz w:val="24"/>
        </w:rPr>
        <w:t xml:space="preserve">review process and ethical </w:t>
      </w:r>
      <w:r w:rsidRPr="00444D7A">
        <w:rPr>
          <w:rFonts w:cs="Calibri"/>
          <w:sz w:val="24"/>
        </w:rPr>
        <w:t>issues</w:t>
      </w:r>
      <w:r>
        <w:rPr>
          <w:rFonts w:cs="Calibri"/>
          <w:sz w:val="24"/>
        </w:rPr>
        <w:t xml:space="preserve"> in terms of the trustworthiness </w:t>
      </w:r>
      <w:r w:rsidRPr="00444D7A">
        <w:rPr>
          <w:rFonts w:cs="Calibri"/>
          <w:sz w:val="24"/>
        </w:rPr>
        <w:t xml:space="preserve">of my research study. Section </w:t>
      </w:r>
      <w:r w:rsidR="00AD6328">
        <w:rPr>
          <w:rFonts w:cs="Calibri"/>
          <w:sz w:val="24"/>
        </w:rPr>
        <w:t>6</w:t>
      </w:r>
      <w:r w:rsidRPr="00444D7A">
        <w:rPr>
          <w:rFonts w:cs="Calibri"/>
          <w:sz w:val="24"/>
        </w:rPr>
        <w:t xml:space="preserve"> </w:t>
      </w:r>
      <w:r>
        <w:rPr>
          <w:rFonts w:cs="Calibri"/>
          <w:sz w:val="24"/>
        </w:rPr>
        <w:t>explores practical issues surrounding my methodological approach</w:t>
      </w:r>
      <w:r w:rsidR="00AD6328">
        <w:rPr>
          <w:rFonts w:cs="Calibri"/>
          <w:sz w:val="24"/>
        </w:rPr>
        <w:t>,</w:t>
      </w:r>
      <w:r>
        <w:rPr>
          <w:rFonts w:cs="Calibri"/>
          <w:sz w:val="24"/>
        </w:rPr>
        <w:t xml:space="preserve"> alongside the </w:t>
      </w:r>
      <w:r w:rsidRPr="00444D7A">
        <w:rPr>
          <w:rFonts w:cs="Calibri"/>
          <w:sz w:val="24"/>
        </w:rPr>
        <w:t xml:space="preserve">issues that arose during the data collection stages </w:t>
      </w:r>
      <w:r w:rsidR="009F43D9">
        <w:rPr>
          <w:rFonts w:cs="Calibri"/>
          <w:sz w:val="24"/>
        </w:rPr>
        <w:t>and the</w:t>
      </w:r>
      <w:r>
        <w:rPr>
          <w:rFonts w:cs="Calibri"/>
          <w:sz w:val="24"/>
        </w:rPr>
        <w:t xml:space="preserve"> impact and potential </w:t>
      </w:r>
      <w:r w:rsidRPr="00444D7A">
        <w:rPr>
          <w:rFonts w:cs="Calibri"/>
          <w:sz w:val="24"/>
        </w:rPr>
        <w:t xml:space="preserve">consequences for the research and findings. </w:t>
      </w:r>
      <w:r>
        <w:rPr>
          <w:rFonts w:cs="Calibri"/>
          <w:sz w:val="24"/>
        </w:rPr>
        <w:t>In the final section, I discuss</w:t>
      </w:r>
      <w:r w:rsidRPr="00444D7A">
        <w:rPr>
          <w:rFonts w:cs="Calibri"/>
          <w:sz w:val="24"/>
        </w:rPr>
        <w:t xml:space="preserve"> my reflections </w:t>
      </w:r>
      <w:r w:rsidR="00AD6328">
        <w:rPr>
          <w:rFonts w:cs="Calibri"/>
          <w:sz w:val="24"/>
        </w:rPr>
        <w:t>on</w:t>
      </w:r>
      <w:r w:rsidRPr="00444D7A">
        <w:rPr>
          <w:rFonts w:cs="Calibri"/>
          <w:sz w:val="24"/>
        </w:rPr>
        <w:t xml:space="preserve"> the planning and execution of the methodology, methods and data collection, considering</w:t>
      </w:r>
      <w:r>
        <w:rPr>
          <w:rFonts w:cs="Calibri"/>
          <w:sz w:val="24"/>
        </w:rPr>
        <w:t xml:space="preserve"> the</w:t>
      </w:r>
      <w:r w:rsidRPr="00444D7A">
        <w:rPr>
          <w:rFonts w:cs="Calibri"/>
          <w:sz w:val="24"/>
        </w:rPr>
        <w:t xml:space="preserve"> strengths </w:t>
      </w:r>
      <w:r>
        <w:rPr>
          <w:rFonts w:cs="Calibri"/>
          <w:sz w:val="24"/>
        </w:rPr>
        <w:t>in light of</w:t>
      </w:r>
      <w:r w:rsidRPr="00444D7A">
        <w:rPr>
          <w:rFonts w:cs="Calibri"/>
          <w:sz w:val="24"/>
        </w:rPr>
        <w:t xml:space="preserve"> these. In conclusion, I reflect on the </w:t>
      </w:r>
      <w:r>
        <w:rPr>
          <w:rFonts w:cs="Calibri"/>
          <w:sz w:val="24"/>
        </w:rPr>
        <w:t xml:space="preserve">strengths and weaknesses of my chosen methodological approach and methods and </w:t>
      </w:r>
      <w:r w:rsidR="00AD6328">
        <w:rPr>
          <w:rFonts w:cs="Calibri"/>
          <w:sz w:val="24"/>
        </w:rPr>
        <w:t xml:space="preserve">outline the </w:t>
      </w:r>
      <w:r>
        <w:rPr>
          <w:rFonts w:cs="Calibri"/>
          <w:sz w:val="24"/>
        </w:rPr>
        <w:t xml:space="preserve">impact such decisions had on the study. </w:t>
      </w:r>
    </w:p>
    <w:p w14:paraId="43CC0E26" w14:textId="077BC484" w:rsidR="00A75A8F" w:rsidRPr="00444D7A" w:rsidRDefault="00A75A8F" w:rsidP="00531995">
      <w:pPr>
        <w:pStyle w:val="Heading2"/>
      </w:pPr>
      <w:bookmarkStart w:id="40" w:name="_Toc452316324"/>
      <w:r w:rsidRPr="00444D7A">
        <w:t>3.</w:t>
      </w:r>
      <w:r w:rsidR="005D4630">
        <w:t>2</w:t>
      </w:r>
      <w:r w:rsidRPr="00444D7A">
        <w:t xml:space="preserve"> Methodology</w:t>
      </w:r>
      <w:bookmarkEnd w:id="40"/>
      <w:r w:rsidRPr="00444D7A">
        <w:t xml:space="preserve"> </w:t>
      </w:r>
    </w:p>
    <w:p w14:paraId="07612DFA" w14:textId="3D53FCB1" w:rsidR="00A75A8F" w:rsidRDefault="00A75A8F" w:rsidP="003A47A6">
      <w:pPr>
        <w:spacing w:line="360" w:lineRule="auto"/>
        <w:rPr>
          <w:rFonts w:cs="Calibri"/>
          <w:sz w:val="24"/>
        </w:rPr>
      </w:pPr>
      <w:r w:rsidRPr="00444D7A">
        <w:rPr>
          <w:rFonts w:cs="Calibri"/>
          <w:sz w:val="24"/>
        </w:rPr>
        <w:t xml:space="preserve">Methodology is the underlying theory and understanding </w:t>
      </w:r>
      <w:r w:rsidR="00262BE8">
        <w:rPr>
          <w:rFonts w:cs="Calibri"/>
          <w:sz w:val="24"/>
        </w:rPr>
        <w:t>through</w:t>
      </w:r>
      <w:r w:rsidRPr="00444D7A">
        <w:rPr>
          <w:rFonts w:cs="Calibri"/>
          <w:sz w:val="24"/>
        </w:rPr>
        <w:t xml:space="preserve"> which researchers believe that they</w:t>
      </w:r>
      <w:r>
        <w:rPr>
          <w:rFonts w:cs="Calibri"/>
          <w:sz w:val="24"/>
        </w:rPr>
        <w:t xml:space="preserve"> </w:t>
      </w:r>
      <w:r w:rsidRPr="00444D7A">
        <w:rPr>
          <w:rFonts w:cs="Calibri"/>
          <w:sz w:val="24"/>
        </w:rPr>
        <w:t>can best access and acquire knowledge about the</w:t>
      </w:r>
      <w:r>
        <w:rPr>
          <w:rFonts w:cs="Calibri"/>
          <w:sz w:val="24"/>
        </w:rPr>
        <w:t>ir</w:t>
      </w:r>
      <w:r w:rsidRPr="00444D7A">
        <w:rPr>
          <w:rFonts w:cs="Calibri"/>
          <w:sz w:val="24"/>
        </w:rPr>
        <w:t xml:space="preserve"> research area</w:t>
      </w:r>
      <w:r w:rsidR="00262BE8">
        <w:rPr>
          <w:rFonts w:cs="Calibri"/>
          <w:sz w:val="24"/>
        </w:rPr>
        <w:t>,</w:t>
      </w:r>
      <w:r>
        <w:rPr>
          <w:rFonts w:cs="Calibri"/>
          <w:sz w:val="24"/>
        </w:rPr>
        <w:t xml:space="preserve"> influenced by their beliefs about the organisation of the social world</w:t>
      </w:r>
      <w:r w:rsidR="009F43D9">
        <w:rPr>
          <w:rFonts w:cs="Calibri"/>
          <w:sz w:val="24"/>
        </w:rPr>
        <w:t>. Clough and Nutbrown</w:t>
      </w:r>
      <w:r>
        <w:rPr>
          <w:rFonts w:cs="Calibri"/>
          <w:sz w:val="24"/>
        </w:rPr>
        <w:t xml:space="preserve"> </w:t>
      </w:r>
      <w:r w:rsidRPr="00444D7A">
        <w:rPr>
          <w:rFonts w:cs="Calibri"/>
          <w:sz w:val="24"/>
        </w:rPr>
        <w:t xml:space="preserve">argue that methodology </w:t>
      </w:r>
      <w:r>
        <w:rPr>
          <w:rFonts w:cs="Calibri"/>
          <w:sz w:val="24"/>
        </w:rPr>
        <w:t>involves</w:t>
      </w:r>
      <w:r w:rsidRPr="00444D7A">
        <w:rPr>
          <w:rFonts w:cs="Calibri"/>
          <w:sz w:val="24"/>
        </w:rPr>
        <w:t xml:space="preserve"> justification (</w:t>
      </w:r>
      <w:r w:rsidR="009F43D9">
        <w:rPr>
          <w:rFonts w:cs="Calibri"/>
          <w:sz w:val="24"/>
        </w:rPr>
        <w:t>2002</w:t>
      </w:r>
      <w:r w:rsidR="00262BE8">
        <w:rPr>
          <w:rFonts w:cs="Calibri"/>
          <w:sz w:val="24"/>
        </w:rPr>
        <w:t>,</w:t>
      </w:r>
      <w:r w:rsidR="009F43D9">
        <w:rPr>
          <w:rFonts w:cs="Calibri"/>
          <w:sz w:val="24"/>
        </w:rPr>
        <w:t xml:space="preserve"> </w:t>
      </w:r>
      <w:r w:rsidRPr="00444D7A">
        <w:rPr>
          <w:rFonts w:cs="Calibri"/>
          <w:sz w:val="24"/>
        </w:rPr>
        <w:t xml:space="preserve">p.30) based on </w:t>
      </w:r>
      <w:r>
        <w:rPr>
          <w:rFonts w:cs="Calibri"/>
          <w:sz w:val="24"/>
        </w:rPr>
        <w:t xml:space="preserve">the </w:t>
      </w:r>
      <w:r w:rsidRPr="00444D7A">
        <w:rPr>
          <w:rFonts w:cs="Calibri"/>
          <w:sz w:val="24"/>
        </w:rPr>
        <w:t>underlying values and assumptions of the researcher</w:t>
      </w:r>
      <w:r w:rsidR="00262BE8">
        <w:rPr>
          <w:rFonts w:cs="Calibri"/>
          <w:sz w:val="24"/>
        </w:rPr>
        <w:t>,</w:t>
      </w:r>
      <w:r w:rsidRPr="00444D7A">
        <w:rPr>
          <w:rFonts w:cs="Calibri"/>
          <w:sz w:val="24"/>
        </w:rPr>
        <w:t xml:space="preserve"> which provide the reasons and</w:t>
      </w:r>
      <w:r>
        <w:rPr>
          <w:rFonts w:cs="Calibri"/>
          <w:sz w:val="24"/>
        </w:rPr>
        <w:t xml:space="preserve"> rationale</w:t>
      </w:r>
      <w:r w:rsidRPr="00444D7A">
        <w:rPr>
          <w:rFonts w:cs="Calibri"/>
          <w:sz w:val="24"/>
        </w:rPr>
        <w:t xml:space="preserve"> for the research including the research design</w:t>
      </w:r>
      <w:r>
        <w:rPr>
          <w:rFonts w:cs="Calibri"/>
          <w:sz w:val="24"/>
        </w:rPr>
        <w:t>,</w:t>
      </w:r>
      <w:r w:rsidRPr="00444D7A">
        <w:rPr>
          <w:rFonts w:cs="Calibri"/>
          <w:sz w:val="24"/>
        </w:rPr>
        <w:t xml:space="preserve"> research questions</w:t>
      </w:r>
      <w:r>
        <w:rPr>
          <w:rFonts w:cs="Calibri"/>
          <w:sz w:val="24"/>
        </w:rPr>
        <w:t xml:space="preserve">, </w:t>
      </w:r>
      <w:r w:rsidRPr="00444D7A">
        <w:rPr>
          <w:rFonts w:cs="Calibri"/>
          <w:sz w:val="24"/>
        </w:rPr>
        <w:t>methods selected</w:t>
      </w:r>
      <w:r>
        <w:rPr>
          <w:rFonts w:cs="Calibri"/>
          <w:sz w:val="24"/>
        </w:rPr>
        <w:t>,</w:t>
      </w:r>
      <w:r w:rsidRPr="00444D7A">
        <w:rPr>
          <w:rFonts w:cs="Calibri"/>
          <w:sz w:val="24"/>
        </w:rPr>
        <w:t xml:space="preserve"> field questions</w:t>
      </w:r>
      <w:r>
        <w:rPr>
          <w:rFonts w:cs="Calibri"/>
          <w:sz w:val="24"/>
        </w:rPr>
        <w:t>,</w:t>
      </w:r>
      <w:r w:rsidRPr="00444D7A">
        <w:rPr>
          <w:rFonts w:cs="Calibri"/>
          <w:sz w:val="24"/>
        </w:rPr>
        <w:t xml:space="preserve"> type and style of analysis undertaken and the</w:t>
      </w:r>
      <w:r w:rsidR="00262BE8">
        <w:rPr>
          <w:rFonts w:cs="Calibri"/>
          <w:sz w:val="24"/>
        </w:rPr>
        <w:t xml:space="preserve"> resulting</w:t>
      </w:r>
      <w:r w:rsidRPr="00444D7A">
        <w:rPr>
          <w:rFonts w:cs="Calibri"/>
          <w:sz w:val="24"/>
        </w:rPr>
        <w:t xml:space="preserve"> conclusions.</w:t>
      </w:r>
      <w:r>
        <w:rPr>
          <w:rFonts w:cs="Calibri"/>
          <w:sz w:val="24"/>
        </w:rPr>
        <w:t xml:space="preserve"> They </w:t>
      </w:r>
      <w:r w:rsidRPr="00444D7A">
        <w:rPr>
          <w:rFonts w:cs="Calibri"/>
          <w:sz w:val="24"/>
        </w:rPr>
        <w:t>argu</w:t>
      </w:r>
      <w:r>
        <w:rPr>
          <w:rFonts w:cs="Calibri"/>
          <w:sz w:val="24"/>
        </w:rPr>
        <w:t>e</w:t>
      </w:r>
      <w:r w:rsidRPr="00444D7A">
        <w:rPr>
          <w:rFonts w:cs="Calibri"/>
          <w:sz w:val="24"/>
        </w:rPr>
        <w:t xml:space="preserve"> that the </w:t>
      </w:r>
      <w:r>
        <w:rPr>
          <w:rFonts w:cs="Calibri"/>
          <w:sz w:val="24"/>
        </w:rPr>
        <w:t xml:space="preserve">whole process of </w:t>
      </w:r>
      <w:r w:rsidRPr="00444D7A">
        <w:rPr>
          <w:rFonts w:cs="Calibri"/>
          <w:sz w:val="24"/>
        </w:rPr>
        <w:t xml:space="preserve">research is methodological. </w:t>
      </w:r>
      <w:r w:rsidR="00262BE8">
        <w:rPr>
          <w:rFonts w:cs="Calibri"/>
          <w:sz w:val="24"/>
        </w:rPr>
        <w:t>In</w:t>
      </w:r>
      <w:r w:rsidRPr="00444D7A">
        <w:rPr>
          <w:rFonts w:cs="Calibri"/>
          <w:sz w:val="24"/>
        </w:rPr>
        <w:t xml:space="preserve"> contrast, methods are the particular research tools </w:t>
      </w:r>
      <w:r w:rsidRPr="00444D7A">
        <w:rPr>
          <w:rFonts w:cs="Calibri"/>
          <w:sz w:val="24"/>
        </w:rPr>
        <w:lastRenderedPageBreak/>
        <w:t xml:space="preserve">that a researcher </w:t>
      </w:r>
      <w:r>
        <w:rPr>
          <w:rFonts w:cs="Calibri"/>
          <w:sz w:val="24"/>
        </w:rPr>
        <w:t xml:space="preserve">uses to collect </w:t>
      </w:r>
      <w:r w:rsidR="00262BE8">
        <w:rPr>
          <w:rFonts w:cs="Calibri"/>
          <w:sz w:val="24"/>
        </w:rPr>
        <w:t xml:space="preserve">the </w:t>
      </w:r>
      <w:r>
        <w:rPr>
          <w:rFonts w:cs="Calibri"/>
          <w:sz w:val="24"/>
        </w:rPr>
        <w:t xml:space="preserve">data that </w:t>
      </w:r>
      <w:r w:rsidRPr="00444D7A">
        <w:rPr>
          <w:rFonts w:cs="Calibri"/>
          <w:sz w:val="24"/>
        </w:rPr>
        <w:t>will best illuminate the issue under investigation</w:t>
      </w:r>
      <w:r>
        <w:rPr>
          <w:rFonts w:cs="Calibri"/>
          <w:sz w:val="24"/>
        </w:rPr>
        <w:t xml:space="preserve">. Data collection methods are selected on the </w:t>
      </w:r>
      <w:r w:rsidRPr="00444D7A">
        <w:rPr>
          <w:rFonts w:cs="Calibri"/>
          <w:sz w:val="24"/>
        </w:rPr>
        <w:t>bas</w:t>
      </w:r>
      <w:r>
        <w:rPr>
          <w:rFonts w:cs="Calibri"/>
          <w:sz w:val="24"/>
        </w:rPr>
        <w:t>is</w:t>
      </w:r>
      <w:r w:rsidRPr="00444D7A">
        <w:rPr>
          <w:rFonts w:cs="Calibri"/>
          <w:sz w:val="24"/>
        </w:rPr>
        <w:t xml:space="preserve"> o</w:t>
      </w:r>
      <w:r>
        <w:rPr>
          <w:rFonts w:cs="Calibri"/>
          <w:sz w:val="24"/>
        </w:rPr>
        <w:t xml:space="preserve">f the researcher’s </w:t>
      </w:r>
      <w:r w:rsidRPr="00444D7A">
        <w:rPr>
          <w:rFonts w:cs="Calibri"/>
          <w:sz w:val="24"/>
        </w:rPr>
        <w:t>underlying methodological beliefs</w:t>
      </w:r>
      <w:r w:rsidR="00262BE8">
        <w:rPr>
          <w:rFonts w:cs="Calibri"/>
          <w:sz w:val="24"/>
        </w:rPr>
        <w:t>,</w:t>
      </w:r>
      <w:r>
        <w:rPr>
          <w:rFonts w:cs="Calibri"/>
          <w:sz w:val="24"/>
        </w:rPr>
        <w:t xml:space="preserve"> encapsulated in his/her ontological and epistemological beliefs. An exploration of these concepts leads onto a discussion about my own methodological positionality.</w:t>
      </w:r>
    </w:p>
    <w:p w14:paraId="362D7DE7" w14:textId="322EA4B7" w:rsidR="00A75A8F" w:rsidRDefault="00A75A8F" w:rsidP="00531995">
      <w:pPr>
        <w:pStyle w:val="Heading3"/>
      </w:pPr>
      <w:bookmarkStart w:id="41" w:name="_Toc452316325"/>
      <w:r w:rsidRPr="00710981">
        <w:t>3.</w:t>
      </w:r>
      <w:r w:rsidR="005D4630">
        <w:t>2</w:t>
      </w:r>
      <w:r>
        <w:t>.1.</w:t>
      </w:r>
      <w:r w:rsidRPr="00710981">
        <w:t xml:space="preserve"> Ontology and epistemology</w:t>
      </w:r>
      <w:bookmarkEnd w:id="41"/>
    </w:p>
    <w:p w14:paraId="0A43D599" w14:textId="4AB60B75" w:rsidR="00A75A8F" w:rsidRDefault="00A75A8F" w:rsidP="00A75A8F">
      <w:pPr>
        <w:spacing w:after="0" w:line="360" w:lineRule="auto"/>
        <w:rPr>
          <w:rFonts w:cs="Calibri"/>
          <w:sz w:val="24"/>
        </w:rPr>
      </w:pPr>
      <w:r>
        <w:rPr>
          <w:rFonts w:cs="Calibri"/>
          <w:sz w:val="24"/>
        </w:rPr>
        <w:t xml:space="preserve"> </w:t>
      </w:r>
      <w:r w:rsidR="005901E6">
        <w:rPr>
          <w:rFonts w:cs="Calibri"/>
          <w:sz w:val="24"/>
        </w:rPr>
        <w:t>Ontology is the b</w:t>
      </w:r>
      <w:r w:rsidRPr="00444D7A">
        <w:rPr>
          <w:rFonts w:cs="Calibri"/>
          <w:sz w:val="24"/>
        </w:rPr>
        <w:t>eliefs held about social reality, “the nature or essence of things” (Sikes</w:t>
      </w:r>
      <w:r w:rsidR="00262BE8">
        <w:rPr>
          <w:rFonts w:cs="Calibri"/>
          <w:sz w:val="24"/>
        </w:rPr>
        <w:t>,</w:t>
      </w:r>
      <w:r w:rsidRPr="00444D7A">
        <w:rPr>
          <w:rFonts w:cs="Calibri"/>
          <w:sz w:val="24"/>
        </w:rPr>
        <w:t xml:space="preserve"> 2004, p.19). </w:t>
      </w:r>
      <w:r>
        <w:rPr>
          <w:rFonts w:cs="Calibri"/>
          <w:sz w:val="24"/>
        </w:rPr>
        <w:t>I</w:t>
      </w:r>
      <w:r w:rsidRPr="00444D7A">
        <w:rPr>
          <w:rFonts w:cs="Calibri"/>
          <w:sz w:val="24"/>
        </w:rPr>
        <w:t>f social reality is seen as independent and external to individuals, set and real in an objective sense, a researcher hold</w:t>
      </w:r>
      <w:r>
        <w:rPr>
          <w:rFonts w:cs="Calibri"/>
          <w:sz w:val="24"/>
        </w:rPr>
        <w:t>s</w:t>
      </w:r>
      <w:r w:rsidRPr="00444D7A">
        <w:rPr>
          <w:rFonts w:cs="Calibri"/>
          <w:sz w:val="24"/>
        </w:rPr>
        <w:t xml:space="preserve"> a positivist view of the world and </w:t>
      </w:r>
      <w:r>
        <w:rPr>
          <w:rFonts w:cs="Calibri"/>
          <w:sz w:val="24"/>
        </w:rPr>
        <w:t>prefers</w:t>
      </w:r>
      <w:r w:rsidRPr="00444D7A">
        <w:rPr>
          <w:rFonts w:cs="Calibri"/>
          <w:sz w:val="24"/>
        </w:rPr>
        <w:t xml:space="preserve"> to study observable</w:t>
      </w:r>
      <w:r>
        <w:rPr>
          <w:rFonts w:cs="Calibri"/>
          <w:sz w:val="24"/>
        </w:rPr>
        <w:t>, quantifiable</w:t>
      </w:r>
      <w:r w:rsidRPr="00444D7A">
        <w:rPr>
          <w:rFonts w:cs="Calibri"/>
          <w:sz w:val="24"/>
        </w:rPr>
        <w:t xml:space="preserve"> data. In contrast, if social reality is seen as </w:t>
      </w:r>
      <w:r w:rsidR="00262BE8">
        <w:rPr>
          <w:rFonts w:cs="Calibri"/>
          <w:sz w:val="24"/>
        </w:rPr>
        <w:t xml:space="preserve">a </w:t>
      </w:r>
      <w:r w:rsidRPr="00444D7A">
        <w:rPr>
          <w:rFonts w:cs="Calibri"/>
          <w:sz w:val="24"/>
        </w:rPr>
        <w:t>subjective, socially constructed experience, expressed through language, a researcher</w:t>
      </w:r>
      <w:r>
        <w:rPr>
          <w:rFonts w:cs="Calibri"/>
          <w:sz w:val="24"/>
        </w:rPr>
        <w:t xml:space="preserve"> </w:t>
      </w:r>
      <w:r w:rsidRPr="00444D7A">
        <w:rPr>
          <w:rFonts w:cs="Calibri"/>
          <w:sz w:val="24"/>
        </w:rPr>
        <w:t>hold</w:t>
      </w:r>
      <w:r>
        <w:rPr>
          <w:rFonts w:cs="Calibri"/>
          <w:sz w:val="24"/>
        </w:rPr>
        <w:t>s</w:t>
      </w:r>
      <w:r w:rsidRPr="00444D7A">
        <w:rPr>
          <w:rFonts w:cs="Calibri"/>
          <w:sz w:val="24"/>
        </w:rPr>
        <w:t xml:space="preserve"> an interpretivist position and </w:t>
      </w:r>
      <w:r>
        <w:rPr>
          <w:rFonts w:cs="Calibri"/>
          <w:sz w:val="24"/>
        </w:rPr>
        <w:t>prefers</w:t>
      </w:r>
      <w:r w:rsidRPr="00444D7A">
        <w:rPr>
          <w:rFonts w:cs="Calibri"/>
          <w:sz w:val="24"/>
        </w:rPr>
        <w:t xml:space="preserve"> personal accounts of thoughts and perceptions using qualitative techniques. </w:t>
      </w:r>
      <w:r>
        <w:rPr>
          <w:rFonts w:cs="Calibri"/>
          <w:sz w:val="24"/>
        </w:rPr>
        <w:t>In r</w:t>
      </w:r>
      <w:r w:rsidR="00262BE8">
        <w:rPr>
          <w:rFonts w:cs="Calibri"/>
          <w:sz w:val="24"/>
        </w:rPr>
        <w:t>eality, however</w:t>
      </w:r>
      <w:r>
        <w:rPr>
          <w:rFonts w:cs="Calibri"/>
          <w:sz w:val="24"/>
        </w:rPr>
        <w:t xml:space="preserve"> such a binary</w:t>
      </w:r>
      <w:r w:rsidR="00262BE8">
        <w:rPr>
          <w:rFonts w:cs="Calibri"/>
          <w:sz w:val="24"/>
        </w:rPr>
        <w:t xml:space="preserve"> distinction</w:t>
      </w:r>
      <w:r>
        <w:rPr>
          <w:rFonts w:cs="Calibri"/>
          <w:sz w:val="24"/>
        </w:rPr>
        <w:t xml:space="preserve"> is never as clear as this and indeed “the two approaches can complement each other” (Wellington</w:t>
      </w:r>
      <w:r w:rsidR="00262BE8">
        <w:rPr>
          <w:rFonts w:cs="Calibri"/>
          <w:sz w:val="24"/>
        </w:rPr>
        <w:t>,</w:t>
      </w:r>
      <w:r>
        <w:rPr>
          <w:rFonts w:cs="Calibri"/>
          <w:sz w:val="24"/>
        </w:rPr>
        <w:t xml:space="preserve"> 2000, p.17).</w:t>
      </w:r>
    </w:p>
    <w:p w14:paraId="6765F76A" w14:textId="77777777" w:rsidR="00A75A8F" w:rsidRDefault="00A75A8F" w:rsidP="00A75A8F">
      <w:pPr>
        <w:spacing w:after="0" w:line="360" w:lineRule="auto"/>
        <w:rPr>
          <w:rFonts w:cs="Calibri"/>
          <w:sz w:val="24"/>
        </w:rPr>
      </w:pPr>
    </w:p>
    <w:p w14:paraId="4DD19D7C" w14:textId="3B58A32B" w:rsidR="00A75A8F" w:rsidRPr="00444D7A" w:rsidRDefault="005901E6" w:rsidP="00531995">
      <w:pPr>
        <w:spacing w:after="120" w:line="360" w:lineRule="auto"/>
        <w:rPr>
          <w:rFonts w:cs="Calibri"/>
          <w:sz w:val="24"/>
        </w:rPr>
      </w:pPr>
      <w:r>
        <w:rPr>
          <w:rFonts w:cs="Calibri"/>
          <w:sz w:val="24"/>
        </w:rPr>
        <w:t>Epistemology is</w:t>
      </w:r>
      <w:r w:rsidR="00A75A8F" w:rsidRPr="00444D7A">
        <w:rPr>
          <w:rFonts w:cs="Calibri"/>
          <w:sz w:val="24"/>
        </w:rPr>
        <w:t xml:space="preserve"> the theory of knowledge and what it is possible to know. Sikes comments that:</w:t>
      </w:r>
    </w:p>
    <w:p w14:paraId="7D93812C" w14:textId="77777777" w:rsidR="00A75A8F" w:rsidRDefault="00A75A8F" w:rsidP="00A75A8F">
      <w:pPr>
        <w:spacing w:after="0" w:line="240" w:lineRule="auto"/>
        <w:ind w:left="720"/>
        <w:rPr>
          <w:rFonts w:cs="Calibri"/>
          <w:sz w:val="24"/>
        </w:rPr>
      </w:pPr>
      <w:r w:rsidRPr="00444D7A">
        <w:rPr>
          <w:rFonts w:cs="Calibri"/>
          <w:sz w:val="24"/>
        </w:rPr>
        <w:t>Central to such concern is the notion of “truth”: truth in terms of how the data/evidence that research procedures obtain</w:t>
      </w:r>
      <w:r>
        <w:rPr>
          <w:rFonts w:cs="Calibri"/>
          <w:sz w:val="24"/>
        </w:rPr>
        <w:t>,</w:t>
      </w:r>
      <w:r w:rsidRPr="00444D7A">
        <w:rPr>
          <w:rFonts w:cs="Calibri"/>
          <w:sz w:val="24"/>
        </w:rPr>
        <w:t xml:space="preserve"> corresponds to and reflects the knowledge it is claimed that it does; and truth in terms of how the researcher communicates and re-presents the knowledge they get from their research (</w:t>
      </w:r>
      <w:r>
        <w:rPr>
          <w:rFonts w:cs="Calibri"/>
          <w:sz w:val="24"/>
        </w:rPr>
        <w:t xml:space="preserve">2004, </w:t>
      </w:r>
      <w:r w:rsidRPr="00444D7A">
        <w:rPr>
          <w:rFonts w:cs="Calibri"/>
          <w:sz w:val="24"/>
        </w:rPr>
        <w:t>p.21).</w:t>
      </w:r>
      <w:r>
        <w:rPr>
          <w:rFonts w:cs="Calibri"/>
          <w:sz w:val="24"/>
        </w:rPr>
        <w:t xml:space="preserve"> </w:t>
      </w:r>
    </w:p>
    <w:p w14:paraId="1ECF811A" w14:textId="77777777" w:rsidR="00A75A8F" w:rsidRPr="00444D7A" w:rsidRDefault="00A75A8F" w:rsidP="00A75A8F">
      <w:pPr>
        <w:spacing w:after="0" w:line="240" w:lineRule="auto"/>
        <w:ind w:left="720"/>
        <w:rPr>
          <w:rFonts w:cs="Calibri"/>
          <w:sz w:val="24"/>
        </w:rPr>
      </w:pPr>
    </w:p>
    <w:p w14:paraId="19988FB3" w14:textId="2A2474CF" w:rsidR="00A75A8F" w:rsidRDefault="00A75A8F" w:rsidP="00A75A8F">
      <w:pPr>
        <w:spacing w:after="0" w:line="360" w:lineRule="auto"/>
        <w:rPr>
          <w:rFonts w:cs="Calibri"/>
          <w:sz w:val="24"/>
        </w:rPr>
      </w:pPr>
      <w:r>
        <w:rPr>
          <w:rFonts w:cs="Calibri"/>
          <w:sz w:val="24"/>
        </w:rPr>
        <w:t>Sikes suggests that the understanding and value a researcher places on different types of data directly affect the choice of method and generation of different types of knowledge. A</w:t>
      </w:r>
      <w:r w:rsidRPr="00444D7A">
        <w:rPr>
          <w:rFonts w:cs="Calibri"/>
          <w:sz w:val="24"/>
        </w:rPr>
        <w:t xml:space="preserve"> positivist researcher who value</w:t>
      </w:r>
      <w:r>
        <w:rPr>
          <w:rFonts w:cs="Calibri"/>
          <w:sz w:val="24"/>
        </w:rPr>
        <w:t>s</w:t>
      </w:r>
      <w:r w:rsidRPr="00444D7A">
        <w:rPr>
          <w:rFonts w:cs="Calibri"/>
          <w:sz w:val="24"/>
        </w:rPr>
        <w:t xml:space="preserve"> objective</w:t>
      </w:r>
      <w:r>
        <w:rPr>
          <w:rFonts w:cs="Calibri"/>
          <w:sz w:val="24"/>
        </w:rPr>
        <w:t>,</w:t>
      </w:r>
      <w:r w:rsidRPr="00444D7A">
        <w:rPr>
          <w:rFonts w:cs="Calibri"/>
          <w:sz w:val="24"/>
        </w:rPr>
        <w:t xml:space="preserve"> quantifiable data as a reflection of the truth collects and presents knowledge that is measurable and observable. </w:t>
      </w:r>
      <w:r>
        <w:rPr>
          <w:rFonts w:cs="Calibri"/>
          <w:sz w:val="24"/>
        </w:rPr>
        <w:t>T</w:t>
      </w:r>
      <w:r w:rsidRPr="00444D7A">
        <w:rPr>
          <w:rFonts w:cs="Calibri"/>
          <w:sz w:val="24"/>
        </w:rPr>
        <w:t>hey may conduct a large scale social survey using methods such as a questionnaire</w:t>
      </w:r>
      <w:r>
        <w:rPr>
          <w:rFonts w:cs="Calibri"/>
          <w:sz w:val="24"/>
        </w:rPr>
        <w:t xml:space="preserve"> in order to collect ‘reliable’ statistical data from which comparisons can be drawn in order to produce trends and key st</w:t>
      </w:r>
      <w:r w:rsidR="009F43D9">
        <w:rPr>
          <w:rFonts w:cs="Calibri"/>
          <w:sz w:val="24"/>
        </w:rPr>
        <w:t>atements presented as testable ‘facts’</w:t>
      </w:r>
      <w:r>
        <w:rPr>
          <w:rFonts w:cs="Calibri"/>
          <w:sz w:val="24"/>
        </w:rPr>
        <w:t>.</w:t>
      </w:r>
      <w:r w:rsidRPr="00444D7A">
        <w:rPr>
          <w:rFonts w:cs="Calibri"/>
          <w:sz w:val="24"/>
        </w:rPr>
        <w:t xml:space="preserve"> In contrast, an interpretivist</w:t>
      </w:r>
      <w:r w:rsidR="009F43D9">
        <w:rPr>
          <w:rFonts w:cs="Calibri"/>
          <w:sz w:val="24"/>
        </w:rPr>
        <w:t>/</w:t>
      </w:r>
      <w:r>
        <w:rPr>
          <w:rFonts w:cs="Calibri"/>
          <w:sz w:val="24"/>
        </w:rPr>
        <w:t>social constructivist</w:t>
      </w:r>
      <w:r w:rsidRPr="00444D7A">
        <w:rPr>
          <w:rFonts w:cs="Calibri"/>
          <w:sz w:val="24"/>
        </w:rPr>
        <w:t xml:space="preserve"> researcher seek</w:t>
      </w:r>
      <w:r>
        <w:rPr>
          <w:rFonts w:cs="Calibri"/>
          <w:sz w:val="24"/>
        </w:rPr>
        <w:t>s</w:t>
      </w:r>
      <w:r w:rsidRPr="00444D7A">
        <w:rPr>
          <w:rFonts w:cs="Calibri"/>
          <w:sz w:val="24"/>
        </w:rPr>
        <w:t xml:space="preserve"> respondents</w:t>
      </w:r>
      <w:r w:rsidR="00262BE8">
        <w:rPr>
          <w:rFonts w:cs="Calibri"/>
          <w:sz w:val="24"/>
        </w:rPr>
        <w:t>’</w:t>
      </w:r>
      <w:r w:rsidRPr="00444D7A">
        <w:rPr>
          <w:rFonts w:cs="Calibri"/>
          <w:sz w:val="24"/>
        </w:rPr>
        <w:t xml:space="preserve"> personal construction of reality by asking questions </w:t>
      </w:r>
      <w:r w:rsidR="00262BE8">
        <w:rPr>
          <w:rFonts w:cs="Calibri"/>
          <w:sz w:val="24"/>
        </w:rPr>
        <w:t xml:space="preserve">to </w:t>
      </w:r>
      <w:r w:rsidRPr="00444D7A">
        <w:rPr>
          <w:rFonts w:cs="Calibri"/>
          <w:sz w:val="24"/>
        </w:rPr>
        <w:t xml:space="preserve">probe how they subjectively interpret the topic under examination in order to gain insights into a </w:t>
      </w:r>
      <w:r w:rsidRPr="00444D7A">
        <w:rPr>
          <w:rFonts w:cs="Calibri"/>
          <w:sz w:val="24"/>
        </w:rPr>
        <w:lastRenderedPageBreak/>
        <w:t xml:space="preserve">wide range of perspectives. </w:t>
      </w:r>
      <w:r>
        <w:rPr>
          <w:rFonts w:cs="Calibri"/>
          <w:sz w:val="24"/>
        </w:rPr>
        <w:t>T</w:t>
      </w:r>
      <w:r w:rsidRPr="00444D7A">
        <w:rPr>
          <w:rFonts w:cs="Calibri"/>
          <w:sz w:val="24"/>
        </w:rPr>
        <w:t>hey may carry out a case</w:t>
      </w:r>
      <w:r w:rsidR="00262BE8">
        <w:rPr>
          <w:rFonts w:cs="Calibri"/>
          <w:sz w:val="24"/>
        </w:rPr>
        <w:t xml:space="preserve"> </w:t>
      </w:r>
      <w:r w:rsidRPr="00444D7A">
        <w:rPr>
          <w:rFonts w:cs="Calibri"/>
          <w:sz w:val="24"/>
        </w:rPr>
        <w:t xml:space="preserve">study using interviews or participant observation. </w:t>
      </w:r>
      <w:r w:rsidRPr="0075398E">
        <w:rPr>
          <w:rFonts w:cs="Calibri"/>
          <w:sz w:val="24"/>
        </w:rPr>
        <w:t>The ontological and epistemological position held influence</w:t>
      </w:r>
      <w:r>
        <w:rPr>
          <w:rFonts w:cs="Calibri"/>
          <w:sz w:val="24"/>
        </w:rPr>
        <w:t>s</w:t>
      </w:r>
      <w:r w:rsidRPr="0075398E">
        <w:rPr>
          <w:rFonts w:cs="Calibri"/>
          <w:sz w:val="24"/>
        </w:rPr>
        <w:t xml:space="preserve"> not only the topics </w:t>
      </w:r>
      <w:r>
        <w:rPr>
          <w:rFonts w:cs="Calibri"/>
          <w:sz w:val="24"/>
        </w:rPr>
        <w:t>of</w:t>
      </w:r>
      <w:r w:rsidRPr="0075398E">
        <w:rPr>
          <w:rFonts w:cs="Calibri"/>
          <w:sz w:val="24"/>
        </w:rPr>
        <w:t xml:space="preserve"> study</w:t>
      </w:r>
      <w:r w:rsidR="00262BE8">
        <w:rPr>
          <w:rFonts w:cs="Calibri"/>
          <w:sz w:val="24"/>
        </w:rPr>
        <w:t>,</w:t>
      </w:r>
      <w:r w:rsidRPr="0075398E">
        <w:rPr>
          <w:rFonts w:cs="Calibri"/>
          <w:sz w:val="24"/>
        </w:rPr>
        <w:t xml:space="preserve"> but also</w:t>
      </w:r>
      <w:r w:rsidR="00262BE8">
        <w:rPr>
          <w:rFonts w:cs="Calibri"/>
          <w:sz w:val="24"/>
        </w:rPr>
        <w:t xml:space="preserve"> the</w:t>
      </w:r>
      <w:r w:rsidRPr="0075398E">
        <w:rPr>
          <w:rFonts w:cs="Calibri"/>
          <w:sz w:val="24"/>
        </w:rPr>
        <w:t xml:space="preserve"> theoretical position; methodological beliefs</w:t>
      </w:r>
      <w:r w:rsidR="00262BE8">
        <w:rPr>
          <w:rFonts w:cs="Calibri"/>
          <w:sz w:val="24"/>
        </w:rPr>
        <w:t>,</w:t>
      </w:r>
      <w:r w:rsidRPr="0075398E">
        <w:rPr>
          <w:rFonts w:cs="Calibri"/>
          <w:sz w:val="24"/>
        </w:rPr>
        <w:t xml:space="preserve"> and </w:t>
      </w:r>
      <w:r>
        <w:rPr>
          <w:rFonts w:cs="Calibri"/>
          <w:sz w:val="24"/>
        </w:rPr>
        <w:t xml:space="preserve">choice of </w:t>
      </w:r>
      <w:r w:rsidRPr="0075398E">
        <w:rPr>
          <w:rFonts w:cs="Calibri"/>
          <w:sz w:val="24"/>
        </w:rPr>
        <w:t>methods</w:t>
      </w:r>
      <w:r>
        <w:rPr>
          <w:rFonts w:cs="Calibri"/>
          <w:sz w:val="24"/>
        </w:rPr>
        <w:t>. These beliefs underpin and structure all research. Verma and Mallick comment that:</w:t>
      </w:r>
    </w:p>
    <w:p w14:paraId="0CCD83EC" w14:textId="77777777" w:rsidR="00A75A8F" w:rsidRDefault="00A75A8F" w:rsidP="00A75A8F">
      <w:pPr>
        <w:spacing w:after="0" w:line="240" w:lineRule="auto"/>
        <w:ind w:left="720"/>
        <w:rPr>
          <w:rFonts w:cs="Calibri"/>
          <w:sz w:val="24"/>
        </w:rPr>
      </w:pPr>
      <w:r>
        <w:rPr>
          <w:rFonts w:cs="Calibri"/>
          <w:sz w:val="24"/>
        </w:rPr>
        <w:t>Investigators need to reflect on their own understanding and thinking when using any systematic research method for obtaining reliable knowledge or for getting at what some writers describe as the “truth” (1999, p.2).</w:t>
      </w:r>
    </w:p>
    <w:p w14:paraId="434AA98F" w14:textId="77777777" w:rsidR="00A75A8F" w:rsidRDefault="00A75A8F" w:rsidP="00A75A8F">
      <w:pPr>
        <w:spacing w:after="0" w:line="240" w:lineRule="auto"/>
        <w:ind w:left="720"/>
        <w:rPr>
          <w:rFonts w:cs="Calibri"/>
          <w:sz w:val="24"/>
        </w:rPr>
      </w:pPr>
    </w:p>
    <w:p w14:paraId="18DFEF4F" w14:textId="72F34C18" w:rsidR="00A75A8F" w:rsidRPr="003A47A6" w:rsidRDefault="00A75A8F" w:rsidP="003A47A6">
      <w:pPr>
        <w:spacing w:line="360" w:lineRule="auto"/>
      </w:pPr>
      <w:r>
        <w:rPr>
          <w:rFonts w:cs="Calibri"/>
          <w:sz w:val="24"/>
        </w:rPr>
        <w:t xml:space="preserve">They draw attention to the importance of considering and acknowledging underlying beliefs. The ontological and epistemological approach and beliefs of the researcher influence the totality of the research. If the reader is </w:t>
      </w:r>
      <w:r w:rsidRPr="005866B3">
        <w:rPr>
          <w:rFonts w:cs="Calibri"/>
          <w:sz w:val="24"/>
          <w:szCs w:val="24"/>
        </w:rPr>
        <w:t>provided with sufficient information</w:t>
      </w:r>
      <w:r w:rsidR="00262BE8">
        <w:rPr>
          <w:rFonts w:cs="Calibri"/>
          <w:sz w:val="24"/>
          <w:szCs w:val="24"/>
        </w:rPr>
        <w:t>,</w:t>
      </w:r>
      <w:r w:rsidRPr="005866B3">
        <w:rPr>
          <w:rFonts w:cs="Calibri"/>
          <w:sz w:val="24"/>
          <w:szCs w:val="24"/>
        </w:rPr>
        <w:t xml:space="preserve"> they can</w:t>
      </w:r>
      <w:r w:rsidRPr="007F74B5">
        <w:rPr>
          <w:rFonts w:cs="Calibri"/>
          <w:sz w:val="24"/>
          <w:szCs w:val="24"/>
        </w:rPr>
        <w:t xml:space="preserve"> be the ultimate judge of the “truth” of the research.</w:t>
      </w:r>
      <w:r w:rsidRPr="00C774CA">
        <w:rPr>
          <w:rFonts w:cs="Calibri"/>
          <w:sz w:val="24"/>
          <w:szCs w:val="24"/>
        </w:rPr>
        <w:t xml:space="preserve"> </w:t>
      </w:r>
      <w:r w:rsidRPr="005866B3">
        <w:rPr>
          <w:sz w:val="24"/>
          <w:szCs w:val="24"/>
        </w:rPr>
        <w:t>In the following section, I discuss my ontological and epistemological position.</w:t>
      </w:r>
    </w:p>
    <w:p w14:paraId="25F0B7CD" w14:textId="37071B7D" w:rsidR="0021448B" w:rsidRPr="0021448B" w:rsidRDefault="00A75A8F" w:rsidP="0021448B">
      <w:pPr>
        <w:pStyle w:val="Heading2"/>
        <w:spacing w:after="120" w:line="240" w:lineRule="auto"/>
      </w:pPr>
      <w:bookmarkStart w:id="42" w:name="_Toc452316326"/>
      <w:r w:rsidRPr="00444D7A">
        <w:t>3.</w:t>
      </w:r>
      <w:r w:rsidR="00661C11">
        <w:t>3</w:t>
      </w:r>
      <w:r w:rsidRPr="00444D7A">
        <w:t xml:space="preserve"> The researcher’s positionality in relation to the methodology and methods</w:t>
      </w:r>
      <w:bookmarkEnd w:id="42"/>
    </w:p>
    <w:p w14:paraId="4304816D" w14:textId="29F74CC8" w:rsidR="00A75A8F" w:rsidRDefault="00A75A8F" w:rsidP="00A75A8F">
      <w:pPr>
        <w:spacing w:after="0" w:line="360" w:lineRule="auto"/>
        <w:rPr>
          <w:rFonts w:cs="Calibri"/>
          <w:sz w:val="24"/>
        </w:rPr>
      </w:pPr>
      <w:r>
        <w:rPr>
          <w:rFonts w:cs="Calibri"/>
          <w:sz w:val="24"/>
        </w:rPr>
        <w:t>M</w:t>
      </w:r>
      <w:r w:rsidRPr="00952FC6">
        <w:rPr>
          <w:rFonts w:cs="Calibri"/>
          <w:sz w:val="24"/>
        </w:rPr>
        <w:t>y background</w:t>
      </w:r>
      <w:r>
        <w:rPr>
          <w:rFonts w:cs="Calibri"/>
          <w:sz w:val="24"/>
        </w:rPr>
        <w:t>,</w:t>
      </w:r>
      <w:r w:rsidRPr="00952FC6">
        <w:rPr>
          <w:rFonts w:cs="Calibri"/>
          <w:sz w:val="24"/>
        </w:rPr>
        <w:t xml:space="preserve"> current role </w:t>
      </w:r>
      <w:r>
        <w:rPr>
          <w:rFonts w:cs="Calibri"/>
          <w:sz w:val="24"/>
        </w:rPr>
        <w:t>in education and interests directly influence</w:t>
      </w:r>
      <w:r w:rsidR="00262BE8">
        <w:rPr>
          <w:rFonts w:cs="Calibri"/>
          <w:sz w:val="24"/>
        </w:rPr>
        <w:t>d</w:t>
      </w:r>
      <w:r>
        <w:rPr>
          <w:rFonts w:cs="Calibri"/>
          <w:sz w:val="24"/>
        </w:rPr>
        <w:t xml:space="preserve"> the way that I conceive</w:t>
      </w:r>
      <w:r w:rsidR="00262BE8">
        <w:rPr>
          <w:rFonts w:cs="Calibri"/>
          <w:sz w:val="24"/>
        </w:rPr>
        <w:t>d</w:t>
      </w:r>
      <w:r>
        <w:rPr>
          <w:rFonts w:cs="Calibri"/>
          <w:sz w:val="24"/>
        </w:rPr>
        <w:t xml:space="preserve"> and conduct</w:t>
      </w:r>
      <w:r w:rsidR="00262BE8">
        <w:rPr>
          <w:rFonts w:cs="Calibri"/>
          <w:sz w:val="24"/>
        </w:rPr>
        <w:t>ed</w:t>
      </w:r>
      <w:r>
        <w:rPr>
          <w:rFonts w:cs="Calibri"/>
          <w:sz w:val="24"/>
        </w:rPr>
        <w:t xml:space="preserve"> this study. </w:t>
      </w:r>
      <w:r w:rsidRPr="00952FC6">
        <w:rPr>
          <w:rFonts w:cs="Calibri"/>
          <w:sz w:val="24"/>
        </w:rPr>
        <w:t>My desire to make a difference to the lives of the children and adults I work with and to challenge unfairness whe</w:t>
      </w:r>
      <w:r>
        <w:rPr>
          <w:rFonts w:cs="Calibri"/>
          <w:sz w:val="24"/>
        </w:rPr>
        <w:t>rever I come across it</w:t>
      </w:r>
      <w:r w:rsidRPr="00952FC6">
        <w:rPr>
          <w:rFonts w:cs="Calibri"/>
          <w:sz w:val="24"/>
        </w:rPr>
        <w:t xml:space="preserve"> means that I have to be careful that my own prejudices and </w:t>
      </w:r>
      <w:r>
        <w:rPr>
          <w:rFonts w:cs="Calibri"/>
          <w:sz w:val="24"/>
        </w:rPr>
        <w:t>beliefs</w:t>
      </w:r>
      <w:r w:rsidRPr="00952FC6">
        <w:rPr>
          <w:rFonts w:cs="Calibri"/>
          <w:sz w:val="24"/>
        </w:rPr>
        <w:t xml:space="preserve"> regarding the EBac do not go unchallenged. </w:t>
      </w:r>
      <w:r w:rsidR="005901E6">
        <w:rPr>
          <w:rFonts w:cs="Calibri"/>
          <w:sz w:val="24"/>
        </w:rPr>
        <w:t>My belief is</w:t>
      </w:r>
      <w:r w:rsidRPr="00444D7A">
        <w:rPr>
          <w:rFonts w:cs="Calibri"/>
          <w:sz w:val="24"/>
        </w:rPr>
        <w:t xml:space="preserve"> that social reality is constructed through in</w:t>
      </w:r>
      <w:r w:rsidR="00EC58EC">
        <w:rPr>
          <w:rFonts w:cs="Calibri"/>
          <w:sz w:val="24"/>
        </w:rPr>
        <w:t xml:space="preserve">dividual thoughts, </w:t>
      </w:r>
      <w:r w:rsidRPr="00444D7A">
        <w:rPr>
          <w:rFonts w:cs="Calibri"/>
          <w:sz w:val="24"/>
        </w:rPr>
        <w:t xml:space="preserve">actions and </w:t>
      </w:r>
      <w:r w:rsidR="00EC58EC">
        <w:rPr>
          <w:rFonts w:cs="Calibri"/>
          <w:sz w:val="24"/>
        </w:rPr>
        <w:t xml:space="preserve">discourse and therefore </w:t>
      </w:r>
      <w:r>
        <w:rPr>
          <w:rFonts w:cs="Calibri"/>
          <w:sz w:val="24"/>
        </w:rPr>
        <w:t>I draw on</w:t>
      </w:r>
      <w:r w:rsidRPr="00444D7A">
        <w:rPr>
          <w:rFonts w:cs="Calibri"/>
          <w:sz w:val="24"/>
        </w:rPr>
        <w:t xml:space="preserve"> research </w:t>
      </w:r>
      <w:r w:rsidR="00EC58EC">
        <w:rPr>
          <w:rFonts w:cs="Calibri"/>
          <w:sz w:val="24"/>
        </w:rPr>
        <w:t xml:space="preserve">methods which attempt to uncover </w:t>
      </w:r>
      <w:r w:rsidRPr="00444D7A">
        <w:rPr>
          <w:rFonts w:cs="Calibri"/>
          <w:sz w:val="24"/>
        </w:rPr>
        <w:t xml:space="preserve">issues which lie behind the </w:t>
      </w:r>
      <w:r>
        <w:rPr>
          <w:rFonts w:cs="Calibri"/>
          <w:sz w:val="24"/>
        </w:rPr>
        <w:t>‘official’ re</w:t>
      </w:r>
      <w:r w:rsidRPr="00444D7A">
        <w:rPr>
          <w:rFonts w:cs="Calibri"/>
          <w:sz w:val="24"/>
        </w:rPr>
        <w:t>present</w:t>
      </w:r>
      <w:r>
        <w:rPr>
          <w:rFonts w:cs="Calibri"/>
          <w:sz w:val="24"/>
        </w:rPr>
        <w:t>ation of the ‘</w:t>
      </w:r>
      <w:r w:rsidRPr="00444D7A">
        <w:rPr>
          <w:rFonts w:cs="Calibri"/>
          <w:sz w:val="24"/>
        </w:rPr>
        <w:t>reality</w:t>
      </w:r>
      <w:r>
        <w:rPr>
          <w:rFonts w:cs="Calibri"/>
          <w:sz w:val="24"/>
        </w:rPr>
        <w:t>’</w:t>
      </w:r>
      <w:r w:rsidRPr="00444D7A">
        <w:rPr>
          <w:rFonts w:cs="Calibri"/>
          <w:sz w:val="24"/>
        </w:rPr>
        <w:t xml:space="preserve"> of a situation. I wish to question and where appropriate, challenge, the assumptions presented by those in positions of power</w:t>
      </w:r>
      <w:r>
        <w:rPr>
          <w:rFonts w:cs="Calibri"/>
          <w:sz w:val="24"/>
        </w:rPr>
        <w:t xml:space="preserve"> by </w:t>
      </w:r>
      <w:r w:rsidRPr="00444D7A">
        <w:rPr>
          <w:rFonts w:cs="Calibri"/>
          <w:sz w:val="24"/>
        </w:rPr>
        <w:t xml:space="preserve">adopting a critical </w:t>
      </w:r>
      <w:r>
        <w:rPr>
          <w:rFonts w:cs="Calibri"/>
          <w:sz w:val="24"/>
        </w:rPr>
        <w:t xml:space="preserve">research </w:t>
      </w:r>
      <w:r w:rsidRPr="00444D7A">
        <w:rPr>
          <w:rFonts w:cs="Calibri"/>
          <w:sz w:val="24"/>
        </w:rPr>
        <w:t>approach</w:t>
      </w:r>
      <w:r w:rsidRPr="00952FC6">
        <w:rPr>
          <w:rFonts w:cs="Calibri"/>
          <w:sz w:val="24"/>
        </w:rPr>
        <w:t xml:space="preserve"> </w:t>
      </w:r>
      <w:r>
        <w:rPr>
          <w:rFonts w:cs="Calibri"/>
          <w:sz w:val="24"/>
        </w:rPr>
        <w:t xml:space="preserve">that </w:t>
      </w:r>
      <w:r w:rsidRPr="00952FC6">
        <w:rPr>
          <w:rFonts w:cs="Calibri"/>
          <w:sz w:val="24"/>
        </w:rPr>
        <w:t>seek</w:t>
      </w:r>
      <w:r>
        <w:rPr>
          <w:rFonts w:cs="Calibri"/>
          <w:sz w:val="24"/>
        </w:rPr>
        <w:t>s</w:t>
      </w:r>
      <w:r w:rsidRPr="00952FC6">
        <w:rPr>
          <w:rFonts w:cs="Calibri"/>
          <w:sz w:val="24"/>
        </w:rPr>
        <w:t xml:space="preserve"> out and expose</w:t>
      </w:r>
      <w:r>
        <w:rPr>
          <w:rFonts w:cs="Calibri"/>
          <w:sz w:val="24"/>
        </w:rPr>
        <w:t>s educational</w:t>
      </w:r>
      <w:r w:rsidRPr="00952FC6">
        <w:rPr>
          <w:rFonts w:cs="Calibri"/>
          <w:sz w:val="24"/>
        </w:rPr>
        <w:t xml:space="preserve"> inequalities</w:t>
      </w:r>
      <w:r>
        <w:rPr>
          <w:rFonts w:cs="Calibri"/>
          <w:sz w:val="24"/>
        </w:rPr>
        <w:t>.</w:t>
      </w:r>
    </w:p>
    <w:p w14:paraId="1EE60B51" w14:textId="77777777" w:rsidR="00A75A8F" w:rsidRDefault="00A75A8F" w:rsidP="00A75A8F">
      <w:pPr>
        <w:spacing w:after="0" w:line="360" w:lineRule="auto"/>
        <w:rPr>
          <w:rFonts w:cs="Calibri"/>
          <w:sz w:val="24"/>
        </w:rPr>
      </w:pPr>
    </w:p>
    <w:p w14:paraId="7A4CD84C" w14:textId="237A750A" w:rsidR="00A75A8F" w:rsidRPr="00444D7A" w:rsidRDefault="00A75A8F" w:rsidP="00A75A8F">
      <w:pPr>
        <w:tabs>
          <w:tab w:val="left" w:pos="8364"/>
        </w:tabs>
        <w:spacing w:after="0" w:line="360" w:lineRule="auto"/>
        <w:rPr>
          <w:rFonts w:cs="Calibri"/>
          <w:sz w:val="24"/>
        </w:rPr>
      </w:pPr>
      <w:r>
        <w:rPr>
          <w:rFonts w:cs="Calibri"/>
          <w:sz w:val="24"/>
        </w:rPr>
        <w:t xml:space="preserve">Being </w:t>
      </w:r>
      <w:r w:rsidRPr="00444D7A">
        <w:rPr>
          <w:rFonts w:cs="Calibri"/>
          <w:sz w:val="24"/>
        </w:rPr>
        <w:t xml:space="preserve">a </w:t>
      </w:r>
      <w:r>
        <w:rPr>
          <w:rFonts w:cs="Calibri"/>
          <w:sz w:val="24"/>
        </w:rPr>
        <w:t>S</w:t>
      </w:r>
      <w:r w:rsidRPr="00444D7A">
        <w:rPr>
          <w:rFonts w:cs="Calibri"/>
          <w:sz w:val="24"/>
        </w:rPr>
        <w:t xml:space="preserve">ociology graduate </w:t>
      </w:r>
      <w:r>
        <w:rPr>
          <w:rFonts w:cs="Calibri"/>
          <w:sz w:val="24"/>
        </w:rPr>
        <w:t>has</w:t>
      </w:r>
      <w:r w:rsidRPr="00444D7A">
        <w:rPr>
          <w:rFonts w:cs="Calibri"/>
          <w:sz w:val="24"/>
        </w:rPr>
        <w:t xml:space="preserve"> a large bearing on my methodology and fundamental belief</w:t>
      </w:r>
      <w:r>
        <w:rPr>
          <w:rFonts w:cs="Calibri"/>
          <w:sz w:val="24"/>
        </w:rPr>
        <w:t>s</w:t>
      </w:r>
      <w:r w:rsidRPr="00444D7A">
        <w:rPr>
          <w:rFonts w:cs="Calibri"/>
          <w:sz w:val="24"/>
        </w:rPr>
        <w:t xml:space="preserve"> about the how the world is structured and organised and the most appropriate methods to attempt to capture and explain </w:t>
      </w:r>
      <w:r w:rsidR="00174D34">
        <w:rPr>
          <w:rFonts w:cs="Calibri"/>
          <w:sz w:val="24"/>
        </w:rPr>
        <w:t>it</w:t>
      </w:r>
      <w:r w:rsidRPr="00444D7A">
        <w:rPr>
          <w:rFonts w:cs="Calibri"/>
          <w:sz w:val="24"/>
        </w:rPr>
        <w:t>. As argued by Sikes:</w:t>
      </w:r>
    </w:p>
    <w:p w14:paraId="7112CC73" w14:textId="77777777" w:rsidR="00A75A8F" w:rsidRPr="00444D7A" w:rsidRDefault="00A75A8F" w:rsidP="00A75A8F">
      <w:pPr>
        <w:spacing w:after="0" w:line="240" w:lineRule="auto"/>
        <w:ind w:left="357"/>
        <w:rPr>
          <w:rFonts w:cs="Calibri"/>
          <w:sz w:val="24"/>
        </w:rPr>
      </w:pPr>
      <w:r w:rsidRPr="00444D7A">
        <w:rPr>
          <w:rFonts w:cs="Calibri"/>
          <w:sz w:val="24"/>
        </w:rPr>
        <w:t xml:space="preserve">The way in which researchers are biographically situated, the consequent perspectives they hold and the assumptions which inform the sense they make of the world, </w:t>
      </w:r>
      <w:r w:rsidRPr="00444D7A">
        <w:rPr>
          <w:rFonts w:cs="Calibri"/>
          <w:sz w:val="24"/>
        </w:rPr>
        <w:lastRenderedPageBreak/>
        <w:t>inevitably have implications for their research related understandings, beliefs and values, for the research paradigms they feel most comfortable with, and thereby for their research practice (</w:t>
      </w:r>
      <w:r>
        <w:rPr>
          <w:rFonts w:cs="Calibri"/>
          <w:sz w:val="24"/>
        </w:rPr>
        <w:t xml:space="preserve">2004, </w:t>
      </w:r>
      <w:r w:rsidRPr="00444D7A">
        <w:rPr>
          <w:rFonts w:cs="Calibri"/>
          <w:sz w:val="24"/>
        </w:rPr>
        <w:t>p.18).</w:t>
      </w:r>
    </w:p>
    <w:p w14:paraId="793A46E5" w14:textId="77777777" w:rsidR="00A75A8F" w:rsidRPr="00444D7A" w:rsidRDefault="00A75A8F" w:rsidP="00A75A8F">
      <w:pPr>
        <w:spacing w:after="0" w:line="240" w:lineRule="auto"/>
        <w:ind w:left="357"/>
        <w:rPr>
          <w:rFonts w:cs="Calibri"/>
          <w:sz w:val="24"/>
        </w:rPr>
      </w:pPr>
    </w:p>
    <w:p w14:paraId="6C2980D2" w14:textId="2BADA6A3" w:rsidR="00A75A8F" w:rsidRDefault="00A75A8F" w:rsidP="003A47A6">
      <w:pPr>
        <w:tabs>
          <w:tab w:val="left" w:pos="8364"/>
          <w:tab w:val="left" w:pos="8647"/>
        </w:tabs>
        <w:spacing w:line="360" w:lineRule="auto"/>
        <w:rPr>
          <w:rFonts w:cs="Calibri"/>
          <w:sz w:val="24"/>
        </w:rPr>
      </w:pPr>
      <w:r w:rsidRPr="00444D7A">
        <w:rPr>
          <w:rFonts w:cs="Calibri"/>
          <w:sz w:val="24"/>
        </w:rPr>
        <w:t>I approach educational research from a sociological position</w:t>
      </w:r>
      <w:r>
        <w:rPr>
          <w:rFonts w:cs="Calibri"/>
          <w:sz w:val="24"/>
        </w:rPr>
        <w:t>.</w:t>
      </w:r>
      <w:r w:rsidRPr="00444D7A">
        <w:rPr>
          <w:rFonts w:cs="Calibri"/>
          <w:sz w:val="24"/>
        </w:rPr>
        <w:t xml:space="preserve"> I believe that </w:t>
      </w:r>
      <w:r>
        <w:rPr>
          <w:rFonts w:cs="Calibri"/>
          <w:sz w:val="24"/>
        </w:rPr>
        <w:t xml:space="preserve">sociological perspectives </w:t>
      </w:r>
      <w:r w:rsidRPr="00444D7A">
        <w:rPr>
          <w:rFonts w:cs="Calibri"/>
          <w:sz w:val="24"/>
        </w:rPr>
        <w:t xml:space="preserve">provide </w:t>
      </w:r>
      <w:r>
        <w:rPr>
          <w:rFonts w:cs="Calibri"/>
          <w:sz w:val="24"/>
        </w:rPr>
        <w:t>effective</w:t>
      </w:r>
      <w:r w:rsidRPr="00444D7A">
        <w:rPr>
          <w:rFonts w:cs="Calibri"/>
          <w:sz w:val="24"/>
        </w:rPr>
        <w:t xml:space="preserve"> framework</w:t>
      </w:r>
      <w:r>
        <w:rPr>
          <w:rFonts w:cs="Calibri"/>
          <w:sz w:val="24"/>
        </w:rPr>
        <w:t>s</w:t>
      </w:r>
      <w:r w:rsidRPr="00444D7A">
        <w:rPr>
          <w:rFonts w:cs="Calibri"/>
          <w:sz w:val="24"/>
        </w:rPr>
        <w:t xml:space="preserve"> for </w:t>
      </w:r>
      <w:r>
        <w:rPr>
          <w:rFonts w:cs="Calibri"/>
          <w:sz w:val="24"/>
        </w:rPr>
        <w:t xml:space="preserve">insightful and critical </w:t>
      </w:r>
      <w:r w:rsidRPr="00444D7A">
        <w:rPr>
          <w:rFonts w:cs="Calibri"/>
          <w:sz w:val="24"/>
        </w:rPr>
        <w:t>discussion</w:t>
      </w:r>
      <w:r>
        <w:rPr>
          <w:rFonts w:cs="Calibri"/>
          <w:sz w:val="24"/>
        </w:rPr>
        <w:t xml:space="preserve">, </w:t>
      </w:r>
      <w:r w:rsidRPr="00444D7A">
        <w:rPr>
          <w:rFonts w:cs="Calibri"/>
          <w:sz w:val="24"/>
        </w:rPr>
        <w:t xml:space="preserve">exploration </w:t>
      </w:r>
      <w:r>
        <w:rPr>
          <w:rFonts w:cs="Calibri"/>
          <w:sz w:val="24"/>
        </w:rPr>
        <w:t xml:space="preserve">and challenge </w:t>
      </w:r>
      <w:r w:rsidRPr="00444D7A">
        <w:rPr>
          <w:rFonts w:cs="Calibri"/>
          <w:sz w:val="24"/>
        </w:rPr>
        <w:t>o</w:t>
      </w:r>
      <w:r>
        <w:rPr>
          <w:rFonts w:cs="Calibri"/>
          <w:sz w:val="24"/>
        </w:rPr>
        <w:t>f</w:t>
      </w:r>
      <w:r w:rsidRPr="00444D7A">
        <w:rPr>
          <w:rFonts w:cs="Calibri"/>
          <w:sz w:val="24"/>
        </w:rPr>
        <w:t xml:space="preserve"> key issues</w:t>
      </w:r>
      <w:r w:rsidR="00174D34">
        <w:rPr>
          <w:rFonts w:cs="Calibri"/>
          <w:sz w:val="24"/>
        </w:rPr>
        <w:t>,</w:t>
      </w:r>
      <w:r w:rsidRPr="00444D7A">
        <w:rPr>
          <w:rFonts w:cs="Calibri"/>
          <w:sz w:val="24"/>
        </w:rPr>
        <w:t xml:space="preserve"> and have</w:t>
      </w:r>
      <w:r w:rsidR="00174D34">
        <w:rPr>
          <w:rFonts w:cs="Calibri"/>
          <w:sz w:val="24"/>
        </w:rPr>
        <w:t xml:space="preserve"> the</w:t>
      </w:r>
      <w:r w:rsidRPr="00444D7A">
        <w:rPr>
          <w:rFonts w:cs="Calibri"/>
          <w:sz w:val="24"/>
        </w:rPr>
        <w:t xml:space="preserve"> potential to provide answers</w:t>
      </w:r>
      <w:r>
        <w:rPr>
          <w:rFonts w:cs="Calibri"/>
          <w:sz w:val="24"/>
        </w:rPr>
        <w:t xml:space="preserve"> and stimulate additional questions</w:t>
      </w:r>
      <w:r w:rsidRPr="00444D7A">
        <w:rPr>
          <w:rFonts w:cs="Calibri"/>
          <w:sz w:val="24"/>
        </w:rPr>
        <w:t xml:space="preserve">. I place a higher value on qualitative over quantitative research </w:t>
      </w:r>
      <w:r>
        <w:rPr>
          <w:rFonts w:cs="Calibri"/>
          <w:sz w:val="24"/>
        </w:rPr>
        <w:t>methods</w:t>
      </w:r>
      <w:r w:rsidR="00174D34">
        <w:rPr>
          <w:rFonts w:cs="Calibri"/>
          <w:sz w:val="24"/>
        </w:rPr>
        <w:t>,</w:t>
      </w:r>
      <w:r>
        <w:rPr>
          <w:rFonts w:cs="Calibri"/>
          <w:sz w:val="24"/>
        </w:rPr>
        <w:t xml:space="preserve"> believing </w:t>
      </w:r>
      <w:r w:rsidRPr="00444D7A">
        <w:rPr>
          <w:rFonts w:cs="Calibri"/>
          <w:sz w:val="24"/>
        </w:rPr>
        <w:t>that qualitative approaches can uncover and illuminate the social construction of</w:t>
      </w:r>
      <w:r>
        <w:rPr>
          <w:rFonts w:cs="Calibri"/>
          <w:sz w:val="24"/>
        </w:rPr>
        <w:t xml:space="preserve"> </w:t>
      </w:r>
      <w:r w:rsidRPr="00444D7A">
        <w:rPr>
          <w:rFonts w:cs="Calibri"/>
          <w:sz w:val="24"/>
        </w:rPr>
        <w:t>situation</w:t>
      </w:r>
      <w:r>
        <w:rPr>
          <w:rFonts w:cs="Calibri"/>
          <w:sz w:val="24"/>
        </w:rPr>
        <w:t>s</w:t>
      </w:r>
      <w:r w:rsidRPr="00444D7A">
        <w:rPr>
          <w:rFonts w:cs="Calibri"/>
          <w:sz w:val="24"/>
        </w:rPr>
        <w:t xml:space="preserve"> and roles adopted by participants. </w:t>
      </w:r>
      <w:r>
        <w:rPr>
          <w:rFonts w:cs="Calibri"/>
          <w:sz w:val="24"/>
        </w:rPr>
        <w:t>I endeavour to reflect systematically and critically to produce a trustworthy and insightful exploration of the EBac policy and suggestions for future policy and practice.</w:t>
      </w:r>
    </w:p>
    <w:p w14:paraId="0F3FE709" w14:textId="23BD59E1" w:rsidR="00A75A8F" w:rsidRPr="00444D7A" w:rsidRDefault="00A75A8F" w:rsidP="00531995">
      <w:pPr>
        <w:pStyle w:val="Heading2"/>
      </w:pPr>
      <w:bookmarkStart w:id="43" w:name="_Toc452316327"/>
      <w:r>
        <w:t>3.</w:t>
      </w:r>
      <w:r w:rsidR="00661C11">
        <w:t>4</w:t>
      </w:r>
      <w:r w:rsidRPr="00444D7A">
        <w:t xml:space="preserve"> Research aims and questions:</w:t>
      </w:r>
      <w:bookmarkEnd w:id="43"/>
    </w:p>
    <w:p w14:paraId="07750D06" w14:textId="1069E531" w:rsidR="00A75A8F" w:rsidRPr="003A47A6" w:rsidRDefault="00A75A8F" w:rsidP="003A47A6">
      <w:pPr>
        <w:pStyle w:val="Default"/>
        <w:tabs>
          <w:tab w:val="left" w:pos="8364"/>
        </w:tabs>
        <w:spacing w:after="200" w:line="360" w:lineRule="auto"/>
        <w:rPr>
          <w:rFonts w:ascii="Calibri" w:hAnsi="Calibri" w:cs="Calibri"/>
        </w:rPr>
      </w:pPr>
      <w:r w:rsidRPr="00444D7A">
        <w:rPr>
          <w:rFonts w:ascii="Calibri" w:hAnsi="Calibri" w:cs="Calibri"/>
        </w:rPr>
        <w:t>My research investigate</w:t>
      </w:r>
      <w:r>
        <w:rPr>
          <w:rFonts w:ascii="Calibri" w:hAnsi="Calibri" w:cs="Calibri"/>
        </w:rPr>
        <w:t>s</w:t>
      </w:r>
      <w:r w:rsidRPr="00444D7A">
        <w:rPr>
          <w:rFonts w:ascii="Calibri" w:hAnsi="Calibri" w:cs="Calibri"/>
        </w:rPr>
        <w:t xml:space="preserve"> </w:t>
      </w:r>
      <w:r>
        <w:rPr>
          <w:rFonts w:ascii="Calibri" w:hAnsi="Calibri" w:cs="Calibri"/>
        </w:rPr>
        <w:t xml:space="preserve">how and </w:t>
      </w:r>
      <w:r w:rsidRPr="00444D7A">
        <w:rPr>
          <w:rFonts w:ascii="Calibri" w:hAnsi="Calibri" w:cs="Calibri"/>
        </w:rPr>
        <w:t xml:space="preserve">why the EBac has been introduced </w:t>
      </w:r>
      <w:r>
        <w:rPr>
          <w:rFonts w:ascii="Calibri" w:hAnsi="Calibri" w:cs="Calibri"/>
        </w:rPr>
        <w:t xml:space="preserve">in England </w:t>
      </w:r>
      <w:r w:rsidRPr="00444D7A">
        <w:rPr>
          <w:rFonts w:ascii="Calibri" w:hAnsi="Calibri" w:cs="Calibri"/>
        </w:rPr>
        <w:t xml:space="preserve">as part of the inaugural </w:t>
      </w:r>
      <w:r>
        <w:rPr>
          <w:rFonts w:ascii="Calibri" w:hAnsi="Calibri" w:cs="Calibri"/>
        </w:rPr>
        <w:t>education policy of the Coalition government</w:t>
      </w:r>
      <w:r w:rsidR="00174D34">
        <w:rPr>
          <w:rFonts w:ascii="Calibri" w:hAnsi="Calibri" w:cs="Calibri"/>
        </w:rPr>
        <w:t>. I also</w:t>
      </w:r>
      <w:r>
        <w:rPr>
          <w:rFonts w:ascii="Calibri" w:hAnsi="Calibri" w:cs="Calibri"/>
        </w:rPr>
        <w:t xml:space="preserve"> examine the potential and actual impact of the EBac on the school curriculum from the perspective of teachers</w:t>
      </w:r>
      <w:r w:rsidR="00174D34">
        <w:rPr>
          <w:rFonts w:ascii="Calibri" w:hAnsi="Calibri" w:cs="Calibri"/>
        </w:rPr>
        <w:t xml:space="preserve">, followed by </w:t>
      </w:r>
      <w:r>
        <w:rPr>
          <w:rFonts w:ascii="Calibri" w:hAnsi="Calibri" w:cs="Calibri"/>
        </w:rPr>
        <w:t>identif</w:t>
      </w:r>
      <w:r w:rsidR="00174D34">
        <w:rPr>
          <w:rFonts w:ascii="Calibri" w:hAnsi="Calibri" w:cs="Calibri"/>
        </w:rPr>
        <w:t>ying</w:t>
      </w:r>
      <w:r w:rsidRPr="00444D7A">
        <w:rPr>
          <w:rFonts w:ascii="Calibri" w:hAnsi="Calibri" w:cs="Calibri"/>
        </w:rPr>
        <w:t xml:space="preserve"> potential winners and losers </w:t>
      </w:r>
      <w:r w:rsidR="00174D34">
        <w:rPr>
          <w:rFonts w:ascii="Calibri" w:hAnsi="Calibri" w:cs="Calibri"/>
        </w:rPr>
        <w:t xml:space="preserve">of </w:t>
      </w:r>
      <w:r w:rsidRPr="00444D7A">
        <w:rPr>
          <w:rFonts w:ascii="Calibri" w:hAnsi="Calibri" w:cs="Calibri"/>
        </w:rPr>
        <w:t>this polic</w:t>
      </w:r>
      <w:r w:rsidR="009F43D9">
        <w:rPr>
          <w:rFonts w:ascii="Calibri" w:hAnsi="Calibri" w:cs="Calibri"/>
        </w:rPr>
        <w:t xml:space="preserve">y. </w:t>
      </w:r>
      <w:r w:rsidRPr="00444D7A">
        <w:rPr>
          <w:rFonts w:ascii="Calibri" w:hAnsi="Calibri" w:cs="Calibri"/>
        </w:rPr>
        <w:t xml:space="preserve">I </w:t>
      </w:r>
      <w:r w:rsidR="009F43D9">
        <w:rPr>
          <w:rFonts w:ascii="Calibri" w:hAnsi="Calibri" w:cs="Calibri"/>
        </w:rPr>
        <w:t xml:space="preserve">now </w:t>
      </w:r>
      <w:r w:rsidRPr="00444D7A">
        <w:rPr>
          <w:rFonts w:ascii="Calibri" w:hAnsi="Calibri" w:cs="Calibri"/>
        </w:rPr>
        <w:t xml:space="preserve">introduce my </w:t>
      </w:r>
      <w:r>
        <w:rPr>
          <w:rFonts w:ascii="Calibri" w:hAnsi="Calibri" w:cs="Calibri"/>
        </w:rPr>
        <w:t xml:space="preserve">three </w:t>
      </w:r>
      <w:r w:rsidRPr="00444D7A">
        <w:rPr>
          <w:rFonts w:ascii="Calibri" w:hAnsi="Calibri" w:cs="Calibri"/>
        </w:rPr>
        <w:t>research questions</w:t>
      </w:r>
      <w:r w:rsidR="00174D34">
        <w:rPr>
          <w:rFonts w:ascii="Calibri" w:hAnsi="Calibri" w:cs="Calibri"/>
        </w:rPr>
        <w:t>,</w:t>
      </w:r>
      <w:r w:rsidRPr="00444D7A">
        <w:rPr>
          <w:rFonts w:ascii="Calibri" w:hAnsi="Calibri" w:cs="Calibri"/>
        </w:rPr>
        <w:t xml:space="preserve"> together with </w:t>
      </w:r>
      <w:r>
        <w:rPr>
          <w:rFonts w:ascii="Calibri" w:hAnsi="Calibri" w:cs="Calibri"/>
        </w:rPr>
        <w:t>their</w:t>
      </w:r>
      <w:r w:rsidRPr="00444D7A">
        <w:rPr>
          <w:rFonts w:ascii="Calibri" w:hAnsi="Calibri" w:cs="Calibri"/>
        </w:rPr>
        <w:t xml:space="preserve"> rationale</w:t>
      </w:r>
      <w:r>
        <w:rPr>
          <w:rFonts w:ascii="Calibri" w:hAnsi="Calibri" w:cs="Calibri"/>
        </w:rPr>
        <w:t>s</w:t>
      </w:r>
      <w:r w:rsidRPr="00444D7A">
        <w:rPr>
          <w:rFonts w:ascii="Calibri" w:hAnsi="Calibri" w:cs="Calibri"/>
        </w:rPr>
        <w:t>.</w:t>
      </w:r>
    </w:p>
    <w:p w14:paraId="30815A99" w14:textId="322DCBC1" w:rsidR="00A75A8F" w:rsidRPr="0096475C" w:rsidRDefault="00A75A8F" w:rsidP="00531995">
      <w:pPr>
        <w:pStyle w:val="Heading3"/>
      </w:pPr>
      <w:bookmarkStart w:id="44" w:name="_Toc452316328"/>
      <w:r>
        <w:t>3.</w:t>
      </w:r>
      <w:r w:rsidR="00661C11">
        <w:t>4</w:t>
      </w:r>
      <w:r>
        <w:t>.</w:t>
      </w:r>
      <w:r w:rsidRPr="0096475C">
        <w:t>1 What is the EBac policy and how and why was it introduced as part of a wider policy framework?</w:t>
      </w:r>
      <w:bookmarkEnd w:id="44"/>
    </w:p>
    <w:p w14:paraId="6D7D7AFE" w14:textId="6E8D7F43" w:rsidR="00A75A8F" w:rsidRPr="00444D7A" w:rsidRDefault="00A75A8F" w:rsidP="00A75A8F">
      <w:pPr>
        <w:tabs>
          <w:tab w:val="left" w:pos="8364"/>
        </w:tabs>
        <w:spacing w:line="360" w:lineRule="auto"/>
        <w:rPr>
          <w:rFonts w:cs="Calibri"/>
          <w:sz w:val="24"/>
        </w:rPr>
      </w:pPr>
      <w:r>
        <w:rPr>
          <w:rFonts w:cs="Calibri"/>
          <w:sz w:val="24"/>
        </w:rPr>
        <w:t>This research question allows for a detailed understanding o</w:t>
      </w:r>
      <w:r w:rsidR="00C4258D">
        <w:rPr>
          <w:rFonts w:cs="Calibri"/>
          <w:sz w:val="24"/>
        </w:rPr>
        <w:t>f the EBac policy set within a wider policy framework</w:t>
      </w:r>
      <w:r>
        <w:rPr>
          <w:rFonts w:cs="Calibri"/>
          <w:sz w:val="24"/>
        </w:rPr>
        <w:t>. It is important to research and understand the propos</w:t>
      </w:r>
      <w:r w:rsidR="00C4258D">
        <w:rPr>
          <w:rFonts w:cs="Calibri"/>
          <w:sz w:val="24"/>
        </w:rPr>
        <w:t>ed purpose of the policy</w:t>
      </w:r>
      <w:r w:rsidR="006F00E1">
        <w:rPr>
          <w:rFonts w:cs="Calibri"/>
          <w:sz w:val="24"/>
        </w:rPr>
        <w:t xml:space="preserve"> and </w:t>
      </w:r>
      <w:r>
        <w:rPr>
          <w:rFonts w:cs="Calibri"/>
          <w:sz w:val="24"/>
        </w:rPr>
        <w:t xml:space="preserve">consider the problems it claimed to address in order to understand why this policy was regarded as necessary at this time. </w:t>
      </w:r>
      <w:r w:rsidRPr="00444D7A">
        <w:rPr>
          <w:rFonts w:cs="Calibri"/>
          <w:sz w:val="24"/>
        </w:rPr>
        <w:t xml:space="preserve">The EBac policy is one part of a complex </w:t>
      </w:r>
      <w:r>
        <w:rPr>
          <w:rFonts w:cs="Calibri"/>
          <w:sz w:val="24"/>
        </w:rPr>
        <w:t xml:space="preserve">ensemble of policies contained in the </w:t>
      </w:r>
      <w:r w:rsidRPr="00444D7A">
        <w:rPr>
          <w:rFonts w:cs="Calibri"/>
          <w:sz w:val="24"/>
        </w:rPr>
        <w:t xml:space="preserve">Education White Paper: </w:t>
      </w:r>
      <w:r w:rsidRPr="00EA0CDA">
        <w:rPr>
          <w:rFonts w:cs="Calibri"/>
          <w:i/>
          <w:sz w:val="24"/>
        </w:rPr>
        <w:t>The Importance of Teaching</w:t>
      </w:r>
      <w:r w:rsidRPr="00444D7A">
        <w:rPr>
          <w:rFonts w:cs="Calibri"/>
          <w:sz w:val="24"/>
        </w:rPr>
        <w:t xml:space="preserve"> (2010). A </w:t>
      </w:r>
      <w:r>
        <w:rPr>
          <w:rFonts w:cs="Calibri"/>
          <w:sz w:val="24"/>
        </w:rPr>
        <w:t>detailed</w:t>
      </w:r>
      <w:r w:rsidRPr="00444D7A">
        <w:rPr>
          <w:rFonts w:cs="Calibri"/>
          <w:sz w:val="24"/>
        </w:rPr>
        <w:t xml:space="preserve"> understanding of the premise of the EBac policy is required to explore what problems and issues the policy aim</w:t>
      </w:r>
      <w:r w:rsidR="006F00E1">
        <w:rPr>
          <w:rFonts w:cs="Calibri"/>
          <w:sz w:val="24"/>
        </w:rPr>
        <w:t>s</w:t>
      </w:r>
      <w:r w:rsidRPr="00444D7A">
        <w:rPr>
          <w:rFonts w:cs="Calibri"/>
          <w:sz w:val="24"/>
        </w:rPr>
        <w:t xml:space="preserve"> to solve and how these are to be addressed, along with the justifications </w:t>
      </w:r>
      <w:r>
        <w:rPr>
          <w:rFonts w:cs="Calibri"/>
          <w:sz w:val="24"/>
        </w:rPr>
        <w:t>for the EBac as a solution to these stated problems</w:t>
      </w:r>
      <w:r w:rsidRPr="00444D7A">
        <w:rPr>
          <w:rFonts w:cs="Calibri"/>
          <w:sz w:val="24"/>
        </w:rPr>
        <w:t>.</w:t>
      </w:r>
      <w:r>
        <w:rPr>
          <w:rFonts w:cs="Calibri"/>
          <w:sz w:val="24"/>
        </w:rPr>
        <w:t xml:space="preserve"> </w:t>
      </w:r>
    </w:p>
    <w:p w14:paraId="01E45332" w14:textId="50BF2B39" w:rsidR="00A75A8F" w:rsidRDefault="00C4258D" w:rsidP="00A75A8F">
      <w:pPr>
        <w:spacing w:line="360" w:lineRule="auto"/>
        <w:rPr>
          <w:rFonts w:cs="Calibri"/>
          <w:sz w:val="24"/>
        </w:rPr>
      </w:pPr>
      <w:r>
        <w:rPr>
          <w:rFonts w:cs="Calibri"/>
          <w:sz w:val="24"/>
        </w:rPr>
        <w:t>Taylor</w:t>
      </w:r>
      <w:r w:rsidR="008A1670">
        <w:rPr>
          <w:rFonts w:cs="Calibri"/>
          <w:sz w:val="24"/>
        </w:rPr>
        <w:t xml:space="preserve"> et al. </w:t>
      </w:r>
      <w:r w:rsidR="00EC58EC">
        <w:rPr>
          <w:rFonts w:cs="Calibri"/>
          <w:sz w:val="24"/>
        </w:rPr>
        <w:t>wish to research and understand</w:t>
      </w:r>
      <w:r w:rsidR="008A1670">
        <w:rPr>
          <w:rFonts w:cs="Calibri"/>
          <w:sz w:val="24"/>
        </w:rPr>
        <w:t xml:space="preserve"> </w:t>
      </w:r>
      <w:r w:rsidR="00A75A8F" w:rsidRPr="00444D7A">
        <w:rPr>
          <w:rFonts w:cs="Calibri"/>
          <w:sz w:val="24"/>
        </w:rPr>
        <w:t>is</w:t>
      </w:r>
      <w:r w:rsidR="00EC58EC">
        <w:rPr>
          <w:rFonts w:cs="Calibri"/>
          <w:sz w:val="24"/>
        </w:rPr>
        <w:t>sues which lie behind</w:t>
      </w:r>
      <w:r w:rsidR="00A75A8F" w:rsidRPr="00444D7A">
        <w:rPr>
          <w:rFonts w:cs="Calibri"/>
          <w:sz w:val="24"/>
        </w:rPr>
        <w:t xml:space="preserve"> policy so that “we are able to assess how the policy is likely to work in relation to the probl</w:t>
      </w:r>
      <w:r w:rsidR="00A75A8F">
        <w:rPr>
          <w:rFonts w:cs="Calibri"/>
          <w:sz w:val="24"/>
        </w:rPr>
        <w:t>ems it is addressing” (</w:t>
      </w:r>
      <w:r>
        <w:rPr>
          <w:rFonts w:cs="Calibri"/>
          <w:sz w:val="24"/>
        </w:rPr>
        <w:t>1997</w:t>
      </w:r>
      <w:r w:rsidR="008A1670">
        <w:rPr>
          <w:rFonts w:cs="Calibri"/>
          <w:sz w:val="24"/>
        </w:rPr>
        <w:t>,</w:t>
      </w:r>
      <w:r>
        <w:rPr>
          <w:rFonts w:cs="Calibri"/>
          <w:sz w:val="24"/>
        </w:rPr>
        <w:t xml:space="preserve"> </w:t>
      </w:r>
      <w:r w:rsidR="00A75A8F">
        <w:rPr>
          <w:rFonts w:cs="Calibri"/>
          <w:sz w:val="24"/>
        </w:rPr>
        <w:t xml:space="preserve">p.39). I investigate the claim that </w:t>
      </w:r>
      <w:r w:rsidR="00A75A8F" w:rsidRPr="00444D7A">
        <w:rPr>
          <w:rFonts w:cs="Calibri"/>
          <w:sz w:val="24"/>
        </w:rPr>
        <w:t xml:space="preserve">the EBac </w:t>
      </w:r>
      <w:r w:rsidR="00A75A8F">
        <w:rPr>
          <w:rFonts w:cs="Calibri"/>
          <w:sz w:val="24"/>
        </w:rPr>
        <w:t xml:space="preserve">is </w:t>
      </w:r>
      <w:r w:rsidR="00A75A8F" w:rsidRPr="00444D7A">
        <w:rPr>
          <w:rFonts w:cs="Calibri"/>
          <w:sz w:val="24"/>
        </w:rPr>
        <w:t xml:space="preserve">a logical solution to the belief that some </w:t>
      </w:r>
      <w:r w:rsidR="00A75A8F">
        <w:rPr>
          <w:rFonts w:cs="Calibri"/>
          <w:sz w:val="24"/>
        </w:rPr>
        <w:lastRenderedPageBreak/>
        <w:t>students</w:t>
      </w:r>
      <w:r w:rsidR="00A75A8F" w:rsidRPr="00444D7A">
        <w:rPr>
          <w:rFonts w:cs="Calibri"/>
          <w:sz w:val="24"/>
        </w:rPr>
        <w:t xml:space="preserve"> are put at a disadvantage by the subject choices </w:t>
      </w:r>
      <w:r w:rsidR="00A75A8F">
        <w:rPr>
          <w:rFonts w:cs="Calibri"/>
          <w:sz w:val="24"/>
        </w:rPr>
        <w:t>offered</w:t>
      </w:r>
      <w:r w:rsidR="00A75A8F" w:rsidRPr="00444D7A">
        <w:rPr>
          <w:rFonts w:cs="Calibri"/>
          <w:sz w:val="24"/>
        </w:rPr>
        <w:t xml:space="preserve"> by the system and their individual school, or </w:t>
      </w:r>
      <w:r w:rsidR="00A75A8F">
        <w:rPr>
          <w:rFonts w:cs="Calibri"/>
          <w:sz w:val="24"/>
        </w:rPr>
        <w:t xml:space="preserve">if there are </w:t>
      </w:r>
      <w:r w:rsidR="00A75A8F" w:rsidRPr="00444D7A">
        <w:rPr>
          <w:rFonts w:cs="Calibri"/>
          <w:sz w:val="24"/>
        </w:rPr>
        <w:t>oth</w:t>
      </w:r>
      <w:r w:rsidR="00A75A8F">
        <w:rPr>
          <w:rFonts w:cs="Calibri"/>
          <w:sz w:val="24"/>
        </w:rPr>
        <w:t>er issues underlying the policy.</w:t>
      </w:r>
      <w:r w:rsidR="00A75A8F" w:rsidRPr="00444D7A">
        <w:rPr>
          <w:rFonts w:cs="Calibri"/>
          <w:sz w:val="24"/>
        </w:rPr>
        <w:t xml:space="preserve">  </w:t>
      </w:r>
      <w:r w:rsidR="00A75A8F">
        <w:rPr>
          <w:rFonts w:cs="Calibri"/>
          <w:sz w:val="24"/>
        </w:rPr>
        <w:t xml:space="preserve">Scheurich’s </w:t>
      </w:r>
      <w:r w:rsidR="00DF24E7">
        <w:rPr>
          <w:rFonts w:cs="Calibri"/>
          <w:sz w:val="24"/>
        </w:rPr>
        <w:t xml:space="preserve">PA </w:t>
      </w:r>
      <w:r w:rsidR="00A75A8F">
        <w:rPr>
          <w:rFonts w:cs="Calibri"/>
          <w:sz w:val="24"/>
        </w:rPr>
        <w:t>(</w:t>
      </w:r>
      <w:r w:rsidR="00A75A8F" w:rsidRPr="00444D7A">
        <w:rPr>
          <w:rFonts w:cs="Calibri"/>
          <w:sz w:val="24"/>
        </w:rPr>
        <w:t>1994)</w:t>
      </w:r>
      <w:r w:rsidR="00A75A8F">
        <w:rPr>
          <w:rFonts w:cs="Calibri"/>
          <w:sz w:val="24"/>
        </w:rPr>
        <w:t xml:space="preserve"> </w:t>
      </w:r>
      <w:r w:rsidR="00A75A8F" w:rsidRPr="00444D7A">
        <w:rPr>
          <w:rFonts w:cs="Calibri"/>
          <w:sz w:val="24"/>
        </w:rPr>
        <w:t>provide</w:t>
      </w:r>
      <w:r w:rsidR="00A75A8F">
        <w:rPr>
          <w:rFonts w:cs="Calibri"/>
          <w:sz w:val="24"/>
        </w:rPr>
        <w:t>s</w:t>
      </w:r>
      <w:r w:rsidR="00A75A8F" w:rsidRPr="00444D7A">
        <w:rPr>
          <w:rFonts w:cs="Calibri"/>
          <w:sz w:val="24"/>
        </w:rPr>
        <w:t xml:space="preserve"> a framework for considering the construction and understanding of the initial problems, the interlinking </w:t>
      </w:r>
      <w:r w:rsidR="00A75A8F">
        <w:rPr>
          <w:rFonts w:cs="Calibri"/>
          <w:sz w:val="24"/>
        </w:rPr>
        <w:t>grid</w:t>
      </w:r>
      <w:r w:rsidR="00A75A8F" w:rsidRPr="00444D7A">
        <w:rPr>
          <w:rFonts w:cs="Calibri"/>
          <w:sz w:val="24"/>
        </w:rPr>
        <w:t xml:space="preserve"> of social regularitie</w:t>
      </w:r>
      <w:r w:rsidR="00A75A8F">
        <w:rPr>
          <w:rFonts w:cs="Calibri"/>
          <w:sz w:val="24"/>
        </w:rPr>
        <w:t xml:space="preserve">s </w:t>
      </w:r>
      <w:r w:rsidR="008A1670">
        <w:rPr>
          <w:rFonts w:cs="Calibri"/>
          <w:sz w:val="24"/>
        </w:rPr>
        <w:t xml:space="preserve">in </w:t>
      </w:r>
      <w:r w:rsidR="00A75A8F">
        <w:rPr>
          <w:rFonts w:cs="Calibri"/>
          <w:sz w:val="24"/>
        </w:rPr>
        <w:t>operat</w:t>
      </w:r>
      <w:r w:rsidR="008A1670">
        <w:rPr>
          <w:rFonts w:cs="Calibri"/>
          <w:sz w:val="24"/>
        </w:rPr>
        <w:t>ion</w:t>
      </w:r>
      <w:r w:rsidR="00A75A8F" w:rsidRPr="00444D7A">
        <w:rPr>
          <w:rFonts w:cs="Calibri"/>
          <w:sz w:val="24"/>
        </w:rPr>
        <w:t xml:space="preserve"> to construct acceptable policy solutions at th</w:t>
      </w:r>
      <w:r w:rsidR="00A75A8F">
        <w:rPr>
          <w:rFonts w:cs="Calibri"/>
          <w:sz w:val="24"/>
        </w:rPr>
        <w:t>e</w:t>
      </w:r>
      <w:r w:rsidR="00A75A8F" w:rsidRPr="00444D7A">
        <w:rPr>
          <w:rFonts w:cs="Calibri"/>
          <w:sz w:val="24"/>
        </w:rPr>
        <w:t xml:space="preserve"> time, </w:t>
      </w:r>
      <w:r w:rsidR="00A75A8F">
        <w:rPr>
          <w:rFonts w:cs="Calibri"/>
          <w:sz w:val="24"/>
        </w:rPr>
        <w:t xml:space="preserve">and </w:t>
      </w:r>
      <w:r w:rsidR="00A75A8F" w:rsidRPr="00444D7A">
        <w:rPr>
          <w:rFonts w:cs="Calibri"/>
          <w:sz w:val="24"/>
        </w:rPr>
        <w:t>the social construction of the policy solutions contained with the EBac</w:t>
      </w:r>
      <w:r w:rsidR="002D03D8">
        <w:rPr>
          <w:rFonts w:cs="Calibri"/>
          <w:sz w:val="24"/>
        </w:rPr>
        <w:t>.</w:t>
      </w:r>
      <w:r w:rsidR="00A75A8F">
        <w:rPr>
          <w:rFonts w:cs="Calibri"/>
          <w:sz w:val="24"/>
        </w:rPr>
        <w:t xml:space="preserve"> </w:t>
      </w:r>
    </w:p>
    <w:p w14:paraId="2F584E73" w14:textId="21EE7BBD" w:rsidR="00A75A8F" w:rsidRPr="00714BF8" w:rsidRDefault="00A75A8F" w:rsidP="00531995">
      <w:pPr>
        <w:pStyle w:val="Heading3"/>
      </w:pPr>
      <w:bookmarkStart w:id="45" w:name="_Toc452316329"/>
      <w:r>
        <w:t>3.</w:t>
      </w:r>
      <w:r w:rsidR="00661C11">
        <w:t>4</w:t>
      </w:r>
      <w:r>
        <w:t xml:space="preserve">.2. </w:t>
      </w:r>
      <w:r w:rsidRPr="00714BF8">
        <w:t>What are teachers’ perspectives on the constitution and implementation of the EBac?</w:t>
      </w:r>
      <w:bookmarkEnd w:id="45"/>
    </w:p>
    <w:p w14:paraId="69C66ED7" w14:textId="3CAE2285" w:rsidR="00A75A8F" w:rsidRDefault="00A75A8F" w:rsidP="00A75A8F">
      <w:pPr>
        <w:pStyle w:val="Default"/>
        <w:tabs>
          <w:tab w:val="left" w:pos="8364"/>
        </w:tabs>
        <w:spacing w:line="360" w:lineRule="auto"/>
        <w:rPr>
          <w:rFonts w:ascii="Calibri" w:hAnsi="Calibri" w:cs="Calibri"/>
        </w:rPr>
      </w:pPr>
      <w:r>
        <w:rPr>
          <w:rFonts w:ascii="Calibri" w:hAnsi="Calibri" w:cs="Calibri"/>
        </w:rPr>
        <w:t xml:space="preserve">I explore how teachers understand and experience the policy in terms of the practical application within their schools and how it impacts on them as school and subject leaders. The inclusion </w:t>
      </w:r>
      <w:r w:rsidR="00093320">
        <w:rPr>
          <w:rFonts w:ascii="Calibri" w:hAnsi="Calibri" w:cs="Calibri"/>
        </w:rPr>
        <w:t xml:space="preserve">and exclusion </w:t>
      </w:r>
      <w:r>
        <w:rPr>
          <w:rFonts w:ascii="Calibri" w:hAnsi="Calibri" w:cs="Calibri"/>
        </w:rPr>
        <w:t>of certain subjects in the E</w:t>
      </w:r>
      <w:r w:rsidR="00093320">
        <w:rPr>
          <w:rFonts w:ascii="Calibri" w:hAnsi="Calibri" w:cs="Calibri"/>
        </w:rPr>
        <w:t xml:space="preserve">Bac </w:t>
      </w:r>
      <w:r>
        <w:rPr>
          <w:rFonts w:ascii="Calibri" w:hAnsi="Calibri" w:cs="Calibri"/>
        </w:rPr>
        <w:t>create</w:t>
      </w:r>
      <w:r w:rsidR="00093320">
        <w:rPr>
          <w:rFonts w:ascii="Calibri" w:hAnsi="Calibri" w:cs="Calibri"/>
        </w:rPr>
        <w:t>s</w:t>
      </w:r>
      <w:r>
        <w:rPr>
          <w:rFonts w:ascii="Calibri" w:hAnsi="Calibri" w:cs="Calibri"/>
        </w:rPr>
        <w:t xml:space="preserve"> the potential for hierarchical divisions of value and worth within schools and between subject specialists. E</w:t>
      </w:r>
      <w:r w:rsidRPr="00444D7A">
        <w:rPr>
          <w:rFonts w:ascii="Calibri" w:hAnsi="Calibri" w:cs="Calibri"/>
        </w:rPr>
        <w:t>ducational professionals</w:t>
      </w:r>
      <w:r w:rsidR="00750E3F">
        <w:rPr>
          <w:rFonts w:ascii="Calibri" w:hAnsi="Calibri" w:cs="Calibri"/>
        </w:rPr>
        <w:t>,</w:t>
      </w:r>
      <w:r>
        <w:rPr>
          <w:rFonts w:ascii="Calibri" w:hAnsi="Calibri" w:cs="Calibri"/>
        </w:rPr>
        <w:t xml:space="preserve"> including</w:t>
      </w:r>
      <w:r w:rsidRPr="00444D7A">
        <w:rPr>
          <w:rFonts w:ascii="Calibri" w:hAnsi="Calibri" w:cs="Calibri"/>
        </w:rPr>
        <w:t xml:space="preserve"> teachers and </w:t>
      </w:r>
      <w:r>
        <w:rPr>
          <w:rFonts w:ascii="Calibri" w:hAnsi="Calibri" w:cs="Calibri"/>
        </w:rPr>
        <w:t xml:space="preserve">professional </w:t>
      </w:r>
      <w:r w:rsidRPr="00444D7A">
        <w:rPr>
          <w:rFonts w:ascii="Calibri" w:hAnsi="Calibri" w:cs="Calibri"/>
        </w:rPr>
        <w:t>associations of subjects excluded from the EBac</w:t>
      </w:r>
      <w:r w:rsidR="00750E3F">
        <w:rPr>
          <w:rFonts w:ascii="Calibri" w:hAnsi="Calibri" w:cs="Calibri"/>
        </w:rPr>
        <w:t>,</w:t>
      </w:r>
      <w:r w:rsidRPr="00444D7A">
        <w:rPr>
          <w:rFonts w:ascii="Calibri" w:hAnsi="Calibri" w:cs="Calibri"/>
        </w:rPr>
        <w:t xml:space="preserve"> are concerned that their subjects will be marginalised</w:t>
      </w:r>
      <w:r>
        <w:rPr>
          <w:rFonts w:ascii="Calibri" w:hAnsi="Calibri" w:cs="Calibri"/>
        </w:rPr>
        <w:t xml:space="preserve"> as schools encourage students to study EBac subjects</w:t>
      </w:r>
      <w:r w:rsidR="00EB385C">
        <w:rPr>
          <w:rFonts w:ascii="Calibri" w:hAnsi="Calibri" w:cs="Calibri"/>
        </w:rPr>
        <w:t>.</w:t>
      </w:r>
      <w:r w:rsidRPr="00444D7A">
        <w:rPr>
          <w:rFonts w:ascii="Calibri" w:hAnsi="Calibri" w:cs="Calibri"/>
        </w:rPr>
        <w:t xml:space="preserve"> </w:t>
      </w:r>
      <w:r w:rsidR="00EB385C">
        <w:rPr>
          <w:rFonts w:ascii="Calibri" w:hAnsi="Calibri" w:cs="Calibri"/>
        </w:rPr>
        <w:t>T</w:t>
      </w:r>
      <w:r w:rsidRPr="00444D7A">
        <w:rPr>
          <w:rFonts w:ascii="Calibri" w:hAnsi="Calibri" w:cs="Calibri"/>
        </w:rPr>
        <w:t xml:space="preserve">eachers of </w:t>
      </w:r>
      <w:r>
        <w:rPr>
          <w:rFonts w:ascii="Calibri" w:hAnsi="Calibri" w:cs="Calibri"/>
        </w:rPr>
        <w:t>D</w:t>
      </w:r>
      <w:r w:rsidRPr="00444D7A">
        <w:rPr>
          <w:rFonts w:ascii="Calibri" w:hAnsi="Calibri" w:cs="Calibri"/>
        </w:rPr>
        <w:t xml:space="preserve">esign </w:t>
      </w:r>
      <w:r w:rsidR="003410B4">
        <w:rPr>
          <w:rFonts w:ascii="Calibri" w:hAnsi="Calibri" w:cs="Calibri"/>
        </w:rPr>
        <w:t>and</w:t>
      </w:r>
      <w:r w:rsidRPr="00444D7A">
        <w:rPr>
          <w:rFonts w:ascii="Calibri" w:hAnsi="Calibri" w:cs="Calibri"/>
        </w:rPr>
        <w:t xml:space="preserve"> </w:t>
      </w:r>
      <w:r>
        <w:rPr>
          <w:rFonts w:ascii="Calibri" w:hAnsi="Calibri" w:cs="Calibri"/>
        </w:rPr>
        <w:t>T</w:t>
      </w:r>
      <w:r w:rsidRPr="00444D7A">
        <w:rPr>
          <w:rFonts w:ascii="Calibri" w:hAnsi="Calibri" w:cs="Calibri"/>
        </w:rPr>
        <w:t xml:space="preserve">echnology, </w:t>
      </w:r>
      <w:r>
        <w:rPr>
          <w:rFonts w:ascii="Calibri" w:hAnsi="Calibri" w:cs="Calibri"/>
        </w:rPr>
        <w:t>M</w:t>
      </w:r>
      <w:r w:rsidRPr="00444D7A">
        <w:rPr>
          <w:rFonts w:ascii="Calibri" w:hAnsi="Calibri" w:cs="Calibri"/>
        </w:rPr>
        <w:t xml:space="preserve">usic and </w:t>
      </w:r>
      <w:r>
        <w:rPr>
          <w:rFonts w:ascii="Calibri" w:hAnsi="Calibri" w:cs="Calibri"/>
        </w:rPr>
        <w:t>R</w:t>
      </w:r>
      <w:r w:rsidRPr="00444D7A">
        <w:rPr>
          <w:rFonts w:ascii="Calibri" w:hAnsi="Calibri" w:cs="Calibri"/>
        </w:rPr>
        <w:t xml:space="preserve">eligious </w:t>
      </w:r>
      <w:r>
        <w:rPr>
          <w:rFonts w:ascii="Calibri" w:hAnsi="Calibri" w:cs="Calibri"/>
        </w:rPr>
        <w:t>S</w:t>
      </w:r>
      <w:r w:rsidRPr="00444D7A">
        <w:rPr>
          <w:rFonts w:ascii="Calibri" w:hAnsi="Calibri" w:cs="Calibri"/>
        </w:rPr>
        <w:t>tudies</w:t>
      </w:r>
      <w:r w:rsidR="00EB385C">
        <w:rPr>
          <w:rFonts w:ascii="Calibri" w:hAnsi="Calibri" w:cs="Calibri"/>
        </w:rPr>
        <w:t xml:space="preserve">, for example, </w:t>
      </w:r>
      <w:r w:rsidR="00FE11D4">
        <w:rPr>
          <w:rFonts w:ascii="Calibri" w:hAnsi="Calibri" w:cs="Calibri"/>
        </w:rPr>
        <w:t>campaigned</w:t>
      </w:r>
      <w:r w:rsidRPr="00444D7A">
        <w:rPr>
          <w:rFonts w:ascii="Calibri" w:hAnsi="Calibri" w:cs="Calibri"/>
        </w:rPr>
        <w:t xml:space="preserve"> for the inclusion of their subjects into the EBac (Religious Education Council of England and Wales</w:t>
      </w:r>
      <w:r w:rsidR="00EB385C">
        <w:rPr>
          <w:rFonts w:ascii="Calibri" w:hAnsi="Calibri" w:cs="Calibri"/>
        </w:rPr>
        <w:t>,</w:t>
      </w:r>
      <w:r w:rsidRPr="00444D7A">
        <w:rPr>
          <w:rFonts w:ascii="Calibri" w:hAnsi="Calibri" w:cs="Calibri"/>
        </w:rPr>
        <w:t xml:space="preserve"> 2011</w:t>
      </w:r>
      <w:r w:rsidR="00EB385C">
        <w:rPr>
          <w:rFonts w:ascii="Calibri" w:hAnsi="Calibri" w:cs="Calibri"/>
        </w:rPr>
        <w:t>;</w:t>
      </w:r>
      <w:r>
        <w:rPr>
          <w:rFonts w:ascii="Calibri" w:hAnsi="Calibri" w:cs="Calibri"/>
        </w:rPr>
        <w:t xml:space="preserve"> Adams, 2013</w:t>
      </w:r>
      <w:r w:rsidRPr="00444D7A">
        <w:rPr>
          <w:rFonts w:ascii="Calibri" w:hAnsi="Calibri" w:cs="Calibri"/>
        </w:rPr>
        <w:t xml:space="preserve">). </w:t>
      </w:r>
      <w:r>
        <w:rPr>
          <w:rFonts w:ascii="Calibri" w:hAnsi="Calibri" w:cs="Calibri"/>
        </w:rPr>
        <w:t>Immediate changes in school curricula occurred after the EBac was first announced. For example</w:t>
      </w:r>
      <w:r w:rsidR="00093320">
        <w:rPr>
          <w:rFonts w:ascii="Calibri" w:hAnsi="Calibri" w:cs="Calibri"/>
        </w:rPr>
        <w:t>,</w:t>
      </w:r>
      <w:r>
        <w:rPr>
          <w:rFonts w:ascii="Calibri" w:hAnsi="Calibri" w:cs="Calibri"/>
        </w:rPr>
        <w:t xml:space="preserve"> </w:t>
      </w:r>
      <w:r w:rsidRPr="00444D7A">
        <w:rPr>
          <w:rFonts w:ascii="Calibri" w:hAnsi="Calibri" w:cs="Calibri"/>
        </w:rPr>
        <w:t xml:space="preserve">The </w:t>
      </w:r>
      <w:r w:rsidRPr="00EA7B86">
        <w:rPr>
          <w:rFonts w:ascii="Calibri" w:hAnsi="Calibri"/>
          <w:i/>
        </w:rPr>
        <w:t>Shift Learning Report</w:t>
      </w:r>
      <w:r w:rsidRPr="00444D7A">
        <w:rPr>
          <w:rFonts w:ascii="Calibri" w:hAnsi="Calibri" w:cs="Calibri"/>
        </w:rPr>
        <w:t xml:space="preserve"> </w:t>
      </w:r>
      <w:r>
        <w:rPr>
          <w:rFonts w:ascii="Calibri" w:hAnsi="Calibri" w:cs="Calibri"/>
        </w:rPr>
        <w:t>comments that “</w:t>
      </w:r>
      <w:r w:rsidRPr="00444D7A">
        <w:rPr>
          <w:rFonts w:ascii="Calibri" w:hAnsi="Calibri" w:cs="Calibri"/>
        </w:rPr>
        <w:t>for around a third of the schools in our eSurvey, the EBac</w:t>
      </w:r>
      <w:r>
        <w:rPr>
          <w:rFonts w:ascii="Calibri" w:hAnsi="Calibri" w:cs="Calibri"/>
        </w:rPr>
        <w:t xml:space="preserve"> </w:t>
      </w:r>
      <w:r w:rsidRPr="00444D7A">
        <w:rPr>
          <w:rFonts w:ascii="Calibri" w:hAnsi="Calibri" w:cs="Calibri"/>
        </w:rPr>
        <w:t>was felt to represent a great deal of change” (</w:t>
      </w:r>
      <w:r>
        <w:rPr>
          <w:rFonts w:ascii="Calibri" w:hAnsi="Calibri" w:cs="Calibri"/>
        </w:rPr>
        <w:t>Powell</w:t>
      </w:r>
      <w:r w:rsidR="00EB385C">
        <w:rPr>
          <w:rFonts w:ascii="Calibri" w:hAnsi="Calibri" w:cs="Calibri"/>
        </w:rPr>
        <w:t>,</w:t>
      </w:r>
      <w:r>
        <w:rPr>
          <w:rFonts w:ascii="Calibri" w:hAnsi="Calibri" w:cs="Calibri"/>
        </w:rPr>
        <w:t xml:space="preserve"> 2011, </w:t>
      </w:r>
      <w:r w:rsidRPr="00444D7A">
        <w:rPr>
          <w:rFonts w:ascii="Calibri" w:hAnsi="Calibri" w:cs="Calibri"/>
        </w:rPr>
        <w:t>p</w:t>
      </w:r>
      <w:r w:rsidR="00661C11">
        <w:rPr>
          <w:rFonts w:ascii="Calibri" w:hAnsi="Calibri" w:cs="Calibri"/>
        </w:rPr>
        <w:t>.</w:t>
      </w:r>
      <w:r w:rsidRPr="00444D7A">
        <w:rPr>
          <w:rFonts w:ascii="Calibri" w:hAnsi="Calibri" w:cs="Calibri"/>
        </w:rPr>
        <w:t xml:space="preserve"> 3). </w:t>
      </w:r>
      <w:r>
        <w:rPr>
          <w:rFonts w:ascii="Calibri" w:hAnsi="Calibri" w:cs="Calibri"/>
        </w:rPr>
        <w:t>The Statistical First Release 2012/2013 from the Department for Education</w:t>
      </w:r>
      <w:r w:rsidRPr="003C64F3">
        <w:rPr>
          <w:rFonts w:ascii="Calibri" w:hAnsi="Calibri" w:cs="Calibri"/>
          <w:i/>
        </w:rPr>
        <w:t xml:space="preserve"> </w:t>
      </w:r>
      <w:r>
        <w:rPr>
          <w:rFonts w:ascii="Calibri" w:hAnsi="Calibri" w:cs="Calibri"/>
        </w:rPr>
        <w:t>states that entries in EBac subjects have increased since 2009</w:t>
      </w:r>
      <w:r w:rsidR="003E4CE0">
        <w:rPr>
          <w:rFonts w:ascii="Calibri" w:hAnsi="Calibri" w:cs="Calibri"/>
        </w:rPr>
        <w:t>-</w:t>
      </w:r>
      <w:r>
        <w:rPr>
          <w:rFonts w:ascii="Calibri" w:hAnsi="Calibri" w:cs="Calibri"/>
        </w:rPr>
        <w:t>10 by 12.4 percentage points (p.4). If the EBac subject entries are going up</w:t>
      </w:r>
      <w:r w:rsidR="003E4CE0">
        <w:rPr>
          <w:rFonts w:ascii="Calibri" w:hAnsi="Calibri" w:cs="Calibri"/>
        </w:rPr>
        <w:t>,</w:t>
      </w:r>
      <w:r>
        <w:rPr>
          <w:rFonts w:ascii="Calibri" w:hAnsi="Calibri" w:cs="Calibri"/>
        </w:rPr>
        <w:t xml:space="preserve"> it follows that</w:t>
      </w:r>
      <w:r w:rsidR="003E4CE0">
        <w:rPr>
          <w:rFonts w:ascii="Calibri" w:hAnsi="Calibri" w:cs="Calibri"/>
        </w:rPr>
        <w:t xml:space="preserve"> entries in other</w:t>
      </w:r>
      <w:r>
        <w:rPr>
          <w:rFonts w:ascii="Calibri" w:hAnsi="Calibri" w:cs="Calibri"/>
        </w:rPr>
        <w:t xml:space="preserve"> subjects will be declining. </w:t>
      </w:r>
      <w:r w:rsidRPr="00444D7A">
        <w:rPr>
          <w:rFonts w:ascii="Calibri" w:hAnsi="Calibri" w:cs="Calibri"/>
        </w:rPr>
        <w:t xml:space="preserve">It is important to investigate </w:t>
      </w:r>
      <w:r>
        <w:rPr>
          <w:rFonts w:ascii="Calibri" w:hAnsi="Calibri" w:cs="Calibri"/>
        </w:rPr>
        <w:t>the pressures experienced</w:t>
      </w:r>
      <w:r w:rsidRPr="00444D7A">
        <w:rPr>
          <w:rFonts w:ascii="Calibri" w:hAnsi="Calibri" w:cs="Calibri"/>
        </w:rPr>
        <w:t xml:space="preserve"> i</w:t>
      </w:r>
      <w:r>
        <w:rPr>
          <w:rFonts w:ascii="Calibri" w:hAnsi="Calibri" w:cs="Calibri"/>
        </w:rPr>
        <w:t>n different types of schools</w:t>
      </w:r>
      <w:r w:rsidRPr="00444D7A">
        <w:rPr>
          <w:rFonts w:ascii="Calibri" w:hAnsi="Calibri" w:cs="Calibri"/>
        </w:rPr>
        <w:t xml:space="preserve"> </w:t>
      </w:r>
      <w:r w:rsidR="003E4CE0">
        <w:rPr>
          <w:rFonts w:ascii="Calibri" w:hAnsi="Calibri" w:cs="Calibri"/>
        </w:rPr>
        <w:t xml:space="preserve">concerning </w:t>
      </w:r>
      <w:r w:rsidRPr="00444D7A">
        <w:rPr>
          <w:rFonts w:ascii="Calibri" w:hAnsi="Calibri" w:cs="Calibri"/>
        </w:rPr>
        <w:t xml:space="preserve">the EBac </w:t>
      </w:r>
      <w:r>
        <w:rPr>
          <w:rFonts w:ascii="Calibri" w:hAnsi="Calibri" w:cs="Calibri"/>
        </w:rPr>
        <w:t>performance measure</w:t>
      </w:r>
      <w:r w:rsidR="003E4CE0">
        <w:rPr>
          <w:rFonts w:ascii="Calibri" w:hAnsi="Calibri" w:cs="Calibri"/>
        </w:rPr>
        <w:t>,</w:t>
      </w:r>
      <w:r>
        <w:rPr>
          <w:rFonts w:ascii="Calibri" w:hAnsi="Calibri" w:cs="Calibri"/>
        </w:rPr>
        <w:t xml:space="preserve"> </w:t>
      </w:r>
      <w:r w:rsidRPr="00444D7A">
        <w:rPr>
          <w:rFonts w:ascii="Calibri" w:hAnsi="Calibri" w:cs="Calibri"/>
        </w:rPr>
        <w:t xml:space="preserve">as well as looking at </w:t>
      </w:r>
      <w:r>
        <w:rPr>
          <w:rFonts w:ascii="Calibri" w:hAnsi="Calibri" w:cs="Calibri"/>
        </w:rPr>
        <w:t>local</w:t>
      </w:r>
      <w:r w:rsidRPr="00444D7A">
        <w:rPr>
          <w:rFonts w:ascii="Calibri" w:hAnsi="Calibri" w:cs="Calibri"/>
        </w:rPr>
        <w:t xml:space="preserve"> interpretation</w:t>
      </w:r>
      <w:r w:rsidR="003E4CE0">
        <w:rPr>
          <w:rFonts w:ascii="Calibri" w:hAnsi="Calibri" w:cs="Calibri"/>
        </w:rPr>
        <w:t>s</w:t>
      </w:r>
      <w:r w:rsidRPr="00444D7A">
        <w:rPr>
          <w:rFonts w:ascii="Calibri" w:hAnsi="Calibri" w:cs="Calibri"/>
        </w:rPr>
        <w:t xml:space="preserve"> of the policy</w:t>
      </w:r>
      <w:r>
        <w:rPr>
          <w:rFonts w:ascii="Calibri" w:hAnsi="Calibri" w:cs="Calibri"/>
        </w:rPr>
        <w:t xml:space="preserve">. </w:t>
      </w:r>
      <w:r w:rsidRPr="00444D7A">
        <w:rPr>
          <w:rFonts w:ascii="Calibri" w:hAnsi="Calibri" w:cs="Calibri"/>
        </w:rPr>
        <w:t xml:space="preserve">Hodgson </w:t>
      </w:r>
      <w:r w:rsidR="003E4CE0">
        <w:rPr>
          <w:rFonts w:ascii="Calibri" w:hAnsi="Calibri" w:cs="Calibri"/>
        </w:rPr>
        <w:t>and</w:t>
      </w:r>
      <w:r w:rsidRPr="00444D7A">
        <w:rPr>
          <w:rFonts w:ascii="Calibri" w:hAnsi="Calibri" w:cs="Calibri"/>
        </w:rPr>
        <w:t xml:space="preserve"> Spours </w:t>
      </w:r>
      <w:r>
        <w:rPr>
          <w:rFonts w:ascii="Calibri" w:hAnsi="Calibri" w:cs="Calibri"/>
        </w:rPr>
        <w:t>(</w:t>
      </w:r>
      <w:r w:rsidRPr="00444D7A">
        <w:rPr>
          <w:rFonts w:ascii="Calibri" w:hAnsi="Calibri" w:cs="Calibri"/>
        </w:rPr>
        <w:t>2008</w:t>
      </w:r>
      <w:r>
        <w:rPr>
          <w:rFonts w:ascii="Calibri" w:hAnsi="Calibri" w:cs="Calibri"/>
        </w:rPr>
        <w:t xml:space="preserve">) and </w:t>
      </w:r>
      <w:r w:rsidRPr="00444D7A">
        <w:rPr>
          <w:rFonts w:ascii="Calibri" w:hAnsi="Calibri" w:cs="Calibri"/>
        </w:rPr>
        <w:t>Pring et al</w:t>
      </w:r>
      <w:r w:rsidR="003E4CE0">
        <w:rPr>
          <w:rFonts w:ascii="Calibri" w:hAnsi="Calibri" w:cs="Calibri"/>
        </w:rPr>
        <w:t>.</w:t>
      </w:r>
      <w:r w:rsidRPr="00444D7A">
        <w:rPr>
          <w:rFonts w:ascii="Calibri" w:hAnsi="Calibri" w:cs="Calibri"/>
        </w:rPr>
        <w:t xml:space="preserve"> </w:t>
      </w:r>
      <w:r>
        <w:rPr>
          <w:rFonts w:ascii="Calibri" w:hAnsi="Calibri" w:cs="Calibri"/>
        </w:rPr>
        <w:t>(</w:t>
      </w:r>
      <w:r w:rsidRPr="00444D7A">
        <w:rPr>
          <w:rFonts w:ascii="Calibri" w:hAnsi="Calibri" w:cs="Calibri"/>
        </w:rPr>
        <w:t>2009</w:t>
      </w:r>
      <w:r>
        <w:rPr>
          <w:rFonts w:ascii="Calibri" w:hAnsi="Calibri" w:cs="Calibri"/>
        </w:rPr>
        <w:t xml:space="preserve">) </w:t>
      </w:r>
      <w:r w:rsidRPr="00444D7A">
        <w:rPr>
          <w:rFonts w:ascii="Calibri" w:hAnsi="Calibri" w:cs="Calibri"/>
        </w:rPr>
        <w:t xml:space="preserve">are concerned that the EBac is not an appropriate curriculum model for many young people </w:t>
      </w:r>
      <w:r>
        <w:rPr>
          <w:rFonts w:ascii="Calibri" w:hAnsi="Calibri" w:cs="Calibri"/>
        </w:rPr>
        <w:t>and that it neglects</w:t>
      </w:r>
      <w:r w:rsidRPr="00444D7A">
        <w:rPr>
          <w:rFonts w:ascii="Calibri" w:hAnsi="Calibri" w:cs="Calibri"/>
        </w:rPr>
        <w:t xml:space="preserve"> the skill and knowledge requirements of the 21</w:t>
      </w:r>
      <w:r w:rsidRPr="00444D7A">
        <w:rPr>
          <w:rFonts w:ascii="Calibri" w:hAnsi="Calibri" w:cs="Calibri"/>
          <w:vertAlign w:val="superscript"/>
        </w:rPr>
        <w:t>st</w:t>
      </w:r>
      <w:r w:rsidRPr="00444D7A">
        <w:rPr>
          <w:rFonts w:ascii="Calibri" w:hAnsi="Calibri" w:cs="Calibri"/>
        </w:rPr>
        <w:t xml:space="preserve"> </w:t>
      </w:r>
      <w:r w:rsidR="003E4CE0">
        <w:rPr>
          <w:rFonts w:ascii="Calibri" w:hAnsi="Calibri" w:cs="Calibri"/>
        </w:rPr>
        <w:t>c</w:t>
      </w:r>
      <w:r w:rsidRPr="00444D7A">
        <w:rPr>
          <w:rFonts w:ascii="Calibri" w:hAnsi="Calibri" w:cs="Calibri"/>
        </w:rPr>
        <w:t xml:space="preserve">entury. I </w:t>
      </w:r>
      <w:r>
        <w:rPr>
          <w:rFonts w:ascii="Calibri" w:hAnsi="Calibri" w:cs="Calibri"/>
        </w:rPr>
        <w:t>wish</w:t>
      </w:r>
      <w:r w:rsidRPr="00444D7A">
        <w:rPr>
          <w:rFonts w:ascii="Calibri" w:hAnsi="Calibri" w:cs="Calibri"/>
        </w:rPr>
        <w:t xml:space="preserve"> to </w:t>
      </w:r>
      <w:r>
        <w:rPr>
          <w:rFonts w:ascii="Calibri" w:hAnsi="Calibri" w:cs="Calibri"/>
        </w:rPr>
        <w:t>research</w:t>
      </w:r>
      <w:r w:rsidRPr="00444D7A">
        <w:rPr>
          <w:rFonts w:ascii="Calibri" w:hAnsi="Calibri" w:cs="Calibri"/>
        </w:rPr>
        <w:t xml:space="preserve"> teachers’ views about</w:t>
      </w:r>
      <w:r>
        <w:rPr>
          <w:rFonts w:ascii="Calibri" w:hAnsi="Calibri" w:cs="Calibri"/>
        </w:rPr>
        <w:t xml:space="preserve"> </w:t>
      </w:r>
      <w:r w:rsidRPr="00444D7A">
        <w:rPr>
          <w:rFonts w:ascii="Calibri" w:hAnsi="Calibri" w:cs="Calibri"/>
        </w:rPr>
        <w:t xml:space="preserve">the </w:t>
      </w:r>
      <w:r>
        <w:rPr>
          <w:rFonts w:ascii="Calibri" w:hAnsi="Calibri" w:cs="Calibri"/>
        </w:rPr>
        <w:t xml:space="preserve">value, necessity and impact of the </w:t>
      </w:r>
      <w:r w:rsidRPr="00444D7A">
        <w:rPr>
          <w:rFonts w:ascii="Calibri" w:hAnsi="Calibri" w:cs="Calibri"/>
        </w:rPr>
        <w:t>EBac</w:t>
      </w:r>
      <w:r>
        <w:rPr>
          <w:rFonts w:ascii="Calibri" w:hAnsi="Calibri" w:cs="Calibri"/>
        </w:rPr>
        <w:t>.</w:t>
      </w:r>
      <w:r w:rsidRPr="00444D7A">
        <w:rPr>
          <w:rFonts w:ascii="Calibri" w:hAnsi="Calibri" w:cs="Calibri"/>
        </w:rPr>
        <w:t xml:space="preserve"> </w:t>
      </w:r>
    </w:p>
    <w:p w14:paraId="6B2BC0E7" w14:textId="77777777" w:rsidR="003A47A6" w:rsidRDefault="003A47A6" w:rsidP="00A75A8F">
      <w:pPr>
        <w:pStyle w:val="Default"/>
        <w:tabs>
          <w:tab w:val="left" w:pos="8364"/>
        </w:tabs>
        <w:spacing w:line="360" w:lineRule="auto"/>
        <w:rPr>
          <w:rFonts w:ascii="Calibri" w:hAnsi="Calibri" w:cs="Calibri"/>
        </w:rPr>
      </w:pPr>
    </w:p>
    <w:p w14:paraId="7C970F82" w14:textId="77777777" w:rsidR="00A75A8F" w:rsidRPr="00D0484D" w:rsidRDefault="00A75A8F" w:rsidP="00A75A8F">
      <w:pPr>
        <w:pStyle w:val="Default"/>
        <w:spacing w:line="360" w:lineRule="auto"/>
      </w:pPr>
    </w:p>
    <w:p w14:paraId="4A3AF386" w14:textId="0C7A33E7" w:rsidR="00A75A8F" w:rsidRPr="000D42DD" w:rsidRDefault="00A75A8F" w:rsidP="00531995">
      <w:pPr>
        <w:pStyle w:val="Heading3"/>
      </w:pPr>
      <w:bookmarkStart w:id="46" w:name="_Toc452316330"/>
      <w:r>
        <w:lastRenderedPageBreak/>
        <w:t>3.</w:t>
      </w:r>
      <w:r w:rsidR="00661C11">
        <w:t>4</w:t>
      </w:r>
      <w:r>
        <w:t xml:space="preserve">.3 </w:t>
      </w:r>
      <w:r w:rsidRPr="000D42DD">
        <w:t>Does the EBac have implications for educational equality?</w:t>
      </w:r>
      <w:bookmarkEnd w:id="46"/>
    </w:p>
    <w:p w14:paraId="0F376133" w14:textId="0E291329" w:rsidR="003E4CE0" w:rsidRDefault="00A75A8F" w:rsidP="003A47A6">
      <w:pPr>
        <w:spacing w:line="360" w:lineRule="auto"/>
        <w:rPr>
          <w:rFonts w:cs="Calibri"/>
          <w:sz w:val="24"/>
        </w:rPr>
      </w:pPr>
      <w:r>
        <w:rPr>
          <w:rFonts w:cs="Calibri"/>
          <w:sz w:val="24"/>
        </w:rPr>
        <w:t>I investigate the potential impact of the EBac</w:t>
      </w:r>
      <w:r w:rsidR="003E4CE0">
        <w:rPr>
          <w:rFonts w:cs="Calibri"/>
          <w:sz w:val="24"/>
        </w:rPr>
        <w:t xml:space="preserve">, firstly on </w:t>
      </w:r>
      <w:r>
        <w:rPr>
          <w:rFonts w:cs="Calibri"/>
          <w:sz w:val="24"/>
        </w:rPr>
        <w:t>outcomes for different types of students</w:t>
      </w:r>
      <w:r w:rsidR="003E4CE0">
        <w:rPr>
          <w:rFonts w:cs="Calibri"/>
          <w:sz w:val="24"/>
        </w:rPr>
        <w:t>,</w:t>
      </w:r>
      <w:r>
        <w:rPr>
          <w:rFonts w:cs="Calibri"/>
          <w:sz w:val="24"/>
        </w:rPr>
        <w:t xml:space="preserve"> including social class, ethnicity, gender and SEND</w:t>
      </w:r>
      <w:r w:rsidR="003E4CE0">
        <w:rPr>
          <w:rFonts w:cs="Calibri"/>
          <w:sz w:val="24"/>
        </w:rPr>
        <w:t>;</w:t>
      </w:r>
      <w:r>
        <w:rPr>
          <w:rFonts w:cs="Calibri"/>
          <w:sz w:val="24"/>
        </w:rPr>
        <w:t xml:space="preserve"> second</w:t>
      </w:r>
      <w:r w:rsidR="003E4CE0">
        <w:rPr>
          <w:rFonts w:cs="Calibri"/>
          <w:sz w:val="24"/>
        </w:rPr>
        <w:t>ly</w:t>
      </w:r>
      <w:r>
        <w:rPr>
          <w:rFonts w:cs="Calibri"/>
          <w:sz w:val="24"/>
        </w:rPr>
        <w:t>, different subjects and third</w:t>
      </w:r>
      <w:r w:rsidR="003E4CE0">
        <w:rPr>
          <w:rFonts w:cs="Calibri"/>
          <w:sz w:val="24"/>
        </w:rPr>
        <w:t>ly</w:t>
      </w:r>
      <w:r>
        <w:rPr>
          <w:rFonts w:cs="Calibri"/>
          <w:sz w:val="24"/>
        </w:rPr>
        <w:t>, different types of schools.</w:t>
      </w:r>
    </w:p>
    <w:p w14:paraId="74E9F7AD" w14:textId="4725EB6D" w:rsidR="00A75A8F" w:rsidRPr="00661C11" w:rsidRDefault="00A75A8F" w:rsidP="00531995">
      <w:pPr>
        <w:pStyle w:val="Heading4"/>
      </w:pPr>
      <w:r w:rsidRPr="00661C11">
        <w:t>3.</w:t>
      </w:r>
      <w:r w:rsidR="00661C11" w:rsidRPr="00661C11">
        <w:t>4</w:t>
      </w:r>
      <w:r w:rsidRPr="00661C11">
        <w:t>.31 Equality implications for impact on students</w:t>
      </w:r>
    </w:p>
    <w:p w14:paraId="4ECF8B6D" w14:textId="2CDE8FE9" w:rsidR="00A75A8F" w:rsidRDefault="00A75A8F" w:rsidP="00EA7B86">
      <w:pPr>
        <w:tabs>
          <w:tab w:val="left" w:pos="7371"/>
          <w:tab w:val="left" w:pos="8222"/>
          <w:tab w:val="left" w:pos="8364"/>
        </w:tabs>
        <w:spacing w:after="0" w:line="360" w:lineRule="auto"/>
        <w:rPr>
          <w:rFonts w:cs="Calibri"/>
          <w:sz w:val="24"/>
        </w:rPr>
      </w:pPr>
      <w:r>
        <w:rPr>
          <w:rFonts w:cs="Calibri"/>
          <w:sz w:val="24"/>
        </w:rPr>
        <w:t xml:space="preserve">Ball </w:t>
      </w:r>
      <w:r w:rsidR="003E4CE0">
        <w:rPr>
          <w:rFonts w:cs="Calibri"/>
          <w:sz w:val="24"/>
        </w:rPr>
        <w:t>(</w:t>
      </w:r>
      <w:r>
        <w:rPr>
          <w:rFonts w:cs="Calibri"/>
          <w:sz w:val="24"/>
        </w:rPr>
        <w:t>2006</w:t>
      </w:r>
      <w:r w:rsidR="003E4CE0">
        <w:rPr>
          <w:rFonts w:cs="Calibri"/>
          <w:sz w:val="24"/>
        </w:rPr>
        <w:t>)</w:t>
      </w:r>
      <w:r>
        <w:rPr>
          <w:rFonts w:cs="Calibri"/>
          <w:sz w:val="24"/>
        </w:rPr>
        <w:t xml:space="preserve">, Gillborn </w:t>
      </w:r>
      <w:r w:rsidR="003E4CE0">
        <w:rPr>
          <w:rFonts w:cs="Calibri"/>
          <w:sz w:val="24"/>
        </w:rPr>
        <w:t>(</w:t>
      </w:r>
      <w:r>
        <w:rPr>
          <w:rFonts w:cs="Calibri"/>
          <w:sz w:val="24"/>
        </w:rPr>
        <w:t>2011</w:t>
      </w:r>
      <w:r w:rsidR="00093320">
        <w:rPr>
          <w:rFonts w:cs="Calibri"/>
          <w:sz w:val="24"/>
        </w:rPr>
        <w:t>b</w:t>
      </w:r>
      <w:r w:rsidR="003E4CE0">
        <w:rPr>
          <w:rFonts w:cs="Calibri"/>
          <w:sz w:val="24"/>
        </w:rPr>
        <w:t>)</w:t>
      </w:r>
      <w:r>
        <w:rPr>
          <w:rFonts w:cs="Calibri"/>
          <w:sz w:val="24"/>
        </w:rPr>
        <w:t xml:space="preserve">, Rassool </w:t>
      </w:r>
      <w:r w:rsidR="003E4CE0">
        <w:rPr>
          <w:rFonts w:cs="Calibri"/>
          <w:sz w:val="24"/>
        </w:rPr>
        <w:t>(</w:t>
      </w:r>
      <w:r>
        <w:rPr>
          <w:rFonts w:cs="Calibri"/>
          <w:sz w:val="24"/>
        </w:rPr>
        <w:t>2009</w:t>
      </w:r>
      <w:r w:rsidR="003E4CE0">
        <w:rPr>
          <w:rFonts w:cs="Calibri"/>
          <w:sz w:val="24"/>
        </w:rPr>
        <w:t>)</w:t>
      </w:r>
      <w:r>
        <w:rPr>
          <w:rFonts w:cs="Calibri"/>
          <w:sz w:val="24"/>
        </w:rPr>
        <w:t xml:space="preserve"> and government statistics (DfE</w:t>
      </w:r>
      <w:r w:rsidR="003E4CE0">
        <w:rPr>
          <w:rFonts w:cs="Calibri"/>
          <w:sz w:val="24"/>
        </w:rPr>
        <w:t>,</w:t>
      </w:r>
      <w:r>
        <w:rPr>
          <w:rFonts w:cs="Calibri"/>
          <w:sz w:val="24"/>
        </w:rPr>
        <w:t xml:space="preserve"> 2012) show inequalities in educational outcomes in England with particular regard to social class and ethnicity. Hierarchies are in operation at all levels of education</w:t>
      </w:r>
      <w:r w:rsidR="00F9532C">
        <w:rPr>
          <w:rFonts w:cs="Calibri"/>
          <w:sz w:val="24"/>
        </w:rPr>
        <w:t>,</w:t>
      </w:r>
      <w:r>
        <w:rPr>
          <w:rFonts w:cs="Calibri"/>
          <w:sz w:val="24"/>
        </w:rPr>
        <w:t xml:space="preserve"> from the classification of a ‘good’ school or university to the division of subjects into </w:t>
      </w:r>
      <w:r w:rsidR="00F9532C">
        <w:rPr>
          <w:rFonts w:cs="Calibri"/>
          <w:sz w:val="24"/>
        </w:rPr>
        <w:t>‘</w:t>
      </w:r>
      <w:r>
        <w:rPr>
          <w:rFonts w:cs="Calibri"/>
          <w:sz w:val="24"/>
        </w:rPr>
        <w:t xml:space="preserve">high’ and ‘low’ status. </w:t>
      </w:r>
      <w:r w:rsidRPr="00444D7A">
        <w:rPr>
          <w:rFonts w:cs="Calibri"/>
          <w:sz w:val="24"/>
        </w:rPr>
        <w:t xml:space="preserve">My </w:t>
      </w:r>
      <w:r w:rsidR="00F9532C">
        <w:rPr>
          <w:rFonts w:cs="Calibri"/>
          <w:sz w:val="24"/>
        </w:rPr>
        <w:t>hypo</w:t>
      </w:r>
      <w:r w:rsidRPr="00444D7A">
        <w:rPr>
          <w:rFonts w:cs="Calibri"/>
          <w:sz w:val="24"/>
        </w:rPr>
        <w:t xml:space="preserve">thesis is that the EBac will introduce additional </w:t>
      </w:r>
      <w:r>
        <w:rPr>
          <w:rFonts w:cs="Calibri"/>
          <w:sz w:val="24"/>
        </w:rPr>
        <w:t xml:space="preserve">hierarchies and </w:t>
      </w:r>
      <w:r w:rsidRPr="00444D7A">
        <w:rPr>
          <w:rFonts w:cs="Calibri"/>
          <w:sz w:val="24"/>
        </w:rPr>
        <w:t>inequalities into the education system fo</w:t>
      </w:r>
      <w:r>
        <w:rPr>
          <w:rFonts w:cs="Calibri"/>
          <w:sz w:val="24"/>
        </w:rPr>
        <w:t xml:space="preserve">r students, teachers and schools. </w:t>
      </w:r>
    </w:p>
    <w:p w14:paraId="0013285B" w14:textId="77777777" w:rsidR="00F9532C" w:rsidRDefault="00F9532C" w:rsidP="00EA7B86">
      <w:pPr>
        <w:tabs>
          <w:tab w:val="left" w:pos="7371"/>
          <w:tab w:val="left" w:pos="8222"/>
          <w:tab w:val="left" w:pos="8364"/>
        </w:tabs>
        <w:spacing w:after="0" w:line="360" w:lineRule="auto"/>
        <w:rPr>
          <w:rFonts w:cs="Calibri"/>
          <w:sz w:val="24"/>
        </w:rPr>
      </w:pPr>
    </w:p>
    <w:p w14:paraId="0B24BDE0" w14:textId="503BBC9B" w:rsidR="00A75A8F" w:rsidRDefault="008A30A3" w:rsidP="00A75A8F">
      <w:pPr>
        <w:tabs>
          <w:tab w:val="left" w:pos="8364"/>
        </w:tabs>
        <w:spacing w:line="360" w:lineRule="auto"/>
        <w:rPr>
          <w:rFonts w:cs="Calibri"/>
          <w:sz w:val="24"/>
        </w:rPr>
      </w:pPr>
      <w:r>
        <w:rPr>
          <w:rFonts w:cs="Calibri"/>
          <w:sz w:val="24"/>
        </w:rPr>
        <w:t>I</w:t>
      </w:r>
      <w:r w:rsidR="00F9532C">
        <w:rPr>
          <w:rFonts w:cs="Calibri"/>
          <w:sz w:val="24"/>
        </w:rPr>
        <w:t xml:space="preserve"> aim to </w:t>
      </w:r>
      <w:r w:rsidR="00A75A8F">
        <w:rPr>
          <w:rFonts w:cs="Calibri"/>
          <w:sz w:val="24"/>
        </w:rPr>
        <w:t xml:space="preserve">investigate </w:t>
      </w:r>
      <w:r w:rsidR="00F9532C">
        <w:rPr>
          <w:rFonts w:cs="Calibri"/>
          <w:sz w:val="24"/>
        </w:rPr>
        <w:t>whether</w:t>
      </w:r>
      <w:r w:rsidR="00A75A8F" w:rsidRPr="00444D7A">
        <w:rPr>
          <w:rFonts w:cs="Calibri"/>
          <w:sz w:val="24"/>
        </w:rPr>
        <w:t xml:space="preserve"> this curriculum</w:t>
      </w:r>
      <w:r w:rsidR="00A75A8F">
        <w:rPr>
          <w:rFonts w:cs="Calibri"/>
          <w:sz w:val="24"/>
        </w:rPr>
        <w:t xml:space="preserve"> </w:t>
      </w:r>
      <w:r w:rsidR="00A75A8F" w:rsidRPr="00444D7A">
        <w:rPr>
          <w:rFonts w:cs="Calibri"/>
          <w:sz w:val="24"/>
        </w:rPr>
        <w:t>allow</w:t>
      </w:r>
      <w:r w:rsidR="00A75A8F">
        <w:rPr>
          <w:rFonts w:cs="Calibri"/>
          <w:sz w:val="24"/>
        </w:rPr>
        <w:t>s</w:t>
      </w:r>
      <w:r w:rsidR="00A75A8F" w:rsidRPr="00444D7A">
        <w:rPr>
          <w:rFonts w:cs="Calibri"/>
          <w:sz w:val="24"/>
        </w:rPr>
        <w:t xml:space="preserve"> a greater number of children to achieve academ</w:t>
      </w:r>
      <w:r>
        <w:rPr>
          <w:rFonts w:cs="Calibri"/>
          <w:sz w:val="24"/>
        </w:rPr>
        <w:t>ic success and</w:t>
      </w:r>
      <w:r w:rsidR="00A75A8F" w:rsidRPr="00444D7A">
        <w:rPr>
          <w:rFonts w:cs="Calibri"/>
          <w:sz w:val="24"/>
        </w:rPr>
        <w:t xml:space="preserve"> move onto Higher Education</w:t>
      </w:r>
      <w:r w:rsidR="00F9532C">
        <w:rPr>
          <w:rFonts w:cs="Calibri"/>
          <w:sz w:val="24"/>
        </w:rPr>
        <w:t>,</w:t>
      </w:r>
      <w:r w:rsidR="00FE11D4">
        <w:rPr>
          <w:rFonts w:cs="Calibri"/>
          <w:sz w:val="24"/>
        </w:rPr>
        <w:t xml:space="preserve"> or</w:t>
      </w:r>
      <w:r w:rsidR="00A75A8F">
        <w:rPr>
          <w:rFonts w:cs="Calibri"/>
          <w:sz w:val="24"/>
        </w:rPr>
        <w:t xml:space="preserve"> </w:t>
      </w:r>
      <w:r w:rsidR="00A75A8F" w:rsidRPr="00444D7A">
        <w:rPr>
          <w:rFonts w:cs="Calibri"/>
          <w:sz w:val="24"/>
        </w:rPr>
        <w:t>act</w:t>
      </w:r>
      <w:r w:rsidR="00A75A8F">
        <w:rPr>
          <w:rFonts w:cs="Calibri"/>
          <w:sz w:val="24"/>
        </w:rPr>
        <w:t>s</w:t>
      </w:r>
      <w:r w:rsidR="00A75A8F" w:rsidRPr="00444D7A">
        <w:rPr>
          <w:rFonts w:cs="Calibri"/>
          <w:sz w:val="24"/>
        </w:rPr>
        <w:t xml:space="preserve"> as a further filtering device</w:t>
      </w:r>
      <w:r w:rsidR="00F9532C">
        <w:rPr>
          <w:rFonts w:cs="Calibri"/>
          <w:sz w:val="24"/>
        </w:rPr>
        <w:t>,</w:t>
      </w:r>
      <w:r w:rsidR="00A75A8F" w:rsidRPr="00444D7A">
        <w:rPr>
          <w:rFonts w:cs="Calibri"/>
          <w:sz w:val="24"/>
        </w:rPr>
        <w:t xml:space="preserve"> ensur</w:t>
      </w:r>
      <w:r w:rsidR="00A75A8F">
        <w:rPr>
          <w:rFonts w:cs="Calibri"/>
          <w:sz w:val="24"/>
        </w:rPr>
        <w:t>ing</w:t>
      </w:r>
      <w:r w:rsidR="00A75A8F" w:rsidRPr="00444D7A">
        <w:rPr>
          <w:rFonts w:cs="Calibri"/>
          <w:sz w:val="24"/>
        </w:rPr>
        <w:t xml:space="preserve"> that only some </w:t>
      </w:r>
      <w:r w:rsidR="00A75A8F">
        <w:rPr>
          <w:rFonts w:cs="Calibri"/>
          <w:sz w:val="24"/>
        </w:rPr>
        <w:t>students</w:t>
      </w:r>
      <w:r w:rsidR="00A75A8F" w:rsidRPr="00444D7A">
        <w:rPr>
          <w:rFonts w:cs="Calibri"/>
          <w:sz w:val="24"/>
        </w:rPr>
        <w:t xml:space="preserve"> are able to progres</w:t>
      </w:r>
      <w:r w:rsidR="00A75A8F">
        <w:rPr>
          <w:rFonts w:cs="Calibri"/>
          <w:sz w:val="24"/>
        </w:rPr>
        <w:t>s.</w:t>
      </w:r>
      <w:r w:rsidR="00A75A8F" w:rsidRPr="00444D7A">
        <w:rPr>
          <w:rFonts w:cs="Calibri"/>
          <w:sz w:val="24"/>
        </w:rPr>
        <w:t xml:space="preserve">  The concept of meritocracy, </w:t>
      </w:r>
      <w:r w:rsidR="00F9532C">
        <w:rPr>
          <w:rFonts w:cs="Calibri"/>
          <w:sz w:val="24"/>
        </w:rPr>
        <w:t xml:space="preserve">i.e. </w:t>
      </w:r>
      <w:r w:rsidR="00A75A8F" w:rsidRPr="00444D7A">
        <w:rPr>
          <w:rFonts w:cs="Calibri"/>
          <w:sz w:val="24"/>
        </w:rPr>
        <w:t xml:space="preserve">the belief that all can achieve on the basis of their talents and abilities, is </w:t>
      </w:r>
      <w:r w:rsidR="00F9532C">
        <w:rPr>
          <w:rFonts w:cs="Calibri"/>
          <w:sz w:val="24"/>
        </w:rPr>
        <w:t xml:space="preserve">supported by the </w:t>
      </w:r>
      <w:r w:rsidR="00A75A8F" w:rsidRPr="00444D7A">
        <w:rPr>
          <w:rFonts w:cs="Calibri"/>
          <w:sz w:val="24"/>
        </w:rPr>
        <w:t xml:space="preserve">EBac in that that all children </w:t>
      </w:r>
      <w:r w:rsidR="00F9532C">
        <w:rPr>
          <w:rFonts w:cs="Calibri"/>
          <w:sz w:val="24"/>
        </w:rPr>
        <w:t xml:space="preserve">are meant to </w:t>
      </w:r>
      <w:r w:rsidR="00A75A8F" w:rsidRPr="00444D7A">
        <w:rPr>
          <w:rFonts w:cs="Calibri"/>
          <w:sz w:val="24"/>
        </w:rPr>
        <w:t xml:space="preserve">have </w:t>
      </w:r>
      <w:r w:rsidR="00A75A8F">
        <w:rPr>
          <w:rFonts w:cs="Calibri"/>
          <w:sz w:val="24"/>
        </w:rPr>
        <w:t xml:space="preserve">access to a </w:t>
      </w:r>
      <w:r w:rsidR="00A75A8F" w:rsidRPr="00444D7A">
        <w:rPr>
          <w:rFonts w:cs="Calibri"/>
          <w:sz w:val="24"/>
        </w:rPr>
        <w:t xml:space="preserve">range of academic subjects up to age </w:t>
      </w:r>
      <w:r w:rsidR="00A75A8F">
        <w:rPr>
          <w:rFonts w:cs="Calibri"/>
          <w:sz w:val="24"/>
        </w:rPr>
        <w:t>16</w:t>
      </w:r>
      <w:r w:rsidR="00A75A8F" w:rsidRPr="00444D7A">
        <w:rPr>
          <w:rFonts w:cs="Calibri"/>
          <w:sz w:val="24"/>
        </w:rPr>
        <w:t xml:space="preserve">. </w:t>
      </w:r>
      <w:r w:rsidR="00A75A8F">
        <w:rPr>
          <w:rFonts w:cs="Calibri"/>
          <w:sz w:val="24"/>
        </w:rPr>
        <w:t>I explore w</w:t>
      </w:r>
      <w:r w:rsidR="00A75A8F" w:rsidRPr="00444D7A">
        <w:rPr>
          <w:rFonts w:cs="Calibri"/>
          <w:sz w:val="24"/>
        </w:rPr>
        <w:t xml:space="preserve">hether the EBac </w:t>
      </w:r>
      <w:r w:rsidR="00A75A8F">
        <w:rPr>
          <w:rFonts w:cs="Calibri"/>
          <w:sz w:val="24"/>
        </w:rPr>
        <w:t>can</w:t>
      </w:r>
      <w:r w:rsidR="00A75A8F" w:rsidRPr="00444D7A">
        <w:rPr>
          <w:rFonts w:cs="Calibri"/>
          <w:sz w:val="24"/>
        </w:rPr>
        <w:t xml:space="preserve"> deliver this aim </w:t>
      </w:r>
      <w:r w:rsidR="00A75A8F">
        <w:rPr>
          <w:rFonts w:cs="Calibri"/>
          <w:sz w:val="24"/>
        </w:rPr>
        <w:t>for all children. It may be that children with SEND or those on FSM</w:t>
      </w:r>
      <w:r w:rsidR="00A75A8F" w:rsidRPr="00444D7A">
        <w:rPr>
          <w:rFonts w:cs="Calibri"/>
          <w:sz w:val="24"/>
        </w:rPr>
        <w:t xml:space="preserve">, and in particular </w:t>
      </w:r>
      <w:r w:rsidR="00A75A8F">
        <w:rPr>
          <w:rFonts w:cs="Calibri"/>
          <w:sz w:val="24"/>
        </w:rPr>
        <w:t>black and minority ethnic students</w:t>
      </w:r>
      <w:r w:rsidR="00A75A8F" w:rsidRPr="00444D7A">
        <w:rPr>
          <w:rFonts w:cs="Calibri"/>
          <w:sz w:val="24"/>
        </w:rPr>
        <w:t>, are largely excluded</w:t>
      </w:r>
      <w:r w:rsidR="00A75A8F">
        <w:rPr>
          <w:rFonts w:cs="Calibri"/>
          <w:sz w:val="24"/>
        </w:rPr>
        <w:t xml:space="preserve"> from the EBac (Gillborn</w:t>
      </w:r>
      <w:r w:rsidR="00F9532C">
        <w:rPr>
          <w:rFonts w:cs="Calibri"/>
          <w:sz w:val="24"/>
        </w:rPr>
        <w:t>,</w:t>
      </w:r>
      <w:r w:rsidR="00A75A8F">
        <w:rPr>
          <w:rFonts w:cs="Calibri"/>
          <w:sz w:val="24"/>
        </w:rPr>
        <w:t xml:space="preserve"> 2011</w:t>
      </w:r>
      <w:r w:rsidR="00093320">
        <w:rPr>
          <w:rFonts w:cs="Calibri"/>
          <w:sz w:val="24"/>
        </w:rPr>
        <w:t>b</w:t>
      </w:r>
      <w:r w:rsidR="00A75A8F">
        <w:rPr>
          <w:rFonts w:cs="Calibri"/>
          <w:sz w:val="24"/>
        </w:rPr>
        <w:t xml:space="preserve">) as teachers direct </w:t>
      </w:r>
      <w:r w:rsidR="00F9532C">
        <w:rPr>
          <w:rFonts w:cs="Calibri"/>
          <w:sz w:val="24"/>
        </w:rPr>
        <w:t xml:space="preserve">students towards or away from </w:t>
      </w:r>
      <w:r w:rsidR="00A75A8F">
        <w:rPr>
          <w:rFonts w:cs="Calibri"/>
          <w:sz w:val="24"/>
        </w:rPr>
        <w:t xml:space="preserve">EBac subjects. </w:t>
      </w:r>
    </w:p>
    <w:p w14:paraId="1B94F5B9" w14:textId="14C58B84" w:rsidR="00A75A8F" w:rsidRPr="00710981" w:rsidRDefault="00A75A8F" w:rsidP="00531995">
      <w:pPr>
        <w:pStyle w:val="Heading4"/>
      </w:pPr>
      <w:r>
        <w:t>3.</w:t>
      </w:r>
      <w:r w:rsidR="00661C11">
        <w:t>4</w:t>
      </w:r>
      <w:r>
        <w:t>.32 Equality implications for i</w:t>
      </w:r>
      <w:r w:rsidRPr="00710981">
        <w:t>mpact on subjects</w:t>
      </w:r>
    </w:p>
    <w:p w14:paraId="63E4AD8E" w14:textId="30F1EB4B" w:rsidR="00A75A8F" w:rsidRDefault="00A75A8F" w:rsidP="003A47A6">
      <w:pPr>
        <w:pStyle w:val="Default"/>
        <w:spacing w:after="200" w:line="360" w:lineRule="auto"/>
        <w:rPr>
          <w:rFonts w:ascii="Calibri" w:hAnsi="Calibri" w:cs="Calibri"/>
        </w:rPr>
      </w:pPr>
      <w:r w:rsidRPr="00444D7A">
        <w:rPr>
          <w:rFonts w:ascii="Calibri" w:hAnsi="Calibri" w:cs="Calibri"/>
        </w:rPr>
        <w:t>The creation of a hierarchy of EBac and non</w:t>
      </w:r>
      <w:r w:rsidR="00CB1972">
        <w:rPr>
          <w:rFonts w:ascii="Calibri" w:hAnsi="Calibri" w:cs="Calibri"/>
        </w:rPr>
        <w:t>-</w:t>
      </w:r>
      <w:r w:rsidR="00FE11D4">
        <w:rPr>
          <w:rFonts w:ascii="Calibri" w:hAnsi="Calibri" w:cs="Calibri"/>
        </w:rPr>
        <w:t>EBac subjects</w:t>
      </w:r>
      <w:r w:rsidRPr="00444D7A">
        <w:rPr>
          <w:rFonts w:ascii="Calibri" w:hAnsi="Calibri" w:cs="Calibri"/>
        </w:rPr>
        <w:t xml:space="preserve"> lead</w:t>
      </w:r>
      <w:r>
        <w:rPr>
          <w:rFonts w:ascii="Calibri" w:hAnsi="Calibri" w:cs="Calibri"/>
        </w:rPr>
        <w:t>s</w:t>
      </w:r>
      <w:r w:rsidRPr="00444D7A">
        <w:rPr>
          <w:rFonts w:ascii="Calibri" w:hAnsi="Calibri" w:cs="Calibri"/>
        </w:rPr>
        <w:t xml:space="preserve"> to inequalities</w:t>
      </w:r>
      <w:r>
        <w:rPr>
          <w:rFonts w:ascii="Calibri" w:hAnsi="Calibri" w:cs="Calibri"/>
        </w:rPr>
        <w:t xml:space="preserve"> between subjects</w:t>
      </w:r>
      <w:r w:rsidRPr="00444D7A">
        <w:rPr>
          <w:rFonts w:ascii="Calibri" w:hAnsi="Calibri" w:cs="Calibri"/>
        </w:rPr>
        <w:t xml:space="preserve">. </w:t>
      </w:r>
      <w:r>
        <w:rPr>
          <w:rFonts w:ascii="Calibri" w:hAnsi="Calibri" w:cs="Calibri"/>
        </w:rPr>
        <w:t>Since 2009</w:t>
      </w:r>
      <w:r w:rsidR="004F123A">
        <w:rPr>
          <w:rFonts w:ascii="Calibri" w:hAnsi="Calibri" w:cs="Calibri"/>
        </w:rPr>
        <w:t>,</w:t>
      </w:r>
      <w:r>
        <w:rPr>
          <w:rFonts w:ascii="Calibri" w:hAnsi="Calibri" w:cs="Calibri"/>
        </w:rPr>
        <w:t xml:space="preserve"> Mathematics and English have been regarded as the most important subjects, closely followed by </w:t>
      </w:r>
      <w:r w:rsidR="004F123A">
        <w:rPr>
          <w:rFonts w:ascii="Calibri" w:hAnsi="Calibri" w:cs="Calibri"/>
        </w:rPr>
        <w:t>s</w:t>
      </w:r>
      <w:r>
        <w:rPr>
          <w:rFonts w:ascii="Calibri" w:hAnsi="Calibri" w:cs="Calibri"/>
        </w:rPr>
        <w:t>cience</w:t>
      </w:r>
      <w:r w:rsidR="004F123A">
        <w:rPr>
          <w:rFonts w:ascii="Calibri" w:hAnsi="Calibri" w:cs="Calibri"/>
        </w:rPr>
        <w:t>s</w:t>
      </w:r>
      <w:r>
        <w:rPr>
          <w:rFonts w:ascii="Calibri" w:hAnsi="Calibri" w:cs="Calibri"/>
        </w:rPr>
        <w:t>, then other GCSE subjects and finally vocational subjects. Before 2009</w:t>
      </w:r>
      <w:r w:rsidRPr="00444D7A">
        <w:rPr>
          <w:rFonts w:ascii="Calibri" w:hAnsi="Calibri" w:cs="Calibri"/>
        </w:rPr>
        <w:t>, the key school performance measure was the percentage of students achieving five or more GCSE grades at A*</w:t>
      </w:r>
      <w:r>
        <w:rPr>
          <w:rFonts w:ascii="Calibri" w:hAnsi="Calibri" w:cs="Calibri"/>
        </w:rPr>
        <w:t>-C</w:t>
      </w:r>
      <w:r w:rsidRPr="00444D7A">
        <w:rPr>
          <w:rFonts w:ascii="Calibri" w:hAnsi="Calibri" w:cs="Calibri"/>
        </w:rPr>
        <w:t>.</w:t>
      </w:r>
      <w:r>
        <w:rPr>
          <w:rFonts w:ascii="Calibri" w:hAnsi="Calibri" w:cs="Calibri"/>
        </w:rPr>
        <w:t xml:space="preserve"> </w:t>
      </w:r>
      <w:r w:rsidRPr="00444D7A">
        <w:rPr>
          <w:rFonts w:ascii="Calibri" w:hAnsi="Calibri" w:cs="Calibri"/>
        </w:rPr>
        <w:t xml:space="preserve">Until 2009, all GCSE subjects were regarded as having equal value in performance tables. From 2004, the performance tables were </w:t>
      </w:r>
      <w:r w:rsidRPr="00444D7A">
        <w:rPr>
          <w:rFonts w:ascii="Calibri" w:hAnsi="Calibri" w:cs="Calibri"/>
        </w:rPr>
        <w:lastRenderedPageBreak/>
        <w:t>expanded to include GCSE equivalen</w:t>
      </w:r>
      <w:r>
        <w:rPr>
          <w:rFonts w:ascii="Calibri" w:hAnsi="Calibri" w:cs="Calibri"/>
        </w:rPr>
        <w:t>t</w:t>
      </w:r>
      <w:r w:rsidRPr="00444D7A">
        <w:rPr>
          <w:rFonts w:ascii="Calibri" w:hAnsi="Calibri" w:cs="Calibri"/>
        </w:rPr>
        <w:t>s</w:t>
      </w:r>
      <w:r>
        <w:rPr>
          <w:rStyle w:val="FootnoteReference"/>
          <w:rFonts w:ascii="Calibri" w:hAnsi="Calibri" w:cs="Calibri"/>
        </w:rPr>
        <w:footnoteReference w:id="33"/>
      </w:r>
      <w:r w:rsidRPr="00444D7A">
        <w:rPr>
          <w:rFonts w:ascii="Calibri" w:hAnsi="Calibri" w:cs="Calibri"/>
        </w:rPr>
        <w:t xml:space="preserve"> for vocational and alternative qualifications.  The introduction to the </w:t>
      </w:r>
      <w:r w:rsidR="00093320">
        <w:rPr>
          <w:rFonts w:ascii="Calibri" w:hAnsi="Calibri" w:cs="Calibri"/>
        </w:rPr>
        <w:t>2004</w:t>
      </w:r>
      <w:r>
        <w:rPr>
          <w:rFonts w:ascii="Calibri" w:hAnsi="Calibri" w:cs="Calibri"/>
        </w:rPr>
        <w:t xml:space="preserve"> </w:t>
      </w:r>
      <w:r w:rsidRPr="00444D7A">
        <w:rPr>
          <w:rFonts w:ascii="Calibri" w:hAnsi="Calibri" w:cs="Calibri"/>
        </w:rPr>
        <w:t>performance tables stated that “all qualifications have value in their own right as part of a fully-rounded educational experience and as a pathway towards further learning and employment” (DfE</w:t>
      </w:r>
      <w:r>
        <w:rPr>
          <w:rFonts w:ascii="Calibri" w:hAnsi="Calibri" w:cs="Calibri"/>
        </w:rPr>
        <w:t xml:space="preserve">, </w:t>
      </w:r>
      <w:r w:rsidR="00093320">
        <w:rPr>
          <w:rFonts w:ascii="Calibri" w:hAnsi="Calibri" w:cs="Calibri"/>
        </w:rPr>
        <w:t>2004</w:t>
      </w:r>
      <w:r w:rsidR="004F123A">
        <w:rPr>
          <w:rFonts w:ascii="Calibri" w:hAnsi="Calibri" w:cs="Calibri"/>
        </w:rPr>
        <w:t>,</w:t>
      </w:r>
      <w:r w:rsidR="00093320">
        <w:rPr>
          <w:rFonts w:ascii="Calibri" w:hAnsi="Calibri" w:cs="Calibri"/>
        </w:rPr>
        <w:t xml:space="preserve"> p.1</w:t>
      </w:r>
      <w:r w:rsidRPr="00444D7A">
        <w:rPr>
          <w:rFonts w:ascii="Calibri" w:hAnsi="Calibri" w:cs="Calibri"/>
        </w:rPr>
        <w:t>).  This allow</w:t>
      </w:r>
      <w:r>
        <w:rPr>
          <w:rFonts w:ascii="Calibri" w:hAnsi="Calibri" w:cs="Calibri"/>
        </w:rPr>
        <w:t>ed</w:t>
      </w:r>
      <w:r w:rsidRPr="00444D7A">
        <w:rPr>
          <w:rFonts w:ascii="Calibri" w:hAnsi="Calibri" w:cs="Calibri"/>
        </w:rPr>
        <w:t xml:space="preserve"> schools to offer a wider range of qualifications and courses. 2009 saw </w:t>
      </w:r>
      <w:r>
        <w:rPr>
          <w:rFonts w:ascii="Calibri" w:hAnsi="Calibri" w:cs="Calibri"/>
        </w:rPr>
        <w:t>Mathematics</w:t>
      </w:r>
      <w:r w:rsidRPr="00444D7A">
        <w:rPr>
          <w:rFonts w:ascii="Calibri" w:hAnsi="Calibri" w:cs="Calibri"/>
        </w:rPr>
        <w:t xml:space="preserve"> and English GCSE</w:t>
      </w:r>
      <w:r w:rsidR="004F123A">
        <w:rPr>
          <w:rFonts w:ascii="Calibri" w:hAnsi="Calibri" w:cs="Calibri"/>
        </w:rPr>
        <w:t>s</w:t>
      </w:r>
      <w:r w:rsidRPr="00444D7A">
        <w:rPr>
          <w:rFonts w:ascii="Calibri" w:hAnsi="Calibri" w:cs="Calibri"/>
        </w:rPr>
        <w:t xml:space="preserve"> being</w:t>
      </w:r>
      <w:r w:rsidR="004F123A">
        <w:rPr>
          <w:rFonts w:ascii="Calibri" w:hAnsi="Calibri" w:cs="Calibri"/>
        </w:rPr>
        <w:t xml:space="preserve"> valued</w:t>
      </w:r>
      <w:r w:rsidRPr="00444D7A">
        <w:rPr>
          <w:rFonts w:ascii="Calibri" w:hAnsi="Calibri" w:cs="Calibri"/>
        </w:rPr>
        <w:t xml:space="preserve"> more </w:t>
      </w:r>
      <w:r w:rsidR="004F123A">
        <w:rPr>
          <w:rFonts w:ascii="Calibri" w:hAnsi="Calibri" w:cs="Calibri"/>
        </w:rPr>
        <w:t xml:space="preserve">highly </w:t>
      </w:r>
      <w:r w:rsidRPr="00444D7A">
        <w:rPr>
          <w:rFonts w:ascii="Calibri" w:hAnsi="Calibri" w:cs="Calibri"/>
        </w:rPr>
        <w:t>than other subjects within the performance tables</w:t>
      </w:r>
      <w:r w:rsidR="004F123A">
        <w:rPr>
          <w:rFonts w:ascii="Calibri" w:hAnsi="Calibri" w:cs="Calibri"/>
        </w:rPr>
        <w:t>,</w:t>
      </w:r>
      <w:r w:rsidRPr="00444D7A">
        <w:rPr>
          <w:rFonts w:ascii="Calibri" w:hAnsi="Calibri" w:cs="Calibri"/>
        </w:rPr>
        <w:t xml:space="preserve"> as the main measure of a school’s achievement became five or more A*-C GCSE grades </w:t>
      </w:r>
      <w:r w:rsidR="004F123A">
        <w:rPr>
          <w:rFonts w:ascii="Calibri" w:hAnsi="Calibri" w:cs="Calibri"/>
        </w:rPr>
        <w:t xml:space="preserve">which had to include </w:t>
      </w:r>
      <w:r w:rsidRPr="00444D7A">
        <w:rPr>
          <w:rFonts w:ascii="Calibri" w:hAnsi="Calibri" w:cs="Calibri"/>
        </w:rPr>
        <w:t xml:space="preserve">English and </w:t>
      </w:r>
      <w:r>
        <w:rPr>
          <w:rFonts w:ascii="Calibri" w:hAnsi="Calibri" w:cs="Calibri"/>
        </w:rPr>
        <w:t>Mathematics</w:t>
      </w:r>
      <w:r w:rsidRPr="00444D7A">
        <w:rPr>
          <w:rFonts w:ascii="Calibri" w:hAnsi="Calibri" w:cs="Calibri"/>
        </w:rPr>
        <w:t>. By 201</w:t>
      </w:r>
      <w:r>
        <w:rPr>
          <w:rFonts w:ascii="Calibri" w:hAnsi="Calibri" w:cs="Calibri"/>
        </w:rPr>
        <w:t>1</w:t>
      </w:r>
      <w:r w:rsidRPr="00444D7A">
        <w:rPr>
          <w:rFonts w:ascii="Calibri" w:hAnsi="Calibri" w:cs="Calibri"/>
        </w:rPr>
        <w:t xml:space="preserve">, the range of courses that attracted points and could be included in the performance tables </w:t>
      </w:r>
      <w:r w:rsidR="004F123A">
        <w:rPr>
          <w:rFonts w:ascii="Calibri" w:hAnsi="Calibri" w:cs="Calibri"/>
        </w:rPr>
        <w:t xml:space="preserve">had been </w:t>
      </w:r>
      <w:r>
        <w:rPr>
          <w:rFonts w:ascii="Calibri" w:hAnsi="Calibri" w:cs="Calibri"/>
        </w:rPr>
        <w:t xml:space="preserve">reduced in order to prevent vocational subjects dominating the performance tables. The DfE commented that </w:t>
      </w:r>
      <w:r w:rsidRPr="00444D7A">
        <w:rPr>
          <w:rFonts w:ascii="Calibri" w:hAnsi="Calibri" w:cs="Calibri"/>
        </w:rPr>
        <w:t xml:space="preserve">equivalences </w:t>
      </w:r>
      <w:r>
        <w:rPr>
          <w:rFonts w:ascii="Calibri" w:hAnsi="Calibri" w:cs="Calibri"/>
        </w:rPr>
        <w:t>were “</w:t>
      </w:r>
      <w:r w:rsidRPr="00444D7A">
        <w:rPr>
          <w:rFonts w:ascii="Calibri" w:hAnsi="Calibri" w:cs="Calibri"/>
        </w:rPr>
        <w:t>not designed to allow judgements to be made about the value of different qualifications” (DfE</w:t>
      </w:r>
      <w:r w:rsidR="004F123A">
        <w:rPr>
          <w:rFonts w:ascii="Calibri" w:hAnsi="Calibri" w:cs="Calibri"/>
        </w:rPr>
        <w:t>,</w:t>
      </w:r>
      <w:r w:rsidRPr="00444D7A">
        <w:rPr>
          <w:rFonts w:ascii="Calibri" w:hAnsi="Calibri" w:cs="Calibri"/>
        </w:rPr>
        <w:t xml:space="preserve"> 2010</w:t>
      </w:r>
      <w:r w:rsidR="00BE171E">
        <w:rPr>
          <w:rFonts w:ascii="Calibri" w:hAnsi="Calibri" w:cs="Calibri"/>
        </w:rPr>
        <w:t>d</w:t>
      </w:r>
      <w:r w:rsidRPr="00444D7A">
        <w:rPr>
          <w:rFonts w:ascii="Calibri" w:hAnsi="Calibri" w:cs="Calibri"/>
        </w:rPr>
        <w:t xml:space="preserve">). The EBac will further divide subjects into </w:t>
      </w:r>
      <w:r w:rsidR="004F123A">
        <w:rPr>
          <w:rFonts w:ascii="Calibri" w:hAnsi="Calibri" w:cs="Calibri"/>
        </w:rPr>
        <w:t xml:space="preserve">hierarchies of </w:t>
      </w:r>
      <w:r w:rsidRPr="00444D7A">
        <w:rPr>
          <w:rFonts w:ascii="Calibri" w:hAnsi="Calibri" w:cs="Calibri"/>
        </w:rPr>
        <w:t xml:space="preserve">value and worth as this becomes a performance measure within the tables. This in turn </w:t>
      </w:r>
      <w:r>
        <w:rPr>
          <w:rFonts w:ascii="Calibri" w:hAnsi="Calibri" w:cs="Calibri"/>
        </w:rPr>
        <w:t xml:space="preserve">will </w:t>
      </w:r>
      <w:r w:rsidRPr="00444D7A">
        <w:rPr>
          <w:rFonts w:ascii="Calibri" w:hAnsi="Calibri" w:cs="Calibri"/>
        </w:rPr>
        <w:t>impact on the status and value afforded to certain subject teachers.</w:t>
      </w:r>
      <w:r>
        <w:rPr>
          <w:rFonts w:ascii="Calibri" w:hAnsi="Calibri" w:cs="Calibri"/>
        </w:rPr>
        <w:t xml:space="preserve"> </w:t>
      </w:r>
    </w:p>
    <w:p w14:paraId="56E31626" w14:textId="79861566" w:rsidR="00A75A8F" w:rsidRPr="00710981" w:rsidRDefault="00A75A8F" w:rsidP="00531995">
      <w:pPr>
        <w:pStyle w:val="Heading4"/>
      </w:pPr>
      <w:r>
        <w:t>3.</w:t>
      </w:r>
      <w:r w:rsidR="00661C11">
        <w:t>4</w:t>
      </w:r>
      <w:r>
        <w:t>.33 Equality implications for i</w:t>
      </w:r>
      <w:r w:rsidRPr="00710981">
        <w:t>mpact on schools</w:t>
      </w:r>
    </w:p>
    <w:p w14:paraId="60D5896B" w14:textId="4285E01D" w:rsidR="00A75A8F" w:rsidRPr="00444D7A" w:rsidRDefault="00A75A8F" w:rsidP="00A75A8F">
      <w:pPr>
        <w:pStyle w:val="Default"/>
        <w:spacing w:line="360" w:lineRule="auto"/>
        <w:rPr>
          <w:rFonts w:ascii="Calibri" w:hAnsi="Calibri" w:cs="Calibri"/>
        </w:rPr>
      </w:pPr>
      <w:r>
        <w:rPr>
          <w:rFonts w:ascii="Calibri" w:hAnsi="Calibri" w:cs="Calibri"/>
        </w:rPr>
        <w:t xml:space="preserve">As discussed in </w:t>
      </w:r>
      <w:r w:rsidR="004F123A">
        <w:rPr>
          <w:rFonts w:ascii="Calibri" w:hAnsi="Calibri" w:cs="Calibri"/>
        </w:rPr>
        <w:t>C</w:t>
      </w:r>
      <w:r>
        <w:rPr>
          <w:rFonts w:ascii="Calibri" w:hAnsi="Calibri" w:cs="Calibri"/>
        </w:rPr>
        <w:t xml:space="preserve">hapter 1, </w:t>
      </w:r>
      <w:r w:rsidRPr="00444D7A">
        <w:rPr>
          <w:rFonts w:ascii="Calibri" w:hAnsi="Calibri" w:cs="Calibri"/>
        </w:rPr>
        <w:t>schools already offer</w:t>
      </w:r>
      <w:r w:rsidR="004F123A">
        <w:rPr>
          <w:rFonts w:ascii="Calibri" w:hAnsi="Calibri" w:cs="Calibri"/>
        </w:rPr>
        <w:t>ing</w:t>
      </w:r>
      <w:r w:rsidRPr="00444D7A">
        <w:rPr>
          <w:rFonts w:ascii="Calibri" w:hAnsi="Calibri" w:cs="Calibri"/>
        </w:rPr>
        <w:t xml:space="preserve"> a traditional curriculum with </w:t>
      </w:r>
      <w:r>
        <w:rPr>
          <w:rFonts w:ascii="Calibri" w:hAnsi="Calibri" w:cs="Calibri"/>
        </w:rPr>
        <w:t>the</w:t>
      </w:r>
      <w:r w:rsidRPr="00444D7A">
        <w:rPr>
          <w:rFonts w:ascii="Calibri" w:hAnsi="Calibri" w:cs="Calibri"/>
        </w:rPr>
        <w:t xml:space="preserve"> majority of their cohort</w:t>
      </w:r>
      <w:r w:rsidR="004F123A">
        <w:rPr>
          <w:rFonts w:ascii="Calibri" w:hAnsi="Calibri" w:cs="Calibri"/>
        </w:rPr>
        <w:t>s</w:t>
      </w:r>
      <w:r w:rsidRPr="00444D7A">
        <w:rPr>
          <w:rFonts w:ascii="Calibri" w:hAnsi="Calibri" w:cs="Calibri"/>
        </w:rPr>
        <w:t xml:space="preserve"> taking the EBac</w:t>
      </w:r>
      <w:r>
        <w:rPr>
          <w:rFonts w:ascii="Calibri" w:hAnsi="Calibri" w:cs="Calibri"/>
        </w:rPr>
        <w:t xml:space="preserve"> </w:t>
      </w:r>
      <w:r w:rsidR="008A30A3">
        <w:rPr>
          <w:rFonts w:ascii="Calibri" w:hAnsi="Calibri" w:cs="Calibri"/>
        </w:rPr>
        <w:t xml:space="preserve">face no difficulty </w:t>
      </w:r>
      <w:r w:rsidRPr="00444D7A">
        <w:rPr>
          <w:rFonts w:ascii="Calibri" w:hAnsi="Calibri" w:cs="Calibri"/>
        </w:rPr>
        <w:t xml:space="preserve">in adapting to </w:t>
      </w:r>
      <w:r>
        <w:rPr>
          <w:rFonts w:ascii="Calibri" w:hAnsi="Calibri" w:cs="Calibri"/>
        </w:rPr>
        <w:t>its</w:t>
      </w:r>
      <w:r w:rsidRPr="00444D7A">
        <w:rPr>
          <w:rFonts w:ascii="Calibri" w:hAnsi="Calibri" w:cs="Calibri"/>
        </w:rPr>
        <w:t xml:space="preserve"> requirements.  If the ethos and structure of the school curriculum is already in line with the EBac</w:t>
      </w:r>
      <w:r w:rsidR="004F123A">
        <w:rPr>
          <w:rFonts w:ascii="Calibri" w:hAnsi="Calibri" w:cs="Calibri"/>
        </w:rPr>
        <w:t>,</w:t>
      </w:r>
      <w:r w:rsidRPr="00444D7A">
        <w:rPr>
          <w:rFonts w:ascii="Calibri" w:hAnsi="Calibri" w:cs="Calibri"/>
        </w:rPr>
        <w:t xml:space="preserve"> these schools </w:t>
      </w:r>
      <w:r>
        <w:rPr>
          <w:rFonts w:ascii="Calibri" w:hAnsi="Calibri" w:cs="Calibri"/>
        </w:rPr>
        <w:t>are</w:t>
      </w:r>
      <w:r w:rsidRPr="00444D7A">
        <w:rPr>
          <w:rFonts w:ascii="Calibri" w:hAnsi="Calibri" w:cs="Calibri"/>
        </w:rPr>
        <w:t xml:space="preserve"> at an advantage over </w:t>
      </w:r>
      <w:r w:rsidR="004F123A">
        <w:rPr>
          <w:rFonts w:ascii="Calibri" w:hAnsi="Calibri" w:cs="Calibri"/>
        </w:rPr>
        <w:t>those</w:t>
      </w:r>
      <w:r w:rsidRPr="00444D7A">
        <w:rPr>
          <w:rFonts w:ascii="Calibri" w:hAnsi="Calibri" w:cs="Calibri"/>
        </w:rPr>
        <w:t xml:space="preserve"> </w:t>
      </w:r>
      <w:r>
        <w:rPr>
          <w:rFonts w:ascii="Calibri" w:hAnsi="Calibri" w:cs="Calibri"/>
        </w:rPr>
        <w:t>that</w:t>
      </w:r>
      <w:r w:rsidRPr="00444D7A">
        <w:rPr>
          <w:rFonts w:ascii="Calibri" w:hAnsi="Calibri" w:cs="Calibri"/>
        </w:rPr>
        <w:t xml:space="preserve"> need to radically change their curriculum to accommodate EBac requirements. </w:t>
      </w:r>
      <w:r>
        <w:rPr>
          <w:rFonts w:ascii="Calibri" w:hAnsi="Calibri" w:cs="Calibri"/>
        </w:rPr>
        <w:t>F</w:t>
      </w:r>
      <w:r w:rsidRPr="00444D7A">
        <w:rPr>
          <w:rFonts w:ascii="Calibri" w:hAnsi="Calibri" w:cs="Calibri"/>
        </w:rPr>
        <w:t xml:space="preserve">or many schools, such a restricted, academic diet of </w:t>
      </w:r>
      <w:r>
        <w:rPr>
          <w:rFonts w:ascii="Calibri" w:hAnsi="Calibri" w:cs="Calibri"/>
        </w:rPr>
        <w:t xml:space="preserve">EBac </w:t>
      </w:r>
      <w:r w:rsidRPr="00444D7A">
        <w:rPr>
          <w:rFonts w:ascii="Calibri" w:hAnsi="Calibri" w:cs="Calibri"/>
        </w:rPr>
        <w:t xml:space="preserve">subjects does not correspond to their ethos or beliefs about what constitutes a rounded, balanced and appropriate curriculum for their </w:t>
      </w:r>
      <w:r>
        <w:rPr>
          <w:rFonts w:ascii="Calibri" w:hAnsi="Calibri" w:cs="Calibri"/>
        </w:rPr>
        <w:t>students</w:t>
      </w:r>
      <w:r w:rsidRPr="00444D7A">
        <w:rPr>
          <w:rFonts w:ascii="Calibri" w:hAnsi="Calibri" w:cs="Calibri"/>
        </w:rPr>
        <w:t xml:space="preserve">. </w:t>
      </w:r>
      <w:r w:rsidR="00661C11">
        <w:rPr>
          <w:rFonts w:ascii="Calibri" w:hAnsi="Calibri" w:cs="Calibri"/>
        </w:rPr>
        <w:t>A</w:t>
      </w:r>
      <w:r w:rsidRPr="00444D7A">
        <w:rPr>
          <w:rFonts w:ascii="Calibri" w:hAnsi="Calibri" w:cs="Calibri"/>
        </w:rPr>
        <w:t xml:space="preserve"> school specialising in Business and Enterprise</w:t>
      </w:r>
      <w:r w:rsidR="00661C11">
        <w:rPr>
          <w:rFonts w:ascii="Calibri" w:hAnsi="Calibri" w:cs="Calibri"/>
        </w:rPr>
        <w:t>, for example,</w:t>
      </w:r>
      <w:r w:rsidRPr="00444D7A">
        <w:rPr>
          <w:rFonts w:ascii="Calibri" w:hAnsi="Calibri" w:cs="Calibri"/>
        </w:rPr>
        <w:t xml:space="preserve"> may offer a range of vocational business courses which do not form part of the EBac and </w:t>
      </w:r>
      <w:r>
        <w:rPr>
          <w:rFonts w:ascii="Calibri" w:hAnsi="Calibri" w:cs="Calibri"/>
        </w:rPr>
        <w:t>these courses may</w:t>
      </w:r>
      <w:r w:rsidRPr="00444D7A">
        <w:rPr>
          <w:rFonts w:ascii="Calibri" w:hAnsi="Calibri" w:cs="Calibri"/>
        </w:rPr>
        <w:t xml:space="preserve"> not </w:t>
      </w:r>
      <w:r w:rsidR="004F0789">
        <w:rPr>
          <w:rFonts w:ascii="Calibri" w:hAnsi="Calibri" w:cs="Calibri"/>
        </w:rPr>
        <w:t xml:space="preserve">be considered in </w:t>
      </w:r>
      <w:r w:rsidRPr="00444D7A">
        <w:rPr>
          <w:rFonts w:ascii="Calibri" w:hAnsi="Calibri" w:cs="Calibri"/>
        </w:rPr>
        <w:t xml:space="preserve">the performance tables. The EBac as a performance measure </w:t>
      </w:r>
      <w:r>
        <w:rPr>
          <w:rFonts w:ascii="Calibri" w:hAnsi="Calibri" w:cs="Calibri"/>
        </w:rPr>
        <w:t>has</w:t>
      </w:r>
      <w:r w:rsidRPr="00444D7A">
        <w:rPr>
          <w:rFonts w:ascii="Calibri" w:hAnsi="Calibri" w:cs="Calibri"/>
        </w:rPr>
        <w:t xml:space="preserve"> different emphasis and impact within varying schools</w:t>
      </w:r>
      <w:r w:rsidR="004F0789">
        <w:rPr>
          <w:rFonts w:ascii="Calibri" w:hAnsi="Calibri" w:cs="Calibri"/>
        </w:rPr>
        <w:t>,</w:t>
      </w:r>
      <w:r>
        <w:rPr>
          <w:rFonts w:ascii="Calibri" w:hAnsi="Calibri" w:cs="Calibri"/>
        </w:rPr>
        <w:t xml:space="preserve"> rendering some school curricula as inferior and requiring enhancement and others as superior and requiring preservation.</w:t>
      </w:r>
    </w:p>
    <w:p w14:paraId="246432C1" w14:textId="1571987D" w:rsidR="00A75A8F" w:rsidRPr="0097496D" w:rsidRDefault="00A75A8F" w:rsidP="00531995">
      <w:pPr>
        <w:pStyle w:val="Heading2"/>
      </w:pPr>
      <w:bookmarkStart w:id="47" w:name="_Toc452316331"/>
      <w:r>
        <w:lastRenderedPageBreak/>
        <w:t>3.</w:t>
      </w:r>
      <w:r w:rsidR="006F051A">
        <w:t>5</w:t>
      </w:r>
      <w:r>
        <w:t xml:space="preserve"> </w:t>
      </w:r>
      <w:r w:rsidRPr="0097496D">
        <w:t>Methods</w:t>
      </w:r>
      <w:bookmarkEnd w:id="47"/>
    </w:p>
    <w:p w14:paraId="044E4B0B" w14:textId="41F3B51F" w:rsidR="00A75A8F" w:rsidRDefault="00A75A8F" w:rsidP="00531995">
      <w:pPr>
        <w:tabs>
          <w:tab w:val="left" w:pos="7371"/>
          <w:tab w:val="left" w:pos="8364"/>
        </w:tabs>
        <w:spacing w:line="360" w:lineRule="auto"/>
        <w:rPr>
          <w:rFonts w:cs="Calibri"/>
          <w:b/>
          <w:sz w:val="24"/>
        </w:rPr>
      </w:pPr>
      <w:r>
        <w:rPr>
          <w:rFonts w:cs="Calibri"/>
          <w:sz w:val="24"/>
        </w:rPr>
        <w:t xml:space="preserve">My chosen methods of CDA and semi-structured interviews have arisen </w:t>
      </w:r>
      <w:r w:rsidR="004F0789">
        <w:rPr>
          <w:rFonts w:cs="Calibri"/>
          <w:sz w:val="24"/>
        </w:rPr>
        <w:t xml:space="preserve">from </w:t>
      </w:r>
      <w:r>
        <w:rPr>
          <w:rFonts w:cs="Calibri"/>
          <w:sz w:val="24"/>
        </w:rPr>
        <w:t>my positionality</w:t>
      </w:r>
      <w:r w:rsidR="004F0789">
        <w:rPr>
          <w:rFonts w:cs="Calibri"/>
          <w:sz w:val="24"/>
        </w:rPr>
        <w:t>,</w:t>
      </w:r>
      <w:r>
        <w:rPr>
          <w:rFonts w:cs="Calibri"/>
          <w:sz w:val="24"/>
        </w:rPr>
        <w:t xml:space="preserve"> the aims of my study</w:t>
      </w:r>
      <w:r w:rsidR="004F0789">
        <w:rPr>
          <w:rFonts w:cs="Calibri"/>
          <w:sz w:val="24"/>
        </w:rPr>
        <w:t>,</w:t>
      </w:r>
      <w:r>
        <w:rPr>
          <w:rFonts w:cs="Calibri"/>
          <w:sz w:val="24"/>
        </w:rPr>
        <w:t xml:space="preserve"> my research questions</w:t>
      </w:r>
      <w:r w:rsidR="004F0789">
        <w:rPr>
          <w:rFonts w:cs="Calibri"/>
          <w:sz w:val="24"/>
        </w:rPr>
        <w:t>,</w:t>
      </w:r>
      <w:r>
        <w:rPr>
          <w:rFonts w:cs="Calibri"/>
          <w:sz w:val="24"/>
        </w:rPr>
        <w:t xml:space="preserve"> the previous research into this area</w:t>
      </w:r>
      <w:r w:rsidR="004F0789">
        <w:rPr>
          <w:rFonts w:cs="Calibri"/>
          <w:sz w:val="24"/>
        </w:rPr>
        <w:t>,</w:t>
      </w:r>
      <w:r>
        <w:rPr>
          <w:rFonts w:cs="Calibri"/>
          <w:sz w:val="24"/>
        </w:rPr>
        <w:t xml:space="preserve"> and my theoretical approach.</w:t>
      </w:r>
      <w:r w:rsidRPr="00444D7A">
        <w:rPr>
          <w:rFonts w:cs="Calibri"/>
          <w:sz w:val="24"/>
        </w:rPr>
        <w:t xml:space="preserve"> </w:t>
      </w:r>
      <w:r w:rsidR="00BE171E">
        <w:rPr>
          <w:rFonts w:cs="Calibri"/>
          <w:sz w:val="24"/>
        </w:rPr>
        <w:t>Miller et al</w:t>
      </w:r>
      <w:r w:rsidR="004F0789">
        <w:rPr>
          <w:rFonts w:cs="Calibri"/>
          <w:sz w:val="24"/>
        </w:rPr>
        <w:t>. (2005)</w:t>
      </w:r>
      <w:r>
        <w:rPr>
          <w:rFonts w:cs="Calibri"/>
          <w:sz w:val="24"/>
        </w:rPr>
        <w:t xml:space="preserve"> comment </w:t>
      </w:r>
      <w:r w:rsidR="00BE171E">
        <w:rPr>
          <w:rFonts w:cs="Calibri"/>
          <w:sz w:val="24"/>
        </w:rPr>
        <w:t>that whilst structuralism is a ‘secret’</w:t>
      </w:r>
      <w:r>
        <w:rPr>
          <w:rFonts w:cs="Calibri"/>
          <w:sz w:val="24"/>
        </w:rPr>
        <w:t xml:space="preserve"> already in place waiting to be discovered or uncovered, in contrast, poststructuralism has “the other eye … on what is not said, what discourses make it impossible to say, what practical or theoretical logics hide away from sight” (p.313). I believe that by combining two methods within a poststructural approach I can broaden the scope of my enquiry. </w:t>
      </w:r>
      <w:r w:rsidRPr="00444D7A">
        <w:rPr>
          <w:rFonts w:cs="Calibri"/>
          <w:sz w:val="24"/>
        </w:rPr>
        <w:t>CDA allow</w:t>
      </w:r>
      <w:r w:rsidR="004F0789">
        <w:rPr>
          <w:rFonts w:cs="Calibri"/>
          <w:sz w:val="24"/>
        </w:rPr>
        <w:t>ed</w:t>
      </w:r>
      <w:r w:rsidRPr="00444D7A">
        <w:rPr>
          <w:rFonts w:cs="Calibri"/>
          <w:sz w:val="24"/>
        </w:rPr>
        <w:t xml:space="preserve"> me to explore the construction and ordering of the </w:t>
      </w:r>
      <w:r>
        <w:rPr>
          <w:rFonts w:cs="Calibri"/>
          <w:sz w:val="24"/>
        </w:rPr>
        <w:t xml:space="preserve">policy </w:t>
      </w:r>
      <w:r w:rsidRPr="00444D7A">
        <w:rPr>
          <w:rFonts w:cs="Calibri"/>
          <w:sz w:val="24"/>
        </w:rPr>
        <w:t xml:space="preserve">text </w:t>
      </w:r>
      <w:r w:rsidR="004F0789">
        <w:rPr>
          <w:rFonts w:cs="Calibri"/>
          <w:sz w:val="24"/>
        </w:rPr>
        <w:t xml:space="preserve">in detail </w:t>
      </w:r>
      <w:r w:rsidRPr="00444D7A">
        <w:rPr>
          <w:rFonts w:cs="Calibri"/>
          <w:sz w:val="24"/>
        </w:rPr>
        <w:t>a</w:t>
      </w:r>
      <w:r>
        <w:rPr>
          <w:rFonts w:cs="Calibri"/>
          <w:sz w:val="24"/>
        </w:rPr>
        <w:t xml:space="preserve">nd </w:t>
      </w:r>
      <w:r w:rsidRPr="00444D7A">
        <w:rPr>
          <w:rFonts w:cs="Calibri"/>
          <w:sz w:val="24"/>
        </w:rPr>
        <w:t xml:space="preserve">to identify underlying issues within </w:t>
      </w:r>
      <w:r>
        <w:rPr>
          <w:rFonts w:cs="Calibri"/>
          <w:sz w:val="24"/>
        </w:rPr>
        <w:t>selected</w:t>
      </w:r>
      <w:r w:rsidRPr="00444D7A">
        <w:rPr>
          <w:rFonts w:cs="Calibri"/>
          <w:sz w:val="24"/>
        </w:rPr>
        <w:t xml:space="preserve"> </w:t>
      </w:r>
      <w:r>
        <w:rPr>
          <w:rFonts w:cs="Calibri"/>
          <w:sz w:val="24"/>
        </w:rPr>
        <w:t>parts</w:t>
      </w:r>
      <w:r w:rsidRPr="00444D7A">
        <w:rPr>
          <w:rFonts w:cs="Calibri"/>
          <w:sz w:val="24"/>
        </w:rPr>
        <w:t>. Themes</w:t>
      </w:r>
      <w:r>
        <w:rPr>
          <w:rFonts w:cs="Calibri"/>
          <w:sz w:val="24"/>
        </w:rPr>
        <w:t xml:space="preserve"> identified</w:t>
      </w:r>
      <w:r w:rsidRPr="00444D7A">
        <w:rPr>
          <w:rFonts w:cs="Calibri"/>
          <w:sz w:val="24"/>
        </w:rPr>
        <w:t xml:space="preserve"> from </w:t>
      </w:r>
      <w:r>
        <w:rPr>
          <w:rFonts w:cs="Calibri"/>
          <w:sz w:val="24"/>
        </w:rPr>
        <w:t xml:space="preserve">my </w:t>
      </w:r>
      <w:r w:rsidRPr="00444D7A">
        <w:rPr>
          <w:rFonts w:cs="Calibri"/>
          <w:sz w:val="24"/>
        </w:rPr>
        <w:t xml:space="preserve">policy analysis </w:t>
      </w:r>
      <w:r w:rsidR="004F0789">
        <w:rPr>
          <w:rFonts w:cs="Calibri"/>
          <w:sz w:val="24"/>
        </w:rPr>
        <w:t>we</w:t>
      </w:r>
      <w:r>
        <w:rPr>
          <w:rFonts w:cs="Calibri"/>
          <w:sz w:val="24"/>
        </w:rPr>
        <w:t>re</w:t>
      </w:r>
      <w:r w:rsidR="004F0789">
        <w:rPr>
          <w:rFonts w:cs="Calibri"/>
          <w:sz w:val="24"/>
        </w:rPr>
        <w:t xml:space="preserve"> then</w:t>
      </w:r>
      <w:r>
        <w:rPr>
          <w:rFonts w:cs="Calibri"/>
          <w:sz w:val="24"/>
        </w:rPr>
        <w:t xml:space="preserve"> </w:t>
      </w:r>
      <w:r w:rsidRPr="00444D7A">
        <w:rPr>
          <w:rFonts w:cs="Calibri"/>
          <w:sz w:val="24"/>
        </w:rPr>
        <w:t xml:space="preserve">used to inform the </w:t>
      </w:r>
      <w:r>
        <w:rPr>
          <w:rFonts w:cs="Calibri"/>
          <w:sz w:val="24"/>
        </w:rPr>
        <w:t xml:space="preserve">structure and content of my semi-structured </w:t>
      </w:r>
      <w:r w:rsidRPr="00444D7A">
        <w:rPr>
          <w:rFonts w:cs="Calibri"/>
          <w:sz w:val="24"/>
        </w:rPr>
        <w:t>interviews. I</w:t>
      </w:r>
      <w:r>
        <w:rPr>
          <w:rFonts w:cs="Calibri"/>
          <w:sz w:val="24"/>
        </w:rPr>
        <w:t xml:space="preserve"> </w:t>
      </w:r>
      <w:r w:rsidRPr="00444D7A">
        <w:rPr>
          <w:rFonts w:cs="Calibri"/>
          <w:sz w:val="24"/>
        </w:rPr>
        <w:t>investigate</w:t>
      </w:r>
      <w:r w:rsidR="004F0789">
        <w:rPr>
          <w:rFonts w:cs="Calibri"/>
          <w:sz w:val="24"/>
        </w:rPr>
        <w:t>d</w:t>
      </w:r>
      <w:r w:rsidRPr="00444D7A">
        <w:rPr>
          <w:rFonts w:cs="Calibri"/>
          <w:sz w:val="24"/>
        </w:rPr>
        <w:t xml:space="preserve"> </w:t>
      </w:r>
      <w:r>
        <w:rPr>
          <w:rFonts w:cs="Calibri"/>
          <w:sz w:val="24"/>
        </w:rPr>
        <w:t>and explore</w:t>
      </w:r>
      <w:r w:rsidR="004F0789">
        <w:rPr>
          <w:rFonts w:cs="Calibri"/>
          <w:sz w:val="24"/>
        </w:rPr>
        <w:t>d</w:t>
      </w:r>
      <w:r>
        <w:rPr>
          <w:rFonts w:cs="Calibri"/>
          <w:sz w:val="24"/>
        </w:rPr>
        <w:t xml:space="preserve">, </w:t>
      </w:r>
      <w:r w:rsidRPr="00444D7A">
        <w:rPr>
          <w:rFonts w:cs="Calibri"/>
          <w:sz w:val="24"/>
        </w:rPr>
        <w:t>with practitioners in four different types of schools</w:t>
      </w:r>
      <w:r>
        <w:rPr>
          <w:rFonts w:cs="Calibri"/>
          <w:sz w:val="24"/>
        </w:rPr>
        <w:t>,</w:t>
      </w:r>
      <w:r w:rsidRPr="00444D7A">
        <w:rPr>
          <w:rFonts w:cs="Calibri"/>
          <w:sz w:val="24"/>
        </w:rPr>
        <w:t xml:space="preserve"> the issues arising from the implementation of the EBac policy, consider</w:t>
      </w:r>
      <w:r>
        <w:rPr>
          <w:rFonts w:cs="Calibri"/>
          <w:sz w:val="24"/>
        </w:rPr>
        <w:t>ing</w:t>
      </w:r>
      <w:r w:rsidRPr="00444D7A">
        <w:rPr>
          <w:rFonts w:cs="Calibri"/>
          <w:sz w:val="24"/>
        </w:rPr>
        <w:t xml:space="preserve"> the approaches and attitudes </w:t>
      </w:r>
      <w:r>
        <w:rPr>
          <w:rFonts w:cs="Calibri"/>
          <w:sz w:val="24"/>
        </w:rPr>
        <w:t xml:space="preserve">adopted </w:t>
      </w:r>
      <w:r w:rsidRPr="00444D7A">
        <w:rPr>
          <w:rFonts w:cs="Calibri"/>
          <w:sz w:val="24"/>
        </w:rPr>
        <w:t>towards the policy</w:t>
      </w:r>
      <w:r>
        <w:rPr>
          <w:rFonts w:cs="Calibri"/>
          <w:sz w:val="24"/>
        </w:rPr>
        <w:t xml:space="preserve"> and exploring </w:t>
      </w:r>
      <w:r w:rsidRPr="00444D7A">
        <w:rPr>
          <w:rFonts w:cs="Calibri"/>
          <w:sz w:val="24"/>
        </w:rPr>
        <w:t>teachers’ views</w:t>
      </w:r>
      <w:r>
        <w:rPr>
          <w:rFonts w:cs="Calibri"/>
          <w:sz w:val="24"/>
        </w:rPr>
        <w:t xml:space="preserve"> on the implications of</w:t>
      </w:r>
      <w:r w:rsidRPr="00444D7A">
        <w:rPr>
          <w:rFonts w:cs="Calibri"/>
          <w:sz w:val="24"/>
        </w:rPr>
        <w:t xml:space="preserve"> EBac </w:t>
      </w:r>
      <w:r>
        <w:rPr>
          <w:rFonts w:cs="Calibri"/>
          <w:sz w:val="24"/>
        </w:rPr>
        <w:t>policy for educational equality. I consider</w:t>
      </w:r>
      <w:r w:rsidR="004F0789">
        <w:rPr>
          <w:rFonts w:cs="Calibri"/>
          <w:sz w:val="24"/>
        </w:rPr>
        <w:t>ed</w:t>
      </w:r>
      <w:r>
        <w:rPr>
          <w:rFonts w:cs="Calibri"/>
          <w:sz w:val="24"/>
        </w:rPr>
        <w:t xml:space="preserve"> each method separately: first</w:t>
      </w:r>
      <w:r w:rsidR="004F0789">
        <w:rPr>
          <w:rFonts w:cs="Calibri"/>
          <w:sz w:val="24"/>
        </w:rPr>
        <w:t>ly</w:t>
      </w:r>
      <w:r w:rsidR="006F051A">
        <w:rPr>
          <w:rFonts w:cs="Calibri"/>
          <w:sz w:val="24"/>
        </w:rPr>
        <w:t>,</w:t>
      </w:r>
      <w:r>
        <w:rPr>
          <w:rFonts w:cs="Calibri"/>
          <w:sz w:val="24"/>
        </w:rPr>
        <w:t xml:space="preserve"> discussi</w:t>
      </w:r>
      <w:r w:rsidR="004F0789">
        <w:rPr>
          <w:rFonts w:cs="Calibri"/>
          <w:sz w:val="24"/>
        </w:rPr>
        <w:t>ng</w:t>
      </w:r>
      <w:r>
        <w:rPr>
          <w:rFonts w:cs="Calibri"/>
          <w:sz w:val="24"/>
        </w:rPr>
        <w:t xml:space="preserve"> the method and my reasons for selecti</w:t>
      </w:r>
      <w:r w:rsidR="004F0789">
        <w:rPr>
          <w:rFonts w:cs="Calibri"/>
          <w:sz w:val="24"/>
        </w:rPr>
        <w:t>ng it</w:t>
      </w:r>
      <w:r>
        <w:rPr>
          <w:rFonts w:cs="Calibri"/>
          <w:sz w:val="24"/>
        </w:rPr>
        <w:t>; second</w:t>
      </w:r>
      <w:r w:rsidR="004F0789">
        <w:rPr>
          <w:rFonts w:cs="Calibri"/>
          <w:sz w:val="24"/>
        </w:rPr>
        <w:t>ly,</w:t>
      </w:r>
      <w:r>
        <w:rPr>
          <w:rFonts w:cs="Calibri"/>
          <w:sz w:val="24"/>
        </w:rPr>
        <w:t xml:space="preserve"> piloting the method</w:t>
      </w:r>
      <w:r w:rsidR="004F0789">
        <w:rPr>
          <w:rFonts w:cs="Calibri"/>
          <w:sz w:val="24"/>
        </w:rPr>
        <w:t>;</w:t>
      </w:r>
      <w:r>
        <w:rPr>
          <w:rFonts w:cs="Calibri"/>
          <w:sz w:val="24"/>
        </w:rPr>
        <w:t xml:space="preserve"> third</w:t>
      </w:r>
      <w:r w:rsidR="006F051A">
        <w:rPr>
          <w:rFonts w:cs="Calibri"/>
          <w:sz w:val="24"/>
        </w:rPr>
        <w:t>ly</w:t>
      </w:r>
      <w:r w:rsidR="004F0789">
        <w:rPr>
          <w:rFonts w:cs="Calibri"/>
          <w:sz w:val="24"/>
        </w:rPr>
        <w:t>,</w:t>
      </w:r>
      <w:r>
        <w:rPr>
          <w:rFonts w:cs="Calibri"/>
          <w:sz w:val="24"/>
        </w:rPr>
        <w:t xml:space="preserve"> sample selection</w:t>
      </w:r>
      <w:r w:rsidR="004F0789">
        <w:rPr>
          <w:rFonts w:cs="Calibri"/>
          <w:sz w:val="24"/>
        </w:rPr>
        <w:t xml:space="preserve">, </w:t>
      </w:r>
      <w:r>
        <w:rPr>
          <w:rFonts w:cs="Calibri"/>
          <w:sz w:val="24"/>
        </w:rPr>
        <w:t>and finally, data analysis of the material gathered.</w:t>
      </w:r>
    </w:p>
    <w:p w14:paraId="3496E94D" w14:textId="4429BEE3" w:rsidR="00A75A8F" w:rsidRPr="00444D7A" w:rsidRDefault="00A75A8F" w:rsidP="00531995">
      <w:pPr>
        <w:pStyle w:val="Heading3"/>
      </w:pPr>
      <w:bookmarkStart w:id="48" w:name="_Toc452316332"/>
      <w:r w:rsidRPr="00A85AE7">
        <w:t>3.</w:t>
      </w:r>
      <w:r w:rsidR="004D2464">
        <w:t>5</w:t>
      </w:r>
      <w:r>
        <w:t>.1</w:t>
      </w:r>
      <w:r w:rsidRPr="00A85AE7">
        <w:t xml:space="preserve"> Critical Discourse Analysis (CDA)</w:t>
      </w:r>
      <w:bookmarkEnd w:id="48"/>
    </w:p>
    <w:p w14:paraId="1D8C619E" w14:textId="2FE00457" w:rsidR="00A75A8F" w:rsidRDefault="00A75A8F" w:rsidP="00A75A8F">
      <w:pPr>
        <w:tabs>
          <w:tab w:val="left" w:pos="8222"/>
        </w:tabs>
        <w:spacing w:after="0" w:line="360" w:lineRule="auto"/>
        <w:rPr>
          <w:rFonts w:cs="Calibri"/>
          <w:sz w:val="24"/>
        </w:rPr>
      </w:pPr>
      <w:r>
        <w:rPr>
          <w:rFonts w:cs="Calibri"/>
          <w:sz w:val="24"/>
        </w:rPr>
        <w:t>P</w:t>
      </w:r>
      <w:r w:rsidRPr="00444D7A">
        <w:rPr>
          <w:rFonts w:cs="Calibri"/>
          <w:sz w:val="24"/>
        </w:rPr>
        <w:t>olicy analysis</w:t>
      </w:r>
      <w:r w:rsidRPr="00720AB1">
        <w:rPr>
          <w:rFonts w:cs="Calibri"/>
          <w:sz w:val="24"/>
        </w:rPr>
        <w:t xml:space="preserve"> </w:t>
      </w:r>
      <w:r w:rsidRPr="00444D7A">
        <w:rPr>
          <w:rFonts w:cs="Calibri"/>
          <w:sz w:val="24"/>
        </w:rPr>
        <w:t xml:space="preserve">literature, </w:t>
      </w:r>
      <w:r>
        <w:rPr>
          <w:rFonts w:cs="Calibri"/>
          <w:sz w:val="24"/>
        </w:rPr>
        <w:t xml:space="preserve">for example, </w:t>
      </w:r>
      <w:r w:rsidR="00897090">
        <w:rPr>
          <w:rFonts w:cs="Calibri"/>
          <w:sz w:val="24"/>
        </w:rPr>
        <w:t>Rogers</w:t>
      </w:r>
      <w:r w:rsidR="004F0789">
        <w:rPr>
          <w:rFonts w:cs="Calibri"/>
          <w:sz w:val="24"/>
        </w:rPr>
        <w:t>,</w:t>
      </w:r>
      <w:r w:rsidR="00897090">
        <w:rPr>
          <w:rFonts w:cs="Calibri"/>
          <w:sz w:val="24"/>
        </w:rPr>
        <w:t xml:space="preserve"> </w:t>
      </w:r>
      <w:r w:rsidR="004F0789">
        <w:rPr>
          <w:rFonts w:cs="Calibri"/>
          <w:sz w:val="24"/>
        </w:rPr>
        <w:t>(</w:t>
      </w:r>
      <w:r w:rsidR="00897090">
        <w:rPr>
          <w:rFonts w:cs="Calibri"/>
          <w:sz w:val="24"/>
        </w:rPr>
        <w:t>2011</w:t>
      </w:r>
      <w:r w:rsidR="004F0789">
        <w:rPr>
          <w:rFonts w:cs="Calibri"/>
          <w:sz w:val="24"/>
        </w:rPr>
        <w:t>)</w:t>
      </w:r>
      <w:r w:rsidRPr="00444D7A">
        <w:rPr>
          <w:rFonts w:cs="Calibri"/>
          <w:sz w:val="24"/>
        </w:rPr>
        <w:t>, Titscher et al</w:t>
      </w:r>
      <w:r w:rsidR="004F0789">
        <w:rPr>
          <w:rFonts w:cs="Calibri"/>
          <w:sz w:val="24"/>
        </w:rPr>
        <w:t>.</w:t>
      </w:r>
      <w:r w:rsidRPr="00444D7A">
        <w:rPr>
          <w:rFonts w:cs="Calibri"/>
          <w:sz w:val="24"/>
        </w:rPr>
        <w:t xml:space="preserve"> </w:t>
      </w:r>
      <w:r w:rsidR="004F0789">
        <w:rPr>
          <w:rFonts w:cs="Calibri"/>
          <w:sz w:val="24"/>
        </w:rPr>
        <w:t>(</w:t>
      </w:r>
      <w:r w:rsidRPr="00444D7A">
        <w:rPr>
          <w:rFonts w:cs="Calibri"/>
          <w:sz w:val="24"/>
        </w:rPr>
        <w:t>2000</w:t>
      </w:r>
      <w:r w:rsidR="004F0789">
        <w:rPr>
          <w:rFonts w:cs="Calibri"/>
          <w:sz w:val="24"/>
        </w:rPr>
        <w:t>)</w:t>
      </w:r>
      <w:r w:rsidRPr="00444D7A">
        <w:rPr>
          <w:rFonts w:cs="Calibri"/>
          <w:sz w:val="24"/>
        </w:rPr>
        <w:t xml:space="preserve">, Bloor </w:t>
      </w:r>
      <w:r w:rsidR="004F0789">
        <w:rPr>
          <w:rFonts w:cs="Calibri"/>
          <w:sz w:val="24"/>
        </w:rPr>
        <w:t>and</w:t>
      </w:r>
      <w:r w:rsidRPr="00444D7A">
        <w:rPr>
          <w:rFonts w:cs="Calibri"/>
          <w:sz w:val="24"/>
        </w:rPr>
        <w:t xml:space="preserve"> Bloor </w:t>
      </w:r>
      <w:r w:rsidR="004F0789">
        <w:rPr>
          <w:rFonts w:cs="Calibri"/>
          <w:sz w:val="24"/>
        </w:rPr>
        <w:t>(</w:t>
      </w:r>
      <w:r w:rsidRPr="00444D7A">
        <w:rPr>
          <w:rFonts w:cs="Calibri"/>
          <w:sz w:val="24"/>
        </w:rPr>
        <w:t>2007</w:t>
      </w:r>
      <w:r w:rsidR="004F0789">
        <w:rPr>
          <w:rFonts w:cs="Calibri"/>
          <w:sz w:val="24"/>
        </w:rPr>
        <w:t>)</w:t>
      </w:r>
      <w:r w:rsidRPr="00444D7A">
        <w:rPr>
          <w:rFonts w:cs="Calibri"/>
          <w:sz w:val="24"/>
        </w:rPr>
        <w:t>, Fairclough</w:t>
      </w:r>
      <w:r w:rsidR="004F0789">
        <w:rPr>
          <w:rFonts w:cs="Calibri"/>
          <w:sz w:val="24"/>
        </w:rPr>
        <w:t>,</w:t>
      </w:r>
      <w:r w:rsidRPr="00444D7A">
        <w:rPr>
          <w:rFonts w:cs="Calibri"/>
          <w:sz w:val="24"/>
        </w:rPr>
        <w:t xml:space="preserve"> 2003, Wodak </w:t>
      </w:r>
      <w:r w:rsidR="004F0789">
        <w:rPr>
          <w:rFonts w:cs="Calibri"/>
          <w:sz w:val="24"/>
        </w:rPr>
        <w:t>and</w:t>
      </w:r>
      <w:r w:rsidRPr="00444D7A">
        <w:rPr>
          <w:rFonts w:cs="Calibri"/>
          <w:sz w:val="24"/>
        </w:rPr>
        <w:t xml:space="preserve"> Meyer </w:t>
      </w:r>
      <w:r w:rsidR="004F0789">
        <w:rPr>
          <w:rFonts w:cs="Calibri"/>
          <w:sz w:val="24"/>
        </w:rPr>
        <w:t>(</w:t>
      </w:r>
      <w:r w:rsidRPr="00444D7A">
        <w:rPr>
          <w:rFonts w:cs="Calibri"/>
          <w:sz w:val="24"/>
        </w:rPr>
        <w:t>2009</w:t>
      </w:r>
      <w:r w:rsidR="004F0789">
        <w:rPr>
          <w:rFonts w:cs="Calibri"/>
          <w:sz w:val="24"/>
        </w:rPr>
        <w:t>),</w:t>
      </w:r>
      <w:r w:rsidRPr="00444D7A">
        <w:rPr>
          <w:rFonts w:cs="Calibri"/>
          <w:sz w:val="24"/>
        </w:rPr>
        <w:t xml:space="preserve"> and Hyatt </w:t>
      </w:r>
      <w:r w:rsidR="004F0789">
        <w:rPr>
          <w:rFonts w:cs="Calibri"/>
          <w:sz w:val="24"/>
        </w:rPr>
        <w:t>(</w:t>
      </w:r>
      <w:r w:rsidRPr="00444D7A">
        <w:rPr>
          <w:rFonts w:cs="Calibri"/>
          <w:sz w:val="24"/>
        </w:rPr>
        <w:t>2010</w:t>
      </w:r>
      <w:r w:rsidR="004F0789">
        <w:rPr>
          <w:rFonts w:cs="Calibri"/>
          <w:sz w:val="24"/>
        </w:rPr>
        <w:t>)</w:t>
      </w:r>
      <w:r w:rsidRPr="00444D7A">
        <w:rPr>
          <w:rFonts w:cs="Calibri"/>
          <w:sz w:val="24"/>
        </w:rPr>
        <w:t xml:space="preserve"> </w:t>
      </w:r>
      <w:r>
        <w:rPr>
          <w:rFonts w:cs="Calibri"/>
          <w:sz w:val="24"/>
        </w:rPr>
        <w:t>highlight</w:t>
      </w:r>
      <w:r w:rsidRPr="00444D7A">
        <w:rPr>
          <w:rFonts w:cs="Calibri"/>
          <w:sz w:val="24"/>
        </w:rPr>
        <w:t xml:space="preserve"> that </w:t>
      </w:r>
      <w:r>
        <w:rPr>
          <w:rFonts w:cs="Calibri"/>
          <w:sz w:val="24"/>
        </w:rPr>
        <w:t xml:space="preserve">CDA </w:t>
      </w:r>
      <w:r w:rsidRPr="00444D7A">
        <w:rPr>
          <w:rFonts w:cs="Calibri"/>
          <w:sz w:val="24"/>
        </w:rPr>
        <w:t>allow</w:t>
      </w:r>
      <w:r>
        <w:rPr>
          <w:rFonts w:cs="Calibri"/>
          <w:sz w:val="24"/>
        </w:rPr>
        <w:t>s</w:t>
      </w:r>
      <w:r w:rsidRPr="00444D7A">
        <w:rPr>
          <w:rFonts w:cs="Calibri"/>
          <w:sz w:val="24"/>
        </w:rPr>
        <w:t xml:space="preserve"> a detailed analysis and exploration of multiple dimensions </w:t>
      </w:r>
      <w:r>
        <w:rPr>
          <w:rFonts w:cs="Calibri"/>
          <w:sz w:val="24"/>
        </w:rPr>
        <w:t xml:space="preserve">of </w:t>
      </w:r>
      <w:r w:rsidR="002876D8">
        <w:rPr>
          <w:rFonts w:cs="Calibri"/>
          <w:sz w:val="24"/>
        </w:rPr>
        <w:t>a</w:t>
      </w:r>
      <w:r>
        <w:rPr>
          <w:rFonts w:cs="Calibri"/>
          <w:sz w:val="24"/>
        </w:rPr>
        <w:t xml:space="preserve"> </w:t>
      </w:r>
      <w:r w:rsidRPr="00444D7A">
        <w:rPr>
          <w:rFonts w:cs="Calibri"/>
          <w:sz w:val="24"/>
        </w:rPr>
        <w:t>text.</w:t>
      </w:r>
      <w:r>
        <w:rPr>
          <w:rFonts w:cs="Calibri"/>
          <w:sz w:val="24"/>
        </w:rPr>
        <w:t xml:space="preserve"> </w:t>
      </w:r>
      <w:r w:rsidRPr="00444D7A">
        <w:rPr>
          <w:rFonts w:cs="Calibri"/>
          <w:sz w:val="24"/>
        </w:rPr>
        <w:t xml:space="preserve">CDA is </w:t>
      </w:r>
      <w:r>
        <w:rPr>
          <w:rFonts w:cs="Calibri"/>
          <w:sz w:val="24"/>
        </w:rPr>
        <w:t>not a blueprint for analysis</w:t>
      </w:r>
      <w:r w:rsidR="002876D8">
        <w:rPr>
          <w:rFonts w:cs="Calibri"/>
          <w:sz w:val="24"/>
        </w:rPr>
        <w:t>, however;</w:t>
      </w:r>
      <w:r>
        <w:rPr>
          <w:rFonts w:cs="Calibri"/>
          <w:sz w:val="24"/>
        </w:rPr>
        <w:t xml:space="preserve"> rather </w:t>
      </w:r>
      <w:r w:rsidR="002876D8">
        <w:rPr>
          <w:rFonts w:cs="Calibri"/>
          <w:sz w:val="24"/>
        </w:rPr>
        <w:t xml:space="preserve">it is described by </w:t>
      </w:r>
      <w:r>
        <w:rPr>
          <w:rFonts w:cs="Calibri"/>
          <w:sz w:val="24"/>
        </w:rPr>
        <w:t xml:space="preserve">Taylor (2004) </w:t>
      </w:r>
      <w:r w:rsidRPr="00444D7A">
        <w:rPr>
          <w:rFonts w:cs="Calibri"/>
          <w:sz w:val="24"/>
        </w:rPr>
        <w:t>as a framewor</w:t>
      </w:r>
      <w:r>
        <w:rPr>
          <w:rFonts w:cs="Calibri"/>
          <w:sz w:val="24"/>
        </w:rPr>
        <w:t>k</w:t>
      </w:r>
      <w:r w:rsidR="002876D8">
        <w:rPr>
          <w:rFonts w:cs="Calibri"/>
          <w:sz w:val="24"/>
        </w:rPr>
        <w:t xml:space="preserve"> for</w:t>
      </w:r>
      <w:r>
        <w:rPr>
          <w:rFonts w:cs="Calibri"/>
          <w:sz w:val="24"/>
        </w:rPr>
        <w:t xml:space="preserve"> </w:t>
      </w:r>
      <w:r w:rsidRPr="00444D7A">
        <w:rPr>
          <w:rFonts w:cs="Calibri"/>
          <w:sz w:val="24"/>
        </w:rPr>
        <w:t>analys</w:t>
      </w:r>
      <w:r w:rsidR="002876D8">
        <w:rPr>
          <w:rFonts w:cs="Calibri"/>
          <w:sz w:val="24"/>
        </w:rPr>
        <w:t>ing the text</w:t>
      </w:r>
      <w:r w:rsidRPr="00444D7A">
        <w:rPr>
          <w:rFonts w:cs="Calibri"/>
          <w:sz w:val="24"/>
        </w:rPr>
        <w:t xml:space="preserve"> </w:t>
      </w:r>
      <w:r>
        <w:rPr>
          <w:rFonts w:cs="Calibri"/>
          <w:sz w:val="24"/>
        </w:rPr>
        <w:t xml:space="preserve">by </w:t>
      </w:r>
      <w:r w:rsidRPr="00444D7A">
        <w:rPr>
          <w:rFonts w:cs="Calibri"/>
          <w:sz w:val="24"/>
        </w:rPr>
        <w:t xml:space="preserve">looking at </w:t>
      </w:r>
      <w:r>
        <w:rPr>
          <w:rFonts w:cs="Calibri"/>
          <w:sz w:val="24"/>
        </w:rPr>
        <w:t>its</w:t>
      </w:r>
      <w:r w:rsidRPr="00444D7A">
        <w:rPr>
          <w:rFonts w:cs="Calibri"/>
          <w:sz w:val="24"/>
        </w:rPr>
        <w:t xml:space="preserve"> organisation</w:t>
      </w:r>
      <w:r w:rsidR="002876D8">
        <w:rPr>
          <w:rFonts w:cs="Calibri"/>
          <w:sz w:val="24"/>
        </w:rPr>
        <w:t>,</w:t>
      </w:r>
      <w:r w:rsidRPr="00444D7A">
        <w:rPr>
          <w:rFonts w:cs="Calibri"/>
          <w:sz w:val="24"/>
        </w:rPr>
        <w:t xml:space="preserve"> </w:t>
      </w:r>
      <w:r>
        <w:rPr>
          <w:rFonts w:cs="Calibri"/>
          <w:sz w:val="24"/>
        </w:rPr>
        <w:t xml:space="preserve">including </w:t>
      </w:r>
      <w:r w:rsidRPr="00444D7A">
        <w:rPr>
          <w:rFonts w:cs="Calibri"/>
          <w:sz w:val="24"/>
        </w:rPr>
        <w:t xml:space="preserve">clause combination, grammatical and semantic features and </w:t>
      </w:r>
      <w:r>
        <w:rPr>
          <w:rFonts w:cs="Calibri"/>
          <w:sz w:val="24"/>
        </w:rPr>
        <w:t>lexis choice</w:t>
      </w:r>
      <w:r w:rsidRPr="00444D7A">
        <w:rPr>
          <w:rFonts w:cs="Calibri"/>
          <w:sz w:val="24"/>
        </w:rPr>
        <w:t xml:space="preserve">. Hyatt (2010) </w:t>
      </w:r>
      <w:r>
        <w:rPr>
          <w:rFonts w:cs="Calibri"/>
          <w:sz w:val="24"/>
        </w:rPr>
        <w:t xml:space="preserve">presents </w:t>
      </w:r>
      <w:r w:rsidRPr="00444D7A">
        <w:rPr>
          <w:rFonts w:cs="Calibri"/>
          <w:sz w:val="24"/>
        </w:rPr>
        <w:t xml:space="preserve">three levels of </w:t>
      </w:r>
      <w:r>
        <w:rPr>
          <w:rFonts w:cs="Calibri"/>
          <w:sz w:val="24"/>
        </w:rPr>
        <w:t>CDA</w:t>
      </w:r>
      <w:r w:rsidRPr="00444D7A">
        <w:rPr>
          <w:rFonts w:cs="Calibri"/>
          <w:sz w:val="24"/>
        </w:rPr>
        <w:t>: “engaging with the text, the discursive practices (processes of production/ reception/ interpretation); and the wider social-political and socio-historic context”</w:t>
      </w:r>
      <w:r>
        <w:rPr>
          <w:rFonts w:cs="Calibri"/>
          <w:sz w:val="24"/>
        </w:rPr>
        <w:t xml:space="preserve"> </w:t>
      </w:r>
      <w:r w:rsidRPr="00444D7A">
        <w:rPr>
          <w:rFonts w:cs="Calibri"/>
          <w:sz w:val="24"/>
        </w:rPr>
        <w:t>(p.1)</w:t>
      </w:r>
      <w:r>
        <w:rPr>
          <w:rFonts w:cs="Calibri"/>
          <w:sz w:val="24"/>
        </w:rPr>
        <w:t>, which provide a multi</w:t>
      </w:r>
      <w:r w:rsidR="002876D8">
        <w:rPr>
          <w:rFonts w:cs="Calibri"/>
          <w:sz w:val="24"/>
        </w:rPr>
        <w:t>-</w:t>
      </w:r>
      <w:r>
        <w:rPr>
          <w:rFonts w:cs="Calibri"/>
          <w:sz w:val="24"/>
        </w:rPr>
        <w:t xml:space="preserve">layered approach to the text analysis. </w:t>
      </w:r>
      <w:r w:rsidRPr="00444D7A">
        <w:rPr>
          <w:rFonts w:cs="Calibri"/>
          <w:sz w:val="24"/>
        </w:rPr>
        <w:t xml:space="preserve">I adopt Hyatt’s </w:t>
      </w:r>
      <w:r>
        <w:rPr>
          <w:rFonts w:cs="Calibri"/>
          <w:sz w:val="24"/>
        </w:rPr>
        <w:t xml:space="preserve">CDA </w:t>
      </w:r>
      <w:r w:rsidRPr="00444D7A">
        <w:rPr>
          <w:rFonts w:cs="Calibri"/>
          <w:sz w:val="24"/>
        </w:rPr>
        <w:t xml:space="preserve">approach </w:t>
      </w:r>
      <w:r>
        <w:rPr>
          <w:rFonts w:cs="Calibri"/>
          <w:sz w:val="24"/>
        </w:rPr>
        <w:t xml:space="preserve">together with </w:t>
      </w:r>
      <w:r w:rsidRPr="008E35B8">
        <w:rPr>
          <w:rFonts w:cs="Calibri"/>
          <w:i/>
          <w:sz w:val="24"/>
        </w:rPr>
        <w:t>The Critical Policy Discourse Analysis Frame</w:t>
      </w:r>
      <w:r>
        <w:rPr>
          <w:rFonts w:cs="Calibri"/>
          <w:sz w:val="24"/>
        </w:rPr>
        <w:t xml:space="preserve"> (Hyatt</w:t>
      </w:r>
      <w:r w:rsidR="002876D8">
        <w:rPr>
          <w:rFonts w:cs="Calibri"/>
          <w:sz w:val="24"/>
        </w:rPr>
        <w:t>,</w:t>
      </w:r>
      <w:r>
        <w:rPr>
          <w:rFonts w:cs="Calibri"/>
          <w:sz w:val="24"/>
        </w:rPr>
        <w:t xml:space="preserve"> 2013) because it provides a structured, logical and detailed way to analyse policy texts across a range of areas which I as a novice CDA researcher can apply. </w:t>
      </w:r>
    </w:p>
    <w:p w14:paraId="2D899D20" w14:textId="36117D56" w:rsidR="00A75A8F" w:rsidRPr="00444D7A" w:rsidRDefault="00A75A8F" w:rsidP="00531995">
      <w:pPr>
        <w:tabs>
          <w:tab w:val="left" w:pos="8505"/>
        </w:tabs>
        <w:spacing w:after="120" w:line="360" w:lineRule="auto"/>
        <w:rPr>
          <w:rFonts w:cs="Calibri"/>
          <w:sz w:val="24"/>
        </w:rPr>
      </w:pPr>
      <w:r w:rsidRPr="00444D7A">
        <w:rPr>
          <w:rFonts w:cs="Calibri"/>
          <w:sz w:val="24"/>
        </w:rPr>
        <w:lastRenderedPageBreak/>
        <w:t>CDA can be approached as both theory and method</w:t>
      </w:r>
      <w:r>
        <w:rPr>
          <w:rFonts w:cs="Calibri"/>
          <w:sz w:val="24"/>
        </w:rPr>
        <w:t xml:space="preserve">, </w:t>
      </w:r>
      <w:r w:rsidRPr="00444D7A">
        <w:rPr>
          <w:rFonts w:cs="Calibri"/>
          <w:sz w:val="24"/>
        </w:rPr>
        <w:t>allow</w:t>
      </w:r>
      <w:r>
        <w:rPr>
          <w:rFonts w:cs="Calibri"/>
          <w:sz w:val="24"/>
        </w:rPr>
        <w:t>ing</w:t>
      </w:r>
      <w:r w:rsidRPr="00444D7A">
        <w:rPr>
          <w:rFonts w:cs="Calibri"/>
          <w:sz w:val="24"/>
        </w:rPr>
        <w:t xml:space="preserve"> for description and interpretation but also explanation. Discourse analy</w:t>
      </w:r>
      <w:r w:rsidR="008A30A3">
        <w:rPr>
          <w:rFonts w:cs="Calibri"/>
          <w:sz w:val="24"/>
        </w:rPr>
        <w:t>sis regards language and social reality as</w:t>
      </w:r>
      <w:r w:rsidRPr="00444D7A">
        <w:rPr>
          <w:rFonts w:cs="Calibri"/>
          <w:sz w:val="24"/>
        </w:rPr>
        <w:t xml:space="preserve"> interrelated</w:t>
      </w:r>
      <w:r w:rsidR="002876D8">
        <w:rPr>
          <w:rFonts w:cs="Calibri"/>
          <w:sz w:val="24"/>
        </w:rPr>
        <w:t>;</w:t>
      </w:r>
      <w:r>
        <w:rPr>
          <w:rFonts w:cs="Calibri"/>
          <w:sz w:val="24"/>
        </w:rPr>
        <w:t xml:space="preserve"> l</w:t>
      </w:r>
      <w:r w:rsidR="00D714D7">
        <w:rPr>
          <w:rFonts w:cs="Calibri"/>
          <w:sz w:val="24"/>
        </w:rPr>
        <w:t>anguage is not just</w:t>
      </w:r>
      <w:r w:rsidRPr="00444D7A">
        <w:rPr>
          <w:rFonts w:cs="Calibri"/>
          <w:sz w:val="24"/>
        </w:rPr>
        <w:t xml:space="preserve"> a refl</w:t>
      </w:r>
      <w:r w:rsidR="00D714D7">
        <w:rPr>
          <w:rFonts w:cs="Calibri"/>
          <w:sz w:val="24"/>
        </w:rPr>
        <w:t>ection of social reality but plays</w:t>
      </w:r>
      <w:r w:rsidRPr="00444D7A">
        <w:rPr>
          <w:rFonts w:cs="Calibri"/>
          <w:sz w:val="24"/>
        </w:rPr>
        <w:t xml:space="preserve"> a</w:t>
      </w:r>
      <w:r w:rsidR="00D714D7">
        <w:rPr>
          <w:rFonts w:cs="Calibri"/>
          <w:sz w:val="24"/>
        </w:rPr>
        <w:t>n active role in classifying the way</w:t>
      </w:r>
      <w:r w:rsidRPr="00444D7A">
        <w:rPr>
          <w:rFonts w:cs="Calibri"/>
          <w:sz w:val="24"/>
        </w:rPr>
        <w:t xml:space="preserve"> individuals construct that reality. The </w:t>
      </w:r>
      <w:r>
        <w:rPr>
          <w:rFonts w:cs="Calibri"/>
          <w:sz w:val="24"/>
        </w:rPr>
        <w:t>‘</w:t>
      </w:r>
      <w:r w:rsidRPr="00444D7A">
        <w:rPr>
          <w:rFonts w:cs="Calibri"/>
          <w:sz w:val="24"/>
        </w:rPr>
        <w:t>critical</w:t>
      </w:r>
      <w:r>
        <w:rPr>
          <w:rFonts w:cs="Calibri"/>
          <w:sz w:val="24"/>
        </w:rPr>
        <w:t>’</w:t>
      </w:r>
      <w:r w:rsidRPr="00444D7A">
        <w:rPr>
          <w:rFonts w:cs="Calibri"/>
          <w:sz w:val="24"/>
        </w:rPr>
        <w:t xml:space="preserve"> aspect </w:t>
      </w:r>
      <w:r>
        <w:rPr>
          <w:rFonts w:cs="Calibri"/>
          <w:sz w:val="24"/>
        </w:rPr>
        <w:t xml:space="preserve">of CDA </w:t>
      </w:r>
      <w:r w:rsidRPr="00444D7A">
        <w:rPr>
          <w:rFonts w:cs="Calibri"/>
          <w:sz w:val="24"/>
        </w:rPr>
        <w:t>denotes the focus on power relations in order to try to uncover the hidden power relations within a text. Taylor states that:</w:t>
      </w:r>
    </w:p>
    <w:p w14:paraId="135DAD58" w14:textId="77777777" w:rsidR="00A75A8F" w:rsidRPr="00444D7A" w:rsidRDefault="00A75A8F" w:rsidP="00A75A8F">
      <w:pPr>
        <w:spacing w:after="0" w:line="240" w:lineRule="auto"/>
        <w:ind w:left="720"/>
        <w:rPr>
          <w:rFonts w:cs="Calibri"/>
          <w:sz w:val="24"/>
        </w:rPr>
      </w:pPr>
      <w:r w:rsidRPr="00444D7A">
        <w:rPr>
          <w:rFonts w:cs="Calibri"/>
          <w:sz w:val="24"/>
        </w:rPr>
        <w:t>CDA is of particular value in documenting multiple and competing discourses in policy texts, in highlighting marginalized and hybrid discourses, and in documenting discursive shifts in policy implementation processes (</w:t>
      </w:r>
      <w:r>
        <w:rPr>
          <w:rFonts w:cs="Calibri"/>
          <w:sz w:val="24"/>
        </w:rPr>
        <w:t xml:space="preserve">2004, </w:t>
      </w:r>
      <w:r w:rsidRPr="00444D7A">
        <w:rPr>
          <w:rFonts w:cs="Calibri"/>
          <w:sz w:val="24"/>
        </w:rPr>
        <w:t>p.434).</w:t>
      </w:r>
    </w:p>
    <w:p w14:paraId="0BCFBED9" w14:textId="77777777" w:rsidR="00A75A8F" w:rsidRPr="00444D7A" w:rsidRDefault="00A75A8F" w:rsidP="00A75A8F">
      <w:pPr>
        <w:spacing w:after="0" w:line="240" w:lineRule="auto"/>
        <w:rPr>
          <w:rFonts w:cs="Calibri"/>
          <w:sz w:val="24"/>
        </w:rPr>
      </w:pPr>
    </w:p>
    <w:p w14:paraId="3BD92EF3" w14:textId="1D5E32DD" w:rsidR="00A75A8F" w:rsidRDefault="00A75A8F" w:rsidP="00A75A8F">
      <w:pPr>
        <w:tabs>
          <w:tab w:val="left" w:pos="8364"/>
        </w:tabs>
        <w:spacing w:after="0" w:line="360" w:lineRule="auto"/>
        <w:rPr>
          <w:rFonts w:cs="Calibri"/>
          <w:sz w:val="24"/>
        </w:rPr>
      </w:pPr>
      <w:r>
        <w:rPr>
          <w:rFonts w:cs="Calibri"/>
          <w:sz w:val="24"/>
        </w:rPr>
        <w:t xml:space="preserve">Using this detailed textual analysis approach, </w:t>
      </w:r>
      <w:r w:rsidRPr="00444D7A">
        <w:rPr>
          <w:rFonts w:cs="Calibri"/>
          <w:sz w:val="24"/>
        </w:rPr>
        <w:t xml:space="preserve">key discourses within the EBac policy </w:t>
      </w:r>
      <w:r>
        <w:rPr>
          <w:rFonts w:cs="Calibri"/>
          <w:sz w:val="24"/>
        </w:rPr>
        <w:t xml:space="preserve">can be identified. </w:t>
      </w:r>
      <w:r w:rsidRPr="00444D7A">
        <w:rPr>
          <w:rFonts w:cs="Calibri"/>
          <w:sz w:val="24"/>
        </w:rPr>
        <w:t>CDA</w:t>
      </w:r>
      <w:r>
        <w:rPr>
          <w:rFonts w:cs="Calibri"/>
          <w:sz w:val="24"/>
        </w:rPr>
        <w:t xml:space="preserve"> </w:t>
      </w:r>
      <w:r w:rsidRPr="00444D7A">
        <w:rPr>
          <w:rFonts w:cs="Calibri"/>
          <w:sz w:val="24"/>
        </w:rPr>
        <w:t>allows</w:t>
      </w:r>
      <w:r>
        <w:rPr>
          <w:rFonts w:cs="Calibri"/>
          <w:sz w:val="24"/>
        </w:rPr>
        <w:t xml:space="preserve"> for the possibility of change</w:t>
      </w:r>
      <w:r w:rsidR="0063322C">
        <w:rPr>
          <w:rFonts w:cs="Calibri"/>
          <w:sz w:val="24"/>
        </w:rPr>
        <w:t>:</w:t>
      </w:r>
      <w:r>
        <w:rPr>
          <w:rFonts w:cs="Calibri"/>
          <w:sz w:val="24"/>
        </w:rPr>
        <w:t xml:space="preserve"> “</w:t>
      </w:r>
      <w:r w:rsidRPr="00444D7A">
        <w:rPr>
          <w:rFonts w:cs="Calibri"/>
          <w:sz w:val="24"/>
        </w:rPr>
        <w:t>if language is constructed, it can therefore be deconstructed and reconstructed. It offers a discourse of possibility</w:t>
      </w:r>
      <w:r>
        <w:rPr>
          <w:rFonts w:cs="Calibri"/>
          <w:sz w:val="24"/>
        </w:rPr>
        <w:t>”</w:t>
      </w:r>
      <w:r w:rsidRPr="00444D7A">
        <w:rPr>
          <w:rFonts w:cs="Calibri"/>
          <w:sz w:val="24"/>
        </w:rPr>
        <w:t xml:space="preserve"> (</w:t>
      </w:r>
      <w:r>
        <w:rPr>
          <w:rFonts w:cs="Calibri"/>
          <w:sz w:val="24"/>
        </w:rPr>
        <w:t>Hyatt</w:t>
      </w:r>
      <w:r w:rsidR="0063322C">
        <w:rPr>
          <w:rFonts w:cs="Calibri"/>
          <w:sz w:val="24"/>
        </w:rPr>
        <w:t>,</w:t>
      </w:r>
      <w:r>
        <w:rPr>
          <w:rFonts w:cs="Calibri"/>
          <w:sz w:val="24"/>
        </w:rPr>
        <w:t xml:space="preserve"> 2010, </w:t>
      </w:r>
      <w:r w:rsidRPr="00444D7A">
        <w:rPr>
          <w:rFonts w:cs="Calibri"/>
          <w:sz w:val="24"/>
        </w:rPr>
        <w:t xml:space="preserve">p.2). </w:t>
      </w:r>
      <w:r>
        <w:rPr>
          <w:rFonts w:cs="Calibri"/>
          <w:sz w:val="24"/>
        </w:rPr>
        <w:t>In this way</w:t>
      </w:r>
      <w:r w:rsidR="0063322C">
        <w:rPr>
          <w:rFonts w:cs="Calibri"/>
          <w:sz w:val="24"/>
        </w:rPr>
        <w:t>,</w:t>
      </w:r>
      <w:r>
        <w:rPr>
          <w:rFonts w:cs="Calibri"/>
          <w:sz w:val="24"/>
        </w:rPr>
        <w:t xml:space="preserve"> I use CDA to uncover underlying discourses and linguistic devices within the texts, identify potential areas of change to the EBac and to offer alternatives to the EBac discourse. </w:t>
      </w:r>
      <w:r w:rsidR="00897090">
        <w:rPr>
          <w:rFonts w:cs="Calibri"/>
          <w:sz w:val="24"/>
        </w:rPr>
        <w:t xml:space="preserve">Other textual analysis approaches, such as conversational analysis, did not appear to allow for this critical stance or the </w:t>
      </w:r>
      <w:r w:rsidR="00534420">
        <w:rPr>
          <w:rFonts w:cs="Calibri"/>
          <w:sz w:val="24"/>
        </w:rPr>
        <w:t>“</w:t>
      </w:r>
      <w:r w:rsidR="00897090">
        <w:rPr>
          <w:rFonts w:cs="Calibri"/>
          <w:sz w:val="24"/>
        </w:rPr>
        <w:t>possibility of change</w:t>
      </w:r>
      <w:r w:rsidR="00534420">
        <w:rPr>
          <w:rFonts w:cs="Calibri"/>
          <w:sz w:val="24"/>
        </w:rPr>
        <w:t>”</w:t>
      </w:r>
      <w:r w:rsidR="00897090">
        <w:rPr>
          <w:rFonts w:cs="Calibri"/>
          <w:sz w:val="24"/>
        </w:rPr>
        <w:t xml:space="preserve"> as an outcome of the </w:t>
      </w:r>
      <w:r w:rsidR="00E70BCB">
        <w:rPr>
          <w:rFonts w:cs="Calibri"/>
          <w:sz w:val="24"/>
        </w:rPr>
        <w:t>analysis</w:t>
      </w:r>
      <w:r w:rsidR="00F271EC">
        <w:rPr>
          <w:rFonts w:cs="Calibri"/>
          <w:sz w:val="24"/>
        </w:rPr>
        <w:t xml:space="preserve"> (Wooffitt</w:t>
      </w:r>
      <w:r w:rsidR="00534420">
        <w:rPr>
          <w:rFonts w:cs="Calibri"/>
          <w:sz w:val="24"/>
        </w:rPr>
        <w:t>,</w:t>
      </w:r>
      <w:r w:rsidR="00F271EC">
        <w:rPr>
          <w:rFonts w:cs="Calibri"/>
          <w:sz w:val="24"/>
        </w:rPr>
        <w:t xml:space="preserve"> 2005)</w:t>
      </w:r>
      <w:r w:rsidR="00897090">
        <w:rPr>
          <w:rFonts w:cs="Calibri"/>
          <w:sz w:val="24"/>
        </w:rPr>
        <w:t>.</w:t>
      </w:r>
    </w:p>
    <w:p w14:paraId="343FB366" w14:textId="77777777" w:rsidR="0063322C" w:rsidRDefault="0063322C" w:rsidP="00A75A8F">
      <w:pPr>
        <w:tabs>
          <w:tab w:val="left" w:pos="8364"/>
        </w:tabs>
        <w:spacing w:after="0" w:line="360" w:lineRule="auto"/>
        <w:rPr>
          <w:rFonts w:cs="Calibri"/>
          <w:sz w:val="24"/>
        </w:rPr>
      </w:pPr>
    </w:p>
    <w:p w14:paraId="6FF50050" w14:textId="2FA9BFF6" w:rsidR="00A75A8F" w:rsidRPr="003A47A6" w:rsidRDefault="00A75A8F" w:rsidP="003A47A6">
      <w:pPr>
        <w:tabs>
          <w:tab w:val="left" w:pos="8364"/>
        </w:tabs>
        <w:spacing w:line="360" w:lineRule="auto"/>
        <w:rPr>
          <w:rFonts w:cs="Calibri"/>
          <w:sz w:val="24"/>
        </w:rPr>
      </w:pPr>
      <w:r w:rsidRPr="00444D7A">
        <w:rPr>
          <w:rFonts w:cs="Calibri"/>
          <w:sz w:val="24"/>
        </w:rPr>
        <w:t xml:space="preserve">CDA has faced </w:t>
      </w:r>
      <w:r>
        <w:rPr>
          <w:rFonts w:cs="Calibri"/>
          <w:sz w:val="24"/>
        </w:rPr>
        <w:t>the criticism</w:t>
      </w:r>
      <w:r w:rsidRPr="00444D7A">
        <w:rPr>
          <w:rFonts w:cs="Calibri"/>
          <w:sz w:val="24"/>
        </w:rPr>
        <w:t xml:space="preserve"> a</w:t>
      </w:r>
      <w:r>
        <w:rPr>
          <w:rFonts w:cs="Calibri"/>
          <w:sz w:val="24"/>
        </w:rPr>
        <w:t xml:space="preserve">s a method of </w:t>
      </w:r>
      <w:r w:rsidRPr="00444D7A">
        <w:rPr>
          <w:rFonts w:cs="Calibri"/>
          <w:sz w:val="24"/>
        </w:rPr>
        <w:t>analysis</w:t>
      </w:r>
      <w:r w:rsidR="00534420">
        <w:rPr>
          <w:rFonts w:cs="Calibri"/>
          <w:sz w:val="24"/>
        </w:rPr>
        <w:t>, because</w:t>
      </w:r>
      <w:r w:rsidRPr="00444D7A">
        <w:rPr>
          <w:rFonts w:cs="Calibri"/>
          <w:sz w:val="24"/>
        </w:rPr>
        <w:t xml:space="preserve"> </w:t>
      </w:r>
      <w:r>
        <w:rPr>
          <w:rFonts w:cs="Calibri"/>
          <w:sz w:val="24"/>
        </w:rPr>
        <w:t xml:space="preserve">it </w:t>
      </w:r>
      <w:r w:rsidR="00534420">
        <w:rPr>
          <w:rFonts w:cs="Calibri"/>
          <w:sz w:val="24"/>
        </w:rPr>
        <w:t xml:space="preserve">may be </w:t>
      </w:r>
      <w:r w:rsidRPr="00444D7A">
        <w:rPr>
          <w:rFonts w:cs="Calibri"/>
          <w:sz w:val="24"/>
        </w:rPr>
        <w:t xml:space="preserve">biased due to the areas </w:t>
      </w:r>
      <w:r>
        <w:rPr>
          <w:rFonts w:cs="Calibri"/>
          <w:sz w:val="24"/>
        </w:rPr>
        <w:t xml:space="preserve">within and of the text </w:t>
      </w:r>
      <w:r w:rsidRPr="00444D7A">
        <w:rPr>
          <w:rFonts w:cs="Calibri"/>
          <w:sz w:val="24"/>
        </w:rPr>
        <w:t>that the researcher cho</w:t>
      </w:r>
      <w:r w:rsidR="00534420">
        <w:rPr>
          <w:rFonts w:cs="Calibri"/>
          <w:sz w:val="24"/>
        </w:rPr>
        <w:t>o</w:t>
      </w:r>
      <w:r w:rsidRPr="00444D7A">
        <w:rPr>
          <w:rFonts w:cs="Calibri"/>
          <w:sz w:val="24"/>
        </w:rPr>
        <w:t>ses to focus</w:t>
      </w:r>
      <w:r>
        <w:rPr>
          <w:rFonts w:cs="Calibri"/>
          <w:sz w:val="24"/>
        </w:rPr>
        <w:t xml:space="preserve"> on or to ignore</w:t>
      </w:r>
      <w:r w:rsidRPr="00444D7A">
        <w:rPr>
          <w:rFonts w:cs="Calibri"/>
          <w:sz w:val="24"/>
        </w:rPr>
        <w:t xml:space="preserve">. CDA researchers do not see this </w:t>
      </w:r>
      <w:r>
        <w:rPr>
          <w:rFonts w:cs="Calibri"/>
          <w:sz w:val="24"/>
        </w:rPr>
        <w:t xml:space="preserve">point as </w:t>
      </w:r>
      <w:r w:rsidRPr="00444D7A">
        <w:rPr>
          <w:rFonts w:cs="Calibri"/>
          <w:sz w:val="24"/>
        </w:rPr>
        <w:t>criticism</w:t>
      </w:r>
      <w:r w:rsidR="00534420">
        <w:rPr>
          <w:rFonts w:cs="Calibri"/>
          <w:sz w:val="24"/>
        </w:rPr>
        <w:t>,</w:t>
      </w:r>
      <w:r w:rsidRPr="00444D7A">
        <w:rPr>
          <w:rFonts w:cs="Calibri"/>
          <w:sz w:val="24"/>
        </w:rPr>
        <w:t xml:space="preserve"> rather as an area to be critically considered and ultimately celebrated. Hyatt (2010) comments</w:t>
      </w:r>
      <w:r>
        <w:rPr>
          <w:rFonts w:cs="Calibri"/>
          <w:sz w:val="24"/>
        </w:rPr>
        <w:t>, “</w:t>
      </w:r>
      <w:r w:rsidRPr="00444D7A">
        <w:rPr>
          <w:rFonts w:cs="Calibri"/>
          <w:sz w:val="24"/>
        </w:rPr>
        <w:t>Indeed CDA advocates are not embarrassed by charges of partiality – they revel in it!</w:t>
      </w:r>
      <w:r>
        <w:rPr>
          <w:rFonts w:cs="Calibri"/>
          <w:sz w:val="24"/>
        </w:rPr>
        <w:t>”</w:t>
      </w:r>
      <w:r w:rsidRPr="00444D7A">
        <w:rPr>
          <w:rFonts w:cs="Calibri"/>
          <w:sz w:val="24"/>
        </w:rPr>
        <w:t xml:space="preserve"> (p.1).</w:t>
      </w:r>
      <w:r>
        <w:rPr>
          <w:rFonts w:cs="Calibri"/>
          <w:sz w:val="24"/>
        </w:rPr>
        <w:t xml:space="preserve"> </w:t>
      </w:r>
    </w:p>
    <w:p w14:paraId="2519F194" w14:textId="108CEA14" w:rsidR="00A75A8F" w:rsidRPr="002A310E" w:rsidRDefault="00A75A8F" w:rsidP="00531995">
      <w:pPr>
        <w:pStyle w:val="Heading3"/>
      </w:pPr>
      <w:bookmarkStart w:id="49" w:name="_Toc452316333"/>
      <w:r w:rsidRPr="002A310E">
        <w:t>3.</w:t>
      </w:r>
      <w:r w:rsidR="004D2464">
        <w:t>5</w:t>
      </w:r>
      <w:r>
        <w:t>.2</w:t>
      </w:r>
      <w:r w:rsidRPr="002A310E">
        <w:t xml:space="preserve"> C</w:t>
      </w:r>
      <w:r>
        <w:t>DA</w:t>
      </w:r>
      <w:r w:rsidRPr="002A310E">
        <w:t xml:space="preserve"> in my research</w:t>
      </w:r>
      <w:bookmarkEnd w:id="49"/>
    </w:p>
    <w:p w14:paraId="6F557F9F" w14:textId="65892A88" w:rsidR="00A75A8F" w:rsidRPr="00444D7A" w:rsidRDefault="00A75A8F" w:rsidP="00531995">
      <w:pPr>
        <w:spacing w:after="120" w:line="360" w:lineRule="auto"/>
        <w:rPr>
          <w:rFonts w:cs="Calibri"/>
          <w:sz w:val="24"/>
        </w:rPr>
      </w:pPr>
      <w:r w:rsidRPr="00444D7A">
        <w:rPr>
          <w:rFonts w:cs="Calibri"/>
          <w:sz w:val="24"/>
        </w:rPr>
        <w:t xml:space="preserve">I </w:t>
      </w:r>
      <w:r>
        <w:rPr>
          <w:rFonts w:cs="Calibri"/>
          <w:sz w:val="24"/>
        </w:rPr>
        <w:t xml:space="preserve">use </w:t>
      </w:r>
      <w:r w:rsidRPr="00444D7A">
        <w:rPr>
          <w:rFonts w:cs="Calibri"/>
          <w:sz w:val="24"/>
        </w:rPr>
        <w:t>Hyatt</w:t>
      </w:r>
      <w:r>
        <w:rPr>
          <w:rFonts w:cs="Calibri"/>
          <w:sz w:val="24"/>
        </w:rPr>
        <w:t>’s</w:t>
      </w:r>
      <w:r w:rsidRPr="00444D7A">
        <w:rPr>
          <w:rFonts w:cs="Calibri"/>
          <w:sz w:val="24"/>
        </w:rPr>
        <w:t xml:space="preserve"> CDA framework (2010)</w:t>
      </w:r>
      <w:r>
        <w:rPr>
          <w:rFonts w:cs="Calibri"/>
          <w:sz w:val="24"/>
        </w:rPr>
        <w:t xml:space="preserve"> to analyse</w:t>
      </w:r>
      <w:r w:rsidRPr="00444D7A">
        <w:rPr>
          <w:rFonts w:cs="Calibri"/>
          <w:sz w:val="24"/>
        </w:rPr>
        <w:t xml:space="preserve"> my selection of texts through a detailed consideration of the overall text, particular</w:t>
      </w:r>
      <w:r w:rsidR="00534420">
        <w:rPr>
          <w:rFonts w:cs="Calibri"/>
          <w:sz w:val="24"/>
        </w:rPr>
        <w:t>ly</w:t>
      </w:r>
      <w:r w:rsidRPr="00444D7A">
        <w:rPr>
          <w:rFonts w:cs="Calibri"/>
          <w:sz w:val="24"/>
        </w:rPr>
        <w:t xml:space="preserve"> discursive practices and wider social political and social historic context</w:t>
      </w:r>
      <w:r>
        <w:rPr>
          <w:rFonts w:cs="Calibri"/>
          <w:sz w:val="24"/>
        </w:rPr>
        <w:t>s, b</w:t>
      </w:r>
      <w:r w:rsidRPr="00444D7A">
        <w:rPr>
          <w:rFonts w:cs="Calibri"/>
          <w:sz w:val="24"/>
        </w:rPr>
        <w:t>egin</w:t>
      </w:r>
      <w:r>
        <w:rPr>
          <w:rFonts w:cs="Calibri"/>
          <w:sz w:val="24"/>
        </w:rPr>
        <w:t>ning</w:t>
      </w:r>
      <w:r w:rsidRPr="00444D7A">
        <w:rPr>
          <w:rFonts w:cs="Calibri"/>
          <w:sz w:val="24"/>
        </w:rPr>
        <w:t xml:space="preserve"> with an analysis of the whole text</w:t>
      </w:r>
      <w:r w:rsidR="00534420">
        <w:rPr>
          <w:rFonts w:cs="Calibri"/>
          <w:sz w:val="24"/>
        </w:rPr>
        <w:t xml:space="preserve"> and </w:t>
      </w:r>
      <w:r w:rsidRPr="00444D7A">
        <w:rPr>
          <w:rFonts w:cs="Calibri"/>
          <w:sz w:val="24"/>
        </w:rPr>
        <w:t>moving to an individual word</w:t>
      </w:r>
      <w:r w:rsidR="00534420">
        <w:rPr>
          <w:rFonts w:cs="Calibri"/>
          <w:sz w:val="24"/>
        </w:rPr>
        <w:t>-</w:t>
      </w:r>
      <w:r w:rsidRPr="00444D7A">
        <w:rPr>
          <w:rFonts w:cs="Calibri"/>
          <w:sz w:val="24"/>
        </w:rPr>
        <w:t>level analysis</w:t>
      </w:r>
      <w:r w:rsidR="00E70BCB">
        <w:rPr>
          <w:rFonts w:cs="Calibri"/>
          <w:sz w:val="24"/>
        </w:rPr>
        <w:t>. Hyatt</w:t>
      </w:r>
      <w:r w:rsidRPr="00444D7A">
        <w:rPr>
          <w:rFonts w:cs="Calibri"/>
          <w:sz w:val="24"/>
        </w:rPr>
        <w:t xml:space="preserve"> provides a set of nine orientation questions</w:t>
      </w:r>
      <w:r w:rsidR="00534420">
        <w:rPr>
          <w:rFonts w:cs="Calibri"/>
          <w:sz w:val="24"/>
        </w:rPr>
        <w:t>,</w:t>
      </w:r>
      <w:r w:rsidRPr="00444D7A">
        <w:rPr>
          <w:rFonts w:cs="Calibri"/>
          <w:sz w:val="24"/>
        </w:rPr>
        <w:t xml:space="preserve"> which allow</w:t>
      </w:r>
      <w:r w:rsidR="00534420">
        <w:rPr>
          <w:rFonts w:cs="Calibri"/>
          <w:sz w:val="24"/>
        </w:rPr>
        <w:t xml:space="preserve"> for</w:t>
      </w:r>
      <w:r w:rsidRPr="00444D7A">
        <w:rPr>
          <w:rFonts w:cs="Calibri"/>
          <w:sz w:val="24"/>
        </w:rPr>
        <w:t xml:space="preserve"> an overview of the text and an initial reading and analysis</w:t>
      </w:r>
      <w:r w:rsidR="00D27BF7">
        <w:rPr>
          <w:rFonts w:cs="Calibri"/>
          <w:sz w:val="24"/>
        </w:rPr>
        <w:t xml:space="preserve"> (see </w:t>
      </w:r>
      <w:r w:rsidR="00534420">
        <w:rPr>
          <w:rFonts w:cs="Calibri"/>
          <w:sz w:val="24"/>
        </w:rPr>
        <w:t>A</w:t>
      </w:r>
      <w:r w:rsidR="00D27BF7">
        <w:rPr>
          <w:rFonts w:cs="Calibri"/>
          <w:sz w:val="24"/>
        </w:rPr>
        <w:t>ppendix 2</w:t>
      </w:r>
      <w:r>
        <w:rPr>
          <w:rFonts w:cs="Calibri"/>
          <w:sz w:val="24"/>
        </w:rPr>
        <w:t>)</w:t>
      </w:r>
      <w:r w:rsidRPr="00444D7A">
        <w:rPr>
          <w:rFonts w:cs="Calibri"/>
          <w:sz w:val="24"/>
        </w:rPr>
        <w:t xml:space="preserve">. This is followed by a framework of </w:t>
      </w:r>
      <w:r w:rsidR="00534420">
        <w:rPr>
          <w:rFonts w:cs="Calibri"/>
          <w:sz w:val="24"/>
        </w:rPr>
        <w:t>11</w:t>
      </w:r>
      <w:r w:rsidRPr="00444D7A">
        <w:rPr>
          <w:rFonts w:cs="Calibri"/>
          <w:sz w:val="24"/>
        </w:rPr>
        <w:t xml:space="preserve"> criteri</w:t>
      </w:r>
      <w:r>
        <w:rPr>
          <w:rFonts w:cs="Calibri"/>
          <w:sz w:val="24"/>
        </w:rPr>
        <w:t>a</w:t>
      </w:r>
      <w:r w:rsidRPr="00444D7A">
        <w:rPr>
          <w:rFonts w:cs="Calibri"/>
          <w:sz w:val="24"/>
        </w:rPr>
        <w:t xml:space="preserve">, progressing from micro elements of grammar such </w:t>
      </w:r>
      <w:r w:rsidRPr="00444D7A">
        <w:rPr>
          <w:rFonts w:cs="Calibri"/>
          <w:sz w:val="24"/>
        </w:rPr>
        <w:lastRenderedPageBreak/>
        <w:t>as the use of pronouns (criterion 1) to use of metaphor (criterion 5) through to more macro elements such as audience (criterion 8) and reference to other texts, genres, discourses and individuals (criterion 11). The full Critical Literacy Frame Criteria</w:t>
      </w:r>
      <w:r>
        <w:rPr>
          <w:rFonts w:cs="Calibri"/>
          <w:sz w:val="24"/>
        </w:rPr>
        <w:t xml:space="preserve"> (see </w:t>
      </w:r>
      <w:r w:rsidR="00534420">
        <w:rPr>
          <w:rFonts w:cs="Calibri"/>
          <w:sz w:val="24"/>
        </w:rPr>
        <w:t>A</w:t>
      </w:r>
      <w:r>
        <w:rPr>
          <w:rFonts w:cs="Calibri"/>
          <w:sz w:val="24"/>
        </w:rPr>
        <w:t xml:space="preserve">ppendix </w:t>
      </w:r>
      <w:r w:rsidR="00D27BF7">
        <w:rPr>
          <w:rFonts w:cs="Calibri"/>
          <w:sz w:val="24"/>
        </w:rPr>
        <w:t>3</w:t>
      </w:r>
      <w:r>
        <w:rPr>
          <w:rFonts w:cs="Calibri"/>
          <w:sz w:val="24"/>
        </w:rPr>
        <w:t>)</w:t>
      </w:r>
      <w:r w:rsidRPr="00444D7A">
        <w:rPr>
          <w:rFonts w:cs="Calibri"/>
          <w:sz w:val="24"/>
        </w:rPr>
        <w:t xml:space="preserve"> includes:</w:t>
      </w:r>
    </w:p>
    <w:p w14:paraId="3E0DF431" w14:textId="77777777" w:rsidR="00A75A8F" w:rsidRPr="00444D7A" w:rsidRDefault="00A75A8F" w:rsidP="00A75A8F">
      <w:pPr>
        <w:pStyle w:val="ListParagraph"/>
        <w:numPr>
          <w:ilvl w:val="0"/>
          <w:numId w:val="4"/>
        </w:numPr>
        <w:tabs>
          <w:tab w:val="clear" w:pos="360"/>
          <w:tab w:val="num" w:pos="720"/>
        </w:tabs>
        <w:spacing w:after="0" w:line="360" w:lineRule="auto"/>
        <w:ind w:left="720" w:hanging="360"/>
        <w:contextualSpacing w:val="0"/>
        <w:rPr>
          <w:rFonts w:cs="Calibri"/>
          <w:sz w:val="24"/>
          <w:szCs w:val="24"/>
        </w:rPr>
      </w:pPr>
      <w:r w:rsidRPr="00444D7A">
        <w:rPr>
          <w:rFonts w:cs="Calibri"/>
          <w:sz w:val="24"/>
          <w:szCs w:val="24"/>
        </w:rPr>
        <w:t>Pronouns – Participant Choices</w:t>
      </w:r>
    </w:p>
    <w:p w14:paraId="385DD857" w14:textId="77777777" w:rsidR="00A75A8F" w:rsidRPr="00444D7A" w:rsidRDefault="00A75A8F" w:rsidP="00A75A8F">
      <w:pPr>
        <w:pStyle w:val="ListParagraph"/>
        <w:numPr>
          <w:ilvl w:val="0"/>
          <w:numId w:val="4"/>
        </w:numPr>
        <w:tabs>
          <w:tab w:val="clear" w:pos="360"/>
          <w:tab w:val="num" w:pos="720"/>
        </w:tabs>
        <w:spacing w:after="0" w:line="360" w:lineRule="auto"/>
        <w:ind w:left="720" w:hanging="360"/>
        <w:contextualSpacing w:val="0"/>
        <w:rPr>
          <w:rFonts w:cs="Calibri"/>
          <w:sz w:val="24"/>
          <w:szCs w:val="24"/>
        </w:rPr>
      </w:pPr>
      <w:r w:rsidRPr="00444D7A">
        <w:rPr>
          <w:rFonts w:cs="Calibri"/>
          <w:sz w:val="24"/>
          <w:szCs w:val="24"/>
        </w:rPr>
        <w:t>Passive/Active forms – Transivity Choices</w:t>
      </w:r>
    </w:p>
    <w:p w14:paraId="03414199" w14:textId="77777777" w:rsidR="00A75A8F" w:rsidRPr="00444D7A" w:rsidRDefault="00A75A8F" w:rsidP="00A75A8F">
      <w:pPr>
        <w:pStyle w:val="ListParagraph"/>
        <w:numPr>
          <w:ilvl w:val="0"/>
          <w:numId w:val="4"/>
        </w:numPr>
        <w:tabs>
          <w:tab w:val="clear" w:pos="360"/>
          <w:tab w:val="num" w:pos="720"/>
        </w:tabs>
        <w:spacing w:after="0" w:line="360" w:lineRule="auto"/>
        <w:ind w:left="720" w:hanging="360"/>
        <w:contextualSpacing w:val="0"/>
        <w:rPr>
          <w:rFonts w:cs="Calibri"/>
          <w:sz w:val="24"/>
          <w:szCs w:val="24"/>
        </w:rPr>
      </w:pPr>
      <w:r w:rsidRPr="00444D7A">
        <w:rPr>
          <w:rFonts w:cs="Calibri"/>
          <w:sz w:val="24"/>
          <w:szCs w:val="24"/>
        </w:rPr>
        <w:t>Time – Tense and Aspect</w:t>
      </w:r>
    </w:p>
    <w:p w14:paraId="797E42B3" w14:textId="77777777" w:rsidR="00A75A8F" w:rsidRPr="00444D7A" w:rsidRDefault="00A75A8F" w:rsidP="00A75A8F">
      <w:pPr>
        <w:pStyle w:val="ListParagraph"/>
        <w:numPr>
          <w:ilvl w:val="0"/>
          <w:numId w:val="4"/>
        </w:numPr>
        <w:tabs>
          <w:tab w:val="clear" w:pos="360"/>
          <w:tab w:val="num" w:pos="720"/>
        </w:tabs>
        <w:spacing w:after="0" w:line="360" w:lineRule="auto"/>
        <w:ind w:left="720" w:hanging="360"/>
        <w:contextualSpacing w:val="0"/>
        <w:rPr>
          <w:rFonts w:cs="Calibri"/>
          <w:sz w:val="24"/>
          <w:szCs w:val="24"/>
        </w:rPr>
      </w:pPr>
      <w:r w:rsidRPr="00444D7A">
        <w:rPr>
          <w:rFonts w:cs="Calibri"/>
          <w:sz w:val="24"/>
          <w:szCs w:val="24"/>
        </w:rPr>
        <w:t>Adjectives, Adverbs, Nouns, Verbal Processes – Evaluation and Semantic Prosody</w:t>
      </w:r>
    </w:p>
    <w:p w14:paraId="7BD1CF1A" w14:textId="77777777" w:rsidR="00A75A8F" w:rsidRPr="00444D7A" w:rsidRDefault="00A75A8F" w:rsidP="00A75A8F">
      <w:pPr>
        <w:pStyle w:val="ListParagraph"/>
        <w:numPr>
          <w:ilvl w:val="0"/>
          <w:numId w:val="4"/>
        </w:numPr>
        <w:tabs>
          <w:tab w:val="clear" w:pos="360"/>
          <w:tab w:val="num" w:pos="720"/>
        </w:tabs>
        <w:spacing w:after="0" w:line="360" w:lineRule="auto"/>
        <w:ind w:left="720" w:hanging="360"/>
        <w:contextualSpacing w:val="0"/>
        <w:rPr>
          <w:rFonts w:cs="Calibri"/>
          <w:sz w:val="24"/>
          <w:szCs w:val="24"/>
        </w:rPr>
      </w:pPr>
      <w:r w:rsidRPr="00444D7A">
        <w:rPr>
          <w:rFonts w:cs="Calibri"/>
          <w:sz w:val="24"/>
          <w:szCs w:val="24"/>
        </w:rPr>
        <w:t>Metaphor</w:t>
      </w:r>
    </w:p>
    <w:p w14:paraId="3B0315F3" w14:textId="77777777" w:rsidR="00A75A8F" w:rsidRPr="00444D7A" w:rsidRDefault="00A75A8F" w:rsidP="00A75A8F">
      <w:pPr>
        <w:pStyle w:val="ListParagraph"/>
        <w:numPr>
          <w:ilvl w:val="0"/>
          <w:numId w:val="4"/>
        </w:numPr>
        <w:tabs>
          <w:tab w:val="clear" w:pos="360"/>
          <w:tab w:val="num" w:pos="720"/>
        </w:tabs>
        <w:spacing w:after="0" w:line="360" w:lineRule="auto"/>
        <w:ind w:left="720" w:hanging="360"/>
        <w:contextualSpacing w:val="0"/>
        <w:rPr>
          <w:rFonts w:cs="Calibri"/>
          <w:sz w:val="24"/>
          <w:szCs w:val="24"/>
        </w:rPr>
      </w:pPr>
      <w:r w:rsidRPr="00444D7A">
        <w:rPr>
          <w:rFonts w:cs="Calibri"/>
          <w:sz w:val="24"/>
          <w:szCs w:val="24"/>
        </w:rPr>
        <w:t>Presupposition/ Implication</w:t>
      </w:r>
    </w:p>
    <w:p w14:paraId="006DEEB6" w14:textId="77777777" w:rsidR="00A75A8F" w:rsidRPr="00444D7A" w:rsidRDefault="00A75A8F" w:rsidP="00A75A8F">
      <w:pPr>
        <w:pStyle w:val="ListParagraph"/>
        <w:numPr>
          <w:ilvl w:val="0"/>
          <w:numId w:val="4"/>
        </w:numPr>
        <w:tabs>
          <w:tab w:val="clear" w:pos="360"/>
          <w:tab w:val="num" w:pos="720"/>
        </w:tabs>
        <w:spacing w:after="0" w:line="360" w:lineRule="auto"/>
        <w:ind w:left="720" w:hanging="360"/>
        <w:contextualSpacing w:val="0"/>
        <w:rPr>
          <w:rFonts w:cs="Calibri"/>
          <w:sz w:val="24"/>
          <w:szCs w:val="24"/>
        </w:rPr>
      </w:pPr>
      <w:r w:rsidRPr="00444D7A">
        <w:rPr>
          <w:rFonts w:cs="Calibri"/>
          <w:sz w:val="24"/>
          <w:szCs w:val="24"/>
        </w:rPr>
        <w:t>Medium</w:t>
      </w:r>
    </w:p>
    <w:p w14:paraId="146B7105" w14:textId="77777777" w:rsidR="00A75A8F" w:rsidRPr="00444D7A" w:rsidRDefault="00A75A8F" w:rsidP="00A75A8F">
      <w:pPr>
        <w:pStyle w:val="ListParagraph"/>
        <w:numPr>
          <w:ilvl w:val="0"/>
          <w:numId w:val="4"/>
        </w:numPr>
        <w:tabs>
          <w:tab w:val="clear" w:pos="360"/>
          <w:tab w:val="num" w:pos="720"/>
        </w:tabs>
        <w:spacing w:after="0" w:line="360" w:lineRule="auto"/>
        <w:ind w:left="720" w:hanging="360"/>
        <w:contextualSpacing w:val="0"/>
        <w:rPr>
          <w:rFonts w:cs="Calibri"/>
          <w:sz w:val="24"/>
          <w:szCs w:val="24"/>
        </w:rPr>
      </w:pPr>
      <w:r w:rsidRPr="00444D7A">
        <w:rPr>
          <w:rFonts w:cs="Calibri"/>
          <w:sz w:val="24"/>
          <w:szCs w:val="24"/>
        </w:rPr>
        <w:t>Audience</w:t>
      </w:r>
    </w:p>
    <w:p w14:paraId="78DB896E" w14:textId="77777777" w:rsidR="00A75A8F" w:rsidRPr="00444D7A" w:rsidRDefault="00A75A8F" w:rsidP="00A75A8F">
      <w:pPr>
        <w:pStyle w:val="ListParagraph"/>
        <w:numPr>
          <w:ilvl w:val="0"/>
          <w:numId w:val="4"/>
        </w:numPr>
        <w:tabs>
          <w:tab w:val="clear" w:pos="360"/>
          <w:tab w:val="num" w:pos="720"/>
        </w:tabs>
        <w:spacing w:after="0" w:line="360" w:lineRule="auto"/>
        <w:ind w:left="720" w:hanging="360"/>
        <w:contextualSpacing w:val="0"/>
        <w:rPr>
          <w:rFonts w:cs="Calibri"/>
          <w:sz w:val="24"/>
          <w:szCs w:val="24"/>
        </w:rPr>
      </w:pPr>
      <w:r w:rsidRPr="00444D7A">
        <w:rPr>
          <w:rFonts w:cs="Calibri"/>
          <w:sz w:val="24"/>
          <w:szCs w:val="24"/>
        </w:rPr>
        <w:t>Visual Images</w:t>
      </w:r>
    </w:p>
    <w:p w14:paraId="19344AA5" w14:textId="77777777" w:rsidR="00A75A8F" w:rsidRPr="00444D7A" w:rsidRDefault="00A75A8F" w:rsidP="00A75A8F">
      <w:pPr>
        <w:pStyle w:val="ListParagraph"/>
        <w:numPr>
          <w:ilvl w:val="0"/>
          <w:numId w:val="4"/>
        </w:numPr>
        <w:tabs>
          <w:tab w:val="clear" w:pos="360"/>
          <w:tab w:val="num" w:pos="720"/>
        </w:tabs>
        <w:spacing w:after="0" w:line="360" w:lineRule="auto"/>
        <w:ind w:left="720" w:hanging="360"/>
        <w:contextualSpacing w:val="0"/>
        <w:rPr>
          <w:rFonts w:cs="Calibri"/>
          <w:sz w:val="24"/>
          <w:szCs w:val="24"/>
        </w:rPr>
      </w:pPr>
      <w:r w:rsidRPr="00444D7A">
        <w:rPr>
          <w:rFonts w:cs="Calibri"/>
          <w:sz w:val="24"/>
          <w:szCs w:val="24"/>
        </w:rPr>
        <w:t>Age, Class, Disability, Gender, Race – Equity, Ethnicity and Sexuality Issues</w:t>
      </w:r>
    </w:p>
    <w:p w14:paraId="0620599C" w14:textId="77777777" w:rsidR="00A75A8F" w:rsidRPr="00444D7A" w:rsidRDefault="00A75A8F" w:rsidP="00A75A8F">
      <w:pPr>
        <w:pStyle w:val="ListParagraph"/>
        <w:numPr>
          <w:ilvl w:val="0"/>
          <w:numId w:val="4"/>
        </w:numPr>
        <w:tabs>
          <w:tab w:val="clear" w:pos="360"/>
          <w:tab w:val="num" w:pos="720"/>
        </w:tabs>
        <w:spacing w:after="0" w:line="360" w:lineRule="auto"/>
        <w:ind w:left="720" w:hanging="360"/>
        <w:contextualSpacing w:val="0"/>
        <w:rPr>
          <w:rFonts w:cs="Calibri"/>
          <w:sz w:val="24"/>
          <w:szCs w:val="24"/>
        </w:rPr>
      </w:pPr>
      <w:r w:rsidRPr="00444D7A">
        <w:rPr>
          <w:rFonts w:cs="Calibri"/>
          <w:sz w:val="24"/>
          <w:szCs w:val="24"/>
        </w:rPr>
        <w:t>Reference to other texts, genres, discourses and individuals</w:t>
      </w:r>
    </w:p>
    <w:p w14:paraId="221A7BF5" w14:textId="77777777" w:rsidR="00A75A8F" w:rsidRPr="00444D7A" w:rsidRDefault="00A75A8F" w:rsidP="00A75A8F">
      <w:pPr>
        <w:tabs>
          <w:tab w:val="left" w:pos="8647"/>
        </w:tabs>
        <w:spacing w:after="0" w:line="360" w:lineRule="auto"/>
        <w:rPr>
          <w:rFonts w:cs="Calibri"/>
          <w:sz w:val="24"/>
        </w:rPr>
      </w:pPr>
    </w:p>
    <w:p w14:paraId="6D122803" w14:textId="26175B89" w:rsidR="00A75A8F" w:rsidRPr="00444D7A" w:rsidRDefault="00A75A8F" w:rsidP="00A75A8F">
      <w:pPr>
        <w:tabs>
          <w:tab w:val="left" w:pos="8505"/>
          <w:tab w:val="left" w:pos="8647"/>
        </w:tabs>
        <w:spacing w:after="0" w:line="360" w:lineRule="auto"/>
        <w:rPr>
          <w:rFonts w:cs="Calibri"/>
          <w:sz w:val="24"/>
        </w:rPr>
      </w:pPr>
      <w:r>
        <w:rPr>
          <w:rFonts w:cs="Calibri"/>
          <w:sz w:val="24"/>
        </w:rPr>
        <w:t>I complete</w:t>
      </w:r>
      <w:r w:rsidR="00534420">
        <w:rPr>
          <w:rFonts w:cs="Calibri"/>
          <w:sz w:val="24"/>
        </w:rPr>
        <w:t>d</w:t>
      </w:r>
      <w:r>
        <w:rPr>
          <w:rFonts w:cs="Calibri"/>
          <w:sz w:val="24"/>
        </w:rPr>
        <w:t xml:space="preserve"> my CDA using all </w:t>
      </w:r>
      <w:r w:rsidR="00534420">
        <w:rPr>
          <w:rFonts w:cs="Calibri"/>
          <w:sz w:val="24"/>
        </w:rPr>
        <w:t xml:space="preserve">11 </w:t>
      </w:r>
      <w:r>
        <w:rPr>
          <w:rFonts w:cs="Calibri"/>
          <w:sz w:val="24"/>
        </w:rPr>
        <w:t xml:space="preserve">criteria to provide a full and detailed analysis of all identified areas. </w:t>
      </w:r>
      <w:r w:rsidRPr="00444D7A">
        <w:rPr>
          <w:rFonts w:cs="Calibri"/>
          <w:sz w:val="24"/>
        </w:rPr>
        <w:t>CDA enable</w:t>
      </w:r>
      <w:r>
        <w:rPr>
          <w:rFonts w:cs="Calibri"/>
          <w:sz w:val="24"/>
        </w:rPr>
        <w:t>s</w:t>
      </w:r>
      <w:r w:rsidRPr="00444D7A">
        <w:rPr>
          <w:rFonts w:cs="Calibri"/>
          <w:sz w:val="24"/>
        </w:rPr>
        <w:t xml:space="preserve"> a close focus on</w:t>
      </w:r>
      <w:r>
        <w:rPr>
          <w:rFonts w:cs="Calibri"/>
          <w:sz w:val="24"/>
        </w:rPr>
        <w:t xml:space="preserve"> </w:t>
      </w:r>
      <w:r w:rsidRPr="00444D7A">
        <w:rPr>
          <w:rFonts w:cs="Calibri"/>
          <w:sz w:val="24"/>
        </w:rPr>
        <w:t>the language used within the policy</w:t>
      </w:r>
      <w:r w:rsidR="00534420">
        <w:rPr>
          <w:rFonts w:cs="Calibri"/>
          <w:sz w:val="24"/>
        </w:rPr>
        <w:t>,</w:t>
      </w:r>
      <w:r w:rsidRPr="00444D7A">
        <w:rPr>
          <w:rFonts w:cs="Calibri"/>
          <w:sz w:val="24"/>
        </w:rPr>
        <w:t xml:space="preserve"> as well as the historical and social context of the text and </w:t>
      </w:r>
      <w:r>
        <w:rPr>
          <w:rFonts w:cs="Calibri"/>
          <w:sz w:val="24"/>
        </w:rPr>
        <w:t>highlight</w:t>
      </w:r>
      <w:r w:rsidR="00534420">
        <w:rPr>
          <w:rFonts w:cs="Calibri"/>
          <w:sz w:val="24"/>
        </w:rPr>
        <w:t>ing</w:t>
      </w:r>
      <w:r w:rsidRPr="00444D7A">
        <w:rPr>
          <w:rFonts w:cs="Calibri"/>
          <w:sz w:val="24"/>
        </w:rPr>
        <w:t xml:space="preserve"> the power </w:t>
      </w:r>
      <w:r w:rsidR="00E70BCB">
        <w:rPr>
          <w:rFonts w:cs="Calibri"/>
          <w:sz w:val="24"/>
        </w:rPr>
        <w:t xml:space="preserve">relations involved, </w:t>
      </w:r>
      <w:r>
        <w:rPr>
          <w:rFonts w:cs="Calibri"/>
          <w:sz w:val="24"/>
        </w:rPr>
        <w:t>“</w:t>
      </w:r>
      <w:r w:rsidRPr="00444D7A">
        <w:rPr>
          <w:rFonts w:cs="Calibri"/>
          <w:sz w:val="24"/>
        </w:rPr>
        <w:t>CDA provides a framework for a systematic analysis – researchers can go beyond speculation and demonstrate how policy texts work</w:t>
      </w:r>
      <w:r>
        <w:rPr>
          <w:rFonts w:cs="Calibri"/>
          <w:sz w:val="24"/>
        </w:rPr>
        <w:t>”</w:t>
      </w:r>
      <w:r w:rsidRPr="00444D7A">
        <w:rPr>
          <w:rFonts w:cs="Calibri"/>
          <w:sz w:val="24"/>
        </w:rPr>
        <w:t xml:space="preserve"> (</w:t>
      </w:r>
      <w:r w:rsidR="00E70BCB">
        <w:rPr>
          <w:rFonts w:cs="Calibri"/>
          <w:sz w:val="24"/>
        </w:rPr>
        <w:t>Taylor, 2004</w:t>
      </w:r>
      <w:r w:rsidR="00534420">
        <w:rPr>
          <w:rFonts w:cs="Calibri"/>
          <w:sz w:val="24"/>
        </w:rPr>
        <w:t>,</w:t>
      </w:r>
      <w:r w:rsidR="00E70BCB">
        <w:rPr>
          <w:rFonts w:cs="Calibri"/>
          <w:sz w:val="24"/>
        </w:rPr>
        <w:t xml:space="preserve"> </w:t>
      </w:r>
      <w:r w:rsidRPr="00444D7A">
        <w:rPr>
          <w:rFonts w:cs="Calibri"/>
          <w:sz w:val="24"/>
        </w:rPr>
        <w:t>p.436).</w:t>
      </w:r>
      <w:r>
        <w:rPr>
          <w:rFonts w:cs="Calibri"/>
          <w:sz w:val="24"/>
        </w:rPr>
        <w:t xml:space="preserve"> It is important t</w:t>
      </w:r>
      <w:r w:rsidRPr="00444D7A">
        <w:rPr>
          <w:rFonts w:cs="Calibri"/>
          <w:sz w:val="24"/>
        </w:rPr>
        <w:t xml:space="preserve">o </w:t>
      </w:r>
      <w:r>
        <w:rPr>
          <w:rFonts w:cs="Calibri"/>
          <w:sz w:val="24"/>
        </w:rPr>
        <w:t>move</w:t>
      </w:r>
      <w:r w:rsidRPr="00444D7A">
        <w:rPr>
          <w:rFonts w:cs="Calibri"/>
          <w:sz w:val="24"/>
        </w:rPr>
        <w:t xml:space="preserve"> beyond speculation, particularly when politi</w:t>
      </w:r>
      <w:r w:rsidR="00E70BCB">
        <w:rPr>
          <w:rFonts w:cs="Calibri"/>
          <w:sz w:val="24"/>
        </w:rPr>
        <w:t>cians are frequen</w:t>
      </w:r>
      <w:r w:rsidR="00534420">
        <w:rPr>
          <w:rFonts w:cs="Calibri"/>
          <w:sz w:val="24"/>
        </w:rPr>
        <w:t>tl</w:t>
      </w:r>
      <w:r w:rsidR="00E70BCB">
        <w:rPr>
          <w:rFonts w:cs="Calibri"/>
          <w:sz w:val="24"/>
        </w:rPr>
        <w:t>y accused of ‘spinning’</w:t>
      </w:r>
      <w:r w:rsidRPr="00444D7A">
        <w:rPr>
          <w:rFonts w:cs="Calibri"/>
          <w:sz w:val="24"/>
        </w:rPr>
        <w:t xml:space="preserve"> </w:t>
      </w:r>
      <w:r>
        <w:rPr>
          <w:rFonts w:cs="Calibri"/>
          <w:sz w:val="24"/>
        </w:rPr>
        <w:t xml:space="preserve">(presenting in the best light possible) </w:t>
      </w:r>
      <w:r w:rsidRPr="00444D7A">
        <w:rPr>
          <w:rFonts w:cs="Calibri"/>
          <w:sz w:val="24"/>
        </w:rPr>
        <w:t xml:space="preserve">their messages and when information is reduced by </w:t>
      </w:r>
      <w:r w:rsidR="00534420">
        <w:rPr>
          <w:rFonts w:cs="Calibri"/>
          <w:sz w:val="24"/>
        </w:rPr>
        <w:t xml:space="preserve">the </w:t>
      </w:r>
      <w:r w:rsidRPr="00444D7A">
        <w:rPr>
          <w:rFonts w:cs="Calibri"/>
          <w:sz w:val="24"/>
        </w:rPr>
        <w:t xml:space="preserve">media to </w:t>
      </w:r>
      <w:r w:rsidR="009869E4">
        <w:rPr>
          <w:rFonts w:cs="Calibri"/>
          <w:sz w:val="24"/>
        </w:rPr>
        <w:t>‘</w:t>
      </w:r>
      <w:r w:rsidRPr="00444D7A">
        <w:rPr>
          <w:rFonts w:cs="Calibri"/>
          <w:sz w:val="24"/>
        </w:rPr>
        <w:t>soundbites</w:t>
      </w:r>
      <w:r w:rsidR="009869E4">
        <w:rPr>
          <w:rFonts w:cs="Calibri"/>
          <w:sz w:val="24"/>
        </w:rPr>
        <w:t>’</w:t>
      </w:r>
      <w:r w:rsidRPr="00444D7A">
        <w:rPr>
          <w:rFonts w:cs="Calibri"/>
          <w:sz w:val="24"/>
        </w:rPr>
        <w:t>. Hyatt (2010) argues that language play</w:t>
      </w:r>
      <w:r>
        <w:rPr>
          <w:rFonts w:cs="Calibri"/>
          <w:sz w:val="24"/>
        </w:rPr>
        <w:t>s an active role</w:t>
      </w:r>
      <w:r w:rsidRPr="00444D7A">
        <w:rPr>
          <w:rFonts w:cs="Calibri"/>
          <w:sz w:val="24"/>
        </w:rPr>
        <w:t xml:space="preserve"> in how an individual makes sense and perceives reality</w:t>
      </w:r>
      <w:r>
        <w:rPr>
          <w:rFonts w:cs="Calibri"/>
          <w:sz w:val="24"/>
        </w:rPr>
        <w:t xml:space="preserve"> and has an</w:t>
      </w:r>
      <w:r w:rsidRPr="00444D7A">
        <w:rPr>
          <w:rFonts w:cs="Calibri"/>
          <w:sz w:val="24"/>
        </w:rPr>
        <w:t xml:space="preserve"> ideological role representing and construct</w:t>
      </w:r>
      <w:r>
        <w:rPr>
          <w:rFonts w:cs="Calibri"/>
          <w:sz w:val="24"/>
        </w:rPr>
        <w:t>ing</w:t>
      </w:r>
      <w:r w:rsidRPr="00444D7A">
        <w:rPr>
          <w:rFonts w:cs="Calibri"/>
          <w:sz w:val="24"/>
        </w:rPr>
        <w:t xml:space="preserve"> meaning</w:t>
      </w:r>
      <w:r>
        <w:rPr>
          <w:rFonts w:cs="Calibri"/>
          <w:sz w:val="24"/>
        </w:rPr>
        <w:t>, in that language frames the discussion and opens up or constrains consideration of an issue</w:t>
      </w:r>
      <w:r w:rsidRPr="00444D7A">
        <w:rPr>
          <w:rFonts w:cs="Calibri"/>
          <w:sz w:val="24"/>
        </w:rPr>
        <w:t xml:space="preserve">. CDA </w:t>
      </w:r>
      <w:r>
        <w:rPr>
          <w:rFonts w:cs="Calibri"/>
          <w:sz w:val="24"/>
        </w:rPr>
        <w:t>is</w:t>
      </w:r>
      <w:r w:rsidRPr="00444D7A">
        <w:rPr>
          <w:rFonts w:cs="Calibri"/>
          <w:sz w:val="24"/>
        </w:rPr>
        <w:t xml:space="preserve"> an appropriate method for my analysis of the EBac policy, locat</w:t>
      </w:r>
      <w:r>
        <w:rPr>
          <w:rFonts w:cs="Calibri"/>
          <w:sz w:val="24"/>
        </w:rPr>
        <w:t>ing</w:t>
      </w:r>
      <w:r w:rsidRPr="00444D7A">
        <w:rPr>
          <w:rFonts w:cs="Calibri"/>
          <w:sz w:val="24"/>
        </w:rPr>
        <w:t xml:space="preserve"> the policy within an historical moment in time as well as closely considering the actual language used within the text</w:t>
      </w:r>
      <w:r w:rsidR="009869E4">
        <w:rPr>
          <w:rFonts w:cs="Calibri"/>
          <w:sz w:val="24"/>
        </w:rPr>
        <w:t>,</w:t>
      </w:r>
      <w:r w:rsidRPr="00444D7A">
        <w:rPr>
          <w:rFonts w:cs="Calibri"/>
          <w:sz w:val="24"/>
        </w:rPr>
        <w:t xml:space="preserve"> a</w:t>
      </w:r>
      <w:r>
        <w:rPr>
          <w:rFonts w:cs="Calibri"/>
          <w:sz w:val="24"/>
        </w:rPr>
        <w:t xml:space="preserve">s well as </w:t>
      </w:r>
      <w:r w:rsidR="009869E4">
        <w:rPr>
          <w:rFonts w:cs="Calibri"/>
          <w:sz w:val="24"/>
        </w:rPr>
        <w:t>what has been</w:t>
      </w:r>
      <w:r>
        <w:rPr>
          <w:rFonts w:cs="Calibri"/>
          <w:sz w:val="24"/>
        </w:rPr>
        <w:t xml:space="preserve"> </w:t>
      </w:r>
      <w:r w:rsidRPr="00444D7A">
        <w:rPr>
          <w:rFonts w:cs="Calibri"/>
          <w:sz w:val="24"/>
        </w:rPr>
        <w:t>omitted (Hyatt 2010).</w:t>
      </w:r>
    </w:p>
    <w:p w14:paraId="6C95FC44" w14:textId="77777777" w:rsidR="00A75A8F" w:rsidRPr="00444D7A" w:rsidRDefault="00A75A8F" w:rsidP="00A75A8F">
      <w:pPr>
        <w:spacing w:after="0" w:line="360" w:lineRule="auto"/>
        <w:rPr>
          <w:rFonts w:cs="Calibri"/>
          <w:sz w:val="24"/>
        </w:rPr>
      </w:pPr>
    </w:p>
    <w:p w14:paraId="5FA59A6A" w14:textId="195E9053" w:rsidR="00A75A8F" w:rsidRPr="00444D7A" w:rsidRDefault="00A75A8F" w:rsidP="003A47A6">
      <w:pPr>
        <w:tabs>
          <w:tab w:val="left" w:pos="8222"/>
          <w:tab w:val="left" w:pos="8364"/>
        </w:tabs>
        <w:spacing w:line="360" w:lineRule="auto"/>
        <w:rPr>
          <w:rFonts w:cs="Calibri"/>
          <w:sz w:val="24"/>
        </w:rPr>
      </w:pPr>
      <w:r w:rsidRPr="00444D7A">
        <w:rPr>
          <w:rFonts w:cs="Calibri"/>
          <w:sz w:val="24"/>
        </w:rPr>
        <w:t>CDA present</w:t>
      </w:r>
      <w:r>
        <w:rPr>
          <w:rFonts w:cs="Calibri"/>
          <w:sz w:val="24"/>
        </w:rPr>
        <w:t>s</w:t>
      </w:r>
      <w:r w:rsidRPr="00444D7A">
        <w:rPr>
          <w:rFonts w:cs="Calibri"/>
          <w:sz w:val="24"/>
        </w:rPr>
        <w:t xml:space="preserve"> a number of disadvantages</w:t>
      </w:r>
      <w:r w:rsidR="009869E4">
        <w:rPr>
          <w:rFonts w:cs="Calibri"/>
          <w:sz w:val="24"/>
        </w:rPr>
        <w:t>, however</w:t>
      </w:r>
      <w:r>
        <w:rPr>
          <w:rFonts w:cs="Calibri"/>
          <w:sz w:val="24"/>
        </w:rPr>
        <w:t>.</w:t>
      </w:r>
      <w:r w:rsidRPr="00444D7A">
        <w:rPr>
          <w:rFonts w:cs="Calibri"/>
          <w:sz w:val="24"/>
        </w:rPr>
        <w:t xml:space="preserve"> My reading and analysis of the text, no matter how closely I follow Hyatt’s</w:t>
      </w:r>
      <w:r>
        <w:rPr>
          <w:rFonts w:cs="Calibri"/>
          <w:sz w:val="24"/>
        </w:rPr>
        <w:t xml:space="preserve"> advice</w:t>
      </w:r>
      <w:r w:rsidRPr="00444D7A">
        <w:rPr>
          <w:rFonts w:cs="Calibri"/>
          <w:sz w:val="24"/>
        </w:rPr>
        <w:t xml:space="preserve">, will inevitably be influenced by my own </w:t>
      </w:r>
      <w:r w:rsidRPr="00444D7A">
        <w:rPr>
          <w:rFonts w:cs="Calibri"/>
          <w:sz w:val="24"/>
        </w:rPr>
        <w:lastRenderedPageBreak/>
        <w:t xml:space="preserve">positionality. Bloor </w:t>
      </w:r>
      <w:r w:rsidR="009869E4">
        <w:rPr>
          <w:rFonts w:cs="Calibri"/>
          <w:sz w:val="24"/>
        </w:rPr>
        <w:t>and</w:t>
      </w:r>
      <w:r w:rsidRPr="00444D7A">
        <w:rPr>
          <w:rFonts w:cs="Calibri"/>
          <w:sz w:val="24"/>
        </w:rPr>
        <w:t xml:space="preserve"> Bloor comment that researchers “need to be highly critical of their own roles in the social structure and be prepared to make clear their own position with respect to the topic of research,” (</w:t>
      </w:r>
      <w:r>
        <w:rPr>
          <w:rFonts w:cs="Calibri"/>
          <w:sz w:val="24"/>
        </w:rPr>
        <w:t xml:space="preserve">2007, </w:t>
      </w:r>
      <w:r w:rsidRPr="00444D7A">
        <w:rPr>
          <w:rFonts w:cs="Calibri"/>
          <w:sz w:val="24"/>
        </w:rPr>
        <w:t xml:space="preserve">p.4).  </w:t>
      </w:r>
      <w:r>
        <w:rPr>
          <w:rFonts w:cs="Calibri"/>
          <w:sz w:val="24"/>
        </w:rPr>
        <w:t>M</w:t>
      </w:r>
      <w:r w:rsidRPr="00444D7A">
        <w:rPr>
          <w:rFonts w:cs="Calibri"/>
          <w:sz w:val="24"/>
        </w:rPr>
        <w:t xml:space="preserve">y analysis and interpretation </w:t>
      </w:r>
      <w:r>
        <w:rPr>
          <w:rFonts w:cs="Calibri"/>
          <w:sz w:val="24"/>
        </w:rPr>
        <w:t xml:space="preserve">is </w:t>
      </w:r>
      <w:r w:rsidRPr="00444D7A">
        <w:rPr>
          <w:rFonts w:cs="Calibri"/>
          <w:sz w:val="24"/>
        </w:rPr>
        <w:t>as explicit and critically self-reflexive as possible so that others</w:t>
      </w:r>
      <w:r>
        <w:rPr>
          <w:rFonts w:cs="Calibri"/>
          <w:sz w:val="24"/>
        </w:rPr>
        <w:t xml:space="preserve"> can</w:t>
      </w:r>
      <w:r w:rsidRPr="00444D7A">
        <w:rPr>
          <w:rFonts w:cs="Calibri"/>
          <w:sz w:val="24"/>
        </w:rPr>
        <w:t xml:space="preserve"> judge my findings. As a relatively new discipline, the boundaries of the method are open for negotiation and dispute and </w:t>
      </w:r>
      <w:r>
        <w:rPr>
          <w:rFonts w:cs="Calibri"/>
          <w:sz w:val="24"/>
        </w:rPr>
        <w:t xml:space="preserve">a </w:t>
      </w:r>
      <w:r w:rsidRPr="00444D7A">
        <w:rPr>
          <w:rFonts w:cs="Calibri"/>
          <w:sz w:val="24"/>
        </w:rPr>
        <w:t>varie</w:t>
      </w:r>
      <w:r>
        <w:rPr>
          <w:rFonts w:cs="Calibri"/>
          <w:sz w:val="24"/>
        </w:rPr>
        <w:t>ty</w:t>
      </w:r>
      <w:r w:rsidRPr="00444D7A">
        <w:rPr>
          <w:rFonts w:cs="Calibri"/>
          <w:sz w:val="24"/>
        </w:rPr>
        <w:t xml:space="preserve"> </w:t>
      </w:r>
      <w:r>
        <w:rPr>
          <w:rFonts w:cs="Calibri"/>
          <w:sz w:val="24"/>
        </w:rPr>
        <w:t xml:space="preserve">of </w:t>
      </w:r>
      <w:r w:rsidRPr="00444D7A">
        <w:rPr>
          <w:rFonts w:cs="Calibri"/>
          <w:sz w:val="24"/>
        </w:rPr>
        <w:t>approaches to CDA</w:t>
      </w:r>
      <w:r>
        <w:rPr>
          <w:rFonts w:cs="Calibri"/>
          <w:sz w:val="24"/>
        </w:rPr>
        <w:t xml:space="preserve"> exist</w:t>
      </w:r>
      <w:r w:rsidRPr="00444D7A">
        <w:rPr>
          <w:rFonts w:cs="Calibri"/>
          <w:sz w:val="24"/>
        </w:rPr>
        <w:t>.</w:t>
      </w:r>
      <w:r>
        <w:rPr>
          <w:rFonts w:cs="Calibri"/>
          <w:sz w:val="24"/>
        </w:rPr>
        <w:t xml:space="preserve"> </w:t>
      </w:r>
      <w:r w:rsidRPr="00444D7A">
        <w:rPr>
          <w:rFonts w:cs="Calibri"/>
          <w:sz w:val="24"/>
        </w:rPr>
        <w:t>I feel it is important</w:t>
      </w:r>
      <w:r>
        <w:rPr>
          <w:rFonts w:cs="Calibri"/>
          <w:sz w:val="24"/>
        </w:rPr>
        <w:t>, a</w:t>
      </w:r>
      <w:r w:rsidRPr="00444D7A">
        <w:rPr>
          <w:rFonts w:cs="Calibri"/>
          <w:sz w:val="24"/>
        </w:rPr>
        <w:t>s a</w:t>
      </w:r>
      <w:r>
        <w:rPr>
          <w:rFonts w:cs="Calibri"/>
          <w:sz w:val="24"/>
        </w:rPr>
        <w:t xml:space="preserve"> newcomer to </w:t>
      </w:r>
      <w:r w:rsidRPr="00444D7A">
        <w:rPr>
          <w:rFonts w:cs="Calibri"/>
          <w:sz w:val="24"/>
        </w:rPr>
        <w:t>CDA</w:t>
      </w:r>
      <w:r>
        <w:rPr>
          <w:rFonts w:cs="Calibri"/>
          <w:sz w:val="24"/>
        </w:rPr>
        <w:t>,</w:t>
      </w:r>
      <w:r w:rsidRPr="00444D7A">
        <w:rPr>
          <w:rFonts w:cs="Calibri"/>
          <w:sz w:val="24"/>
        </w:rPr>
        <w:t xml:space="preserve"> to adopt a structured framework such as that advocated by Hyatt (2010) so that I </w:t>
      </w:r>
      <w:r>
        <w:rPr>
          <w:rFonts w:cs="Calibri"/>
          <w:sz w:val="24"/>
        </w:rPr>
        <w:t>am</w:t>
      </w:r>
      <w:r w:rsidRPr="00444D7A">
        <w:rPr>
          <w:rFonts w:cs="Calibri"/>
          <w:sz w:val="24"/>
        </w:rPr>
        <w:t xml:space="preserve"> confident in the analysis.</w:t>
      </w:r>
      <w:r>
        <w:rPr>
          <w:rFonts w:cs="Calibri"/>
          <w:sz w:val="24"/>
        </w:rPr>
        <w:t xml:space="preserve"> It was important for my skill and confidence development to conduct a pilot study.</w:t>
      </w:r>
    </w:p>
    <w:p w14:paraId="6F21AE92" w14:textId="08FCAC0E" w:rsidR="00A75A8F" w:rsidRPr="00307CB8" w:rsidRDefault="00A75A8F" w:rsidP="00531995">
      <w:pPr>
        <w:pStyle w:val="Heading3"/>
      </w:pPr>
      <w:bookmarkStart w:id="50" w:name="_Toc452316334"/>
      <w:r>
        <w:t>3.</w:t>
      </w:r>
      <w:r w:rsidR="004D2464">
        <w:t>5</w:t>
      </w:r>
      <w:r>
        <w:t>.3 CDA Pilot study</w:t>
      </w:r>
      <w:bookmarkEnd w:id="50"/>
    </w:p>
    <w:p w14:paraId="11386381" w14:textId="6C1CDB18" w:rsidR="00A75A8F" w:rsidRPr="00444D7A" w:rsidRDefault="00A75A8F" w:rsidP="003A47A6">
      <w:pPr>
        <w:tabs>
          <w:tab w:val="left" w:pos="8505"/>
        </w:tabs>
        <w:spacing w:line="360" w:lineRule="auto"/>
        <w:rPr>
          <w:rFonts w:cs="Calibri"/>
          <w:sz w:val="24"/>
        </w:rPr>
      </w:pPr>
      <w:r>
        <w:rPr>
          <w:rFonts w:cs="Calibri"/>
          <w:sz w:val="24"/>
        </w:rPr>
        <w:t xml:space="preserve">I selected the first part of each of the selected texts </w:t>
      </w:r>
      <w:r w:rsidR="009869E4">
        <w:rPr>
          <w:rFonts w:cs="Calibri"/>
          <w:sz w:val="24"/>
        </w:rPr>
        <w:t xml:space="preserve">for my pilot </w:t>
      </w:r>
      <w:r>
        <w:rPr>
          <w:rFonts w:cs="Calibri"/>
          <w:sz w:val="24"/>
        </w:rPr>
        <w:t>and worked through the levels presented within Hyatt’s framework. I sought the feedback of my supervisor and other colleagues on the EdD</w:t>
      </w:r>
      <w:r w:rsidR="009869E4">
        <w:rPr>
          <w:rFonts w:cs="Calibri"/>
          <w:sz w:val="24"/>
        </w:rPr>
        <w:t>,</w:t>
      </w:r>
      <w:r>
        <w:rPr>
          <w:rFonts w:cs="Calibri"/>
          <w:sz w:val="24"/>
        </w:rPr>
        <w:t xml:space="preserve"> as well as reading </w:t>
      </w:r>
      <w:r w:rsidR="009869E4">
        <w:rPr>
          <w:rFonts w:cs="Calibri"/>
          <w:sz w:val="24"/>
        </w:rPr>
        <w:t xml:space="preserve">other </w:t>
      </w:r>
      <w:r>
        <w:rPr>
          <w:rFonts w:cs="Calibri"/>
          <w:sz w:val="24"/>
        </w:rPr>
        <w:t xml:space="preserve">published theses using this method in order to compare my CDA with others. I realised I needed further assistance with the linguistic side of the analysis and sought help and guidance from a teacher of linguistics. This ensured that I had greater understanding of the linguistic elements of Hyatt’s framework and that I could confidently apply this method to the selected sections of policy text. </w:t>
      </w:r>
    </w:p>
    <w:p w14:paraId="3B4DFBE5" w14:textId="582CBC59" w:rsidR="00A75A8F" w:rsidRPr="00444D7A" w:rsidRDefault="00A75A8F" w:rsidP="00531995">
      <w:pPr>
        <w:pStyle w:val="Heading3"/>
      </w:pPr>
      <w:bookmarkStart w:id="51" w:name="_Toc452316335"/>
      <w:r w:rsidRPr="00444D7A">
        <w:t>3.</w:t>
      </w:r>
      <w:r w:rsidR="004D2464">
        <w:t>5</w:t>
      </w:r>
      <w:r>
        <w:t>.4</w:t>
      </w:r>
      <w:r w:rsidR="00BC0AE2">
        <w:t xml:space="preserve"> </w:t>
      </w:r>
      <w:r w:rsidRPr="00444D7A">
        <w:t>Policy text selection</w:t>
      </w:r>
      <w:bookmarkEnd w:id="51"/>
      <w:r w:rsidRPr="00444D7A">
        <w:t xml:space="preserve"> </w:t>
      </w:r>
    </w:p>
    <w:p w14:paraId="39C5443A" w14:textId="48C8D9FB" w:rsidR="00A75A8F" w:rsidRDefault="00A75A8F" w:rsidP="00A75A8F">
      <w:pPr>
        <w:tabs>
          <w:tab w:val="left" w:pos="8222"/>
          <w:tab w:val="left" w:pos="8364"/>
        </w:tabs>
        <w:spacing w:after="0" w:line="360" w:lineRule="auto"/>
        <w:rPr>
          <w:rFonts w:cs="Calibri"/>
          <w:sz w:val="24"/>
        </w:rPr>
      </w:pPr>
      <w:r>
        <w:rPr>
          <w:rFonts w:cs="Calibri"/>
          <w:sz w:val="24"/>
        </w:rPr>
        <w:t xml:space="preserve">There are a number of government documents I could have selected, including the full Schools White Paper: </w:t>
      </w:r>
      <w:r w:rsidRPr="00F31C6A">
        <w:rPr>
          <w:rFonts w:cs="Calibri"/>
          <w:i/>
          <w:sz w:val="24"/>
        </w:rPr>
        <w:t>The Importance of Teaching</w:t>
      </w:r>
      <w:r>
        <w:rPr>
          <w:rFonts w:cs="Calibri"/>
          <w:sz w:val="24"/>
        </w:rPr>
        <w:t xml:space="preserve"> (DfE, 2010)</w:t>
      </w:r>
      <w:r w:rsidR="00E70BCB">
        <w:rPr>
          <w:rFonts w:cs="Calibri"/>
          <w:sz w:val="24"/>
        </w:rPr>
        <w:t>.</w:t>
      </w:r>
      <w:r>
        <w:rPr>
          <w:rFonts w:cs="Calibri"/>
          <w:sz w:val="24"/>
        </w:rPr>
        <w:t xml:space="preserve"> At 91 pages, however, this was not a realistic proposition. As the EBac constitutes only a small part of this whole policy document</w:t>
      </w:r>
      <w:r w:rsidR="009869E4">
        <w:rPr>
          <w:rFonts w:cs="Calibri"/>
          <w:sz w:val="24"/>
        </w:rPr>
        <w:t>,</w:t>
      </w:r>
      <w:r>
        <w:rPr>
          <w:rFonts w:cs="Calibri"/>
          <w:sz w:val="24"/>
        </w:rPr>
        <w:t xml:space="preserve"> key parts were selected for focused analysis and consideration. Alongside the White Paper is </w:t>
      </w:r>
      <w:r w:rsidRPr="002A310E">
        <w:rPr>
          <w:rFonts w:cs="Calibri"/>
          <w:i/>
          <w:sz w:val="24"/>
        </w:rPr>
        <w:t xml:space="preserve">The Importance of Teaching White Paper: Economic </w:t>
      </w:r>
      <w:r>
        <w:rPr>
          <w:rFonts w:cs="Calibri"/>
          <w:i/>
          <w:sz w:val="24"/>
        </w:rPr>
        <w:t>I</w:t>
      </w:r>
      <w:r w:rsidRPr="002A310E">
        <w:rPr>
          <w:rFonts w:cs="Calibri"/>
          <w:i/>
          <w:sz w:val="24"/>
        </w:rPr>
        <w:t xml:space="preserve">mpact </w:t>
      </w:r>
      <w:r>
        <w:rPr>
          <w:rFonts w:cs="Calibri"/>
          <w:i/>
          <w:sz w:val="24"/>
        </w:rPr>
        <w:t>A</w:t>
      </w:r>
      <w:r w:rsidRPr="002A310E">
        <w:rPr>
          <w:rFonts w:cs="Calibri"/>
          <w:i/>
          <w:sz w:val="24"/>
        </w:rPr>
        <w:t>ssessment</w:t>
      </w:r>
      <w:r>
        <w:rPr>
          <w:rFonts w:cs="Calibri"/>
          <w:sz w:val="24"/>
        </w:rPr>
        <w:t xml:space="preserve"> (Nov</w:t>
      </w:r>
      <w:r w:rsidR="009869E4">
        <w:rPr>
          <w:rFonts w:cs="Calibri"/>
          <w:sz w:val="24"/>
        </w:rPr>
        <w:t>.</w:t>
      </w:r>
      <w:r>
        <w:rPr>
          <w:rFonts w:cs="Calibri"/>
          <w:sz w:val="24"/>
        </w:rPr>
        <w:t xml:space="preserve"> 2010) and </w:t>
      </w:r>
      <w:r w:rsidRPr="002A310E">
        <w:rPr>
          <w:rFonts w:cs="Calibri"/>
          <w:i/>
          <w:sz w:val="24"/>
        </w:rPr>
        <w:t>The Importance of Teaching White Paper:</w:t>
      </w:r>
      <w:r>
        <w:rPr>
          <w:rFonts w:cs="Calibri"/>
          <w:i/>
          <w:sz w:val="24"/>
        </w:rPr>
        <w:t xml:space="preserve"> </w:t>
      </w:r>
      <w:r w:rsidRPr="002A310E">
        <w:rPr>
          <w:rFonts w:cs="Calibri"/>
          <w:i/>
          <w:sz w:val="24"/>
        </w:rPr>
        <w:t>Equalities Impact Assessment</w:t>
      </w:r>
      <w:r>
        <w:rPr>
          <w:rFonts w:cs="Calibri"/>
          <w:sz w:val="24"/>
        </w:rPr>
        <w:t xml:space="preserve"> (Nov</w:t>
      </w:r>
      <w:r w:rsidR="009869E4">
        <w:rPr>
          <w:rFonts w:cs="Calibri"/>
          <w:sz w:val="24"/>
        </w:rPr>
        <w:t>.</w:t>
      </w:r>
      <w:r>
        <w:rPr>
          <w:rFonts w:cs="Calibri"/>
          <w:sz w:val="24"/>
        </w:rPr>
        <w:t xml:space="preserve"> 2010)</w:t>
      </w:r>
      <w:r w:rsidR="009869E4">
        <w:rPr>
          <w:rFonts w:cs="Calibri"/>
          <w:sz w:val="24"/>
        </w:rPr>
        <w:t>.</w:t>
      </w:r>
      <w:r>
        <w:rPr>
          <w:rFonts w:cs="Calibri"/>
          <w:sz w:val="24"/>
        </w:rPr>
        <w:t xml:space="preserve"> </w:t>
      </w:r>
      <w:r w:rsidR="009869E4">
        <w:rPr>
          <w:rFonts w:cs="Calibri"/>
          <w:sz w:val="24"/>
        </w:rPr>
        <w:t>W</w:t>
      </w:r>
      <w:r>
        <w:rPr>
          <w:rFonts w:cs="Calibri"/>
          <w:sz w:val="24"/>
        </w:rPr>
        <w:t>hile these are important background documents</w:t>
      </w:r>
      <w:r w:rsidR="009869E4">
        <w:rPr>
          <w:rFonts w:cs="Calibri"/>
          <w:sz w:val="24"/>
        </w:rPr>
        <w:t>,</w:t>
      </w:r>
      <w:r>
        <w:rPr>
          <w:rFonts w:cs="Calibri"/>
          <w:sz w:val="24"/>
        </w:rPr>
        <w:t xml:space="preserve"> I focused my CDA instead on those documents that I felt would be utilised more by teachers when making implementation decisions.</w:t>
      </w:r>
    </w:p>
    <w:p w14:paraId="6F8E2F5D" w14:textId="77777777" w:rsidR="009869E4" w:rsidRDefault="009869E4" w:rsidP="00A75A8F">
      <w:pPr>
        <w:tabs>
          <w:tab w:val="left" w:pos="8222"/>
          <w:tab w:val="left" w:pos="8364"/>
        </w:tabs>
        <w:spacing w:after="0" w:line="360" w:lineRule="auto"/>
        <w:rPr>
          <w:rFonts w:cs="Calibri"/>
          <w:sz w:val="24"/>
        </w:rPr>
      </w:pPr>
    </w:p>
    <w:p w14:paraId="40133AE6" w14:textId="77777777" w:rsidR="005260BE" w:rsidRDefault="005260BE" w:rsidP="003A47A6">
      <w:pPr>
        <w:spacing w:line="240" w:lineRule="auto"/>
        <w:rPr>
          <w:rFonts w:cs="Calibri"/>
          <w:sz w:val="24"/>
        </w:rPr>
      </w:pPr>
    </w:p>
    <w:p w14:paraId="3CC7535C" w14:textId="77777777" w:rsidR="005260BE" w:rsidRDefault="005260BE" w:rsidP="003A47A6">
      <w:pPr>
        <w:spacing w:line="240" w:lineRule="auto"/>
        <w:rPr>
          <w:rFonts w:cs="Calibri"/>
          <w:sz w:val="24"/>
        </w:rPr>
      </w:pPr>
    </w:p>
    <w:p w14:paraId="45D5C70A" w14:textId="77777777" w:rsidR="005260BE" w:rsidRDefault="005260BE" w:rsidP="003A47A6">
      <w:pPr>
        <w:spacing w:line="240" w:lineRule="auto"/>
        <w:rPr>
          <w:rFonts w:cs="Calibri"/>
          <w:sz w:val="24"/>
        </w:rPr>
      </w:pPr>
    </w:p>
    <w:p w14:paraId="5F2DC6F8" w14:textId="12DFD633" w:rsidR="00A75A8F" w:rsidRPr="00444D7A" w:rsidRDefault="00A75A8F" w:rsidP="003A47A6">
      <w:pPr>
        <w:spacing w:line="240" w:lineRule="auto"/>
        <w:rPr>
          <w:rFonts w:cs="Calibri"/>
          <w:sz w:val="24"/>
        </w:rPr>
      </w:pPr>
      <w:r>
        <w:rPr>
          <w:rFonts w:cs="Calibri"/>
          <w:sz w:val="24"/>
        </w:rPr>
        <w:lastRenderedPageBreak/>
        <w:t xml:space="preserve">I selected three policy texts for analysis: </w:t>
      </w:r>
    </w:p>
    <w:p w14:paraId="7A3712C0" w14:textId="5C5F4521" w:rsidR="00A75A8F" w:rsidRPr="002209F2" w:rsidRDefault="00A75A8F" w:rsidP="00105A8D">
      <w:pPr>
        <w:pStyle w:val="Heading5"/>
      </w:pPr>
      <w:r w:rsidRPr="002209F2">
        <w:t xml:space="preserve">1) </w:t>
      </w:r>
      <w:r w:rsidRPr="00E11EE7">
        <w:rPr>
          <w:i/>
        </w:rPr>
        <w:t xml:space="preserve">The </w:t>
      </w:r>
      <w:r w:rsidR="009869E4" w:rsidRPr="00E11EE7">
        <w:rPr>
          <w:i/>
        </w:rPr>
        <w:t>I</w:t>
      </w:r>
      <w:r w:rsidRPr="00E11EE7">
        <w:rPr>
          <w:i/>
        </w:rPr>
        <w:t>mportance of Teaching: The Schools White Paper</w:t>
      </w:r>
      <w:r w:rsidRPr="002209F2">
        <w:t xml:space="preserve"> (DfE, 2010)</w:t>
      </w:r>
    </w:p>
    <w:p w14:paraId="346020A3" w14:textId="25462B23" w:rsidR="00A75A8F" w:rsidRPr="00444D7A" w:rsidRDefault="00A75A8F" w:rsidP="003A47A6">
      <w:pPr>
        <w:spacing w:line="360" w:lineRule="auto"/>
        <w:jc w:val="both"/>
        <w:rPr>
          <w:rFonts w:cs="Calibri"/>
          <w:sz w:val="24"/>
        </w:rPr>
      </w:pPr>
      <w:r>
        <w:rPr>
          <w:rFonts w:cs="Calibri"/>
          <w:sz w:val="24"/>
        </w:rPr>
        <w:t>This is t</w:t>
      </w:r>
      <w:r w:rsidRPr="00444D7A">
        <w:rPr>
          <w:rFonts w:cs="Calibri"/>
          <w:sz w:val="24"/>
        </w:rPr>
        <w:t xml:space="preserve">he first formal outline of the EBac policy and is an important starting point for any policy analysis. The Forewords </w:t>
      </w:r>
      <w:r>
        <w:rPr>
          <w:rFonts w:cs="Calibri"/>
          <w:sz w:val="24"/>
        </w:rPr>
        <w:t xml:space="preserve">by the PM and Deputy PM (p.3-5) and the Secretary of State for Education, Gove (p.6-7) </w:t>
      </w:r>
      <w:r w:rsidRPr="00444D7A">
        <w:rPr>
          <w:rFonts w:cs="Calibri"/>
          <w:sz w:val="24"/>
        </w:rPr>
        <w:t>provide the political justification and scene</w:t>
      </w:r>
      <w:r w:rsidR="00DC681D">
        <w:rPr>
          <w:rFonts w:cs="Calibri"/>
          <w:sz w:val="24"/>
        </w:rPr>
        <w:t>-</w:t>
      </w:r>
      <w:r w:rsidRPr="00444D7A">
        <w:rPr>
          <w:rFonts w:cs="Calibri"/>
          <w:sz w:val="24"/>
        </w:rPr>
        <w:t xml:space="preserve">setting for the overall policy and </w:t>
      </w:r>
      <w:r>
        <w:rPr>
          <w:rFonts w:cs="Calibri"/>
          <w:sz w:val="24"/>
        </w:rPr>
        <w:t xml:space="preserve">for the </w:t>
      </w:r>
      <w:r w:rsidRPr="00444D7A">
        <w:rPr>
          <w:rFonts w:cs="Calibri"/>
          <w:sz w:val="24"/>
        </w:rPr>
        <w:t>identified sections specifically on the EBac.</w:t>
      </w:r>
      <w:r>
        <w:rPr>
          <w:rFonts w:cs="Calibri"/>
          <w:sz w:val="24"/>
        </w:rPr>
        <w:t xml:space="preserve"> I selected </w:t>
      </w:r>
      <w:r w:rsidRPr="00444D7A">
        <w:rPr>
          <w:rFonts w:cs="Calibri"/>
          <w:sz w:val="24"/>
        </w:rPr>
        <w:t>section</w:t>
      </w:r>
      <w:r>
        <w:rPr>
          <w:rFonts w:cs="Calibri"/>
          <w:sz w:val="24"/>
        </w:rPr>
        <w:t>s</w:t>
      </w:r>
      <w:r w:rsidRPr="00444D7A">
        <w:rPr>
          <w:rFonts w:cs="Calibri"/>
          <w:sz w:val="24"/>
        </w:rPr>
        <w:t xml:space="preserve"> 4.20–4.24 </w:t>
      </w:r>
      <w:r>
        <w:rPr>
          <w:rFonts w:cs="Calibri"/>
          <w:sz w:val="24"/>
        </w:rPr>
        <w:t xml:space="preserve">(p.44-45) as these sections refer directly to the EBac and offer direction and justification. </w:t>
      </w:r>
    </w:p>
    <w:p w14:paraId="66D0E614" w14:textId="0ABDB32C" w:rsidR="00A75A8F" w:rsidRPr="00531995" w:rsidRDefault="00A75A8F" w:rsidP="002209F2">
      <w:pPr>
        <w:pStyle w:val="Heading5"/>
      </w:pPr>
      <w:r w:rsidRPr="00531995">
        <w:t xml:space="preserve">2) Schools White Paper </w:t>
      </w:r>
      <w:r w:rsidRPr="00531995">
        <w:rPr>
          <w:i/>
        </w:rPr>
        <w:t xml:space="preserve">Statement of </w:t>
      </w:r>
      <w:r w:rsidR="00DC681D" w:rsidRPr="00531995">
        <w:rPr>
          <w:i/>
        </w:rPr>
        <w:t>I</w:t>
      </w:r>
      <w:r w:rsidRPr="00531995">
        <w:rPr>
          <w:i/>
        </w:rPr>
        <w:t xml:space="preserve">ntent 2010 addendum </w:t>
      </w:r>
      <w:r w:rsidRPr="00030F2A">
        <w:t>(DfE</w:t>
      </w:r>
      <w:r w:rsidR="00DC681D" w:rsidRPr="00030F2A">
        <w:t>,</w:t>
      </w:r>
      <w:r w:rsidRPr="00030F2A">
        <w:t xml:space="preserve"> Dec 2010).</w:t>
      </w:r>
    </w:p>
    <w:p w14:paraId="5A4DEC49" w14:textId="276C0E8F" w:rsidR="00A75A8F" w:rsidRDefault="00A75A8F" w:rsidP="003A47A6">
      <w:pPr>
        <w:tabs>
          <w:tab w:val="left" w:pos="8222"/>
        </w:tabs>
        <w:spacing w:line="360" w:lineRule="auto"/>
        <w:jc w:val="both"/>
        <w:rPr>
          <w:rFonts w:cs="Calibri"/>
          <w:sz w:val="24"/>
        </w:rPr>
      </w:pPr>
      <w:r>
        <w:rPr>
          <w:rFonts w:cs="Calibri"/>
          <w:sz w:val="24"/>
        </w:rPr>
        <w:t>T</w:t>
      </w:r>
      <w:r w:rsidRPr="00444D7A">
        <w:rPr>
          <w:rFonts w:cs="Calibri"/>
          <w:sz w:val="24"/>
        </w:rPr>
        <w:t>his document provide</w:t>
      </w:r>
      <w:r>
        <w:rPr>
          <w:rFonts w:cs="Calibri"/>
          <w:sz w:val="24"/>
        </w:rPr>
        <w:t>s</w:t>
      </w:r>
      <w:r w:rsidRPr="00444D7A">
        <w:rPr>
          <w:rFonts w:cs="Calibri"/>
          <w:sz w:val="24"/>
        </w:rPr>
        <w:t xml:space="preserve"> the first elaboration of the subjects to be included in the EBac.</w:t>
      </w:r>
      <w:r>
        <w:rPr>
          <w:rFonts w:cs="Calibri"/>
          <w:sz w:val="24"/>
        </w:rPr>
        <w:t xml:space="preserve"> Until this publication</w:t>
      </w:r>
      <w:r w:rsidR="00DC681D">
        <w:rPr>
          <w:rFonts w:cs="Calibri"/>
          <w:sz w:val="24"/>
        </w:rPr>
        <w:t>, the subjects or examination board courses to be included had</w:t>
      </w:r>
      <w:r>
        <w:rPr>
          <w:rFonts w:cs="Calibri"/>
          <w:sz w:val="24"/>
        </w:rPr>
        <w:t xml:space="preserve"> not </w:t>
      </w:r>
      <w:r w:rsidR="00DC681D">
        <w:rPr>
          <w:rFonts w:cs="Calibri"/>
          <w:sz w:val="24"/>
        </w:rPr>
        <w:t xml:space="preserve">been </w:t>
      </w:r>
      <w:r>
        <w:rPr>
          <w:rFonts w:cs="Calibri"/>
          <w:sz w:val="24"/>
        </w:rPr>
        <w:t>explicitly stated. For teachers</w:t>
      </w:r>
      <w:r w:rsidR="00DC681D">
        <w:rPr>
          <w:rFonts w:cs="Calibri"/>
          <w:sz w:val="24"/>
        </w:rPr>
        <w:t>,</w:t>
      </w:r>
      <w:r>
        <w:rPr>
          <w:rFonts w:cs="Calibri"/>
          <w:sz w:val="24"/>
        </w:rPr>
        <w:t xml:space="preserve"> this technical information is of vital importance when making curriculum and accreditation decisions. Opting for a course not included results in a loss of school performance points</w:t>
      </w:r>
      <w:r w:rsidR="00643C94">
        <w:rPr>
          <w:rFonts w:cs="Calibri"/>
          <w:sz w:val="24"/>
        </w:rPr>
        <w:t>.</w:t>
      </w:r>
      <w:r>
        <w:rPr>
          <w:rFonts w:cs="Calibri"/>
          <w:sz w:val="24"/>
        </w:rPr>
        <w:t xml:space="preserve"> </w:t>
      </w:r>
      <w:r w:rsidR="00643C94">
        <w:rPr>
          <w:rFonts w:cs="Calibri"/>
          <w:sz w:val="24"/>
        </w:rPr>
        <w:t>Furthermore, individual students</w:t>
      </w:r>
      <w:r>
        <w:rPr>
          <w:rFonts w:cs="Calibri"/>
          <w:sz w:val="24"/>
        </w:rPr>
        <w:t xml:space="preserve"> </w:t>
      </w:r>
      <w:r w:rsidR="00DC681D">
        <w:rPr>
          <w:rFonts w:cs="Calibri"/>
          <w:sz w:val="24"/>
        </w:rPr>
        <w:t>may</w:t>
      </w:r>
      <w:r>
        <w:rPr>
          <w:rFonts w:cs="Calibri"/>
          <w:sz w:val="24"/>
        </w:rPr>
        <w:t xml:space="preserve"> </w:t>
      </w:r>
      <w:r w:rsidR="00643C94">
        <w:rPr>
          <w:rFonts w:cs="Calibri"/>
          <w:sz w:val="24"/>
        </w:rPr>
        <w:t xml:space="preserve">be impacted </w:t>
      </w:r>
      <w:r>
        <w:rPr>
          <w:rFonts w:cs="Calibri"/>
          <w:sz w:val="24"/>
        </w:rPr>
        <w:t xml:space="preserve">if the qualifications and subjects do not allow access to educational progression (see </w:t>
      </w:r>
      <w:r w:rsidR="00DC681D">
        <w:rPr>
          <w:rFonts w:cs="Calibri"/>
          <w:sz w:val="24"/>
        </w:rPr>
        <w:t>S</w:t>
      </w:r>
      <w:r>
        <w:rPr>
          <w:rFonts w:cs="Calibri"/>
          <w:sz w:val="24"/>
        </w:rPr>
        <w:t>ections 1.2</w:t>
      </w:r>
      <w:r w:rsidR="00DC681D">
        <w:rPr>
          <w:rFonts w:cs="Calibri"/>
          <w:sz w:val="24"/>
        </w:rPr>
        <w:t>;</w:t>
      </w:r>
      <w:r>
        <w:rPr>
          <w:rFonts w:cs="Calibri"/>
          <w:sz w:val="24"/>
        </w:rPr>
        <w:t xml:space="preserve"> 2.2.1</w:t>
      </w:r>
      <w:r w:rsidR="00DC681D">
        <w:rPr>
          <w:rFonts w:cs="Calibri"/>
          <w:sz w:val="24"/>
        </w:rPr>
        <w:t>;</w:t>
      </w:r>
      <w:r>
        <w:rPr>
          <w:rFonts w:cs="Calibri"/>
          <w:sz w:val="24"/>
        </w:rPr>
        <w:t xml:space="preserve"> 2.7).</w:t>
      </w:r>
    </w:p>
    <w:p w14:paraId="7A6E9C3C" w14:textId="77777777" w:rsidR="00A75A8F" w:rsidRPr="00531995" w:rsidRDefault="00A75A8F" w:rsidP="002209F2">
      <w:pPr>
        <w:pStyle w:val="Heading5"/>
      </w:pPr>
      <w:r w:rsidRPr="00531995">
        <w:t>3) Schools White Paper: Speech – Gove’s speech to the House of Commons on the launch of the Schools White Paper (Nov 2010).</w:t>
      </w:r>
    </w:p>
    <w:p w14:paraId="5E60CC34" w14:textId="51A62960" w:rsidR="00030F2A" w:rsidRDefault="00A75A8F" w:rsidP="00FE11D4">
      <w:pPr>
        <w:tabs>
          <w:tab w:val="left" w:pos="8789"/>
        </w:tabs>
        <w:spacing w:line="360" w:lineRule="auto"/>
        <w:rPr>
          <w:rFonts w:cs="Calibri"/>
          <w:sz w:val="24"/>
        </w:rPr>
      </w:pPr>
      <w:r>
        <w:rPr>
          <w:rFonts w:cs="Calibri"/>
          <w:sz w:val="24"/>
        </w:rPr>
        <w:t>T</w:t>
      </w:r>
      <w:r w:rsidRPr="00444D7A">
        <w:rPr>
          <w:rFonts w:cs="Calibri"/>
          <w:sz w:val="24"/>
        </w:rPr>
        <w:t xml:space="preserve">his speech acts as a summary of the key areas of the policy </w:t>
      </w:r>
      <w:r w:rsidR="002A18D2">
        <w:rPr>
          <w:rFonts w:cs="Calibri"/>
          <w:sz w:val="24"/>
        </w:rPr>
        <w:t xml:space="preserve">that </w:t>
      </w:r>
      <w:r w:rsidRPr="00444D7A">
        <w:rPr>
          <w:rFonts w:cs="Calibri"/>
          <w:sz w:val="24"/>
        </w:rPr>
        <w:t>Gove wished to</w:t>
      </w:r>
      <w:r w:rsidR="002A18D2">
        <w:rPr>
          <w:rFonts w:cs="Calibri"/>
          <w:sz w:val="24"/>
        </w:rPr>
        <w:t xml:space="preserve"> highlight</w:t>
      </w:r>
      <w:r w:rsidR="00030F2A">
        <w:rPr>
          <w:rFonts w:cs="Calibri"/>
          <w:sz w:val="24"/>
        </w:rPr>
        <w:t>.</w:t>
      </w:r>
    </w:p>
    <w:p w14:paraId="12218ACD" w14:textId="623FB8CA" w:rsidR="00A75A8F" w:rsidRDefault="00A75A8F" w:rsidP="003A47A6">
      <w:pPr>
        <w:tabs>
          <w:tab w:val="left" w:pos="8789"/>
        </w:tabs>
        <w:spacing w:line="360" w:lineRule="auto"/>
        <w:rPr>
          <w:rFonts w:cs="Calibri"/>
          <w:sz w:val="24"/>
        </w:rPr>
      </w:pPr>
      <w:r>
        <w:rPr>
          <w:rFonts w:cs="Calibri"/>
          <w:sz w:val="24"/>
        </w:rPr>
        <w:t>Conducting the CDA analysis across the selected texts enabled me to acquire a detailed understanding of the EBac texts and the linguistic devices used within the texts. This understanding</w:t>
      </w:r>
      <w:r w:rsidR="002A18D2">
        <w:rPr>
          <w:rFonts w:cs="Calibri"/>
          <w:sz w:val="24"/>
        </w:rPr>
        <w:t>,</w:t>
      </w:r>
      <w:r>
        <w:rPr>
          <w:rFonts w:cs="Calibri"/>
          <w:sz w:val="24"/>
        </w:rPr>
        <w:t xml:space="preserve"> as well as focusing on my first research question</w:t>
      </w:r>
      <w:r w:rsidR="002A18D2">
        <w:rPr>
          <w:rFonts w:cs="Calibri"/>
          <w:sz w:val="24"/>
        </w:rPr>
        <w:t>:</w:t>
      </w:r>
      <w:r>
        <w:rPr>
          <w:rFonts w:cs="Calibri"/>
          <w:sz w:val="24"/>
        </w:rPr>
        <w:t xml:space="preserve"> </w:t>
      </w:r>
      <w:r w:rsidR="002A18D2">
        <w:rPr>
          <w:rFonts w:cs="Calibri"/>
          <w:sz w:val="24"/>
        </w:rPr>
        <w:t>“</w:t>
      </w:r>
      <w:r w:rsidR="002A18D2">
        <w:rPr>
          <w:rFonts w:cs="Calibri"/>
          <w:sz w:val="24"/>
          <w:szCs w:val="24"/>
        </w:rPr>
        <w:t>W</w:t>
      </w:r>
      <w:r w:rsidRPr="00172A9E">
        <w:rPr>
          <w:rFonts w:cs="Calibri"/>
          <w:sz w:val="24"/>
          <w:szCs w:val="24"/>
        </w:rPr>
        <w:t>hat is the EBac policy and how and why was it introduced as part of a wider policy framework?</w:t>
      </w:r>
      <w:r w:rsidR="002A18D2">
        <w:rPr>
          <w:rFonts w:cs="Calibri"/>
          <w:sz w:val="24"/>
          <w:szCs w:val="24"/>
        </w:rPr>
        <w:t>”</w:t>
      </w:r>
      <w:r>
        <w:rPr>
          <w:rFonts w:cs="Calibri"/>
          <w:b/>
          <w:sz w:val="24"/>
          <w:szCs w:val="24"/>
        </w:rPr>
        <w:t xml:space="preserve"> </w:t>
      </w:r>
      <w:r>
        <w:rPr>
          <w:rFonts w:cs="Calibri"/>
          <w:sz w:val="24"/>
        </w:rPr>
        <w:t>then formed the background to my semi-structured interviews</w:t>
      </w:r>
      <w:r w:rsidR="002A18D2">
        <w:rPr>
          <w:rFonts w:cs="Calibri"/>
          <w:sz w:val="24"/>
        </w:rPr>
        <w:t>,</w:t>
      </w:r>
      <w:r>
        <w:rPr>
          <w:rFonts w:cs="Calibri"/>
          <w:sz w:val="24"/>
        </w:rPr>
        <w:t xml:space="preserve"> </w:t>
      </w:r>
      <w:r w:rsidR="002A18D2">
        <w:rPr>
          <w:rFonts w:cs="Calibri"/>
          <w:sz w:val="24"/>
        </w:rPr>
        <w:t>in which</w:t>
      </w:r>
      <w:r>
        <w:rPr>
          <w:rFonts w:cs="Calibri"/>
          <w:sz w:val="24"/>
        </w:rPr>
        <w:t xml:space="preserve"> I focused on teachers</w:t>
      </w:r>
      <w:r w:rsidR="002A18D2">
        <w:rPr>
          <w:rFonts w:cs="Calibri"/>
          <w:sz w:val="24"/>
        </w:rPr>
        <w:t>’</w:t>
      </w:r>
      <w:r>
        <w:rPr>
          <w:rFonts w:cs="Calibri"/>
          <w:sz w:val="24"/>
        </w:rPr>
        <w:t xml:space="preserve"> perspectives and the implementation of the EBac within four different types of schools.</w:t>
      </w:r>
    </w:p>
    <w:p w14:paraId="2BD6A57A" w14:textId="7DB39BC3" w:rsidR="00A75A8F" w:rsidRPr="00444D7A" w:rsidRDefault="00A75A8F" w:rsidP="00531995">
      <w:pPr>
        <w:pStyle w:val="Heading3"/>
      </w:pPr>
      <w:bookmarkStart w:id="52" w:name="_Toc452316336"/>
      <w:r w:rsidRPr="002A310E">
        <w:t>3.</w:t>
      </w:r>
      <w:r w:rsidR="004D2464">
        <w:t>5</w:t>
      </w:r>
      <w:r>
        <w:t>.</w:t>
      </w:r>
      <w:r w:rsidR="004D2464">
        <w:t>5</w:t>
      </w:r>
      <w:r w:rsidRPr="002A310E">
        <w:t xml:space="preserve"> Semi</w:t>
      </w:r>
      <w:r>
        <w:t>-s</w:t>
      </w:r>
      <w:r w:rsidRPr="002A310E">
        <w:t>tructured interviews</w:t>
      </w:r>
      <w:bookmarkEnd w:id="52"/>
    </w:p>
    <w:p w14:paraId="64970C57" w14:textId="6032F724" w:rsidR="00A75A8F" w:rsidRPr="00444D7A" w:rsidRDefault="00A75A8F" w:rsidP="00531995">
      <w:pPr>
        <w:spacing w:after="120" w:line="360" w:lineRule="auto"/>
        <w:rPr>
          <w:rFonts w:cs="Calibri"/>
          <w:sz w:val="24"/>
        </w:rPr>
      </w:pPr>
      <w:r>
        <w:rPr>
          <w:rFonts w:cs="Calibri"/>
          <w:sz w:val="24"/>
        </w:rPr>
        <w:t xml:space="preserve">Empirical </w:t>
      </w:r>
      <w:r w:rsidRPr="00444D7A">
        <w:rPr>
          <w:rFonts w:cs="Calibri"/>
          <w:sz w:val="24"/>
        </w:rPr>
        <w:t>research with</w:t>
      </w:r>
      <w:r>
        <w:rPr>
          <w:rFonts w:cs="Calibri"/>
          <w:sz w:val="24"/>
        </w:rPr>
        <w:t>in four different types of</w:t>
      </w:r>
      <w:r w:rsidRPr="00444D7A">
        <w:rPr>
          <w:rFonts w:cs="Calibri"/>
          <w:sz w:val="24"/>
        </w:rPr>
        <w:t xml:space="preserve"> schools </w:t>
      </w:r>
      <w:r>
        <w:rPr>
          <w:rFonts w:cs="Calibri"/>
          <w:sz w:val="24"/>
        </w:rPr>
        <w:t>permits</w:t>
      </w:r>
      <w:r w:rsidRPr="00444D7A">
        <w:rPr>
          <w:rFonts w:cs="Calibri"/>
          <w:sz w:val="24"/>
        </w:rPr>
        <w:t xml:space="preserve"> </w:t>
      </w:r>
      <w:r>
        <w:rPr>
          <w:rFonts w:cs="Calibri"/>
          <w:sz w:val="24"/>
        </w:rPr>
        <w:t xml:space="preserve">exploration of </w:t>
      </w:r>
      <w:r w:rsidRPr="00444D7A">
        <w:rPr>
          <w:rFonts w:cs="Calibri"/>
          <w:sz w:val="24"/>
        </w:rPr>
        <w:t>my policy analysis finding</w:t>
      </w:r>
      <w:r>
        <w:rPr>
          <w:rFonts w:cs="Calibri"/>
          <w:sz w:val="24"/>
        </w:rPr>
        <w:t>s as well as allowing me to explore the impact of EBac policy implementation in different settings</w:t>
      </w:r>
      <w:r w:rsidRPr="00444D7A">
        <w:rPr>
          <w:rFonts w:cs="Calibri"/>
          <w:sz w:val="24"/>
        </w:rPr>
        <w:t xml:space="preserve">. At its basic level, an interview is a series of questions and </w:t>
      </w:r>
      <w:r w:rsidRPr="00444D7A">
        <w:rPr>
          <w:rFonts w:cs="Calibri"/>
          <w:sz w:val="24"/>
        </w:rPr>
        <w:lastRenderedPageBreak/>
        <w:t>corresponding answers</w:t>
      </w:r>
      <w:r w:rsidR="00F047FE">
        <w:rPr>
          <w:rFonts w:cs="Calibri"/>
          <w:sz w:val="24"/>
        </w:rPr>
        <w:t xml:space="preserve"> allowing</w:t>
      </w:r>
      <w:r>
        <w:rPr>
          <w:rFonts w:cs="Calibri"/>
          <w:sz w:val="24"/>
        </w:rPr>
        <w:t xml:space="preserve"> the interview</w:t>
      </w:r>
      <w:r w:rsidR="00F047FE">
        <w:rPr>
          <w:rFonts w:cs="Calibri"/>
          <w:sz w:val="24"/>
        </w:rPr>
        <w:t>er</w:t>
      </w:r>
      <w:r>
        <w:rPr>
          <w:rFonts w:cs="Calibri"/>
          <w:sz w:val="24"/>
        </w:rPr>
        <w:t xml:space="preserve"> can investigate and prompt (Wellington</w:t>
      </w:r>
      <w:r w:rsidR="00F047FE">
        <w:rPr>
          <w:rFonts w:cs="Calibri"/>
          <w:sz w:val="24"/>
        </w:rPr>
        <w:t>,</w:t>
      </w:r>
      <w:r>
        <w:rPr>
          <w:rFonts w:cs="Calibri"/>
          <w:sz w:val="24"/>
        </w:rPr>
        <w:t xml:space="preserve"> 2000, p.71)</w:t>
      </w:r>
      <w:r w:rsidRPr="00444D7A">
        <w:rPr>
          <w:rFonts w:cs="Calibri"/>
          <w:sz w:val="24"/>
        </w:rPr>
        <w:t>, attempting to illuminate some social situation, experience or knowledge. The interview could be a straightforward method for gaining information at a basic quantitative level</w:t>
      </w:r>
      <w:r w:rsidR="00F047FE">
        <w:rPr>
          <w:rFonts w:cs="Calibri"/>
          <w:sz w:val="24"/>
        </w:rPr>
        <w:t>,</w:t>
      </w:r>
      <w:r w:rsidRPr="00444D7A">
        <w:rPr>
          <w:rFonts w:cs="Calibri"/>
          <w:sz w:val="24"/>
        </w:rPr>
        <w:t xml:space="preserve"> but also </w:t>
      </w:r>
      <w:r w:rsidR="00F047FE">
        <w:rPr>
          <w:rFonts w:cs="Calibri"/>
          <w:sz w:val="24"/>
        </w:rPr>
        <w:t xml:space="preserve">allows </w:t>
      </w:r>
      <w:r w:rsidRPr="00444D7A">
        <w:rPr>
          <w:rFonts w:cs="Calibri"/>
          <w:sz w:val="24"/>
        </w:rPr>
        <w:t>for asking more in-depth questions demanding a more qualitative response. Verma and Mallick comment that far from being straightforward</w:t>
      </w:r>
      <w:r>
        <w:rPr>
          <w:rFonts w:cs="Calibri"/>
          <w:sz w:val="24"/>
        </w:rPr>
        <w:t>,</w:t>
      </w:r>
      <w:r w:rsidRPr="00444D7A">
        <w:rPr>
          <w:rFonts w:cs="Calibri"/>
          <w:sz w:val="24"/>
        </w:rPr>
        <w:t xml:space="preserve"> the interview:</w:t>
      </w:r>
    </w:p>
    <w:p w14:paraId="11C14957" w14:textId="77777777" w:rsidR="00A75A8F" w:rsidRPr="00444D7A" w:rsidRDefault="00A75A8F" w:rsidP="00A75A8F">
      <w:pPr>
        <w:spacing w:after="0" w:line="240" w:lineRule="auto"/>
        <w:ind w:left="720"/>
        <w:rPr>
          <w:rFonts w:cs="Calibri"/>
          <w:sz w:val="24"/>
        </w:rPr>
      </w:pPr>
      <w:r w:rsidRPr="00444D7A">
        <w:rPr>
          <w:rFonts w:cs="Calibri"/>
          <w:sz w:val="24"/>
        </w:rPr>
        <w:t>Represents an interaction between three elements: the interviewer, the interviewee and the context of the interview including the issues/ questions raised in the interview. Thus the role of the interviewers is a demanding one (</w:t>
      </w:r>
      <w:r>
        <w:rPr>
          <w:rFonts w:cs="Calibri"/>
          <w:sz w:val="24"/>
        </w:rPr>
        <w:t xml:space="preserve">1999, </w:t>
      </w:r>
      <w:r w:rsidRPr="00444D7A">
        <w:rPr>
          <w:rFonts w:cs="Calibri"/>
          <w:sz w:val="24"/>
        </w:rPr>
        <w:t>p.122).</w:t>
      </w:r>
    </w:p>
    <w:p w14:paraId="3F273904" w14:textId="77777777" w:rsidR="00A75A8F" w:rsidRPr="00444D7A" w:rsidRDefault="00A75A8F" w:rsidP="00A75A8F">
      <w:pPr>
        <w:spacing w:after="0" w:line="240" w:lineRule="auto"/>
        <w:rPr>
          <w:rFonts w:cs="Calibri"/>
          <w:sz w:val="24"/>
        </w:rPr>
      </w:pPr>
    </w:p>
    <w:p w14:paraId="5EC320F3" w14:textId="6E6B7BC0" w:rsidR="00A75A8F" w:rsidRPr="00444D7A" w:rsidRDefault="00A75A8F" w:rsidP="00531995">
      <w:pPr>
        <w:tabs>
          <w:tab w:val="left" w:pos="8647"/>
        </w:tabs>
        <w:spacing w:after="120" w:line="360" w:lineRule="auto"/>
        <w:rPr>
          <w:rFonts w:cs="Calibri"/>
          <w:sz w:val="24"/>
        </w:rPr>
      </w:pPr>
      <w:r>
        <w:rPr>
          <w:rFonts w:cs="Calibri"/>
          <w:sz w:val="24"/>
        </w:rPr>
        <w:t>I</w:t>
      </w:r>
      <w:r w:rsidRPr="00444D7A">
        <w:rPr>
          <w:rFonts w:cs="Calibri"/>
          <w:sz w:val="24"/>
        </w:rPr>
        <w:t>t is essential that interviews are not entered into lightly</w:t>
      </w:r>
      <w:r w:rsidR="00F047FE">
        <w:rPr>
          <w:rFonts w:cs="Calibri"/>
          <w:sz w:val="24"/>
        </w:rPr>
        <w:t>,</w:t>
      </w:r>
      <w:r w:rsidRPr="00444D7A">
        <w:rPr>
          <w:rFonts w:cs="Calibri"/>
          <w:sz w:val="24"/>
        </w:rPr>
        <w:t xml:space="preserve"> but </w:t>
      </w:r>
      <w:r w:rsidR="00F047FE">
        <w:rPr>
          <w:rFonts w:cs="Calibri"/>
          <w:sz w:val="24"/>
        </w:rPr>
        <w:t xml:space="preserve">are </w:t>
      </w:r>
      <w:r>
        <w:rPr>
          <w:rFonts w:cs="Calibri"/>
          <w:sz w:val="24"/>
        </w:rPr>
        <w:t xml:space="preserve">conducted </w:t>
      </w:r>
      <w:r w:rsidRPr="00444D7A">
        <w:rPr>
          <w:rFonts w:cs="Calibri"/>
          <w:sz w:val="24"/>
        </w:rPr>
        <w:t xml:space="preserve">with careful </w:t>
      </w:r>
      <w:r>
        <w:rPr>
          <w:rFonts w:cs="Calibri"/>
          <w:sz w:val="24"/>
        </w:rPr>
        <w:t>pre-</w:t>
      </w:r>
      <w:r w:rsidRPr="00444D7A">
        <w:rPr>
          <w:rFonts w:cs="Calibri"/>
          <w:sz w:val="24"/>
        </w:rPr>
        <w:t>planning and consideration along with a flexible attitude which respond</w:t>
      </w:r>
      <w:r>
        <w:rPr>
          <w:rFonts w:cs="Calibri"/>
          <w:sz w:val="24"/>
        </w:rPr>
        <w:t>s</w:t>
      </w:r>
      <w:r w:rsidRPr="00444D7A">
        <w:rPr>
          <w:rFonts w:cs="Calibri"/>
          <w:sz w:val="24"/>
        </w:rPr>
        <w:t xml:space="preserve"> to the specific context of each individual interview</w:t>
      </w:r>
      <w:r>
        <w:rPr>
          <w:rFonts w:cs="Calibri"/>
          <w:sz w:val="24"/>
        </w:rPr>
        <w:t xml:space="preserve"> in order to gather valid data. </w:t>
      </w:r>
      <w:r w:rsidRPr="00444D7A">
        <w:rPr>
          <w:rFonts w:cs="Calibri"/>
          <w:sz w:val="24"/>
        </w:rPr>
        <w:t>I use</w:t>
      </w:r>
      <w:r w:rsidR="00F047FE">
        <w:rPr>
          <w:rFonts w:cs="Calibri"/>
          <w:sz w:val="24"/>
        </w:rPr>
        <w:t>d</w:t>
      </w:r>
      <w:r w:rsidRPr="00444D7A">
        <w:rPr>
          <w:rFonts w:cs="Calibri"/>
          <w:sz w:val="24"/>
        </w:rPr>
        <w:t xml:space="preserve"> interviews </w:t>
      </w:r>
      <w:r w:rsidR="00F047FE">
        <w:rPr>
          <w:rFonts w:cs="Calibri"/>
          <w:sz w:val="24"/>
        </w:rPr>
        <w:t>rather than a questionnaire</w:t>
      </w:r>
      <w:r w:rsidR="00F047FE" w:rsidRPr="00444D7A">
        <w:rPr>
          <w:rFonts w:cs="Calibri"/>
          <w:sz w:val="24"/>
        </w:rPr>
        <w:t xml:space="preserve"> </w:t>
      </w:r>
      <w:r w:rsidRPr="00444D7A">
        <w:rPr>
          <w:rFonts w:cs="Calibri"/>
          <w:sz w:val="24"/>
        </w:rPr>
        <w:t>as a method of data collection</w:t>
      </w:r>
      <w:r>
        <w:rPr>
          <w:rFonts w:cs="Calibri"/>
          <w:sz w:val="24"/>
        </w:rPr>
        <w:t xml:space="preserve"> </w:t>
      </w:r>
      <w:r w:rsidRPr="00444D7A">
        <w:rPr>
          <w:rFonts w:cs="Calibri"/>
          <w:sz w:val="24"/>
        </w:rPr>
        <w:t xml:space="preserve">to allow individuals to express their opinions and to elaborate </w:t>
      </w:r>
      <w:r>
        <w:rPr>
          <w:rFonts w:cs="Calibri"/>
          <w:sz w:val="24"/>
        </w:rPr>
        <w:t xml:space="preserve">verbally </w:t>
      </w:r>
      <w:r w:rsidRPr="00444D7A">
        <w:rPr>
          <w:rFonts w:cs="Calibri"/>
          <w:sz w:val="24"/>
        </w:rPr>
        <w:t>on their experienc</w:t>
      </w:r>
      <w:r w:rsidR="00E70BCB">
        <w:rPr>
          <w:rFonts w:cs="Calibri"/>
          <w:sz w:val="24"/>
        </w:rPr>
        <w:t>e</w:t>
      </w:r>
      <w:r w:rsidR="00F047FE">
        <w:rPr>
          <w:rFonts w:cs="Calibri"/>
          <w:sz w:val="24"/>
        </w:rPr>
        <w:t>s</w:t>
      </w:r>
      <w:r w:rsidR="00E70BCB">
        <w:rPr>
          <w:rFonts w:cs="Calibri"/>
          <w:sz w:val="24"/>
        </w:rPr>
        <w:t xml:space="preserve"> of the EBac. Wellington</w:t>
      </w:r>
      <w:r w:rsidRPr="00444D7A">
        <w:rPr>
          <w:rFonts w:cs="Calibri"/>
          <w:sz w:val="24"/>
        </w:rPr>
        <w:t xml:space="preserve"> states:</w:t>
      </w:r>
    </w:p>
    <w:p w14:paraId="7ED3E397" w14:textId="4AD83B9B" w:rsidR="00A75A8F" w:rsidRPr="00444D7A" w:rsidRDefault="00A75A8F" w:rsidP="00A75A8F">
      <w:pPr>
        <w:spacing w:after="0" w:line="240" w:lineRule="auto"/>
        <w:ind w:left="720"/>
        <w:rPr>
          <w:rFonts w:cs="Calibri"/>
          <w:sz w:val="24"/>
        </w:rPr>
      </w:pPr>
      <w:r w:rsidRPr="00444D7A">
        <w:rPr>
          <w:rFonts w:cs="Calibri"/>
          <w:sz w:val="24"/>
        </w:rPr>
        <w:t>The research interview’s function is to give a person, or group of people, a “voice”. It should provide them with a “platform”, a chance to make their viewpoints heard and eventually read… In this sense an interview empowers people (</w:t>
      </w:r>
      <w:r w:rsidR="00E70BCB">
        <w:rPr>
          <w:rFonts w:cs="Calibri"/>
          <w:sz w:val="24"/>
        </w:rPr>
        <w:t>2000</w:t>
      </w:r>
      <w:r w:rsidR="00F047FE">
        <w:rPr>
          <w:rFonts w:cs="Calibri"/>
          <w:sz w:val="24"/>
        </w:rPr>
        <w:t>,</w:t>
      </w:r>
      <w:r w:rsidR="00E70BCB">
        <w:rPr>
          <w:rFonts w:cs="Calibri"/>
          <w:sz w:val="24"/>
        </w:rPr>
        <w:t xml:space="preserve"> </w:t>
      </w:r>
      <w:r w:rsidRPr="00444D7A">
        <w:rPr>
          <w:rFonts w:cs="Calibri"/>
          <w:sz w:val="24"/>
        </w:rPr>
        <w:t>p.72).</w:t>
      </w:r>
    </w:p>
    <w:p w14:paraId="21CF057A" w14:textId="77777777" w:rsidR="00A75A8F" w:rsidRPr="00444D7A" w:rsidRDefault="00A75A8F" w:rsidP="00A75A8F">
      <w:pPr>
        <w:spacing w:after="0" w:line="360" w:lineRule="auto"/>
        <w:rPr>
          <w:rFonts w:cs="Calibri"/>
          <w:sz w:val="24"/>
        </w:rPr>
      </w:pPr>
    </w:p>
    <w:p w14:paraId="1E11E945" w14:textId="0792A95F" w:rsidR="00A75A8F" w:rsidRPr="00444D7A" w:rsidRDefault="00A75A8F" w:rsidP="00A75A8F">
      <w:pPr>
        <w:tabs>
          <w:tab w:val="left" w:pos="8789"/>
        </w:tabs>
        <w:spacing w:after="0" w:line="360" w:lineRule="auto"/>
        <w:rPr>
          <w:rFonts w:cs="Calibri"/>
          <w:sz w:val="24"/>
        </w:rPr>
      </w:pPr>
      <w:r>
        <w:rPr>
          <w:rFonts w:cs="Calibri"/>
          <w:sz w:val="24"/>
        </w:rPr>
        <w:t>M</w:t>
      </w:r>
      <w:r w:rsidRPr="00444D7A">
        <w:rPr>
          <w:rFonts w:cs="Calibri"/>
          <w:sz w:val="24"/>
        </w:rPr>
        <w:t>y interviews</w:t>
      </w:r>
      <w:r>
        <w:rPr>
          <w:rFonts w:cs="Calibri"/>
          <w:sz w:val="24"/>
        </w:rPr>
        <w:t xml:space="preserve"> </w:t>
      </w:r>
      <w:r w:rsidRPr="00444D7A">
        <w:rPr>
          <w:rFonts w:cs="Calibri"/>
          <w:sz w:val="24"/>
        </w:rPr>
        <w:t xml:space="preserve">allow the voices of school leaders </w:t>
      </w:r>
      <w:r>
        <w:rPr>
          <w:rFonts w:cs="Calibri"/>
          <w:sz w:val="24"/>
        </w:rPr>
        <w:t xml:space="preserve">who </w:t>
      </w:r>
      <w:r w:rsidRPr="00444D7A">
        <w:rPr>
          <w:rFonts w:cs="Calibri"/>
          <w:sz w:val="24"/>
        </w:rPr>
        <w:t>interpret, apply and implement the EBac policy</w:t>
      </w:r>
      <w:r>
        <w:rPr>
          <w:rFonts w:cs="Calibri"/>
          <w:sz w:val="24"/>
        </w:rPr>
        <w:t>,</w:t>
      </w:r>
      <w:r w:rsidRPr="00444D7A">
        <w:rPr>
          <w:rFonts w:cs="Calibri"/>
          <w:sz w:val="24"/>
        </w:rPr>
        <w:t xml:space="preserve"> to be heard, as well as gather</w:t>
      </w:r>
      <w:r>
        <w:rPr>
          <w:rFonts w:cs="Calibri"/>
          <w:sz w:val="24"/>
        </w:rPr>
        <w:t>ing</w:t>
      </w:r>
      <w:r w:rsidRPr="00444D7A">
        <w:rPr>
          <w:rFonts w:cs="Calibri"/>
          <w:sz w:val="24"/>
        </w:rPr>
        <w:t xml:space="preserve"> </w:t>
      </w:r>
      <w:r>
        <w:rPr>
          <w:rFonts w:cs="Calibri"/>
          <w:sz w:val="24"/>
        </w:rPr>
        <w:t>their views</w:t>
      </w:r>
      <w:r w:rsidRPr="00444D7A">
        <w:rPr>
          <w:rFonts w:cs="Calibri"/>
          <w:sz w:val="24"/>
        </w:rPr>
        <w:t xml:space="preserve"> about the potential winners and losers of the EBac policy and </w:t>
      </w:r>
      <w:r>
        <w:rPr>
          <w:rFonts w:cs="Calibri"/>
          <w:sz w:val="24"/>
        </w:rPr>
        <w:t xml:space="preserve">associated </w:t>
      </w:r>
      <w:r w:rsidRPr="00444D7A">
        <w:rPr>
          <w:rFonts w:cs="Calibri"/>
          <w:sz w:val="24"/>
        </w:rPr>
        <w:t>social justice issues.</w:t>
      </w:r>
    </w:p>
    <w:p w14:paraId="302ECEA4" w14:textId="77777777" w:rsidR="00A75A8F" w:rsidRPr="00444D7A" w:rsidRDefault="00A75A8F" w:rsidP="00A75A8F">
      <w:pPr>
        <w:spacing w:after="0" w:line="360" w:lineRule="auto"/>
        <w:rPr>
          <w:rFonts w:cs="Calibri"/>
          <w:sz w:val="24"/>
        </w:rPr>
      </w:pPr>
    </w:p>
    <w:p w14:paraId="15F0A8A3" w14:textId="4E16D2AB" w:rsidR="00A75A8F" w:rsidRPr="00444D7A" w:rsidRDefault="00A75A8F" w:rsidP="003A47A6">
      <w:pPr>
        <w:tabs>
          <w:tab w:val="left" w:pos="8789"/>
        </w:tabs>
        <w:spacing w:line="360" w:lineRule="auto"/>
        <w:rPr>
          <w:rFonts w:cs="Calibri"/>
          <w:sz w:val="24"/>
        </w:rPr>
      </w:pPr>
      <w:r w:rsidRPr="00444D7A">
        <w:rPr>
          <w:rFonts w:cs="Calibri"/>
          <w:sz w:val="24"/>
        </w:rPr>
        <w:t xml:space="preserve">Interviews can be divided along a continuum into three recognisable types.  Structured interviews </w:t>
      </w:r>
      <w:r>
        <w:rPr>
          <w:rFonts w:cs="Calibri"/>
          <w:sz w:val="24"/>
        </w:rPr>
        <w:t>usually consist of</w:t>
      </w:r>
      <w:r w:rsidRPr="00444D7A">
        <w:rPr>
          <w:rFonts w:cs="Calibri"/>
          <w:sz w:val="24"/>
        </w:rPr>
        <w:t xml:space="preserve"> </w:t>
      </w:r>
      <w:r>
        <w:rPr>
          <w:rFonts w:cs="Calibri"/>
          <w:sz w:val="24"/>
        </w:rPr>
        <w:t xml:space="preserve">pre-set </w:t>
      </w:r>
      <w:r w:rsidRPr="00444D7A">
        <w:rPr>
          <w:rFonts w:cs="Calibri"/>
          <w:sz w:val="24"/>
        </w:rPr>
        <w:t>questions</w:t>
      </w:r>
      <w:r w:rsidR="00F047FE">
        <w:rPr>
          <w:rFonts w:cs="Calibri"/>
          <w:sz w:val="24"/>
        </w:rPr>
        <w:t xml:space="preserve">, while </w:t>
      </w:r>
      <w:r w:rsidRPr="00444D7A">
        <w:rPr>
          <w:rFonts w:cs="Calibri"/>
          <w:sz w:val="24"/>
        </w:rPr>
        <w:t>unstructured interviews begin with broadly set objectives but are</w:t>
      </w:r>
      <w:r>
        <w:rPr>
          <w:rFonts w:cs="Calibri"/>
          <w:sz w:val="24"/>
        </w:rPr>
        <w:t xml:space="preserve"> </w:t>
      </w:r>
      <w:r w:rsidRPr="00444D7A">
        <w:rPr>
          <w:rFonts w:cs="Calibri"/>
          <w:sz w:val="24"/>
        </w:rPr>
        <w:t xml:space="preserve">led and developed by the </w:t>
      </w:r>
      <w:r>
        <w:rPr>
          <w:rFonts w:cs="Calibri"/>
          <w:sz w:val="24"/>
        </w:rPr>
        <w:t xml:space="preserve">interests of the </w:t>
      </w:r>
      <w:r w:rsidRPr="00444D7A">
        <w:rPr>
          <w:rFonts w:cs="Calibri"/>
          <w:sz w:val="24"/>
        </w:rPr>
        <w:t>interviewee</w:t>
      </w:r>
      <w:r w:rsidR="00F047FE">
        <w:rPr>
          <w:rFonts w:cs="Calibri"/>
          <w:sz w:val="24"/>
        </w:rPr>
        <w:t>.</w:t>
      </w:r>
      <w:r w:rsidRPr="00444D7A">
        <w:rPr>
          <w:rFonts w:cs="Calibri"/>
          <w:sz w:val="24"/>
        </w:rPr>
        <w:t xml:space="preserve"> </w:t>
      </w:r>
      <w:r w:rsidR="00F047FE">
        <w:rPr>
          <w:rFonts w:cs="Calibri"/>
          <w:sz w:val="24"/>
        </w:rPr>
        <w:t>S</w:t>
      </w:r>
      <w:r w:rsidRPr="00444D7A">
        <w:rPr>
          <w:rFonts w:cs="Calibri"/>
          <w:sz w:val="24"/>
        </w:rPr>
        <w:t xml:space="preserve">emi-structured </w:t>
      </w:r>
      <w:r>
        <w:rPr>
          <w:rFonts w:cs="Calibri"/>
          <w:sz w:val="24"/>
        </w:rPr>
        <w:t xml:space="preserve">interviews </w:t>
      </w:r>
      <w:r w:rsidRPr="00444D7A">
        <w:rPr>
          <w:rFonts w:cs="Calibri"/>
          <w:sz w:val="24"/>
        </w:rPr>
        <w:t>sit in the middle</w:t>
      </w:r>
      <w:r w:rsidR="00F047FE">
        <w:rPr>
          <w:rFonts w:cs="Calibri"/>
          <w:sz w:val="24"/>
        </w:rPr>
        <w:t>,</w:t>
      </w:r>
      <w:r w:rsidRPr="00444D7A">
        <w:rPr>
          <w:rFonts w:cs="Calibri"/>
          <w:sz w:val="24"/>
        </w:rPr>
        <w:t xml:space="preserve"> </w:t>
      </w:r>
      <w:r w:rsidR="00F047FE">
        <w:rPr>
          <w:rFonts w:cs="Calibri"/>
          <w:sz w:val="24"/>
        </w:rPr>
        <w:t xml:space="preserve">using </w:t>
      </w:r>
      <w:r w:rsidRPr="00444D7A">
        <w:rPr>
          <w:rFonts w:cs="Calibri"/>
          <w:sz w:val="24"/>
        </w:rPr>
        <w:t>a pre-set interview schedule from which both the interviewer and interviewee can d</w:t>
      </w:r>
      <w:r>
        <w:rPr>
          <w:rFonts w:cs="Calibri"/>
          <w:sz w:val="24"/>
        </w:rPr>
        <w:t>evelop the conversation</w:t>
      </w:r>
      <w:r w:rsidRPr="00444D7A">
        <w:rPr>
          <w:rFonts w:cs="Calibri"/>
          <w:sz w:val="24"/>
        </w:rPr>
        <w:t xml:space="preserve">. The aim of a semi-structured interview is to encourage the interviewees to speak freely around the topic </w:t>
      </w:r>
      <w:r>
        <w:rPr>
          <w:rFonts w:cs="Calibri"/>
          <w:sz w:val="24"/>
        </w:rPr>
        <w:t>under</w:t>
      </w:r>
      <w:r w:rsidRPr="00444D7A">
        <w:rPr>
          <w:rFonts w:cs="Calibri"/>
          <w:sz w:val="24"/>
        </w:rPr>
        <w:t xml:space="preserve"> the guidance of key questions. Cousin supports this approach, stating that interviews allow “rich empirical data about the lives and perspectives of individuals,” (</w:t>
      </w:r>
      <w:r>
        <w:rPr>
          <w:rFonts w:cs="Calibri"/>
          <w:sz w:val="24"/>
        </w:rPr>
        <w:t xml:space="preserve">2009, </w:t>
      </w:r>
      <w:r w:rsidRPr="00444D7A">
        <w:rPr>
          <w:rFonts w:cs="Calibri"/>
          <w:sz w:val="24"/>
        </w:rPr>
        <w:t xml:space="preserve">p.71). Such an approach fits my desire to use qualitative methods </w:t>
      </w:r>
      <w:r>
        <w:rPr>
          <w:rFonts w:cs="Calibri"/>
          <w:sz w:val="24"/>
        </w:rPr>
        <w:t>to</w:t>
      </w:r>
      <w:r w:rsidRPr="00444D7A">
        <w:rPr>
          <w:rFonts w:cs="Calibri"/>
          <w:sz w:val="24"/>
        </w:rPr>
        <w:t xml:space="preserve"> </w:t>
      </w:r>
      <w:r>
        <w:rPr>
          <w:rFonts w:cs="Calibri"/>
          <w:sz w:val="24"/>
        </w:rPr>
        <w:t>give opportunities for</w:t>
      </w:r>
      <w:r w:rsidRPr="00444D7A">
        <w:rPr>
          <w:rFonts w:cs="Calibri"/>
          <w:sz w:val="24"/>
        </w:rPr>
        <w:t xml:space="preserve"> individuals to speak for themselves in order to uncover how they construct their understanding of the </w:t>
      </w:r>
      <w:r>
        <w:rPr>
          <w:rFonts w:cs="Calibri"/>
          <w:sz w:val="24"/>
        </w:rPr>
        <w:t>EBac policy</w:t>
      </w:r>
      <w:r w:rsidRPr="00444D7A">
        <w:rPr>
          <w:rFonts w:cs="Calibri"/>
          <w:sz w:val="24"/>
        </w:rPr>
        <w:t xml:space="preserve">. Cousin states that the line between unstructured and semi-structured </w:t>
      </w:r>
      <w:r w:rsidRPr="00444D7A">
        <w:rPr>
          <w:rFonts w:cs="Calibri"/>
          <w:sz w:val="24"/>
        </w:rPr>
        <w:lastRenderedPageBreak/>
        <w:t>in</w:t>
      </w:r>
      <w:r w:rsidR="00E70BCB">
        <w:rPr>
          <w:rFonts w:cs="Calibri"/>
          <w:sz w:val="24"/>
        </w:rPr>
        <w:t>terviews is ‘fuzzy’</w:t>
      </w:r>
      <w:r w:rsidRPr="00444D7A">
        <w:rPr>
          <w:rFonts w:cs="Calibri"/>
          <w:sz w:val="24"/>
        </w:rPr>
        <w:t xml:space="preserve">, in that the schedule is pre-designed, but completely flexible. </w:t>
      </w:r>
      <w:r>
        <w:rPr>
          <w:rFonts w:cs="Calibri"/>
          <w:sz w:val="24"/>
        </w:rPr>
        <w:t>H</w:t>
      </w:r>
      <w:r w:rsidRPr="00444D7A">
        <w:rPr>
          <w:rFonts w:cs="Calibri"/>
          <w:sz w:val="24"/>
        </w:rPr>
        <w:t>ow structured an interview becomes depend</w:t>
      </w:r>
      <w:r>
        <w:rPr>
          <w:rFonts w:cs="Calibri"/>
          <w:sz w:val="24"/>
        </w:rPr>
        <w:t>s</w:t>
      </w:r>
      <w:r w:rsidRPr="00444D7A">
        <w:rPr>
          <w:rFonts w:cs="Calibri"/>
          <w:sz w:val="24"/>
        </w:rPr>
        <w:t xml:space="preserve"> on a range of factors including the expertise and confidence of the interviewer, the circumstances of the interview, the perceived power relationships within the interview</w:t>
      </w:r>
      <w:r w:rsidR="00F047FE">
        <w:rPr>
          <w:rFonts w:cs="Calibri"/>
          <w:sz w:val="24"/>
        </w:rPr>
        <w:t>,</w:t>
      </w:r>
      <w:r w:rsidRPr="00444D7A">
        <w:rPr>
          <w:rFonts w:cs="Calibri"/>
          <w:sz w:val="24"/>
        </w:rPr>
        <w:t xml:space="preserve"> and </w:t>
      </w:r>
      <w:r>
        <w:rPr>
          <w:rFonts w:cs="Calibri"/>
          <w:sz w:val="24"/>
        </w:rPr>
        <w:t xml:space="preserve">the </w:t>
      </w:r>
      <w:r w:rsidRPr="00444D7A">
        <w:rPr>
          <w:rFonts w:cs="Calibri"/>
          <w:sz w:val="24"/>
        </w:rPr>
        <w:t xml:space="preserve">perspective and engagement of the interviewee (Verma </w:t>
      </w:r>
      <w:r w:rsidR="00F047FE">
        <w:rPr>
          <w:rFonts w:cs="Calibri"/>
          <w:sz w:val="24"/>
        </w:rPr>
        <w:t>and</w:t>
      </w:r>
      <w:r w:rsidRPr="00444D7A">
        <w:rPr>
          <w:rFonts w:cs="Calibri"/>
          <w:sz w:val="24"/>
        </w:rPr>
        <w:t xml:space="preserve"> Mallick 1999</w:t>
      </w:r>
      <w:r>
        <w:rPr>
          <w:rFonts w:cs="Calibri"/>
          <w:sz w:val="24"/>
        </w:rPr>
        <w:t>)</w:t>
      </w:r>
      <w:r w:rsidRPr="00444D7A">
        <w:rPr>
          <w:rFonts w:cs="Calibri"/>
          <w:sz w:val="24"/>
        </w:rPr>
        <w:t xml:space="preserve">. </w:t>
      </w:r>
    </w:p>
    <w:p w14:paraId="4C824576" w14:textId="7DCE8662" w:rsidR="00A75A8F" w:rsidRPr="00E8749A" w:rsidRDefault="00A75A8F" w:rsidP="00531995">
      <w:pPr>
        <w:pStyle w:val="Heading3"/>
      </w:pPr>
      <w:bookmarkStart w:id="53" w:name="_Toc452316337"/>
      <w:r w:rsidRPr="000C1296">
        <w:t>3.</w:t>
      </w:r>
      <w:r w:rsidR="004D2464">
        <w:t>5</w:t>
      </w:r>
      <w:r>
        <w:t>.</w:t>
      </w:r>
      <w:r w:rsidR="004D2464">
        <w:t>6</w:t>
      </w:r>
      <w:r>
        <w:t xml:space="preserve"> </w:t>
      </w:r>
      <w:r w:rsidRPr="000C1296">
        <w:t>Semi</w:t>
      </w:r>
      <w:r>
        <w:t>-s</w:t>
      </w:r>
      <w:r w:rsidRPr="000C1296">
        <w:t>tructured interviews in my research</w:t>
      </w:r>
      <w:bookmarkEnd w:id="53"/>
    </w:p>
    <w:p w14:paraId="6606D1C9" w14:textId="5BFA20B3" w:rsidR="00C04082" w:rsidRDefault="00E2514D" w:rsidP="00A75A8F">
      <w:pPr>
        <w:spacing w:after="0" w:line="360" w:lineRule="auto"/>
        <w:rPr>
          <w:rFonts w:cs="Calibri"/>
          <w:sz w:val="24"/>
        </w:rPr>
      </w:pPr>
      <w:r>
        <w:rPr>
          <w:rFonts w:cs="Calibri"/>
          <w:sz w:val="24"/>
        </w:rPr>
        <w:t>S</w:t>
      </w:r>
      <w:r w:rsidR="00A75A8F" w:rsidRPr="00444D7A">
        <w:rPr>
          <w:rFonts w:cs="Calibri"/>
          <w:sz w:val="24"/>
        </w:rPr>
        <w:t xml:space="preserve">emi-structured interviews provide a range of advantages </w:t>
      </w:r>
      <w:r>
        <w:rPr>
          <w:rFonts w:cs="Calibri"/>
          <w:sz w:val="24"/>
        </w:rPr>
        <w:t>f</w:t>
      </w:r>
      <w:r w:rsidR="00A75A8F" w:rsidRPr="00444D7A">
        <w:rPr>
          <w:rFonts w:cs="Calibri"/>
          <w:sz w:val="24"/>
        </w:rPr>
        <w:t>o</w:t>
      </w:r>
      <w:r>
        <w:rPr>
          <w:rFonts w:cs="Calibri"/>
          <w:sz w:val="24"/>
        </w:rPr>
        <w:t>r</w:t>
      </w:r>
      <w:r w:rsidR="00A75A8F" w:rsidRPr="00444D7A">
        <w:rPr>
          <w:rFonts w:cs="Calibri"/>
          <w:sz w:val="24"/>
        </w:rPr>
        <w:t xml:space="preserve"> my research. </w:t>
      </w:r>
      <w:r w:rsidR="00A75A8F">
        <w:rPr>
          <w:rFonts w:cs="Calibri"/>
          <w:sz w:val="24"/>
        </w:rPr>
        <w:t>I incorporate</w:t>
      </w:r>
      <w:r w:rsidR="00C04082">
        <w:rPr>
          <w:rFonts w:cs="Calibri"/>
          <w:sz w:val="24"/>
        </w:rPr>
        <w:t>d</w:t>
      </w:r>
      <w:r w:rsidR="00A75A8F" w:rsidRPr="00444D7A">
        <w:rPr>
          <w:rFonts w:cs="Calibri"/>
          <w:sz w:val="24"/>
        </w:rPr>
        <w:t xml:space="preserve"> </w:t>
      </w:r>
      <w:r w:rsidR="00A75A8F">
        <w:rPr>
          <w:rFonts w:cs="Calibri"/>
          <w:sz w:val="24"/>
        </w:rPr>
        <w:t xml:space="preserve">into my questions </w:t>
      </w:r>
      <w:r w:rsidR="00A75A8F" w:rsidRPr="00444D7A">
        <w:rPr>
          <w:rFonts w:cs="Calibri"/>
          <w:sz w:val="24"/>
        </w:rPr>
        <w:t xml:space="preserve">issues </w:t>
      </w:r>
      <w:r w:rsidR="00A75A8F">
        <w:rPr>
          <w:rFonts w:cs="Calibri"/>
          <w:sz w:val="24"/>
        </w:rPr>
        <w:t xml:space="preserve">arising </w:t>
      </w:r>
      <w:r w:rsidR="00A75A8F" w:rsidRPr="00444D7A">
        <w:rPr>
          <w:rFonts w:cs="Calibri"/>
          <w:sz w:val="24"/>
        </w:rPr>
        <w:t xml:space="preserve">from my CDA of the EBac policy and </w:t>
      </w:r>
      <w:r w:rsidR="00C04082">
        <w:rPr>
          <w:rFonts w:cs="Calibri"/>
          <w:sz w:val="24"/>
        </w:rPr>
        <w:t xml:space="preserve">could </w:t>
      </w:r>
      <w:r w:rsidR="00A75A8F" w:rsidRPr="00444D7A">
        <w:rPr>
          <w:rFonts w:cs="Calibri"/>
          <w:sz w:val="24"/>
        </w:rPr>
        <w:t>respond reflexively to the issues impacting on individuals and their schools</w:t>
      </w:r>
      <w:r w:rsidR="00C04082">
        <w:rPr>
          <w:rFonts w:cs="Calibri"/>
          <w:sz w:val="24"/>
        </w:rPr>
        <w:t>,</w:t>
      </w:r>
      <w:r w:rsidR="00A75A8F">
        <w:rPr>
          <w:rFonts w:cs="Calibri"/>
          <w:sz w:val="24"/>
        </w:rPr>
        <w:t xml:space="preserve"> rather than following a pre-scripted formula which may not be appropriate in each case</w:t>
      </w:r>
      <w:r w:rsidR="00A75A8F" w:rsidRPr="00444D7A">
        <w:rPr>
          <w:rFonts w:cs="Calibri"/>
          <w:sz w:val="24"/>
        </w:rPr>
        <w:t xml:space="preserve">. </w:t>
      </w:r>
      <w:r w:rsidR="00A75A8F">
        <w:rPr>
          <w:rFonts w:cs="Calibri"/>
          <w:sz w:val="24"/>
        </w:rPr>
        <w:t>A</w:t>
      </w:r>
      <w:r w:rsidR="00A75A8F" w:rsidRPr="00444D7A">
        <w:rPr>
          <w:rFonts w:cs="Calibri"/>
          <w:sz w:val="24"/>
        </w:rPr>
        <w:t xml:space="preserve"> pre-planned interview schedule </w:t>
      </w:r>
      <w:r w:rsidR="00A75A8F">
        <w:rPr>
          <w:rFonts w:cs="Calibri"/>
          <w:sz w:val="24"/>
        </w:rPr>
        <w:t>with k</w:t>
      </w:r>
      <w:r w:rsidR="00A75A8F" w:rsidRPr="00444D7A">
        <w:rPr>
          <w:rFonts w:cs="Calibri"/>
          <w:sz w:val="24"/>
        </w:rPr>
        <w:t xml:space="preserve">ey questions </w:t>
      </w:r>
      <w:r w:rsidR="00A75A8F">
        <w:rPr>
          <w:rFonts w:cs="Calibri"/>
          <w:sz w:val="24"/>
        </w:rPr>
        <w:t>allows</w:t>
      </w:r>
      <w:r w:rsidR="00A75A8F" w:rsidRPr="00444D7A">
        <w:rPr>
          <w:rFonts w:cs="Calibri"/>
          <w:sz w:val="24"/>
        </w:rPr>
        <w:t xml:space="preserve"> </w:t>
      </w:r>
      <w:r w:rsidR="00C04082">
        <w:rPr>
          <w:rFonts w:cs="Calibri"/>
          <w:sz w:val="24"/>
        </w:rPr>
        <w:t xml:space="preserve">for </w:t>
      </w:r>
      <w:r w:rsidR="00A75A8F" w:rsidRPr="00444D7A">
        <w:rPr>
          <w:rFonts w:cs="Calibri"/>
          <w:sz w:val="24"/>
        </w:rPr>
        <w:t xml:space="preserve">comparability </w:t>
      </w:r>
      <w:r w:rsidR="00A75A8F">
        <w:rPr>
          <w:rFonts w:cs="Calibri"/>
          <w:sz w:val="24"/>
        </w:rPr>
        <w:t>across</w:t>
      </w:r>
      <w:r w:rsidR="00A75A8F" w:rsidRPr="00444D7A">
        <w:rPr>
          <w:rFonts w:cs="Calibri"/>
          <w:sz w:val="24"/>
        </w:rPr>
        <w:t xml:space="preserve"> the discussion</w:t>
      </w:r>
      <w:r w:rsidR="00A75A8F">
        <w:rPr>
          <w:rFonts w:cs="Calibri"/>
          <w:sz w:val="24"/>
        </w:rPr>
        <w:t>s</w:t>
      </w:r>
      <w:r w:rsidR="00A75A8F" w:rsidRPr="00444D7A">
        <w:rPr>
          <w:rFonts w:cs="Calibri"/>
          <w:sz w:val="24"/>
        </w:rPr>
        <w:t xml:space="preserve"> </w:t>
      </w:r>
      <w:r w:rsidR="00A75A8F">
        <w:rPr>
          <w:rFonts w:cs="Calibri"/>
          <w:sz w:val="24"/>
        </w:rPr>
        <w:t xml:space="preserve">and identification of </w:t>
      </w:r>
      <w:r w:rsidR="00A75A8F" w:rsidRPr="00444D7A">
        <w:rPr>
          <w:rFonts w:cs="Calibri"/>
          <w:sz w:val="24"/>
        </w:rPr>
        <w:t xml:space="preserve">similarities and differences between approaches and attitudes of schools in different circumstances. </w:t>
      </w:r>
      <w:r w:rsidR="00A75A8F">
        <w:rPr>
          <w:rFonts w:cs="Calibri"/>
          <w:sz w:val="24"/>
        </w:rPr>
        <w:t>The aim of my interviews is to focus on the actual policy implementation and to explore teachers’ perspectives on the policy</w:t>
      </w:r>
      <w:r w:rsidR="00C04082">
        <w:rPr>
          <w:rFonts w:cs="Calibri"/>
          <w:sz w:val="24"/>
        </w:rPr>
        <w:t>,</w:t>
      </w:r>
      <w:r w:rsidR="00A75A8F">
        <w:rPr>
          <w:rFonts w:cs="Calibri"/>
          <w:sz w:val="24"/>
        </w:rPr>
        <w:t xml:space="preserve"> as well as their identification of any implications for educational equality.  </w:t>
      </w:r>
      <w:r w:rsidR="00A75A8F" w:rsidRPr="00444D7A">
        <w:rPr>
          <w:rFonts w:cs="Calibri"/>
          <w:sz w:val="24"/>
        </w:rPr>
        <w:t xml:space="preserve">Key questions </w:t>
      </w:r>
      <w:r w:rsidR="00D27BF7">
        <w:rPr>
          <w:rFonts w:cs="Calibri"/>
          <w:sz w:val="24"/>
        </w:rPr>
        <w:t xml:space="preserve">(see </w:t>
      </w:r>
      <w:r w:rsidR="00C04082">
        <w:rPr>
          <w:rFonts w:cs="Calibri"/>
          <w:sz w:val="24"/>
        </w:rPr>
        <w:t>A</w:t>
      </w:r>
      <w:r w:rsidR="00D27BF7">
        <w:rPr>
          <w:rFonts w:cs="Calibri"/>
          <w:sz w:val="24"/>
        </w:rPr>
        <w:t>ppendix 6</w:t>
      </w:r>
      <w:r w:rsidR="00A75A8F">
        <w:rPr>
          <w:rFonts w:cs="Calibri"/>
          <w:sz w:val="24"/>
        </w:rPr>
        <w:t xml:space="preserve">) </w:t>
      </w:r>
      <w:r w:rsidR="00A75A8F" w:rsidRPr="00444D7A">
        <w:rPr>
          <w:rFonts w:cs="Calibri"/>
          <w:sz w:val="24"/>
        </w:rPr>
        <w:t>focus on</w:t>
      </w:r>
      <w:r w:rsidR="00A75A8F">
        <w:rPr>
          <w:rFonts w:cs="Calibri"/>
          <w:sz w:val="24"/>
        </w:rPr>
        <w:t>:</w:t>
      </w:r>
      <w:r w:rsidR="00A75A8F" w:rsidRPr="00444D7A">
        <w:rPr>
          <w:rFonts w:cs="Calibri"/>
          <w:sz w:val="24"/>
        </w:rPr>
        <w:t xml:space="preserve"> </w:t>
      </w:r>
    </w:p>
    <w:p w14:paraId="6D6EF886" w14:textId="63620A68" w:rsidR="00C04082" w:rsidRPr="00DE2DC2" w:rsidRDefault="00A75A8F" w:rsidP="00DE2DC2">
      <w:pPr>
        <w:pStyle w:val="ListParagraph"/>
        <w:numPr>
          <w:ilvl w:val="0"/>
          <w:numId w:val="44"/>
        </w:numPr>
        <w:spacing w:after="0" w:line="360" w:lineRule="auto"/>
        <w:rPr>
          <w:rFonts w:cs="Calibri"/>
          <w:sz w:val="24"/>
        </w:rPr>
      </w:pPr>
      <w:r w:rsidRPr="00EE13EA">
        <w:rPr>
          <w:sz w:val="24"/>
        </w:rPr>
        <w:t xml:space="preserve">how the </w:t>
      </w:r>
      <w:r w:rsidR="00D512DB">
        <w:rPr>
          <w:sz w:val="24"/>
        </w:rPr>
        <w:t>teachers</w:t>
      </w:r>
      <w:r w:rsidRPr="00EE13EA">
        <w:rPr>
          <w:sz w:val="24"/>
        </w:rPr>
        <w:t xml:space="preserve"> perceive the EBac policy to have been interpreted and applied within their school </w:t>
      </w:r>
    </w:p>
    <w:p w14:paraId="3C309C37" w14:textId="52EAD12C" w:rsidR="00C04082" w:rsidRPr="00DE2DC2" w:rsidRDefault="00A75A8F" w:rsidP="00DE2DC2">
      <w:pPr>
        <w:pStyle w:val="ListParagraph"/>
        <w:numPr>
          <w:ilvl w:val="0"/>
          <w:numId w:val="44"/>
        </w:numPr>
        <w:spacing w:after="0" w:line="360" w:lineRule="auto"/>
        <w:rPr>
          <w:rFonts w:cs="Calibri"/>
          <w:sz w:val="24"/>
        </w:rPr>
      </w:pPr>
      <w:r w:rsidRPr="00EE13EA">
        <w:rPr>
          <w:sz w:val="24"/>
        </w:rPr>
        <w:t xml:space="preserve">the school and </w:t>
      </w:r>
      <w:r w:rsidR="00D512DB">
        <w:rPr>
          <w:sz w:val="24"/>
        </w:rPr>
        <w:t>teacher</w:t>
      </w:r>
      <w:r w:rsidRPr="00EE13EA">
        <w:rPr>
          <w:sz w:val="24"/>
        </w:rPr>
        <w:t xml:space="preserve"> approach and response to the EBac </w:t>
      </w:r>
    </w:p>
    <w:p w14:paraId="1E92EA13" w14:textId="35820935" w:rsidR="00C04082" w:rsidRPr="00DE2DC2" w:rsidRDefault="00A75A8F" w:rsidP="00DE2DC2">
      <w:pPr>
        <w:pStyle w:val="ListParagraph"/>
        <w:numPr>
          <w:ilvl w:val="0"/>
          <w:numId w:val="44"/>
        </w:numPr>
        <w:spacing w:after="0" w:line="360" w:lineRule="auto"/>
        <w:rPr>
          <w:rFonts w:cs="Calibri"/>
          <w:sz w:val="24"/>
        </w:rPr>
      </w:pPr>
      <w:r w:rsidRPr="00EE13EA">
        <w:rPr>
          <w:sz w:val="24"/>
        </w:rPr>
        <w:t xml:space="preserve">the pressures that the EBac has generated - both internal and external to the school </w:t>
      </w:r>
    </w:p>
    <w:p w14:paraId="4C7F9297" w14:textId="58A81988" w:rsidR="00C04082" w:rsidRPr="00DE2DC2" w:rsidRDefault="00A75A8F" w:rsidP="00DE2DC2">
      <w:pPr>
        <w:pStyle w:val="ListParagraph"/>
        <w:numPr>
          <w:ilvl w:val="0"/>
          <w:numId w:val="44"/>
        </w:numPr>
        <w:spacing w:after="0" w:line="360" w:lineRule="auto"/>
        <w:rPr>
          <w:rFonts w:cs="Calibri"/>
          <w:sz w:val="24"/>
        </w:rPr>
      </w:pPr>
      <w:r w:rsidRPr="00EE13EA">
        <w:rPr>
          <w:sz w:val="24"/>
        </w:rPr>
        <w:t xml:space="preserve">the perceived and actual impact of the EBac on the curriculum; </w:t>
      </w:r>
    </w:p>
    <w:p w14:paraId="6A50B8DB" w14:textId="463B05F1" w:rsidR="00C04082" w:rsidRPr="00DE2DC2" w:rsidRDefault="00A75A8F" w:rsidP="00DE2DC2">
      <w:pPr>
        <w:pStyle w:val="ListParagraph"/>
        <w:numPr>
          <w:ilvl w:val="0"/>
          <w:numId w:val="44"/>
        </w:numPr>
        <w:spacing w:after="0" w:line="360" w:lineRule="auto"/>
        <w:rPr>
          <w:rFonts w:cs="Calibri"/>
          <w:sz w:val="24"/>
        </w:rPr>
      </w:pPr>
      <w:r w:rsidRPr="00EE13EA">
        <w:rPr>
          <w:sz w:val="24"/>
        </w:rPr>
        <w:t xml:space="preserve">the EBac effect on student subject choice and progression routes </w:t>
      </w:r>
    </w:p>
    <w:p w14:paraId="0E8A8616" w14:textId="224E05AC" w:rsidR="00C04082" w:rsidRDefault="00A75A8F" w:rsidP="00DE2DC2">
      <w:pPr>
        <w:pStyle w:val="ListParagraph"/>
        <w:numPr>
          <w:ilvl w:val="0"/>
          <w:numId w:val="44"/>
        </w:numPr>
        <w:spacing w:after="0" w:line="360" w:lineRule="auto"/>
        <w:rPr>
          <w:rFonts w:cs="Calibri"/>
          <w:sz w:val="24"/>
        </w:rPr>
      </w:pPr>
      <w:r w:rsidRPr="00EE13EA">
        <w:rPr>
          <w:sz w:val="24"/>
        </w:rPr>
        <w:t>views on the potential winners and losers from EBac policy</w:t>
      </w:r>
      <w:r w:rsidR="00C04082">
        <w:rPr>
          <w:rFonts w:cs="Calibri"/>
          <w:sz w:val="24"/>
        </w:rPr>
        <w:t xml:space="preserve">, </w:t>
      </w:r>
      <w:r w:rsidRPr="00651CEA">
        <w:rPr>
          <w:sz w:val="24"/>
        </w:rPr>
        <w:t>draw</w:t>
      </w:r>
      <w:r w:rsidRPr="00EE13EA">
        <w:rPr>
          <w:sz w:val="24"/>
        </w:rPr>
        <w:t xml:space="preserve">ing out thoughts on any equality issues that they feel have arisen </w:t>
      </w:r>
    </w:p>
    <w:p w14:paraId="3CAFAE50" w14:textId="2155D3C1" w:rsidR="00A75A8F" w:rsidRPr="00EE13EA" w:rsidRDefault="00A75A8F" w:rsidP="00C04082">
      <w:pPr>
        <w:spacing w:after="0" w:line="360" w:lineRule="auto"/>
        <w:rPr>
          <w:sz w:val="24"/>
        </w:rPr>
      </w:pPr>
      <w:r w:rsidRPr="00651CEA">
        <w:rPr>
          <w:sz w:val="24"/>
        </w:rPr>
        <w:t>I address</w:t>
      </w:r>
      <w:r w:rsidR="00C04082">
        <w:rPr>
          <w:rFonts w:cs="Calibri"/>
          <w:sz w:val="24"/>
        </w:rPr>
        <w:t>ed</w:t>
      </w:r>
      <w:r w:rsidRPr="00651CEA">
        <w:rPr>
          <w:sz w:val="24"/>
        </w:rPr>
        <w:t xml:space="preserve"> my second and third research questions in the interviews</w:t>
      </w:r>
      <w:r w:rsidR="00C04082">
        <w:rPr>
          <w:rFonts w:cs="Calibri"/>
          <w:sz w:val="24"/>
        </w:rPr>
        <w:t>,</w:t>
      </w:r>
      <w:r w:rsidRPr="00651CEA">
        <w:rPr>
          <w:sz w:val="24"/>
        </w:rPr>
        <w:t xml:space="preserve"> as well as allowing space for my interviewees to expand on points and to highlight areas of per</w:t>
      </w:r>
      <w:r w:rsidRPr="00EE13EA">
        <w:rPr>
          <w:sz w:val="24"/>
        </w:rPr>
        <w:t>sonal importance.</w:t>
      </w:r>
    </w:p>
    <w:p w14:paraId="3ABF02DD" w14:textId="77777777" w:rsidR="00A75A8F" w:rsidRPr="00444D7A" w:rsidRDefault="00A75A8F" w:rsidP="00A75A8F">
      <w:pPr>
        <w:spacing w:after="0" w:line="360" w:lineRule="auto"/>
        <w:rPr>
          <w:rFonts w:cs="Calibri"/>
          <w:sz w:val="24"/>
        </w:rPr>
      </w:pPr>
    </w:p>
    <w:p w14:paraId="4CDD9CEB" w14:textId="771740F2" w:rsidR="00A75A8F" w:rsidRPr="00444D7A" w:rsidRDefault="00A75A8F" w:rsidP="00A75A8F">
      <w:pPr>
        <w:tabs>
          <w:tab w:val="left" w:pos="8647"/>
        </w:tabs>
        <w:spacing w:after="0" w:line="360" w:lineRule="auto"/>
        <w:rPr>
          <w:rFonts w:cs="Calibri"/>
          <w:sz w:val="24"/>
        </w:rPr>
      </w:pPr>
      <w:r w:rsidRPr="00444D7A">
        <w:rPr>
          <w:rFonts w:cs="Calibri"/>
          <w:sz w:val="24"/>
        </w:rPr>
        <w:t xml:space="preserve">There are a number of potential problems with semi-structured interviews, including the skill and confidence of the interviewer (Verma </w:t>
      </w:r>
      <w:r w:rsidR="00C04082">
        <w:rPr>
          <w:rFonts w:cs="Calibri"/>
          <w:sz w:val="24"/>
        </w:rPr>
        <w:t>and</w:t>
      </w:r>
      <w:r w:rsidRPr="00444D7A">
        <w:rPr>
          <w:rFonts w:cs="Calibri"/>
          <w:sz w:val="24"/>
        </w:rPr>
        <w:t xml:space="preserve"> Mallick</w:t>
      </w:r>
      <w:r w:rsidR="00C04082">
        <w:rPr>
          <w:rFonts w:cs="Calibri"/>
          <w:sz w:val="24"/>
        </w:rPr>
        <w:t>,</w:t>
      </w:r>
      <w:r w:rsidRPr="00444D7A">
        <w:rPr>
          <w:rFonts w:cs="Calibri"/>
          <w:sz w:val="24"/>
        </w:rPr>
        <w:t xml:space="preserve"> 1999), the possibility that </w:t>
      </w:r>
      <w:r w:rsidRPr="00444D7A">
        <w:rPr>
          <w:rFonts w:cs="Calibri"/>
          <w:sz w:val="24"/>
        </w:rPr>
        <w:lastRenderedPageBreak/>
        <w:t>researcher bias enter</w:t>
      </w:r>
      <w:r>
        <w:rPr>
          <w:rFonts w:cs="Calibri"/>
          <w:sz w:val="24"/>
        </w:rPr>
        <w:t>s</w:t>
      </w:r>
      <w:r w:rsidRPr="00444D7A">
        <w:rPr>
          <w:rFonts w:cs="Calibri"/>
          <w:sz w:val="24"/>
        </w:rPr>
        <w:t xml:space="preserve"> the interview, particularly with the more fluid nature of the interview schedule (Opie</w:t>
      </w:r>
      <w:r w:rsidR="00C04082">
        <w:rPr>
          <w:rFonts w:cs="Calibri"/>
          <w:sz w:val="24"/>
        </w:rPr>
        <w:t>,</w:t>
      </w:r>
      <w:r w:rsidRPr="00444D7A">
        <w:rPr>
          <w:rFonts w:cs="Calibri"/>
          <w:sz w:val="24"/>
        </w:rPr>
        <w:t xml:space="preserve"> 2004), and the issue of </w:t>
      </w:r>
      <w:r>
        <w:rPr>
          <w:rFonts w:cs="Calibri"/>
          <w:sz w:val="24"/>
        </w:rPr>
        <w:t xml:space="preserve">how to </w:t>
      </w:r>
      <w:r w:rsidRPr="00444D7A">
        <w:rPr>
          <w:rFonts w:cs="Calibri"/>
          <w:sz w:val="24"/>
        </w:rPr>
        <w:t xml:space="preserve">record and </w:t>
      </w:r>
      <w:r>
        <w:rPr>
          <w:rFonts w:cs="Calibri"/>
          <w:sz w:val="24"/>
        </w:rPr>
        <w:t xml:space="preserve">how much </w:t>
      </w:r>
      <w:r w:rsidRPr="00444D7A">
        <w:rPr>
          <w:rFonts w:cs="Calibri"/>
          <w:sz w:val="24"/>
        </w:rPr>
        <w:t xml:space="preserve">content </w:t>
      </w:r>
      <w:r>
        <w:rPr>
          <w:rFonts w:cs="Calibri"/>
          <w:sz w:val="24"/>
        </w:rPr>
        <w:t xml:space="preserve">to </w:t>
      </w:r>
      <w:r w:rsidRPr="00444D7A">
        <w:rPr>
          <w:rFonts w:cs="Calibri"/>
          <w:sz w:val="24"/>
        </w:rPr>
        <w:t>transcr</w:t>
      </w:r>
      <w:r>
        <w:rPr>
          <w:rFonts w:cs="Calibri"/>
          <w:sz w:val="24"/>
        </w:rPr>
        <w:t>ibe</w:t>
      </w:r>
      <w:r w:rsidRPr="00444D7A">
        <w:rPr>
          <w:rFonts w:cs="Calibri"/>
          <w:sz w:val="24"/>
        </w:rPr>
        <w:t xml:space="preserve"> (Wellington 2000).  My approach </w:t>
      </w:r>
      <w:r w:rsidR="00C04082">
        <w:rPr>
          <w:rFonts w:cs="Calibri"/>
          <w:sz w:val="24"/>
        </w:rPr>
        <w:t>wa</w:t>
      </w:r>
      <w:r>
        <w:rPr>
          <w:rFonts w:cs="Calibri"/>
          <w:sz w:val="24"/>
        </w:rPr>
        <w:t>s</w:t>
      </w:r>
      <w:r w:rsidRPr="00444D7A">
        <w:rPr>
          <w:rFonts w:cs="Calibri"/>
          <w:sz w:val="24"/>
        </w:rPr>
        <w:t xml:space="preserve"> to</w:t>
      </w:r>
      <w:r>
        <w:rPr>
          <w:rFonts w:cs="Calibri"/>
          <w:sz w:val="24"/>
        </w:rPr>
        <w:t xml:space="preserve"> </w:t>
      </w:r>
      <w:r w:rsidRPr="00444D7A">
        <w:rPr>
          <w:rFonts w:cs="Calibri"/>
          <w:sz w:val="24"/>
        </w:rPr>
        <w:t>tape record each interview (with full permission) a</w:t>
      </w:r>
      <w:r>
        <w:rPr>
          <w:rFonts w:cs="Calibri"/>
          <w:sz w:val="24"/>
        </w:rPr>
        <w:t xml:space="preserve">nd take </w:t>
      </w:r>
      <w:r w:rsidRPr="00444D7A">
        <w:rPr>
          <w:rFonts w:cs="Calibri"/>
          <w:sz w:val="24"/>
        </w:rPr>
        <w:t>brief notes at the time</w:t>
      </w:r>
      <w:r>
        <w:rPr>
          <w:rFonts w:cs="Calibri"/>
          <w:sz w:val="24"/>
        </w:rPr>
        <w:t xml:space="preserve">. </w:t>
      </w:r>
      <w:r w:rsidRPr="00444D7A">
        <w:rPr>
          <w:rFonts w:cs="Calibri"/>
          <w:sz w:val="24"/>
        </w:rPr>
        <w:t>Wellington</w:t>
      </w:r>
      <w:r>
        <w:rPr>
          <w:rFonts w:cs="Calibri"/>
          <w:sz w:val="24"/>
        </w:rPr>
        <w:t xml:space="preserve"> </w:t>
      </w:r>
      <w:r w:rsidR="00D714D7">
        <w:rPr>
          <w:rFonts w:cs="Calibri"/>
          <w:sz w:val="24"/>
        </w:rPr>
        <w:t>provides a</w:t>
      </w:r>
      <w:r w:rsidRPr="00444D7A">
        <w:rPr>
          <w:rFonts w:cs="Calibri"/>
          <w:sz w:val="24"/>
        </w:rPr>
        <w:t xml:space="preserve"> list</w:t>
      </w:r>
      <w:r w:rsidR="00D714D7">
        <w:rPr>
          <w:rFonts w:cs="Calibri"/>
          <w:sz w:val="24"/>
        </w:rPr>
        <w:t xml:space="preserve"> of strengths and weaknesses</w:t>
      </w:r>
      <w:r w:rsidRPr="00444D7A">
        <w:rPr>
          <w:rFonts w:cs="Calibri"/>
          <w:sz w:val="24"/>
        </w:rPr>
        <w:t xml:space="preserve"> </w:t>
      </w:r>
      <w:r>
        <w:rPr>
          <w:rFonts w:cs="Calibri"/>
          <w:sz w:val="24"/>
        </w:rPr>
        <w:t>of</w:t>
      </w:r>
      <w:r w:rsidRPr="00444D7A">
        <w:rPr>
          <w:rFonts w:cs="Calibri"/>
          <w:sz w:val="24"/>
        </w:rPr>
        <w:t xml:space="preserve"> tape recording (p.86)</w:t>
      </w:r>
      <w:r w:rsidR="00D714D7">
        <w:rPr>
          <w:rFonts w:cs="Calibri"/>
          <w:sz w:val="24"/>
        </w:rPr>
        <w:t>. This approach allowed</w:t>
      </w:r>
      <w:r>
        <w:rPr>
          <w:rFonts w:cs="Calibri"/>
          <w:sz w:val="24"/>
        </w:rPr>
        <w:t xml:space="preserve"> me to “concentrate, to maintain eye contact” and to give my attention to the conversation along with preser</w:t>
      </w:r>
      <w:r w:rsidR="00D714D7">
        <w:rPr>
          <w:rFonts w:cs="Calibri"/>
          <w:sz w:val="24"/>
        </w:rPr>
        <w:t>ving the “natural language”, outweighing</w:t>
      </w:r>
      <w:r>
        <w:rPr>
          <w:rFonts w:cs="Calibri"/>
          <w:sz w:val="24"/>
        </w:rPr>
        <w:t xml:space="preserve"> the </w:t>
      </w:r>
      <w:r w:rsidR="00D714D7">
        <w:rPr>
          <w:rFonts w:cs="Calibri"/>
          <w:sz w:val="24"/>
        </w:rPr>
        <w:t xml:space="preserve">potential issues of the </w:t>
      </w:r>
      <w:r>
        <w:rPr>
          <w:rFonts w:cs="Calibri"/>
          <w:sz w:val="24"/>
        </w:rPr>
        <w:t>amount of data generated and the possibility of the machine causing</w:t>
      </w:r>
      <w:r w:rsidR="007945A2">
        <w:rPr>
          <w:rFonts w:cs="Calibri"/>
          <w:sz w:val="24"/>
        </w:rPr>
        <w:t xml:space="preserve"> </w:t>
      </w:r>
      <w:r>
        <w:rPr>
          <w:rFonts w:cs="Calibri"/>
          <w:sz w:val="24"/>
        </w:rPr>
        <w:t>“anxiety”</w:t>
      </w:r>
      <w:r w:rsidR="007945A2">
        <w:rPr>
          <w:rFonts w:cs="Calibri"/>
          <w:sz w:val="24"/>
        </w:rPr>
        <w:t xml:space="preserve"> (p.86)</w:t>
      </w:r>
      <w:r>
        <w:rPr>
          <w:rFonts w:cs="Calibri"/>
          <w:sz w:val="24"/>
        </w:rPr>
        <w:t>.</w:t>
      </w:r>
      <w:r w:rsidRPr="00444D7A">
        <w:rPr>
          <w:rFonts w:cs="Calibri"/>
          <w:sz w:val="24"/>
        </w:rPr>
        <w:t xml:space="preserve"> Cousin discusses the vital role that listening plays in any interview, arguing that the “best kind of interviewer is said to know how to listen”, (</w:t>
      </w:r>
      <w:r>
        <w:rPr>
          <w:rFonts w:cs="Calibri"/>
          <w:sz w:val="24"/>
        </w:rPr>
        <w:t xml:space="preserve">2009, </w:t>
      </w:r>
      <w:r w:rsidRPr="00444D7A">
        <w:rPr>
          <w:rFonts w:cs="Calibri"/>
          <w:sz w:val="24"/>
        </w:rPr>
        <w:t xml:space="preserve">p.75). This is a skill </w:t>
      </w:r>
      <w:r>
        <w:rPr>
          <w:rFonts w:cs="Calibri"/>
          <w:sz w:val="24"/>
        </w:rPr>
        <w:t xml:space="preserve">I have developed through </w:t>
      </w:r>
      <w:r w:rsidRPr="00444D7A">
        <w:rPr>
          <w:rFonts w:cs="Calibri"/>
          <w:sz w:val="24"/>
        </w:rPr>
        <w:t xml:space="preserve">my professional role </w:t>
      </w:r>
      <w:r>
        <w:rPr>
          <w:rFonts w:cs="Calibri"/>
          <w:sz w:val="24"/>
        </w:rPr>
        <w:t>and previous interviewing experience. The</w:t>
      </w:r>
      <w:r w:rsidRPr="00444D7A">
        <w:rPr>
          <w:rFonts w:cs="Calibri"/>
          <w:sz w:val="24"/>
        </w:rPr>
        <w:t xml:space="preserve"> interview schedule </w:t>
      </w:r>
      <w:r>
        <w:rPr>
          <w:rFonts w:cs="Calibri"/>
          <w:sz w:val="24"/>
        </w:rPr>
        <w:t>allows the discussion to be</w:t>
      </w:r>
      <w:r w:rsidRPr="00444D7A">
        <w:rPr>
          <w:rFonts w:cs="Calibri"/>
          <w:sz w:val="24"/>
        </w:rPr>
        <w:t xml:space="preserve"> planned and considered in advance</w:t>
      </w:r>
      <w:r>
        <w:rPr>
          <w:rFonts w:cs="Calibri"/>
          <w:sz w:val="24"/>
        </w:rPr>
        <w:t xml:space="preserve"> and ensures </w:t>
      </w:r>
      <w:r w:rsidR="00C04082">
        <w:rPr>
          <w:rFonts w:cs="Calibri"/>
          <w:sz w:val="24"/>
        </w:rPr>
        <w:t xml:space="preserve">that </w:t>
      </w:r>
      <w:r>
        <w:rPr>
          <w:rFonts w:cs="Calibri"/>
          <w:sz w:val="24"/>
        </w:rPr>
        <w:t>I cover a similar range of points within each interview.</w:t>
      </w:r>
    </w:p>
    <w:p w14:paraId="6CD9CBE5" w14:textId="77777777" w:rsidR="00A75A8F" w:rsidRDefault="00A75A8F" w:rsidP="00A75A8F">
      <w:pPr>
        <w:spacing w:after="0" w:line="360" w:lineRule="auto"/>
        <w:rPr>
          <w:rFonts w:cs="Calibri"/>
          <w:sz w:val="24"/>
        </w:rPr>
      </w:pPr>
    </w:p>
    <w:p w14:paraId="5BD850D1" w14:textId="46BE5901" w:rsidR="000D27B4" w:rsidRPr="00444D7A" w:rsidRDefault="00A75A8F" w:rsidP="003A47A6">
      <w:pPr>
        <w:tabs>
          <w:tab w:val="left" w:pos="8647"/>
        </w:tabs>
        <w:spacing w:line="360" w:lineRule="auto"/>
        <w:rPr>
          <w:rFonts w:cs="Calibri"/>
          <w:sz w:val="24"/>
        </w:rPr>
      </w:pPr>
      <w:r w:rsidRPr="00444D7A">
        <w:rPr>
          <w:rFonts w:cs="Calibri"/>
          <w:sz w:val="24"/>
        </w:rPr>
        <w:t xml:space="preserve">Wellington (2000) provides a list of stages </w:t>
      </w:r>
      <w:r w:rsidR="00C04082">
        <w:rPr>
          <w:rFonts w:cs="Calibri"/>
          <w:sz w:val="24"/>
        </w:rPr>
        <w:t>for</w:t>
      </w:r>
      <w:r w:rsidRPr="00444D7A">
        <w:rPr>
          <w:rFonts w:cs="Calibri"/>
          <w:sz w:val="24"/>
        </w:rPr>
        <w:t xml:space="preserve"> preparing and carrying out interviews</w:t>
      </w:r>
      <w:r w:rsidR="00C04082">
        <w:rPr>
          <w:rFonts w:cs="Calibri"/>
          <w:sz w:val="24"/>
        </w:rPr>
        <w:t>,</w:t>
      </w:r>
      <w:r w:rsidRPr="00444D7A">
        <w:rPr>
          <w:rFonts w:cs="Calibri"/>
          <w:sz w:val="24"/>
        </w:rPr>
        <w:t xml:space="preserve"> which includes guidance in preparing the schedule, piloting, selecting the sample and the actual interview itself (p.78). </w:t>
      </w:r>
      <w:r>
        <w:rPr>
          <w:rFonts w:cs="Calibri"/>
          <w:sz w:val="24"/>
        </w:rPr>
        <w:t>T</w:t>
      </w:r>
      <w:r w:rsidRPr="00444D7A">
        <w:rPr>
          <w:rFonts w:cs="Calibri"/>
          <w:sz w:val="24"/>
        </w:rPr>
        <w:t xml:space="preserve">his guidance </w:t>
      </w:r>
      <w:r>
        <w:rPr>
          <w:rFonts w:cs="Calibri"/>
          <w:sz w:val="24"/>
        </w:rPr>
        <w:t xml:space="preserve">was incorporated </w:t>
      </w:r>
      <w:r w:rsidRPr="00444D7A">
        <w:rPr>
          <w:rFonts w:cs="Calibri"/>
          <w:sz w:val="24"/>
        </w:rPr>
        <w:t>into my pilot interviews and research interviews</w:t>
      </w:r>
      <w:r>
        <w:rPr>
          <w:rFonts w:cs="Calibri"/>
          <w:sz w:val="24"/>
        </w:rPr>
        <w:t>.</w:t>
      </w:r>
      <w:r w:rsidRPr="00444D7A">
        <w:rPr>
          <w:rFonts w:cs="Calibri"/>
          <w:sz w:val="24"/>
        </w:rPr>
        <w:t xml:space="preserve"> Verma </w:t>
      </w:r>
      <w:r w:rsidR="00C04082">
        <w:rPr>
          <w:rFonts w:cs="Calibri"/>
          <w:sz w:val="24"/>
        </w:rPr>
        <w:t>and</w:t>
      </w:r>
      <w:r w:rsidRPr="00444D7A">
        <w:rPr>
          <w:rFonts w:cs="Calibri"/>
          <w:sz w:val="24"/>
        </w:rPr>
        <w:t xml:space="preserve"> Mallick (1999) suggest using a flow chart format for the interview schedule so that potential issues are considered and anticipated before the interviews take place, accepting that reflection after each interview may also lead to amendments of this schedule. </w:t>
      </w:r>
      <w:r>
        <w:rPr>
          <w:rFonts w:cs="Calibri"/>
          <w:sz w:val="24"/>
        </w:rPr>
        <w:t xml:space="preserve">I wrote my questions under key headings and found that I was able to move between sections and questions easily. My respondents </w:t>
      </w:r>
      <w:r w:rsidR="00C04082">
        <w:rPr>
          <w:rFonts w:cs="Calibri"/>
          <w:sz w:val="24"/>
        </w:rPr>
        <w:t>did</w:t>
      </w:r>
      <w:r>
        <w:rPr>
          <w:rFonts w:cs="Calibri"/>
          <w:sz w:val="24"/>
        </w:rPr>
        <w:t xml:space="preserve"> not always address</w:t>
      </w:r>
      <w:r w:rsidR="00C04082">
        <w:rPr>
          <w:rFonts w:cs="Calibri"/>
          <w:sz w:val="24"/>
        </w:rPr>
        <w:t xml:space="preserve"> </w:t>
      </w:r>
      <w:r>
        <w:rPr>
          <w:rFonts w:cs="Calibri"/>
          <w:sz w:val="24"/>
        </w:rPr>
        <w:t>the same questions at the same point in each interview</w:t>
      </w:r>
      <w:r w:rsidR="00C04082">
        <w:rPr>
          <w:rFonts w:cs="Calibri"/>
          <w:sz w:val="24"/>
        </w:rPr>
        <w:t>,</w:t>
      </w:r>
      <w:r>
        <w:rPr>
          <w:rFonts w:cs="Calibri"/>
          <w:sz w:val="24"/>
        </w:rPr>
        <w:t xml:space="preserve"> but this approach did allow for the conversation to flow more naturally. </w:t>
      </w:r>
      <w:r w:rsidRPr="00444D7A">
        <w:rPr>
          <w:rFonts w:cs="Calibri"/>
          <w:sz w:val="24"/>
        </w:rPr>
        <w:t>I</w:t>
      </w:r>
      <w:r>
        <w:rPr>
          <w:rFonts w:cs="Calibri"/>
          <w:sz w:val="24"/>
        </w:rPr>
        <w:t xml:space="preserve"> </w:t>
      </w:r>
      <w:r w:rsidR="00E01911">
        <w:rPr>
          <w:rFonts w:cs="Calibri"/>
          <w:sz w:val="24"/>
        </w:rPr>
        <w:t>now discuss</w:t>
      </w:r>
      <w:r w:rsidRPr="00444D7A">
        <w:rPr>
          <w:rFonts w:cs="Calibri"/>
          <w:sz w:val="24"/>
        </w:rPr>
        <w:t xml:space="preserve"> </w:t>
      </w:r>
      <w:r w:rsidR="00D512DB">
        <w:rPr>
          <w:rFonts w:cs="Calibri"/>
          <w:sz w:val="24"/>
        </w:rPr>
        <w:t>my pilot study in</w:t>
      </w:r>
      <w:r w:rsidRPr="00444D7A">
        <w:rPr>
          <w:rFonts w:cs="Calibri"/>
          <w:sz w:val="24"/>
        </w:rPr>
        <w:t xml:space="preserve"> more detail.</w:t>
      </w:r>
    </w:p>
    <w:p w14:paraId="14354537" w14:textId="705BB531" w:rsidR="00A75A8F" w:rsidRPr="00444D7A" w:rsidRDefault="00A75A8F" w:rsidP="00531995">
      <w:pPr>
        <w:pStyle w:val="Heading3"/>
      </w:pPr>
      <w:bookmarkStart w:id="54" w:name="_Toc452316338"/>
      <w:r w:rsidRPr="00444D7A">
        <w:t>3.</w:t>
      </w:r>
      <w:r w:rsidR="004D2464">
        <w:t>5</w:t>
      </w:r>
      <w:r>
        <w:t>.</w:t>
      </w:r>
      <w:r w:rsidR="004D2464">
        <w:t>7</w:t>
      </w:r>
      <w:r w:rsidR="00030F2A">
        <w:t xml:space="preserve"> </w:t>
      </w:r>
      <w:r w:rsidRPr="00444D7A">
        <w:t>Pilot study</w:t>
      </w:r>
      <w:r w:rsidR="00C04082" w:rsidRPr="00DE2DC2">
        <w:t xml:space="preserve"> </w:t>
      </w:r>
      <w:r w:rsidR="00C04082">
        <w:t>of</w:t>
      </w:r>
      <w:r w:rsidRPr="00444D7A">
        <w:t xml:space="preserve"> </w:t>
      </w:r>
      <w:r w:rsidR="00C04082">
        <w:t>s</w:t>
      </w:r>
      <w:r w:rsidRPr="00444D7A">
        <w:t>emi-structured interviews</w:t>
      </w:r>
      <w:bookmarkEnd w:id="54"/>
    </w:p>
    <w:p w14:paraId="3DC20BF5" w14:textId="666B5C6A" w:rsidR="00A75A8F" w:rsidRPr="003A47A6" w:rsidRDefault="00A75A8F" w:rsidP="003A47A6">
      <w:pPr>
        <w:tabs>
          <w:tab w:val="left" w:pos="8505"/>
        </w:tabs>
        <w:spacing w:line="360" w:lineRule="auto"/>
        <w:rPr>
          <w:rFonts w:cs="Calibri"/>
          <w:i/>
          <w:sz w:val="24"/>
          <w:szCs w:val="24"/>
        </w:rPr>
      </w:pPr>
      <w:r w:rsidRPr="00444D7A">
        <w:rPr>
          <w:rFonts w:cs="Calibri"/>
          <w:sz w:val="24"/>
        </w:rPr>
        <w:t>A full pilot study of the semi-structured interview schedule and recording equipment w</w:t>
      </w:r>
      <w:r>
        <w:rPr>
          <w:rFonts w:cs="Calibri"/>
          <w:sz w:val="24"/>
        </w:rPr>
        <w:t>as</w:t>
      </w:r>
      <w:r w:rsidRPr="00444D7A">
        <w:rPr>
          <w:rFonts w:cs="Calibri"/>
          <w:sz w:val="24"/>
        </w:rPr>
        <w:t xml:space="preserve"> carried out </w:t>
      </w:r>
      <w:r>
        <w:rPr>
          <w:rFonts w:cs="Calibri"/>
          <w:sz w:val="24"/>
        </w:rPr>
        <w:t xml:space="preserve">with </w:t>
      </w:r>
      <w:r w:rsidRPr="00444D7A">
        <w:rPr>
          <w:rFonts w:cs="Calibri"/>
          <w:sz w:val="24"/>
        </w:rPr>
        <w:t>o</w:t>
      </w:r>
      <w:r>
        <w:rPr>
          <w:rFonts w:cs="Calibri"/>
          <w:sz w:val="24"/>
        </w:rPr>
        <w:t>ne sec</w:t>
      </w:r>
      <w:r w:rsidR="00E70BCB">
        <w:rPr>
          <w:rFonts w:cs="Calibri"/>
          <w:sz w:val="24"/>
        </w:rPr>
        <w:t xml:space="preserve">ondary school </w:t>
      </w:r>
      <w:r w:rsidR="00C04082">
        <w:rPr>
          <w:rFonts w:cs="Calibri"/>
          <w:sz w:val="24"/>
        </w:rPr>
        <w:t>d</w:t>
      </w:r>
      <w:r w:rsidR="00E70BCB">
        <w:rPr>
          <w:rFonts w:cs="Calibri"/>
          <w:sz w:val="24"/>
        </w:rPr>
        <w:t>eputy</w:t>
      </w:r>
      <w:r>
        <w:rPr>
          <w:rFonts w:cs="Calibri"/>
          <w:sz w:val="24"/>
        </w:rPr>
        <w:t xml:space="preserve"> before the main interviews</w:t>
      </w:r>
      <w:r w:rsidRPr="00444D7A">
        <w:rPr>
          <w:rFonts w:cs="Calibri"/>
          <w:sz w:val="24"/>
        </w:rPr>
        <w:t>. This allow</w:t>
      </w:r>
      <w:r>
        <w:rPr>
          <w:rFonts w:cs="Calibri"/>
          <w:sz w:val="24"/>
        </w:rPr>
        <w:t>ed</w:t>
      </w:r>
      <w:r w:rsidRPr="00444D7A">
        <w:rPr>
          <w:rFonts w:cs="Calibri"/>
          <w:sz w:val="24"/>
        </w:rPr>
        <w:t xml:space="preserve"> </w:t>
      </w:r>
      <w:r w:rsidR="00C04082">
        <w:rPr>
          <w:rFonts w:cs="Calibri"/>
          <w:sz w:val="24"/>
        </w:rPr>
        <w:t xml:space="preserve">for </w:t>
      </w:r>
      <w:r w:rsidRPr="00444D7A">
        <w:rPr>
          <w:rFonts w:cs="Calibri"/>
          <w:sz w:val="24"/>
        </w:rPr>
        <w:t xml:space="preserve">reflection and feedback on the interview process </w:t>
      </w:r>
      <w:r>
        <w:rPr>
          <w:rFonts w:cs="Calibri"/>
          <w:sz w:val="24"/>
        </w:rPr>
        <w:t>itself</w:t>
      </w:r>
      <w:r w:rsidR="00C04082">
        <w:rPr>
          <w:rFonts w:cs="Calibri"/>
          <w:sz w:val="24"/>
        </w:rPr>
        <w:t>,</w:t>
      </w:r>
      <w:r>
        <w:rPr>
          <w:rFonts w:cs="Calibri"/>
          <w:sz w:val="24"/>
        </w:rPr>
        <w:t xml:space="preserve"> </w:t>
      </w:r>
      <w:r w:rsidRPr="00444D7A">
        <w:rPr>
          <w:rFonts w:cs="Calibri"/>
          <w:sz w:val="24"/>
        </w:rPr>
        <w:t xml:space="preserve">as well as </w:t>
      </w:r>
      <w:r>
        <w:rPr>
          <w:rFonts w:cs="Calibri"/>
          <w:sz w:val="24"/>
        </w:rPr>
        <w:t xml:space="preserve">providing pilot </w:t>
      </w:r>
      <w:r w:rsidRPr="00444D7A">
        <w:rPr>
          <w:rFonts w:cs="Calibri"/>
          <w:sz w:val="24"/>
        </w:rPr>
        <w:t xml:space="preserve">data </w:t>
      </w:r>
      <w:r>
        <w:rPr>
          <w:rFonts w:cs="Calibri"/>
          <w:sz w:val="24"/>
        </w:rPr>
        <w:t xml:space="preserve">for </w:t>
      </w:r>
      <w:r w:rsidRPr="00444D7A">
        <w:rPr>
          <w:rFonts w:cs="Calibri"/>
          <w:sz w:val="24"/>
        </w:rPr>
        <w:t>analysis before refining my procedure, process, questions</w:t>
      </w:r>
      <w:r w:rsidR="00C04082">
        <w:rPr>
          <w:rFonts w:cs="Calibri"/>
          <w:sz w:val="24"/>
        </w:rPr>
        <w:t>,</w:t>
      </w:r>
      <w:r w:rsidRPr="00444D7A">
        <w:rPr>
          <w:rFonts w:cs="Calibri"/>
          <w:sz w:val="24"/>
        </w:rPr>
        <w:t xml:space="preserve"> and analysis. </w:t>
      </w:r>
      <w:r>
        <w:rPr>
          <w:rFonts w:cs="Calibri"/>
          <w:sz w:val="24"/>
        </w:rPr>
        <w:t xml:space="preserve">I </w:t>
      </w:r>
      <w:r w:rsidRPr="00444D7A">
        <w:rPr>
          <w:rFonts w:cs="Calibri"/>
          <w:sz w:val="24"/>
        </w:rPr>
        <w:t>reflect</w:t>
      </w:r>
      <w:r>
        <w:rPr>
          <w:rFonts w:cs="Calibri"/>
          <w:sz w:val="24"/>
        </w:rPr>
        <w:t>ed</w:t>
      </w:r>
      <w:r w:rsidRPr="00444D7A">
        <w:rPr>
          <w:rFonts w:cs="Calibri"/>
          <w:sz w:val="24"/>
        </w:rPr>
        <w:t xml:space="preserve"> </w:t>
      </w:r>
      <w:r>
        <w:rPr>
          <w:rFonts w:cs="Calibri"/>
          <w:sz w:val="24"/>
        </w:rPr>
        <w:t xml:space="preserve">on </w:t>
      </w:r>
      <w:r w:rsidRPr="00444D7A">
        <w:rPr>
          <w:rFonts w:cs="Calibri"/>
          <w:sz w:val="24"/>
        </w:rPr>
        <w:t>and s</w:t>
      </w:r>
      <w:r>
        <w:rPr>
          <w:rFonts w:cs="Calibri"/>
          <w:sz w:val="24"/>
        </w:rPr>
        <w:t>ought</w:t>
      </w:r>
      <w:r w:rsidRPr="00444D7A">
        <w:rPr>
          <w:rFonts w:cs="Calibri"/>
          <w:sz w:val="24"/>
        </w:rPr>
        <w:t xml:space="preserve"> feedback on my approach, confidence and listening skills to ensure that I conduct</w:t>
      </w:r>
      <w:r>
        <w:rPr>
          <w:rFonts w:cs="Calibri"/>
          <w:sz w:val="24"/>
        </w:rPr>
        <w:t>ed</w:t>
      </w:r>
      <w:r w:rsidRPr="00444D7A">
        <w:rPr>
          <w:rFonts w:cs="Calibri"/>
          <w:sz w:val="24"/>
        </w:rPr>
        <w:t xml:space="preserve"> the interviews in a professional and successful manner </w:t>
      </w:r>
      <w:r>
        <w:rPr>
          <w:rFonts w:cs="Calibri"/>
          <w:sz w:val="24"/>
        </w:rPr>
        <w:t>(Wellington</w:t>
      </w:r>
      <w:r w:rsidR="00607C8E">
        <w:rPr>
          <w:rFonts w:cs="Calibri"/>
          <w:sz w:val="24"/>
        </w:rPr>
        <w:t>,</w:t>
      </w:r>
      <w:r>
        <w:rPr>
          <w:rFonts w:cs="Calibri"/>
          <w:sz w:val="24"/>
        </w:rPr>
        <w:t xml:space="preserve"> 2000, p.78). </w:t>
      </w:r>
      <w:r w:rsidRPr="00B96C9C">
        <w:rPr>
          <w:rFonts w:cs="Calibri"/>
          <w:sz w:val="24"/>
          <w:szCs w:val="24"/>
        </w:rPr>
        <w:t xml:space="preserve">The pilot </w:t>
      </w:r>
      <w:r w:rsidRPr="00B96C9C">
        <w:rPr>
          <w:rFonts w:cs="Calibri"/>
          <w:sz w:val="24"/>
          <w:szCs w:val="24"/>
        </w:rPr>
        <w:lastRenderedPageBreak/>
        <w:t>allow</w:t>
      </w:r>
      <w:r>
        <w:rPr>
          <w:rFonts w:cs="Calibri"/>
          <w:sz w:val="24"/>
          <w:szCs w:val="24"/>
        </w:rPr>
        <w:t>ed</w:t>
      </w:r>
      <w:r w:rsidRPr="00B96C9C">
        <w:rPr>
          <w:rFonts w:cs="Calibri"/>
          <w:sz w:val="24"/>
          <w:szCs w:val="24"/>
        </w:rPr>
        <w:t xml:space="preserve"> me to develop my questions and </w:t>
      </w:r>
      <w:r>
        <w:rPr>
          <w:rFonts w:cs="Calibri"/>
          <w:sz w:val="24"/>
          <w:szCs w:val="24"/>
        </w:rPr>
        <w:t>to</w:t>
      </w:r>
      <w:r w:rsidRPr="00B96C9C">
        <w:rPr>
          <w:rFonts w:cs="Calibri"/>
          <w:sz w:val="24"/>
          <w:szCs w:val="24"/>
        </w:rPr>
        <w:t xml:space="preserve"> consider the most appropriate ways to contact schools and the relevant staff</w:t>
      </w:r>
      <w:r w:rsidR="00D16B77">
        <w:rPr>
          <w:rFonts w:cs="Calibri"/>
          <w:sz w:val="24"/>
          <w:szCs w:val="24"/>
        </w:rPr>
        <w:t xml:space="preserve"> while</w:t>
      </w:r>
      <w:r w:rsidRPr="00B96C9C">
        <w:rPr>
          <w:rFonts w:cs="Calibri"/>
          <w:sz w:val="24"/>
          <w:szCs w:val="24"/>
        </w:rPr>
        <w:t xml:space="preserve"> </w:t>
      </w:r>
      <w:r>
        <w:rPr>
          <w:rFonts w:cs="Calibri"/>
          <w:sz w:val="24"/>
          <w:szCs w:val="24"/>
        </w:rPr>
        <w:t>succinctly</w:t>
      </w:r>
      <w:r w:rsidRPr="00B96C9C">
        <w:rPr>
          <w:rFonts w:cs="Calibri"/>
          <w:sz w:val="24"/>
          <w:szCs w:val="24"/>
        </w:rPr>
        <w:t xml:space="preserve"> </w:t>
      </w:r>
      <w:r w:rsidR="00D16B77">
        <w:rPr>
          <w:rFonts w:cs="Calibri"/>
          <w:sz w:val="24"/>
          <w:szCs w:val="24"/>
        </w:rPr>
        <w:t xml:space="preserve">articulating </w:t>
      </w:r>
      <w:r w:rsidRPr="00B96C9C">
        <w:rPr>
          <w:rFonts w:cs="Calibri"/>
          <w:sz w:val="24"/>
          <w:szCs w:val="24"/>
        </w:rPr>
        <w:t xml:space="preserve">my aims. </w:t>
      </w:r>
      <w:r w:rsidR="00546CF4">
        <w:rPr>
          <w:rFonts w:cs="Calibri"/>
          <w:sz w:val="24"/>
          <w:szCs w:val="24"/>
        </w:rPr>
        <w:t>T</w:t>
      </w:r>
      <w:r w:rsidRPr="00B96C9C">
        <w:rPr>
          <w:rFonts w:cs="Calibri"/>
          <w:sz w:val="24"/>
          <w:szCs w:val="24"/>
        </w:rPr>
        <w:t xml:space="preserve">he </w:t>
      </w:r>
      <w:r w:rsidR="00E70BCB">
        <w:rPr>
          <w:rFonts w:cs="Calibri"/>
          <w:sz w:val="24"/>
          <w:szCs w:val="24"/>
        </w:rPr>
        <w:t>Deputy</w:t>
      </w:r>
      <w:r w:rsidRPr="00B96C9C">
        <w:rPr>
          <w:rFonts w:cs="Calibri"/>
          <w:sz w:val="24"/>
          <w:szCs w:val="24"/>
        </w:rPr>
        <w:t xml:space="preserve"> </w:t>
      </w:r>
      <w:r w:rsidR="00546CF4">
        <w:rPr>
          <w:rFonts w:cs="Calibri"/>
          <w:sz w:val="24"/>
          <w:szCs w:val="24"/>
        </w:rPr>
        <w:t xml:space="preserve">Head </w:t>
      </w:r>
      <w:r w:rsidRPr="00B96C9C">
        <w:rPr>
          <w:rFonts w:cs="Calibri"/>
          <w:sz w:val="24"/>
          <w:szCs w:val="24"/>
        </w:rPr>
        <w:t>suggested</w:t>
      </w:r>
      <w:r w:rsidR="00546CF4">
        <w:rPr>
          <w:rFonts w:cs="Calibri"/>
          <w:sz w:val="24"/>
          <w:szCs w:val="24"/>
        </w:rPr>
        <w:t>, for example,</w:t>
      </w:r>
      <w:r w:rsidRPr="00B96C9C">
        <w:rPr>
          <w:rFonts w:cs="Calibri"/>
          <w:sz w:val="24"/>
          <w:szCs w:val="24"/>
        </w:rPr>
        <w:t xml:space="preserve"> that schools would be less likely to allow me to interview a random selection of </w:t>
      </w:r>
      <w:r w:rsidR="00546CF4">
        <w:rPr>
          <w:rFonts w:cs="Calibri"/>
          <w:sz w:val="24"/>
          <w:szCs w:val="24"/>
        </w:rPr>
        <w:t>d</w:t>
      </w:r>
      <w:r w:rsidRPr="00B96C9C">
        <w:rPr>
          <w:rFonts w:cs="Calibri"/>
          <w:sz w:val="24"/>
          <w:szCs w:val="24"/>
        </w:rPr>
        <w:t xml:space="preserve">epartment </w:t>
      </w:r>
      <w:r w:rsidR="00546CF4">
        <w:rPr>
          <w:rFonts w:cs="Calibri"/>
          <w:sz w:val="24"/>
          <w:szCs w:val="24"/>
        </w:rPr>
        <w:t xml:space="preserve">heads </w:t>
      </w:r>
      <w:r w:rsidRPr="00B96C9C">
        <w:rPr>
          <w:rFonts w:cs="Calibri"/>
          <w:sz w:val="24"/>
          <w:szCs w:val="24"/>
        </w:rPr>
        <w:t xml:space="preserve">and that I would need to use and navigate the </w:t>
      </w:r>
      <w:r w:rsidR="00546CF4">
        <w:rPr>
          <w:rFonts w:cs="Calibri"/>
          <w:sz w:val="24"/>
          <w:szCs w:val="24"/>
        </w:rPr>
        <w:t>d</w:t>
      </w:r>
      <w:r>
        <w:rPr>
          <w:rFonts w:cs="Calibri"/>
          <w:sz w:val="24"/>
          <w:szCs w:val="24"/>
        </w:rPr>
        <w:t>eputy</w:t>
      </w:r>
      <w:r w:rsidRPr="00B96C9C">
        <w:rPr>
          <w:rFonts w:cs="Calibri"/>
          <w:sz w:val="24"/>
          <w:szCs w:val="24"/>
        </w:rPr>
        <w:t xml:space="preserve"> as a gate keeper. This r</w:t>
      </w:r>
      <w:r>
        <w:rPr>
          <w:rFonts w:cs="Calibri"/>
          <w:sz w:val="24"/>
          <w:szCs w:val="24"/>
        </w:rPr>
        <w:t>an</w:t>
      </w:r>
      <w:r w:rsidRPr="00B96C9C">
        <w:rPr>
          <w:rFonts w:cs="Calibri"/>
          <w:sz w:val="24"/>
          <w:szCs w:val="24"/>
        </w:rPr>
        <w:t xml:space="preserve"> the risk </w:t>
      </w:r>
      <w:r w:rsidR="00D16B77">
        <w:rPr>
          <w:rFonts w:cs="Calibri"/>
          <w:sz w:val="24"/>
          <w:szCs w:val="24"/>
        </w:rPr>
        <w:t>of</w:t>
      </w:r>
      <w:r w:rsidRPr="00B96C9C">
        <w:rPr>
          <w:rFonts w:cs="Calibri"/>
          <w:sz w:val="24"/>
          <w:szCs w:val="24"/>
        </w:rPr>
        <w:t xml:space="preserve"> only </w:t>
      </w:r>
      <w:r w:rsidR="00D16B77">
        <w:rPr>
          <w:rFonts w:cs="Calibri"/>
          <w:sz w:val="24"/>
          <w:szCs w:val="24"/>
        </w:rPr>
        <w:t xml:space="preserve">being </w:t>
      </w:r>
      <w:r w:rsidRPr="00B96C9C">
        <w:rPr>
          <w:rFonts w:cs="Calibri"/>
          <w:sz w:val="24"/>
          <w:szCs w:val="24"/>
        </w:rPr>
        <w:t>allowed to speak to “approved” members of staff</w:t>
      </w:r>
      <w:r w:rsidR="00D16B77">
        <w:rPr>
          <w:rFonts w:cs="Calibri"/>
          <w:sz w:val="24"/>
          <w:szCs w:val="24"/>
        </w:rPr>
        <w:t>,</w:t>
      </w:r>
      <w:r w:rsidRPr="00B96C9C">
        <w:rPr>
          <w:rFonts w:cs="Calibri"/>
          <w:sz w:val="24"/>
          <w:szCs w:val="24"/>
        </w:rPr>
        <w:t xml:space="preserve"> but </w:t>
      </w:r>
      <w:r>
        <w:rPr>
          <w:rFonts w:cs="Calibri"/>
          <w:sz w:val="24"/>
          <w:szCs w:val="24"/>
        </w:rPr>
        <w:t xml:space="preserve">as </w:t>
      </w:r>
      <w:r w:rsidRPr="00B96C9C">
        <w:rPr>
          <w:rFonts w:cs="Calibri"/>
          <w:sz w:val="24"/>
          <w:szCs w:val="24"/>
        </w:rPr>
        <w:t xml:space="preserve">the alternative </w:t>
      </w:r>
      <w:r>
        <w:rPr>
          <w:rFonts w:cs="Calibri"/>
          <w:sz w:val="24"/>
          <w:szCs w:val="24"/>
        </w:rPr>
        <w:t>was</w:t>
      </w:r>
      <w:r w:rsidRPr="00B96C9C">
        <w:rPr>
          <w:rFonts w:cs="Calibri"/>
          <w:sz w:val="24"/>
          <w:szCs w:val="24"/>
        </w:rPr>
        <w:t xml:space="preserve"> not to have any access</w:t>
      </w:r>
      <w:r>
        <w:rPr>
          <w:rFonts w:cs="Calibri"/>
          <w:sz w:val="24"/>
          <w:szCs w:val="24"/>
        </w:rPr>
        <w:t xml:space="preserve"> </w:t>
      </w:r>
      <w:r w:rsidRPr="00B96C9C">
        <w:rPr>
          <w:rFonts w:cs="Calibri"/>
          <w:sz w:val="24"/>
          <w:szCs w:val="24"/>
        </w:rPr>
        <w:t>I incorporate</w:t>
      </w:r>
      <w:r>
        <w:rPr>
          <w:rFonts w:cs="Calibri"/>
          <w:sz w:val="24"/>
          <w:szCs w:val="24"/>
        </w:rPr>
        <w:t>d</w:t>
      </w:r>
      <w:r w:rsidRPr="00B96C9C">
        <w:rPr>
          <w:rFonts w:cs="Calibri"/>
          <w:sz w:val="24"/>
          <w:szCs w:val="24"/>
        </w:rPr>
        <w:t xml:space="preserve"> </w:t>
      </w:r>
      <w:r>
        <w:rPr>
          <w:rFonts w:cs="Calibri"/>
          <w:sz w:val="24"/>
          <w:szCs w:val="24"/>
        </w:rPr>
        <w:t xml:space="preserve">this </w:t>
      </w:r>
      <w:r w:rsidRPr="00B96C9C">
        <w:rPr>
          <w:rFonts w:cs="Calibri"/>
          <w:sz w:val="24"/>
          <w:szCs w:val="24"/>
        </w:rPr>
        <w:t xml:space="preserve">advice into my approach to my other sample schools. </w:t>
      </w:r>
      <w:r>
        <w:rPr>
          <w:rFonts w:cs="Calibri"/>
          <w:sz w:val="24"/>
        </w:rPr>
        <w:t>Due to</w:t>
      </w:r>
      <w:r w:rsidRPr="00444D7A">
        <w:rPr>
          <w:rFonts w:cs="Calibri"/>
          <w:sz w:val="24"/>
        </w:rPr>
        <w:t xml:space="preserve"> the richness of the data gained</w:t>
      </w:r>
      <w:r>
        <w:rPr>
          <w:rFonts w:cs="Calibri"/>
          <w:sz w:val="24"/>
        </w:rPr>
        <w:t xml:space="preserve"> during the pilot, a</w:t>
      </w:r>
      <w:r w:rsidRPr="00444D7A">
        <w:rPr>
          <w:rFonts w:cs="Calibri"/>
          <w:sz w:val="24"/>
        </w:rPr>
        <w:t>fter</w:t>
      </w:r>
      <w:r>
        <w:rPr>
          <w:rFonts w:cs="Calibri"/>
          <w:sz w:val="24"/>
        </w:rPr>
        <w:t xml:space="preserve"> </w:t>
      </w:r>
      <w:r w:rsidRPr="00444D7A">
        <w:rPr>
          <w:rFonts w:cs="Calibri"/>
          <w:sz w:val="24"/>
        </w:rPr>
        <w:t xml:space="preserve">consideration and reflection, </w:t>
      </w:r>
      <w:r w:rsidRPr="00B96C9C">
        <w:rPr>
          <w:rFonts w:cs="Calibri"/>
          <w:sz w:val="24"/>
          <w:szCs w:val="24"/>
        </w:rPr>
        <w:t xml:space="preserve">the pilot school </w:t>
      </w:r>
      <w:r>
        <w:rPr>
          <w:rFonts w:cs="Calibri"/>
          <w:sz w:val="24"/>
          <w:szCs w:val="24"/>
        </w:rPr>
        <w:t xml:space="preserve">transcript </w:t>
      </w:r>
      <w:r w:rsidRPr="00B96C9C">
        <w:rPr>
          <w:rFonts w:cs="Calibri"/>
          <w:sz w:val="24"/>
          <w:szCs w:val="24"/>
        </w:rPr>
        <w:t>ultimately formed part of my sample. The disadvantage of incorporating my pilot into my main research is that this interview was of a more exploratory nature</w:t>
      </w:r>
      <w:r w:rsidR="00D16B77">
        <w:rPr>
          <w:rFonts w:cs="Calibri"/>
          <w:sz w:val="24"/>
          <w:szCs w:val="24"/>
        </w:rPr>
        <w:t>,</w:t>
      </w:r>
      <w:r w:rsidRPr="00B96C9C">
        <w:rPr>
          <w:rFonts w:cs="Calibri"/>
          <w:sz w:val="24"/>
          <w:szCs w:val="24"/>
        </w:rPr>
        <w:t xml:space="preserve"> but the breadth and quality of the conversation meant that we covered the whole range of topic areas linked to my aims and research questions. </w:t>
      </w:r>
    </w:p>
    <w:p w14:paraId="58517FBB" w14:textId="16DEF5EB" w:rsidR="00A75A8F" w:rsidRPr="00B96C9C" w:rsidRDefault="00A75A8F" w:rsidP="00531995">
      <w:pPr>
        <w:pStyle w:val="Heading3"/>
      </w:pPr>
      <w:bookmarkStart w:id="55" w:name="_Toc452316339"/>
      <w:r w:rsidRPr="00B96C9C">
        <w:t>3.</w:t>
      </w:r>
      <w:r w:rsidR="004D2464">
        <w:t>5</w:t>
      </w:r>
      <w:r>
        <w:t>.</w:t>
      </w:r>
      <w:r w:rsidR="004D2464">
        <w:t>8</w:t>
      </w:r>
      <w:r w:rsidRPr="00B96C9C">
        <w:t xml:space="preserve"> School Sample</w:t>
      </w:r>
      <w:bookmarkEnd w:id="55"/>
      <w:r w:rsidRPr="00B96C9C">
        <w:t xml:space="preserve">  </w:t>
      </w:r>
    </w:p>
    <w:p w14:paraId="499E1EF2" w14:textId="2EDE9FE8" w:rsidR="00A75A8F" w:rsidRPr="00B96C9C" w:rsidRDefault="00A75A8F" w:rsidP="00A75A8F">
      <w:pPr>
        <w:tabs>
          <w:tab w:val="left" w:pos="8505"/>
          <w:tab w:val="left" w:pos="8647"/>
        </w:tabs>
        <w:spacing w:after="0" w:line="360" w:lineRule="auto"/>
        <w:rPr>
          <w:rFonts w:cs="Calibri"/>
          <w:sz w:val="24"/>
          <w:szCs w:val="24"/>
        </w:rPr>
      </w:pPr>
      <w:r w:rsidRPr="00B96C9C">
        <w:rPr>
          <w:rFonts w:cs="Calibri"/>
          <w:sz w:val="24"/>
          <w:szCs w:val="24"/>
        </w:rPr>
        <w:t>I use</w:t>
      </w:r>
      <w:r>
        <w:rPr>
          <w:rFonts w:cs="Calibri"/>
          <w:sz w:val="24"/>
          <w:szCs w:val="24"/>
        </w:rPr>
        <w:t>d</w:t>
      </w:r>
      <w:r w:rsidRPr="00B96C9C">
        <w:rPr>
          <w:rFonts w:cs="Calibri"/>
          <w:sz w:val="24"/>
          <w:szCs w:val="24"/>
        </w:rPr>
        <w:t xml:space="preserve"> the schools within one </w:t>
      </w:r>
      <w:r>
        <w:rPr>
          <w:rFonts w:cs="Calibri"/>
          <w:sz w:val="24"/>
          <w:szCs w:val="24"/>
        </w:rPr>
        <w:t>LA</w:t>
      </w:r>
      <w:r w:rsidRPr="00B96C9C">
        <w:rPr>
          <w:rFonts w:cs="Calibri"/>
          <w:sz w:val="24"/>
          <w:szCs w:val="24"/>
        </w:rPr>
        <w:t xml:space="preserve">, Coloursville, in order to have a comparison within </w:t>
      </w:r>
      <w:r>
        <w:rPr>
          <w:rFonts w:cs="Calibri"/>
          <w:sz w:val="24"/>
          <w:szCs w:val="24"/>
        </w:rPr>
        <w:t>an</w:t>
      </w:r>
      <w:r w:rsidRPr="00B96C9C">
        <w:rPr>
          <w:rFonts w:cs="Calibri"/>
          <w:sz w:val="24"/>
          <w:szCs w:val="24"/>
        </w:rPr>
        <w:t xml:space="preserve"> area</w:t>
      </w:r>
      <w:r>
        <w:rPr>
          <w:rFonts w:cs="Calibri"/>
          <w:sz w:val="24"/>
          <w:szCs w:val="24"/>
        </w:rPr>
        <w:t xml:space="preserve">. </w:t>
      </w:r>
      <w:r w:rsidRPr="00B96C9C">
        <w:rPr>
          <w:rFonts w:cs="Calibri"/>
          <w:sz w:val="24"/>
          <w:szCs w:val="24"/>
        </w:rPr>
        <w:t>I carried out a small</w:t>
      </w:r>
      <w:r w:rsidR="00615F22">
        <w:rPr>
          <w:rFonts w:cs="Calibri"/>
          <w:sz w:val="24"/>
          <w:szCs w:val="24"/>
        </w:rPr>
        <w:t>-</w:t>
      </w:r>
      <w:r w:rsidRPr="00B96C9C">
        <w:rPr>
          <w:rFonts w:cs="Calibri"/>
          <w:sz w:val="24"/>
          <w:szCs w:val="24"/>
        </w:rPr>
        <w:t>scale quota sample</w:t>
      </w:r>
      <w:r>
        <w:rPr>
          <w:rFonts w:cs="Calibri"/>
          <w:sz w:val="24"/>
          <w:szCs w:val="24"/>
        </w:rPr>
        <w:t xml:space="preserve"> </w:t>
      </w:r>
      <w:r w:rsidRPr="00B96C9C">
        <w:rPr>
          <w:rFonts w:cs="Calibri"/>
          <w:sz w:val="24"/>
          <w:szCs w:val="24"/>
        </w:rPr>
        <w:t xml:space="preserve">to identify four </w:t>
      </w:r>
      <w:r>
        <w:rPr>
          <w:rFonts w:cs="Calibri"/>
          <w:sz w:val="24"/>
          <w:szCs w:val="24"/>
        </w:rPr>
        <w:t>contrasting</w:t>
      </w:r>
      <w:r w:rsidRPr="00B96C9C">
        <w:rPr>
          <w:rFonts w:cs="Calibri"/>
          <w:sz w:val="24"/>
          <w:szCs w:val="24"/>
        </w:rPr>
        <w:t xml:space="preserve"> school</w:t>
      </w:r>
      <w:r>
        <w:rPr>
          <w:rFonts w:cs="Calibri"/>
          <w:sz w:val="24"/>
          <w:szCs w:val="24"/>
        </w:rPr>
        <w:t>s</w:t>
      </w:r>
      <w:r w:rsidRPr="00B96C9C">
        <w:rPr>
          <w:rFonts w:cs="Calibri"/>
          <w:sz w:val="24"/>
          <w:szCs w:val="24"/>
        </w:rPr>
        <w:t xml:space="preserve"> </w:t>
      </w:r>
      <w:r w:rsidR="0061433A">
        <w:rPr>
          <w:rFonts w:cs="Calibri"/>
          <w:sz w:val="24"/>
          <w:szCs w:val="24"/>
        </w:rPr>
        <w:t>and</w:t>
      </w:r>
      <w:r w:rsidRPr="00B96C9C">
        <w:rPr>
          <w:rFonts w:cs="Calibri"/>
          <w:sz w:val="24"/>
          <w:szCs w:val="24"/>
        </w:rPr>
        <w:t xml:space="preserve"> encompass a range of features that have resonance</w:t>
      </w:r>
      <w:r>
        <w:rPr>
          <w:rFonts w:cs="Calibri"/>
          <w:sz w:val="24"/>
          <w:szCs w:val="24"/>
        </w:rPr>
        <w:t xml:space="preserve"> with other schools</w:t>
      </w:r>
      <w:r w:rsidR="0061433A">
        <w:rPr>
          <w:rFonts w:cs="Calibri"/>
          <w:sz w:val="24"/>
          <w:szCs w:val="24"/>
        </w:rPr>
        <w:t>,</w:t>
      </w:r>
      <w:r>
        <w:rPr>
          <w:rFonts w:cs="Calibri"/>
          <w:sz w:val="24"/>
          <w:szCs w:val="24"/>
        </w:rPr>
        <w:t xml:space="preserve"> using 2012 DfE</w:t>
      </w:r>
      <w:r w:rsidR="0061433A">
        <w:rPr>
          <w:rFonts w:cs="Calibri"/>
          <w:sz w:val="24"/>
          <w:szCs w:val="24"/>
        </w:rPr>
        <w:t>-</w:t>
      </w:r>
      <w:r>
        <w:rPr>
          <w:rFonts w:cs="Calibri"/>
          <w:sz w:val="24"/>
          <w:szCs w:val="24"/>
        </w:rPr>
        <w:t>published performance table data</w:t>
      </w:r>
      <w:r w:rsidRPr="00B96C9C">
        <w:rPr>
          <w:rFonts w:cs="Calibri"/>
          <w:sz w:val="24"/>
          <w:szCs w:val="24"/>
        </w:rPr>
        <w:t xml:space="preserve">. </w:t>
      </w:r>
      <w:r>
        <w:rPr>
          <w:rFonts w:cs="Calibri"/>
          <w:sz w:val="24"/>
          <w:szCs w:val="24"/>
        </w:rPr>
        <w:t xml:space="preserve">I </w:t>
      </w:r>
      <w:r w:rsidRPr="00B96C9C">
        <w:rPr>
          <w:rFonts w:cs="Calibri"/>
          <w:sz w:val="24"/>
          <w:szCs w:val="24"/>
        </w:rPr>
        <w:t>include</w:t>
      </w:r>
      <w:r>
        <w:rPr>
          <w:rFonts w:cs="Calibri"/>
          <w:sz w:val="24"/>
          <w:szCs w:val="24"/>
        </w:rPr>
        <w:t>d</w:t>
      </w:r>
      <w:r w:rsidRPr="00B96C9C">
        <w:rPr>
          <w:rFonts w:cs="Calibri"/>
          <w:sz w:val="24"/>
          <w:szCs w:val="24"/>
        </w:rPr>
        <w:t xml:space="preserve"> both academies and non-academies and schools wh</w:t>
      </w:r>
      <w:r>
        <w:rPr>
          <w:rFonts w:cs="Calibri"/>
          <w:sz w:val="24"/>
          <w:szCs w:val="24"/>
        </w:rPr>
        <w:t>ich</w:t>
      </w:r>
      <w:r w:rsidRPr="00B96C9C">
        <w:rPr>
          <w:rFonts w:cs="Calibri"/>
          <w:sz w:val="24"/>
          <w:szCs w:val="24"/>
        </w:rPr>
        <w:t xml:space="preserve"> </w:t>
      </w:r>
      <w:r>
        <w:rPr>
          <w:rFonts w:cs="Calibri"/>
          <w:sz w:val="24"/>
          <w:szCs w:val="24"/>
        </w:rPr>
        <w:t>achieve very strong examination res</w:t>
      </w:r>
      <w:r w:rsidR="00BE038F">
        <w:rPr>
          <w:rFonts w:cs="Calibri"/>
          <w:sz w:val="24"/>
          <w:szCs w:val="24"/>
        </w:rPr>
        <w:t>ults at GCSE (compared to</w:t>
      </w:r>
      <w:r>
        <w:rPr>
          <w:rFonts w:cs="Calibri"/>
          <w:sz w:val="24"/>
          <w:szCs w:val="24"/>
        </w:rPr>
        <w:t xml:space="preserve"> national average)</w:t>
      </w:r>
      <w:r w:rsidRPr="00B96C9C">
        <w:rPr>
          <w:rFonts w:cs="Calibri"/>
          <w:sz w:val="24"/>
          <w:szCs w:val="24"/>
        </w:rPr>
        <w:t>, those achieving</w:t>
      </w:r>
      <w:r>
        <w:rPr>
          <w:rFonts w:cs="Calibri"/>
          <w:sz w:val="24"/>
          <w:szCs w:val="24"/>
        </w:rPr>
        <w:t xml:space="preserve"> weaker examination results</w:t>
      </w:r>
      <w:r w:rsidRPr="00B96C9C">
        <w:rPr>
          <w:rFonts w:cs="Calibri"/>
          <w:sz w:val="24"/>
          <w:szCs w:val="24"/>
        </w:rPr>
        <w:t xml:space="preserve"> and those who can be described as </w:t>
      </w:r>
      <w:r w:rsidR="00BE038F">
        <w:rPr>
          <w:rFonts w:cs="Calibri"/>
          <w:sz w:val="24"/>
          <w:szCs w:val="24"/>
        </w:rPr>
        <w:t>‘</w:t>
      </w:r>
      <w:r w:rsidRPr="00B96C9C">
        <w:rPr>
          <w:rFonts w:cs="Calibri"/>
          <w:sz w:val="24"/>
          <w:szCs w:val="24"/>
        </w:rPr>
        <w:t>rapidly improving</w:t>
      </w:r>
      <w:r w:rsidR="00BE038F">
        <w:rPr>
          <w:rFonts w:cs="Calibri"/>
          <w:sz w:val="24"/>
          <w:szCs w:val="24"/>
        </w:rPr>
        <w:t>’</w:t>
      </w:r>
      <w:r w:rsidRPr="00B96C9C">
        <w:rPr>
          <w:rFonts w:cs="Calibri"/>
          <w:sz w:val="24"/>
          <w:szCs w:val="24"/>
        </w:rPr>
        <w:t xml:space="preserve"> as evidenced by performance data over the last three years. My sample consist</w:t>
      </w:r>
      <w:r>
        <w:rPr>
          <w:rFonts w:cs="Calibri"/>
          <w:sz w:val="24"/>
          <w:szCs w:val="24"/>
        </w:rPr>
        <w:t>ed</w:t>
      </w:r>
      <w:r w:rsidRPr="00B96C9C">
        <w:rPr>
          <w:rFonts w:cs="Calibri"/>
          <w:sz w:val="24"/>
          <w:szCs w:val="24"/>
        </w:rPr>
        <w:t xml:space="preserve"> of a high achieving </w:t>
      </w:r>
      <w:r>
        <w:rPr>
          <w:rFonts w:cs="Calibri"/>
          <w:sz w:val="24"/>
          <w:szCs w:val="24"/>
        </w:rPr>
        <w:t>academy</w:t>
      </w:r>
      <w:r w:rsidRPr="00B96C9C">
        <w:rPr>
          <w:rFonts w:cs="Calibri"/>
          <w:sz w:val="24"/>
          <w:szCs w:val="24"/>
        </w:rPr>
        <w:t>, a low achieving non</w:t>
      </w:r>
      <w:r w:rsidR="005A48BC">
        <w:rPr>
          <w:rFonts w:cs="Calibri"/>
          <w:sz w:val="24"/>
          <w:szCs w:val="24"/>
        </w:rPr>
        <w:t>-</w:t>
      </w:r>
      <w:r>
        <w:rPr>
          <w:rFonts w:cs="Calibri"/>
          <w:sz w:val="24"/>
          <w:szCs w:val="24"/>
        </w:rPr>
        <w:t>academy</w:t>
      </w:r>
      <w:r w:rsidRPr="00B96C9C">
        <w:rPr>
          <w:rFonts w:cs="Calibri"/>
          <w:sz w:val="24"/>
          <w:szCs w:val="24"/>
        </w:rPr>
        <w:t xml:space="preserve">, and two rapidly improving schools: one </w:t>
      </w:r>
      <w:r>
        <w:rPr>
          <w:rFonts w:cs="Calibri"/>
          <w:sz w:val="24"/>
          <w:szCs w:val="24"/>
        </w:rPr>
        <w:t>academy</w:t>
      </w:r>
      <w:r w:rsidRPr="00B96C9C">
        <w:rPr>
          <w:rFonts w:cs="Calibri"/>
          <w:sz w:val="24"/>
          <w:szCs w:val="24"/>
        </w:rPr>
        <w:t xml:space="preserve"> and one a non-</w:t>
      </w:r>
      <w:r>
        <w:rPr>
          <w:rFonts w:cs="Calibri"/>
          <w:sz w:val="24"/>
          <w:szCs w:val="24"/>
        </w:rPr>
        <w:t>academy</w:t>
      </w:r>
      <w:r w:rsidRPr="00B96C9C">
        <w:rPr>
          <w:rFonts w:cs="Calibri"/>
          <w:sz w:val="24"/>
          <w:szCs w:val="24"/>
        </w:rPr>
        <w:t xml:space="preserve">. </w:t>
      </w:r>
    </w:p>
    <w:p w14:paraId="521606F9" w14:textId="77777777" w:rsidR="00A75A8F" w:rsidRPr="00B96C9C" w:rsidRDefault="00A75A8F" w:rsidP="00A75A8F">
      <w:pPr>
        <w:spacing w:after="0" w:line="360" w:lineRule="auto"/>
        <w:rPr>
          <w:rFonts w:cs="Calibri"/>
          <w:sz w:val="24"/>
          <w:szCs w:val="24"/>
        </w:rPr>
      </w:pPr>
    </w:p>
    <w:p w14:paraId="21B5C5B6" w14:textId="49EFF6EB" w:rsidR="00A75A8F" w:rsidRPr="00B96C9C" w:rsidRDefault="00A75A8F" w:rsidP="003A47A6">
      <w:pPr>
        <w:spacing w:line="360" w:lineRule="auto"/>
        <w:rPr>
          <w:sz w:val="24"/>
          <w:szCs w:val="24"/>
        </w:rPr>
      </w:pPr>
      <w:r w:rsidRPr="00B96C9C">
        <w:rPr>
          <w:rFonts w:cs="Calibri"/>
          <w:sz w:val="24"/>
          <w:szCs w:val="24"/>
        </w:rPr>
        <w:t xml:space="preserve">My interviews took place in four schools </w:t>
      </w:r>
      <w:r>
        <w:rPr>
          <w:rFonts w:cs="Calibri"/>
          <w:sz w:val="24"/>
          <w:szCs w:val="24"/>
        </w:rPr>
        <w:t>between April and July</w:t>
      </w:r>
      <w:r w:rsidRPr="00B96C9C">
        <w:rPr>
          <w:rFonts w:cs="Calibri"/>
          <w:sz w:val="24"/>
          <w:szCs w:val="24"/>
        </w:rPr>
        <w:t xml:space="preserve"> 2013. The L</w:t>
      </w:r>
      <w:r>
        <w:rPr>
          <w:rFonts w:cs="Calibri"/>
          <w:sz w:val="24"/>
          <w:szCs w:val="24"/>
        </w:rPr>
        <w:t>A</w:t>
      </w:r>
      <w:r w:rsidRPr="00B96C9C">
        <w:rPr>
          <w:rFonts w:cs="Calibri"/>
          <w:sz w:val="24"/>
          <w:szCs w:val="24"/>
        </w:rPr>
        <w:t xml:space="preserve"> </w:t>
      </w:r>
      <w:r>
        <w:rPr>
          <w:rFonts w:cs="Calibri"/>
          <w:sz w:val="24"/>
          <w:szCs w:val="24"/>
        </w:rPr>
        <w:t>has</w:t>
      </w:r>
      <w:r w:rsidRPr="00B96C9C">
        <w:rPr>
          <w:rFonts w:cs="Calibri"/>
          <w:sz w:val="24"/>
          <w:szCs w:val="24"/>
        </w:rPr>
        <w:t xml:space="preserve"> </w:t>
      </w:r>
      <w:r>
        <w:rPr>
          <w:rFonts w:cs="Calibri"/>
          <w:sz w:val="24"/>
          <w:szCs w:val="24"/>
        </w:rPr>
        <w:t>a large number of</w:t>
      </w:r>
      <w:r w:rsidRPr="00B96C9C">
        <w:rPr>
          <w:rFonts w:cs="Calibri"/>
          <w:sz w:val="24"/>
          <w:szCs w:val="24"/>
        </w:rPr>
        <w:t xml:space="preserve"> schools within its boundar</w:t>
      </w:r>
      <w:r w:rsidR="005A48BC">
        <w:rPr>
          <w:rFonts w:cs="Calibri"/>
          <w:sz w:val="24"/>
          <w:szCs w:val="24"/>
        </w:rPr>
        <w:t>y,</w:t>
      </w:r>
      <w:r w:rsidRPr="00B96C9C">
        <w:rPr>
          <w:rFonts w:cs="Calibri"/>
          <w:sz w:val="24"/>
          <w:szCs w:val="24"/>
        </w:rPr>
        <w:t xml:space="preserve"> </w:t>
      </w:r>
      <w:r>
        <w:rPr>
          <w:rFonts w:cs="Calibri"/>
          <w:sz w:val="24"/>
          <w:szCs w:val="24"/>
        </w:rPr>
        <w:t xml:space="preserve">with an </w:t>
      </w:r>
      <w:r w:rsidRPr="00B96C9C">
        <w:rPr>
          <w:rFonts w:cs="Calibri"/>
          <w:sz w:val="24"/>
          <w:szCs w:val="24"/>
        </w:rPr>
        <w:t xml:space="preserve">achievement rate for </w:t>
      </w:r>
      <w:r>
        <w:rPr>
          <w:rFonts w:cs="Calibri"/>
          <w:sz w:val="24"/>
          <w:szCs w:val="24"/>
        </w:rPr>
        <w:t xml:space="preserve">all </w:t>
      </w:r>
      <w:r w:rsidRPr="00B96C9C">
        <w:rPr>
          <w:rFonts w:cs="Calibri"/>
          <w:sz w:val="24"/>
          <w:szCs w:val="24"/>
        </w:rPr>
        <w:t>state</w:t>
      </w:r>
      <w:r>
        <w:rPr>
          <w:rFonts w:cs="Calibri"/>
          <w:sz w:val="24"/>
          <w:szCs w:val="24"/>
        </w:rPr>
        <w:t xml:space="preserve"> </w:t>
      </w:r>
      <w:r w:rsidRPr="00B96C9C">
        <w:rPr>
          <w:rFonts w:cs="Calibri"/>
          <w:sz w:val="24"/>
          <w:szCs w:val="24"/>
        </w:rPr>
        <w:t xml:space="preserve">schools </w:t>
      </w:r>
      <w:r>
        <w:rPr>
          <w:rFonts w:cs="Calibri"/>
          <w:sz w:val="24"/>
          <w:szCs w:val="24"/>
        </w:rPr>
        <w:t>slightly above</w:t>
      </w:r>
      <w:r w:rsidR="005A48BC">
        <w:rPr>
          <w:rFonts w:cs="Calibri"/>
          <w:sz w:val="24"/>
          <w:szCs w:val="24"/>
        </w:rPr>
        <w:t xml:space="preserve"> the</w:t>
      </w:r>
      <w:r>
        <w:rPr>
          <w:rFonts w:cs="Calibri"/>
          <w:sz w:val="24"/>
          <w:szCs w:val="24"/>
        </w:rPr>
        <w:t xml:space="preserve"> national average </w:t>
      </w:r>
      <w:r w:rsidR="005A48BC">
        <w:rPr>
          <w:rFonts w:cs="Calibri"/>
          <w:sz w:val="24"/>
          <w:szCs w:val="24"/>
        </w:rPr>
        <w:t xml:space="preserve">for five GCSEs at </w:t>
      </w:r>
      <w:r w:rsidRPr="00B96C9C">
        <w:rPr>
          <w:rFonts w:cs="Calibri"/>
          <w:sz w:val="24"/>
          <w:szCs w:val="24"/>
        </w:rPr>
        <w:t>A*-C including English</w:t>
      </w:r>
      <w:r w:rsidR="005A48BC">
        <w:rPr>
          <w:rFonts w:cs="Calibri"/>
          <w:sz w:val="24"/>
          <w:szCs w:val="24"/>
        </w:rPr>
        <w:t xml:space="preserve">, </w:t>
      </w:r>
      <w:r>
        <w:rPr>
          <w:rFonts w:cs="Calibri"/>
          <w:sz w:val="24"/>
          <w:szCs w:val="24"/>
        </w:rPr>
        <w:t>Mathematics</w:t>
      </w:r>
      <w:r w:rsidR="005A48BC">
        <w:rPr>
          <w:rFonts w:cs="Calibri"/>
          <w:sz w:val="24"/>
          <w:szCs w:val="24"/>
        </w:rPr>
        <w:t>,</w:t>
      </w:r>
      <w:r w:rsidRPr="00B96C9C">
        <w:rPr>
          <w:rFonts w:cs="Calibri"/>
          <w:sz w:val="24"/>
          <w:szCs w:val="24"/>
        </w:rPr>
        <w:t xml:space="preserve"> and EBac.</w:t>
      </w:r>
      <w:r>
        <w:rPr>
          <w:rFonts w:cs="Calibri"/>
          <w:sz w:val="24"/>
          <w:szCs w:val="24"/>
        </w:rPr>
        <w:t xml:space="preserve"> I identified within the LA all possible </w:t>
      </w:r>
      <w:r w:rsidRPr="00B96C9C">
        <w:rPr>
          <w:rFonts w:cs="Calibri"/>
          <w:sz w:val="24"/>
          <w:szCs w:val="24"/>
        </w:rPr>
        <w:t>high performing academ</w:t>
      </w:r>
      <w:r>
        <w:rPr>
          <w:rFonts w:cs="Calibri"/>
          <w:sz w:val="24"/>
          <w:szCs w:val="24"/>
        </w:rPr>
        <w:t xml:space="preserve">ies; </w:t>
      </w:r>
      <w:r w:rsidRPr="00B96C9C">
        <w:rPr>
          <w:rFonts w:cs="Calibri"/>
          <w:sz w:val="24"/>
          <w:szCs w:val="24"/>
        </w:rPr>
        <w:t>low performing non-academ</w:t>
      </w:r>
      <w:r>
        <w:rPr>
          <w:rFonts w:cs="Calibri"/>
          <w:sz w:val="24"/>
          <w:szCs w:val="24"/>
        </w:rPr>
        <w:t xml:space="preserve">ies; </w:t>
      </w:r>
      <w:r w:rsidRPr="00B96C9C">
        <w:rPr>
          <w:rFonts w:cs="Calibri"/>
          <w:sz w:val="24"/>
          <w:szCs w:val="24"/>
        </w:rPr>
        <w:t>rapidly improving academ</w:t>
      </w:r>
      <w:r>
        <w:rPr>
          <w:rFonts w:cs="Calibri"/>
          <w:sz w:val="24"/>
          <w:szCs w:val="24"/>
        </w:rPr>
        <w:t>ies</w:t>
      </w:r>
      <w:r w:rsidRPr="00B96C9C">
        <w:rPr>
          <w:rFonts w:cs="Calibri"/>
          <w:sz w:val="24"/>
          <w:szCs w:val="24"/>
        </w:rPr>
        <w:t xml:space="preserve"> and non-</w:t>
      </w:r>
      <w:r>
        <w:rPr>
          <w:rFonts w:cs="Calibri"/>
          <w:sz w:val="24"/>
          <w:szCs w:val="24"/>
        </w:rPr>
        <w:t>a</w:t>
      </w:r>
      <w:r w:rsidRPr="00B96C9C">
        <w:rPr>
          <w:rFonts w:cs="Calibri"/>
          <w:sz w:val="24"/>
          <w:szCs w:val="24"/>
        </w:rPr>
        <w:t>cadem</w:t>
      </w:r>
      <w:r>
        <w:rPr>
          <w:rFonts w:cs="Calibri"/>
          <w:sz w:val="24"/>
          <w:szCs w:val="24"/>
        </w:rPr>
        <w:t>ies</w:t>
      </w:r>
      <w:r w:rsidR="005A48BC">
        <w:rPr>
          <w:rFonts w:cs="Calibri"/>
          <w:sz w:val="24"/>
          <w:szCs w:val="24"/>
        </w:rPr>
        <w:t>,</w:t>
      </w:r>
      <w:r>
        <w:rPr>
          <w:rFonts w:cs="Calibri"/>
          <w:sz w:val="24"/>
          <w:szCs w:val="24"/>
        </w:rPr>
        <w:t xml:space="preserve"> and independent schools.</w:t>
      </w:r>
      <w:r>
        <w:rPr>
          <w:sz w:val="24"/>
          <w:szCs w:val="24"/>
        </w:rPr>
        <w:t xml:space="preserve"> </w:t>
      </w:r>
      <w:r w:rsidRPr="009574F8">
        <w:rPr>
          <w:sz w:val="24"/>
          <w:szCs w:val="24"/>
        </w:rPr>
        <w:t xml:space="preserve">I </w:t>
      </w:r>
      <w:r w:rsidR="005A48BC">
        <w:rPr>
          <w:sz w:val="24"/>
          <w:szCs w:val="24"/>
        </w:rPr>
        <w:t>defin</w:t>
      </w:r>
      <w:r w:rsidRPr="009574F8">
        <w:rPr>
          <w:sz w:val="24"/>
          <w:szCs w:val="24"/>
        </w:rPr>
        <w:t xml:space="preserve">ed </w:t>
      </w:r>
      <w:r>
        <w:rPr>
          <w:sz w:val="24"/>
          <w:szCs w:val="24"/>
        </w:rPr>
        <w:t>the term ‘</w:t>
      </w:r>
      <w:r w:rsidRPr="009574F8">
        <w:rPr>
          <w:sz w:val="24"/>
          <w:szCs w:val="24"/>
        </w:rPr>
        <w:t>high performing</w:t>
      </w:r>
      <w:r>
        <w:rPr>
          <w:sz w:val="24"/>
          <w:szCs w:val="24"/>
        </w:rPr>
        <w:t>’</w:t>
      </w:r>
      <w:r w:rsidRPr="009574F8">
        <w:rPr>
          <w:sz w:val="24"/>
          <w:szCs w:val="24"/>
        </w:rPr>
        <w:t xml:space="preserve"> as any school achieving over 70% </w:t>
      </w:r>
      <w:r w:rsidR="005A48BC">
        <w:rPr>
          <w:sz w:val="24"/>
          <w:szCs w:val="24"/>
        </w:rPr>
        <w:t xml:space="preserve">of five </w:t>
      </w:r>
      <w:r w:rsidRPr="009574F8">
        <w:rPr>
          <w:sz w:val="24"/>
          <w:szCs w:val="24"/>
        </w:rPr>
        <w:t>A*-C</w:t>
      </w:r>
      <w:r w:rsidR="005A48BC">
        <w:rPr>
          <w:sz w:val="24"/>
          <w:szCs w:val="24"/>
        </w:rPr>
        <w:t xml:space="preserve"> grades</w:t>
      </w:r>
      <w:r w:rsidRPr="009574F8">
        <w:rPr>
          <w:sz w:val="24"/>
          <w:szCs w:val="24"/>
        </w:rPr>
        <w:t xml:space="preserve"> including English and </w:t>
      </w:r>
      <w:r>
        <w:rPr>
          <w:sz w:val="24"/>
          <w:szCs w:val="24"/>
        </w:rPr>
        <w:t>Mathematics</w:t>
      </w:r>
      <w:r w:rsidRPr="009574F8">
        <w:rPr>
          <w:sz w:val="24"/>
          <w:szCs w:val="24"/>
        </w:rPr>
        <w:t xml:space="preserve">. This was above the LA average for all schools and 10.6% </w:t>
      </w:r>
      <w:r w:rsidRPr="009574F8">
        <w:rPr>
          <w:sz w:val="24"/>
          <w:szCs w:val="24"/>
        </w:rPr>
        <w:lastRenderedPageBreak/>
        <w:t xml:space="preserve">above national average for all schools. I also took into consideration the EBac figure and only included schools as </w:t>
      </w:r>
      <w:r w:rsidR="005A48BC">
        <w:rPr>
          <w:sz w:val="24"/>
          <w:szCs w:val="24"/>
        </w:rPr>
        <w:t>‘</w:t>
      </w:r>
      <w:r w:rsidRPr="009574F8">
        <w:rPr>
          <w:sz w:val="24"/>
          <w:szCs w:val="24"/>
        </w:rPr>
        <w:t>high performing</w:t>
      </w:r>
      <w:r w:rsidR="005A48BC">
        <w:rPr>
          <w:sz w:val="24"/>
          <w:szCs w:val="24"/>
        </w:rPr>
        <w:t>’</w:t>
      </w:r>
      <w:r w:rsidRPr="009574F8">
        <w:rPr>
          <w:sz w:val="24"/>
          <w:szCs w:val="24"/>
        </w:rPr>
        <w:t xml:space="preserve"> if they had an EBac figure which </w:t>
      </w:r>
      <w:r w:rsidR="005A48BC">
        <w:rPr>
          <w:sz w:val="24"/>
          <w:szCs w:val="24"/>
        </w:rPr>
        <w:t>wa</w:t>
      </w:r>
      <w:r w:rsidRPr="009574F8">
        <w:rPr>
          <w:sz w:val="24"/>
          <w:szCs w:val="24"/>
        </w:rPr>
        <w:t xml:space="preserve">s 50% </w:t>
      </w:r>
      <w:r w:rsidR="005A48BC">
        <w:rPr>
          <w:sz w:val="24"/>
          <w:szCs w:val="24"/>
        </w:rPr>
        <w:t>and above</w:t>
      </w:r>
      <w:r w:rsidRPr="009574F8">
        <w:rPr>
          <w:sz w:val="24"/>
          <w:szCs w:val="24"/>
        </w:rPr>
        <w:t xml:space="preserve"> </w:t>
      </w:r>
      <w:r w:rsidR="005A48BC">
        <w:rPr>
          <w:sz w:val="24"/>
          <w:szCs w:val="24"/>
        </w:rPr>
        <w:t xml:space="preserve">of </w:t>
      </w:r>
      <w:r w:rsidRPr="009574F8">
        <w:rPr>
          <w:sz w:val="24"/>
          <w:szCs w:val="24"/>
        </w:rPr>
        <w:t xml:space="preserve">their 2012 </w:t>
      </w:r>
      <w:r w:rsidR="005A48BC">
        <w:rPr>
          <w:sz w:val="24"/>
          <w:szCs w:val="24"/>
        </w:rPr>
        <w:t xml:space="preserve">five </w:t>
      </w:r>
      <w:r w:rsidRPr="009574F8">
        <w:rPr>
          <w:sz w:val="24"/>
          <w:szCs w:val="24"/>
        </w:rPr>
        <w:t>A*-C</w:t>
      </w:r>
      <w:r w:rsidR="005A48BC">
        <w:rPr>
          <w:sz w:val="24"/>
          <w:szCs w:val="24"/>
        </w:rPr>
        <w:t xml:space="preserve">s </w:t>
      </w:r>
      <w:r w:rsidRPr="009574F8">
        <w:rPr>
          <w:sz w:val="24"/>
          <w:szCs w:val="24"/>
        </w:rPr>
        <w:t xml:space="preserve">including English and </w:t>
      </w:r>
      <w:r>
        <w:rPr>
          <w:sz w:val="24"/>
          <w:szCs w:val="24"/>
        </w:rPr>
        <w:t>Mathematics</w:t>
      </w:r>
      <w:r w:rsidRPr="009574F8">
        <w:rPr>
          <w:sz w:val="24"/>
          <w:szCs w:val="24"/>
        </w:rPr>
        <w:t xml:space="preserve"> figure</w:t>
      </w:r>
      <w:r>
        <w:rPr>
          <w:sz w:val="24"/>
          <w:szCs w:val="24"/>
        </w:rPr>
        <w:t>.</w:t>
      </w:r>
      <w:r w:rsidRPr="009574F8">
        <w:rPr>
          <w:sz w:val="24"/>
          <w:szCs w:val="24"/>
        </w:rPr>
        <w:t xml:space="preserve"> </w:t>
      </w:r>
      <w:r w:rsidR="005A48BC">
        <w:rPr>
          <w:sz w:val="24"/>
          <w:szCs w:val="24"/>
        </w:rPr>
        <w:t>‘</w:t>
      </w:r>
      <w:r>
        <w:rPr>
          <w:rFonts w:cs="Calibri"/>
          <w:sz w:val="24"/>
          <w:szCs w:val="24"/>
        </w:rPr>
        <w:t>R</w:t>
      </w:r>
      <w:r w:rsidRPr="009574F8">
        <w:rPr>
          <w:rFonts w:cs="Calibri"/>
          <w:sz w:val="24"/>
          <w:szCs w:val="24"/>
        </w:rPr>
        <w:t>apidly improving</w:t>
      </w:r>
      <w:r w:rsidR="005A48BC">
        <w:rPr>
          <w:rFonts w:cs="Calibri"/>
          <w:sz w:val="24"/>
          <w:szCs w:val="24"/>
        </w:rPr>
        <w:t>’</w:t>
      </w:r>
      <w:r w:rsidRPr="009574F8">
        <w:rPr>
          <w:rFonts w:cs="Calibri"/>
          <w:sz w:val="24"/>
          <w:szCs w:val="24"/>
        </w:rPr>
        <w:t xml:space="preserve"> </w:t>
      </w:r>
      <w:r>
        <w:rPr>
          <w:rFonts w:cs="Calibri"/>
          <w:sz w:val="24"/>
          <w:szCs w:val="24"/>
        </w:rPr>
        <w:t xml:space="preserve">schools were taken to be those that had undergone at least </w:t>
      </w:r>
      <w:r>
        <w:rPr>
          <w:sz w:val="24"/>
          <w:szCs w:val="24"/>
        </w:rPr>
        <w:t xml:space="preserve">a 15% </w:t>
      </w:r>
      <w:r w:rsidRPr="00B96C9C">
        <w:rPr>
          <w:sz w:val="24"/>
          <w:szCs w:val="24"/>
        </w:rPr>
        <w:t xml:space="preserve">rise in </w:t>
      </w:r>
      <w:r w:rsidR="005A48BC">
        <w:rPr>
          <w:sz w:val="24"/>
          <w:szCs w:val="24"/>
        </w:rPr>
        <w:t xml:space="preserve">students achieving five </w:t>
      </w:r>
      <w:r w:rsidRPr="00B96C9C">
        <w:rPr>
          <w:sz w:val="24"/>
          <w:szCs w:val="24"/>
        </w:rPr>
        <w:t>A*-C</w:t>
      </w:r>
      <w:r w:rsidR="005A48BC">
        <w:rPr>
          <w:sz w:val="24"/>
          <w:szCs w:val="24"/>
        </w:rPr>
        <w:t>s</w:t>
      </w:r>
      <w:r w:rsidRPr="00B96C9C">
        <w:rPr>
          <w:sz w:val="24"/>
          <w:szCs w:val="24"/>
        </w:rPr>
        <w:t xml:space="preserve"> including English and </w:t>
      </w:r>
      <w:r>
        <w:rPr>
          <w:sz w:val="24"/>
          <w:szCs w:val="24"/>
        </w:rPr>
        <w:t>Mathematics</w:t>
      </w:r>
      <w:r w:rsidRPr="00B96C9C">
        <w:rPr>
          <w:sz w:val="24"/>
          <w:szCs w:val="24"/>
        </w:rPr>
        <w:t xml:space="preserve"> </w:t>
      </w:r>
      <w:r>
        <w:rPr>
          <w:sz w:val="24"/>
          <w:szCs w:val="24"/>
        </w:rPr>
        <w:t xml:space="preserve">as a </w:t>
      </w:r>
      <w:r w:rsidRPr="00B96C9C">
        <w:rPr>
          <w:sz w:val="24"/>
          <w:szCs w:val="24"/>
        </w:rPr>
        <w:t>performance measure over the previous three years</w:t>
      </w:r>
      <w:r>
        <w:rPr>
          <w:sz w:val="24"/>
          <w:szCs w:val="24"/>
        </w:rPr>
        <w:t>. L</w:t>
      </w:r>
      <w:r w:rsidRPr="00B96C9C">
        <w:rPr>
          <w:sz w:val="24"/>
          <w:szCs w:val="24"/>
        </w:rPr>
        <w:t xml:space="preserve">ow achieving schools </w:t>
      </w:r>
      <w:r>
        <w:rPr>
          <w:sz w:val="24"/>
          <w:szCs w:val="24"/>
        </w:rPr>
        <w:t xml:space="preserve">were defined </w:t>
      </w:r>
      <w:r w:rsidRPr="00B96C9C">
        <w:rPr>
          <w:sz w:val="24"/>
          <w:szCs w:val="24"/>
        </w:rPr>
        <w:t>to be those that achieved below 55%</w:t>
      </w:r>
      <w:r w:rsidR="005A48BC">
        <w:rPr>
          <w:sz w:val="24"/>
          <w:szCs w:val="24"/>
        </w:rPr>
        <w:t xml:space="preserve"> </w:t>
      </w:r>
      <w:r w:rsidR="00D512DB">
        <w:rPr>
          <w:sz w:val="24"/>
          <w:szCs w:val="24"/>
        </w:rPr>
        <w:t>of</w:t>
      </w:r>
      <w:r w:rsidR="00D512DB" w:rsidRPr="00B96C9C">
        <w:rPr>
          <w:sz w:val="24"/>
          <w:szCs w:val="24"/>
        </w:rPr>
        <w:t xml:space="preserve"> </w:t>
      </w:r>
      <w:r w:rsidR="00D512DB">
        <w:rPr>
          <w:sz w:val="24"/>
          <w:szCs w:val="24"/>
        </w:rPr>
        <w:t>five</w:t>
      </w:r>
      <w:r w:rsidR="005A48BC">
        <w:rPr>
          <w:sz w:val="24"/>
          <w:szCs w:val="24"/>
        </w:rPr>
        <w:t xml:space="preserve"> </w:t>
      </w:r>
      <w:r w:rsidRPr="00B96C9C">
        <w:rPr>
          <w:sz w:val="24"/>
          <w:szCs w:val="24"/>
        </w:rPr>
        <w:t>A*-C</w:t>
      </w:r>
      <w:r w:rsidR="005A48BC">
        <w:rPr>
          <w:sz w:val="24"/>
          <w:szCs w:val="24"/>
        </w:rPr>
        <w:t>s</w:t>
      </w:r>
      <w:r w:rsidRPr="00B96C9C">
        <w:rPr>
          <w:sz w:val="24"/>
          <w:szCs w:val="24"/>
        </w:rPr>
        <w:t xml:space="preserve"> including English and </w:t>
      </w:r>
      <w:r>
        <w:rPr>
          <w:sz w:val="24"/>
          <w:szCs w:val="24"/>
        </w:rPr>
        <w:t>Mathematics</w:t>
      </w:r>
      <w:r w:rsidRPr="00B96C9C">
        <w:rPr>
          <w:sz w:val="24"/>
          <w:szCs w:val="24"/>
        </w:rPr>
        <w:t xml:space="preserve">. </w:t>
      </w:r>
    </w:p>
    <w:p w14:paraId="556E8F16" w14:textId="767C9041" w:rsidR="00A75A8F" w:rsidRPr="00B96C9C" w:rsidRDefault="00A75A8F" w:rsidP="00531995">
      <w:pPr>
        <w:pStyle w:val="Heading3"/>
      </w:pPr>
      <w:bookmarkStart w:id="56" w:name="_Toc452316340"/>
      <w:r>
        <w:t>3.</w:t>
      </w:r>
      <w:r w:rsidR="004D2464">
        <w:t>5</w:t>
      </w:r>
      <w:r>
        <w:t>.</w:t>
      </w:r>
      <w:r w:rsidR="004D2464">
        <w:t>9</w:t>
      </w:r>
      <w:r>
        <w:t xml:space="preserve"> Negotiating access</w:t>
      </w:r>
      <w:bookmarkEnd w:id="56"/>
    </w:p>
    <w:p w14:paraId="0D743322" w14:textId="5F224723" w:rsidR="00A75A8F" w:rsidRPr="00444D7A" w:rsidRDefault="00A75A8F" w:rsidP="00A75A8F">
      <w:pPr>
        <w:tabs>
          <w:tab w:val="left" w:pos="8505"/>
        </w:tabs>
        <w:spacing w:line="360" w:lineRule="auto"/>
        <w:rPr>
          <w:rFonts w:cs="Calibri"/>
          <w:sz w:val="24"/>
        </w:rPr>
      </w:pPr>
      <w:r w:rsidRPr="00B96C9C">
        <w:rPr>
          <w:sz w:val="24"/>
          <w:szCs w:val="24"/>
        </w:rPr>
        <w:t xml:space="preserve">I obtained contact details for either the </w:t>
      </w:r>
      <w:r w:rsidR="0035510E">
        <w:rPr>
          <w:sz w:val="24"/>
          <w:szCs w:val="24"/>
        </w:rPr>
        <w:t>H</w:t>
      </w:r>
      <w:r w:rsidRPr="00B96C9C">
        <w:rPr>
          <w:sz w:val="24"/>
          <w:szCs w:val="24"/>
        </w:rPr>
        <w:t>ead</w:t>
      </w:r>
      <w:r>
        <w:rPr>
          <w:sz w:val="24"/>
          <w:szCs w:val="24"/>
        </w:rPr>
        <w:t>t</w:t>
      </w:r>
      <w:r w:rsidR="00E70BCB">
        <w:rPr>
          <w:sz w:val="24"/>
          <w:szCs w:val="24"/>
        </w:rPr>
        <w:t>eacher or the</w:t>
      </w:r>
      <w:r>
        <w:rPr>
          <w:sz w:val="24"/>
          <w:szCs w:val="24"/>
        </w:rPr>
        <w:t xml:space="preserve"> </w:t>
      </w:r>
      <w:r w:rsidR="0035510E">
        <w:rPr>
          <w:sz w:val="24"/>
          <w:szCs w:val="24"/>
        </w:rPr>
        <w:t>C</w:t>
      </w:r>
      <w:r w:rsidRPr="00B96C9C">
        <w:rPr>
          <w:sz w:val="24"/>
          <w:szCs w:val="24"/>
        </w:rPr>
        <w:t>urriculum</w:t>
      </w:r>
      <w:r w:rsidR="00E70BCB">
        <w:rPr>
          <w:sz w:val="24"/>
          <w:szCs w:val="24"/>
        </w:rPr>
        <w:t xml:space="preserve"> </w:t>
      </w:r>
      <w:r w:rsidR="0035510E">
        <w:rPr>
          <w:sz w:val="24"/>
          <w:szCs w:val="24"/>
        </w:rPr>
        <w:t>D</w:t>
      </w:r>
      <w:r w:rsidR="00E70BCB">
        <w:rPr>
          <w:sz w:val="24"/>
          <w:szCs w:val="24"/>
        </w:rPr>
        <w:t>eputy</w:t>
      </w:r>
      <w:r>
        <w:rPr>
          <w:rStyle w:val="FootnoteReference"/>
          <w:sz w:val="24"/>
          <w:szCs w:val="24"/>
        </w:rPr>
        <w:footnoteReference w:id="34"/>
      </w:r>
      <w:r w:rsidRPr="00B96C9C">
        <w:rPr>
          <w:sz w:val="24"/>
          <w:szCs w:val="24"/>
        </w:rPr>
        <w:t xml:space="preserve"> for each school identified by my sampling frame and contact</w:t>
      </w:r>
      <w:r>
        <w:rPr>
          <w:sz w:val="24"/>
          <w:szCs w:val="24"/>
        </w:rPr>
        <w:t>ed</w:t>
      </w:r>
      <w:r w:rsidRPr="00B96C9C">
        <w:rPr>
          <w:sz w:val="24"/>
          <w:szCs w:val="24"/>
        </w:rPr>
        <w:t xml:space="preserve"> the schools in each category in turn, stopping when I located a school in each of the four categories that w</w:t>
      </w:r>
      <w:r>
        <w:rPr>
          <w:sz w:val="24"/>
          <w:szCs w:val="24"/>
        </w:rPr>
        <w:t xml:space="preserve">as </w:t>
      </w:r>
      <w:r w:rsidRPr="00B96C9C">
        <w:rPr>
          <w:sz w:val="24"/>
          <w:szCs w:val="24"/>
        </w:rPr>
        <w:t>happy to take part in my research</w:t>
      </w:r>
      <w:r>
        <w:rPr>
          <w:sz w:val="24"/>
          <w:szCs w:val="24"/>
        </w:rPr>
        <w:t xml:space="preserve">. </w:t>
      </w:r>
      <w:r w:rsidRPr="00B96C9C">
        <w:rPr>
          <w:sz w:val="24"/>
          <w:szCs w:val="24"/>
        </w:rPr>
        <w:t xml:space="preserve">Full details of my </w:t>
      </w:r>
      <w:r>
        <w:rPr>
          <w:sz w:val="24"/>
          <w:szCs w:val="24"/>
        </w:rPr>
        <w:t xml:space="preserve">study </w:t>
      </w:r>
      <w:r w:rsidRPr="00B96C9C">
        <w:rPr>
          <w:sz w:val="24"/>
          <w:szCs w:val="24"/>
        </w:rPr>
        <w:t xml:space="preserve">were then provided. </w:t>
      </w:r>
      <w:r>
        <w:rPr>
          <w:sz w:val="24"/>
          <w:szCs w:val="24"/>
        </w:rPr>
        <w:t xml:space="preserve">My intention was to interview the </w:t>
      </w:r>
      <w:r w:rsidR="0035510E">
        <w:rPr>
          <w:sz w:val="24"/>
          <w:szCs w:val="24"/>
        </w:rPr>
        <w:t>D</w:t>
      </w:r>
      <w:r>
        <w:rPr>
          <w:sz w:val="24"/>
          <w:szCs w:val="24"/>
        </w:rPr>
        <w:t>eputy</w:t>
      </w:r>
      <w:r w:rsidR="0035510E">
        <w:rPr>
          <w:sz w:val="24"/>
          <w:szCs w:val="24"/>
        </w:rPr>
        <w:t>,</w:t>
      </w:r>
      <w:r>
        <w:rPr>
          <w:sz w:val="24"/>
          <w:szCs w:val="24"/>
        </w:rPr>
        <w:t xml:space="preserve"> one Head of Department of an EBac subject and one Head of Department from a non</w:t>
      </w:r>
      <w:r w:rsidR="00CB1972">
        <w:rPr>
          <w:sz w:val="24"/>
          <w:szCs w:val="24"/>
        </w:rPr>
        <w:t>-</w:t>
      </w:r>
      <w:r>
        <w:rPr>
          <w:sz w:val="24"/>
          <w:szCs w:val="24"/>
        </w:rPr>
        <w:t>EBac subject to ensure a spread of opinions from different subject areas</w:t>
      </w:r>
      <w:r w:rsidR="00D512DB">
        <w:rPr>
          <w:sz w:val="24"/>
          <w:szCs w:val="24"/>
        </w:rPr>
        <w:t xml:space="preserve"> </w:t>
      </w:r>
      <w:r>
        <w:rPr>
          <w:sz w:val="24"/>
          <w:szCs w:val="24"/>
        </w:rPr>
        <w:t xml:space="preserve">covering my research questions. Such school leaders are those with the power and authority to direct and influence policy implementation with the schools. </w:t>
      </w:r>
      <w:r w:rsidRPr="00B96C9C">
        <w:rPr>
          <w:sz w:val="24"/>
          <w:szCs w:val="24"/>
        </w:rPr>
        <w:t>I asked for verbal and written consent from each member of staff that I interviewed</w:t>
      </w:r>
      <w:r w:rsidR="0035510E">
        <w:rPr>
          <w:sz w:val="24"/>
          <w:szCs w:val="24"/>
        </w:rPr>
        <w:t>,</w:t>
      </w:r>
      <w:r w:rsidRPr="00B96C9C">
        <w:rPr>
          <w:sz w:val="24"/>
          <w:szCs w:val="24"/>
        </w:rPr>
        <w:t xml:space="preserve"> following ethical guidance </w:t>
      </w:r>
      <w:r>
        <w:rPr>
          <w:sz w:val="24"/>
          <w:szCs w:val="24"/>
        </w:rPr>
        <w:t xml:space="preserve">requirements </w:t>
      </w:r>
      <w:r w:rsidRPr="00B96C9C">
        <w:rPr>
          <w:sz w:val="24"/>
          <w:szCs w:val="24"/>
        </w:rPr>
        <w:t xml:space="preserve">(see </w:t>
      </w:r>
      <w:r w:rsidR="0035510E">
        <w:rPr>
          <w:sz w:val="24"/>
          <w:szCs w:val="24"/>
        </w:rPr>
        <w:t>S</w:t>
      </w:r>
      <w:r w:rsidRPr="00B96C9C">
        <w:rPr>
          <w:sz w:val="24"/>
          <w:szCs w:val="24"/>
        </w:rPr>
        <w:t>ection 3.</w:t>
      </w:r>
      <w:r>
        <w:rPr>
          <w:sz w:val="24"/>
          <w:szCs w:val="24"/>
        </w:rPr>
        <w:t>5</w:t>
      </w:r>
      <w:r w:rsidRPr="00B96C9C">
        <w:rPr>
          <w:sz w:val="24"/>
          <w:szCs w:val="24"/>
        </w:rPr>
        <w:t>)</w:t>
      </w:r>
      <w:r>
        <w:rPr>
          <w:rFonts w:cs="Calibri"/>
          <w:sz w:val="24"/>
          <w:szCs w:val="24"/>
        </w:rPr>
        <w:t xml:space="preserve">. </w:t>
      </w:r>
      <w:r w:rsidRPr="00B96C9C">
        <w:rPr>
          <w:rFonts w:cs="Calibri"/>
          <w:sz w:val="24"/>
          <w:szCs w:val="24"/>
        </w:rPr>
        <w:t>The semi-structured interviews generate</w:t>
      </w:r>
      <w:r>
        <w:rPr>
          <w:rFonts w:cs="Calibri"/>
          <w:sz w:val="24"/>
          <w:szCs w:val="24"/>
        </w:rPr>
        <w:t>d</w:t>
      </w:r>
      <w:r w:rsidRPr="00B96C9C">
        <w:rPr>
          <w:rFonts w:cs="Calibri"/>
          <w:sz w:val="24"/>
          <w:szCs w:val="24"/>
        </w:rPr>
        <w:t xml:space="preserve"> a large amount of data</w:t>
      </w:r>
      <w:r w:rsidR="0035510E">
        <w:rPr>
          <w:rFonts w:cs="Calibri"/>
          <w:sz w:val="24"/>
          <w:szCs w:val="24"/>
        </w:rPr>
        <w:t>,</w:t>
      </w:r>
      <w:r>
        <w:rPr>
          <w:rFonts w:cs="Calibri"/>
          <w:sz w:val="24"/>
          <w:szCs w:val="24"/>
        </w:rPr>
        <w:t xml:space="preserve"> which I transcribed before analysing. </w:t>
      </w:r>
      <w:r w:rsidRPr="00B96C9C">
        <w:rPr>
          <w:rFonts w:cs="Calibri"/>
          <w:sz w:val="24"/>
          <w:szCs w:val="24"/>
        </w:rPr>
        <w:t xml:space="preserve"> </w:t>
      </w:r>
      <w:r w:rsidR="00D512DB">
        <w:rPr>
          <w:rFonts w:cs="Calibri"/>
          <w:sz w:val="24"/>
          <w:szCs w:val="24"/>
        </w:rPr>
        <w:t>M</w:t>
      </w:r>
      <w:r w:rsidRPr="00B96C9C">
        <w:rPr>
          <w:rFonts w:cs="Calibri"/>
          <w:sz w:val="24"/>
          <w:szCs w:val="24"/>
        </w:rPr>
        <w:t>y</w:t>
      </w:r>
      <w:r>
        <w:rPr>
          <w:rFonts w:cs="Calibri"/>
          <w:sz w:val="24"/>
          <w:szCs w:val="24"/>
        </w:rPr>
        <w:t xml:space="preserve"> </w:t>
      </w:r>
      <w:r w:rsidRPr="00B96C9C">
        <w:rPr>
          <w:rFonts w:cs="Calibri"/>
          <w:sz w:val="24"/>
          <w:szCs w:val="24"/>
        </w:rPr>
        <w:t>data analysis</w:t>
      </w:r>
      <w:r>
        <w:rPr>
          <w:rFonts w:cs="Calibri"/>
          <w:sz w:val="24"/>
          <w:szCs w:val="24"/>
        </w:rPr>
        <w:t xml:space="preserve"> approach</w:t>
      </w:r>
      <w:r w:rsidR="00D512DB">
        <w:rPr>
          <w:rFonts w:cs="Calibri"/>
          <w:sz w:val="24"/>
          <w:szCs w:val="24"/>
        </w:rPr>
        <w:t xml:space="preserve"> is considered,</w:t>
      </w:r>
      <w:r w:rsidRPr="00B96C9C">
        <w:rPr>
          <w:rFonts w:cs="Calibri"/>
          <w:sz w:val="24"/>
          <w:szCs w:val="24"/>
        </w:rPr>
        <w:t xml:space="preserve"> </w:t>
      </w:r>
      <w:r>
        <w:rPr>
          <w:rFonts w:cs="Calibri"/>
          <w:sz w:val="24"/>
          <w:szCs w:val="24"/>
        </w:rPr>
        <w:t xml:space="preserve">reflecting on </w:t>
      </w:r>
      <w:r w:rsidRPr="00B96C9C">
        <w:rPr>
          <w:rFonts w:cs="Calibri"/>
          <w:sz w:val="24"/>
          <w:szCs w:val="24"/>
        </w:rPr>
        <w:t xml:space="preserve">advantages and </w:t>
      </w:r>
      <w:r>
        <w:rPr>
          <w:rFonts w:cs="Calibri"/>
          <w:sz w:val="24"/>
          <w:szCs w:val="24"/>
        </w:rPr>
        <w:t xml:space="preserve">the </w:t>
      </w:r>
      <w:r w:rsidRPr="00B96C9C">
        <w:rPr>
          <w:rFonts w:cs="Calibri"/>
          <w:sz w:val="24"/>
          <w:szCs w:val="24"/>
        </w:rPr>
        <w:t>possible disadvantages</w:t>
      </w:r>
      <w:r>
        <w:rPr>
          <w:rFonts w:cs="Calibri"/>
          <w:sz w:val="24"/>
          <w:szCs w:val="24"/>
        </w:rPr>
        <w:t>.</w:t>
      </w:r>
    </w:p>
    <w:p w14:paraId="3DDA67A8" w14:textId="40E4B03D" w:rsidR="00A75A8F" w:rsidRPr="00444D7A" w:rsidRDefault="00A75A8F" w:rsidP="00531995">
      <w:pPr>
        <w:pStyle w:val="Heading3"/>
      </w:pPr>
      <w:bookmarkStart w:id="57" w:name="_Toc452316341"/>
      <w:r w:rsidRPr="00444D7A">
        <w:t>3.</w:t>
      </w:r>
      <w:r w:rsidR="004D2464">
        <w:t>5</w:t>
      </w:r>
      <w:r>
        <w:t>.1</w:t>
      </w:r>
      <w:r w:rsidR="004D2464">
        <w:t>0</w:t>
      </w:r>
      <w:r w:rsidRPr="00444D7A">
        <w:t xml:space="preserve"> Semi-structured interview analysis</w:t>
      </w:r>
      <w:bookmarkEnd w:id="57"/>
    </w:p>
    <w:p w14:paraId="7EC77CBB" w14:textId="635C3221" w:rsidR="00A75A8F" w:rsidRDefault="00A75A8F" w:rsidP="003A47A6">
      <w:pPr>
        <w:tabs>
          <w:tab w:val="left" w:pos="8505"/>
        </w:tabs>
        <w:spacing w:after="0" w:line="360" w:lineRule="auto"/>
        <w:rPr>
          <w:rFonts w:cs="Calibri"/>
          <w:sz w:val="24"/>
        </w:rPr>
      </w:pPr>
      <w:r>
        <w:rPr>
          <w:rFonts w:cs="Calibri"/>
          <w:sz w:val="24"/>
        </w:rPr>
        <w:t xml:space="preserve">I analysed my </w:t>
      </w:r>
      <w:r w:rsidRPr="00444D7A">
        <w:rPr>
          <w:rFonts w:cs="Calibri"/>
          <w:sz w:val="24"/>
        </w:rPr>
        <w:t>interview data using a thematic approach</w:t>
      </w:r>
      <w:r>
        <w:rPr>
          <w:rFonts w:cs="Calibri"/>
          <w:sz w:val="24"/>
        </w:rPr>
        <w:t xml:space="preserve"> (Miles </w:t>
      </w:r>
      <w:r w:rsidR="0035510E">
        <w:rPr>
          <w:rFonts w:cs="Calibri"/>
          <w:sz w:val="24"/>
        </w:rPr>
        <w:t>and</w:t>
      </w:r>
      <w:r>
        <w:rPr>
          <w:rFonts w:cs="Calibri"/>
          <w:sz w:val="24"/>
        </w:rPr>
        <w:t xml:space="preserve"> Huberman</w:t>
      </w:r>
      <w:r w:rsidR="0035510E">
        <w:rPr>
          <w:rFonts w:cs="Calibri"/>
          <w:sz w:val="24"/>
        </w:rPr>
        <w:t>,</w:t>
      </w:r>
      <w:r>
        <w:rPr>
          <w:rFonts w:cs="Calibri"/>
          <w:sz w:val="24"/>
        </w:rPr>
        <w:t xml:space="preserve"> 1994</w:t>
      </w:r>
      <w:r w:rsidR="0035510E">
        <w:rPr>
          <w:rFonts w:cs="Calibri"/>
          <w:sz w:val="24"/>
        </w:rPr>
        <w:t>;</w:t>
      </w:r>
      <w:r>
        <w:rPr>
          <w:rFonts w:cs="Calibri"/>
          <w:sz w:val="24"/>
        </w:rPr>
        <w:t xml:space="preserve"> Braun </w:t>
      </w:r>
      <w:r w:rsidR="0035510E">
        <w:rPr>
          <w:rFonts w:cs="Calibri"/>
          <w:sz w:val="24"/>
        </w:rPr>
        <w:t>and</w:t>
      </w:r>
      <w:r>
        <w:rPr>
          <w:rFonts w:cs="Calibri"/>
          <w:sz w:val="24"/>
        </w:rPr>
        <w:t xml:space="preserve"> Clarke 2006)</w:t>
      </w:r>
      <w:r w:rsidRPr="00444D7A">
        <w:rPr>
          <w:rFonts w:cs="Calibri"/>
          <w:sz w:val="24"/>
        </w:rPr>
        <w:t xml:space="preserve">. By </w:t>
      </w:r>
      <w:r>
        <w:rPr>
          <w:rFonts w:cs="Calibri"/>
          <w:sz w:val="24"/>
        </w:rPr>
        <w:t xml:space="preserve">reading and re-reading the transcripts, </w:t>
      </w:r>
      <w:r w:rsidRPr="00444D7A">
        <w:rPr>
          <w:rFonts w:cs="Calibri"/>
          <w:sz w:val="24"/>
        </w:rPr>
        <w:t xml:space="preserve">I </w:t>
      </w:r>
      <w:r>
        <w:rPr>
          <w:rFonts w:cs="Calibri"/>
          <w:sz w:val="24"/>
        </w:rPr>
        <w:t>gained</w:t>
      </w:r>
      <w:r w:rsidRPr="00444D7A">
        <w:rPr>
          <w:rFonts w:cs="Calibri"/>
          <w:sz w:val="24"/>
        </w:rPr>
        <w:t xml:space="preserve"> an overall understanding </w:t>
      </w:r>
      <w:r>
        <w:rPr>
          <w:rFonts w:cs="Calibri"/>
          <w:sz w:val="24"/>
        </w:rPr>
        <w:t xml:space="preserve">of the data </w:t>
      </w:r>
      <w:r w:rsidRPr="00444D7A">
        <w:rPr>
          <w:rFonts w:cs="Calibri"/>
          <w:sz w:val="24"/>
        </w:rPr>
        <w:t xml:space="preserve">before dividing </w:t>
      </w:r>
      <w:r>
        <w:rPr>
          <w:rFonts w:cs="Calibri"/>
          <w:sz w:val="24"/>
        </w:rPr>
        <w:t>it</w:t>
      </w:r>
      <w:r w:rsidRPr="00444D7A">
        <w:rPr>
          <w:rFonts w:cs="Calibri"/>
          <w:sz w:val="24"/>
        </w:rPr>
        <w:t xml:space="preserve"> into sections and then categoris</w:t>
      </w:r>
      <w:r>
        <w:rPr>
          <w:rFonts w:cs="Calibri"/>
          <w:sz w:val="24"/>
        </w:rPr>
        <w:t xml:space="preserve">ing </w:t>
      </w:r>
      <w:r w:rsidRPr="00444D7A">
        <w:rPr>
          <w:rFonts w:cs="Calibri"/>
          <w:sz w:val="24"/>
        </w:rPr>
        <w:t>and cod</w:t>
      </w:r>
      <w:r>
        <w:rPr>
          <w:rFonts w:cs="Calibri"/>
          <w:sz w:val="24"/>
        </w:rPr>
        <w:t>ing</w:t>
      </w:r>
      <w:r w:rsidRPr="00444D7A">
        <w:rPr>
          <w:rFonts w:cs="Calibri"/>
          <w:sz w:val="24"/>
        </w:rPr>
        <w:t xml:space="preserve"> using the key themes and issues that </w:t>
      </w:r>
      <w:r>
        <w:rPr>
          <w:rFonts w:cs="Calibri"/>
          <w:sz w:val="24"/>
        </w:rPr>
        <w:t>had a</w:t>
      </w:r>
      <w:r w:rsidRPr="00444D7A">
        <w:rPr>
          <w:rFonts w:cs="Calibri"/>
          <w:sz w:val="24"/>
        </w:rPr>
        <w:t>rise</w:t>
      </w:r>
      <w:r>
        <w:rPr>
          <w:rFonts w:cs="Calibri"/>
          <w:sz w:val="24"/>
        </w:rPr>
        <w:t>n</w:t>
      </w:r>
      <w:r w:rsidRPr="00444D7A">
        <w:rPr>
          <w:rFonts w:cs="Calibri"/>
          <w:sz w:val="24"/>
        </w:rPr>
        <w:t xml:space="preserve">. As </w:t>
      </w:r>
      <w:r>
        <w:rPr>
          <w:rFonts w:cs="Calibri"/>
          <w:sz w:val="24"/>
        </w:rPr>
        <w:t>subsequent</w:t>
      </w:r>
      <w:r w:rsidRPr="00444D7A">
        <w:rPr>
          <w:rFonts w:cs="Calibri"/>
          <w:sz w:val="24"/>
        </w:rPr>
        <w:t xml:space="preserve"> data </w:t>
      </w:r>
      <w:r>
        <w:rPr>
          <w:rFonts w:cs="Calibri"/>
          <w:sz w:val="24"/>
        </w:rPr>
        <w:t>was</w:t>
      </w:r>
      <w:r w:rsidRPr="00444D7A">
        <w:rPr>
          <w:rFonts w:cs="Calibri"/>
          <w:sz w:val="24"/>
        </w:rPr>
        <w:t xml:space="preserve"> collected and analysed</w:t>
      </w:r>
      <w:r>
        <w:rPr>
          <w:rFonts w:cs="Calibri"/>
          <w:sz w:val="24"/>
        </w:rPr>
        <w:t>,</w:t>
      </w:r>
      <w:r w:rsidRPr="00444D7A">
        <w:rPr>
          <w:rFonts w:cs="Calibri"/>
          <w:sz w:val="24"/>
        </w:rPr>
        <w:t xml:space="preserve"> my themes and key issues </w:t>
      </w:r>
      <w:r>
        <w:rPr>
          <w:rFonts w:cs="Calibri"/>
          <w:sz w:val="24"/>
        </w:rPr>
        <w:t xml:space="preserve">were accumulated, </w:t>
      </w:r>
      <w:r w:rsidRPr="00444D7A">
        <w:rPr>
          <w:rFonts w:cs="Calibri"/>
          <w:sz w:val="24"/>
        </w:rPr>
        <w:t>adapt</w:t>
      </w:r>
      <w:r>
        <w:rPr>
          <w:rFonts w:cs="Calibri"/>
          <w:sz w:val="24"/>
        </w:rPr>
        <w:t>ed</w:t>
      </w:r>
      <w:r w:rsidRPr="00444D7A">
        <w:rPr>
          <w:rFonts w:cs="Calibri"/>
          <w:sz w:val="24"/>
        </w:rPr>
        <w:t xml:space="preserve"> and reformulated. This process is described by Wellington one of “continuous refinement” (</w:t>
      </w:r>
      <w:r>
        <w:rPr>
          <w:rFonts w:cs="Calibri"/>
          <w:sz w:val="24"/>
        </w:rPr>
        <w:t xml:space="preserve">2000, </w:t>
      </w:r>
      <w:r w:rsidRPr="00444D7A">
        <w:rPr>
          <w:rFonts w:cs="Calibri"/>
          <w:sz w:val="24"/>
        </w:rPr>
        <w:t xml:space="preserve">p.136). The </w:t>
      </w:r>
      <w:r w:rsidRPr="00444D7A">
        <w:rPr>
          <w:rFonts w:cs="Calibri"/>
          <w:sz w:val="24"/>
        </w:rPr>
        <w:lastRenderedPageBreak/>
        <w:t xml:space="preserve">ultimate aim of my data analysis </w:t>
      </w:r>
      <w:r w:rsidR="0035510E">
        <w:rPr>
          <w:rFonts w:cs="Calibri"/>
          <w:sz w:val="24"/>
        </w:rPr>
        <w:t>wa</w:t>
      </w:r>
      <w:r w:rsidRPr="00444D7A">
        <w:rPr>
          <w:rFonts w:cs="Calibri"/>
          <w:sz w:val="24"/>
        </w:rPr>
        <w:t>s to draw conclusions which c</w:t>
      </w:r>
      <w:r w:rsidR="0035510E">
        <w:rPr>
          <w:rFonts w:cs="Calibri"/>
          <w:sz w:val="24"/>
        </w:rPr>
        <w:t>ould</w:t>
      </w:r>
      <w:r w:rsidRPr="00444D7A">
        <w:rPr>
          <w:rFonts w:cs="Calibri"/>
          <w:sz w:val="24"/>
        </w:rPr>
        <w:t xml:space="preserve"> then be related back to the previous body of literature in this area.</w:t>
      </w:r>
    </w:p>
    <w:p w14:paraId="38154B15" w14:textId="77777777" w:rsidR="003A47A6" w:rsidRPr="00444D7A" w:rsidRDefault="003A47A6" w:rsidP="003A47A6">
      <w:pPr>
        <w:tabs>
          <w:tab w:val="left" w:pos="8505"/>
        </w:tabs>
        <w:spacing w:after="0" w:line="360" w:lineRule="auto"/>
        <w:rPr>
          <w:rFonts w:cs="Calibri"/>
          <w:sz w:val="24"/>
        </w:rPr>
      </w:pPr>
    </w:p>
    <w:p w14:paraId="460916EE" w14:textId="361191EF" w:rsidR="00A75A8F" w:rsidRPr="00444D7A" w:rsidRDefault="00BE038F" w:rsidP="00A75A8F">
      <w:pPr>
        <w:spacing w:after="0" w:line="360" w:lineRule="auto"/>
        <w:rPr>
          <w:rFonts w:cs="Calibri"/>
          <w:sz w:val="24"/>
        </w:rPr>
      </w:pPr>
      <w:r>
        <w:rPr>
          <w:rFonts w:cs="Calibri"/>
          <w:sz w:val="24"/>
        </w:rPr>
        <w:t>Wellington</w:t>
      </w:r>
      <w:r w:rsidR="00A75A8F" w:rsidRPr="00444D7A">
        <w:rPr>
          <w:rFonts w:cs="Calibri"/>
          <w:sz w:val="24"/>
        </w:rPr>
        <w:t xml:space="preserve"> identifies six stages in the process of data analysis</w:t>
      </w:r>
      <w:r w:rsidR="0035510E">
        <w:rPr>
          <w:rFonts w:cs="Calibri"/>
          <w:sz w:val="24"/>
        </w:rPr>
        <w:t xml:space="preserve">, </w:t>
      </w:r>
      <w:r w:rsidR="00A75A8F">
        <w:rPr>
          <w:rFonts w:cs="Calibri"/>
          <w:sz w:val="24"/>
        </w:rPr>
        <w:t>consist</w:t>
      </w:r>
      <w:r w:rsidR="0035510E">
        <w:rPr>
          <w:rFonts w:cs="Calibri"/>
          <w:sz w:val="24"/>
        </w:rPr>
        <w:t>ing</w:t>
      </w:r>
      <w:r w:rsidR="00A75A8F" w:rsidRPr="00444D7A">
        <w:rPr>
          <w:rFonts w:cs="Calibri"/>
          <w:sz w:val="24"/>
        </w:rPr>
        <w:t xml:space="preserve"> of: immersion, taking the data holistically and in full; reflecting, taking time to consider the data; analysing data</w:t>
      </w:r>
      <w:r w:rsidR="0035510E">
        <w:rPr>
          <w:rFonts w:cs="Calibri"/>
          <w:sz w:val="24"/>
        </w:rPr>
        <w:t>;</w:t>
      </w:r>
      <w:r w:rsidR="00A75A8F" w:rsidRPr="00444D7A">
        <w:rPr>
          <w:rFonts w:cs="Calibri"/>
          <w:sz w:val="24"/>
        </w:rPr>
        <w:t xml:space="preserve"> dividing the data into sections</w:t>
      </w:r>
      <w:r w:rsidR="0035510E">
        <w:rPr>
          <w:rFonts w:cs="Calibri"/>
          <w:sz w:val="24"/>
        </w:rPr>
        <w:t>;</w:t>
      </w:r>
      <w:r w:rsidR="00A75A8F" w:rsidRPr="00444D7A">
        <w:rPr>
          <w:rFonts w:cs="Calibri"/>
          <w:sz w:val="24"/>
        </w:rPr>
        <w:t xml:space="preserve"> choosing the sections to then use</w:t>
      </w:r>
      <w:r w:rsidR="0035510E">
        <w:rPr>
          <w:rFonts w:cs="Calibri"/>
          <w:sz w:val="24"/>
        </w:rPr>
        <w:t>;</w:t>
      </w:r>
      <w:r w:rsidR="00A75A8F" w:rsidRPr="00444D7A">
        <w:rPr>
          <w:rFonts w:cs="Calibri"/>
          <w:sz w:val="24"/>
        </w:rPr>
        <w:t xml:space="preserve"> coding the elements and incorporating further data into these categories; synthesising data</w:t>
      </w:r>
      <w:r w:rsidR="0035510E">
        <w:rPr>
          <w:rFonts w:cs="Calibri"/>
          <w:sz w:val="24"/>
        </w:rPr>
        <w:t>;</w:t>
      </w:r>
      <w:r w:rsidR="00A75A8F" w:rsidRPr="00444D7A">
        <w:rPr>
          <w:rFonts w:cs="Calibri"/>
          <w:sz w:val="24"/>
        </w:rPr>
        <w:t xml:space="preserve"> looking for patterns; relating and locating the data in relation to previous work and theory</w:t>
      </w:r>
      <w:r w:rsidR="0035510E">
        <w:rPr>
          <w:rFonts w:cs="Calibri"/>
          <w:sz w:val="24"/>
        </w:rPr>
        <w:t>;</w:t>
      </w:r>
      <w:r w:rsidR="00A75A8F" w:rsidRPr="00444D7A">
        <w:rPr>
          <w:rFonts w:cs="Calibri"/>
          <w:sz w:val="24"/>
        </w:rPr>
        <w:t xml:space="preserve"> and finally</w:t>
      </w:r>
      <w:r w:rsidR="0035510E">
        <w:rPr>
          <w:rFonts w:cs="Calibri"/>
          <w:sz w:val="24"/>
        </w:rPr>
        <w:t>,</w:t>
      </w:r>
      <w:r w:rsidR="00A75A8F" w:rsidRPr="00444D7A">
        <w:rPr>
          <w:rFonts w:cs="Calibri"/>
          <w:sz w:val="24"/>
        </w:rPr>
        <w:t xml:space="preserve"> presenting the data “as fairly, clearly, coherently and attractively as possible” (</w:t>
      </w:r>
      <w:r>
        <w:rPr>
          <w:rFonts w:cs="Calibri"/>
          <w:sz w:val="24"/>
        </w:rPr>
        <w:t>2000</w:t>
      </w:r>
      <w:r w:rsidR="0035510E">
        <w:rPr>
          <w:rFonts w:cs="Calibri"/>
          <w:sz w:val="24"/>
        </w:rPr>
        <w:t>,</w:t>
      </w:r>
      <w:r>
        <w:rPr>
          <w:rFonts w:cs="Calibri"/>
          <w:sz w:val="24"/>
        </w:rPr>
        <w:t xml:space="preserve"> </w:t>
      </w:r>
      <w:r w:rsidR="00A75A8F" w:rsidRPr="00444D7A">
        <w:rPr>
          <w:rFonts w:cs="Calibri"/>
          <w:sz w:val="24"/>
        </w:rPr>
        <w:t>p.139). In coding my transcripts, I follow</w:t>
      </w:r>
      <w:r w:rsidR="00A75A8F">
        <w:rPr>
          <w:rFonts w:cs="Calibri"/>
          <w:sz w:val="24"/>
        </w:rPr>
        <w:t>ed</w:t>
      </w:r>
      <w:r w:rsidR="00A75A8F" w:rsidRPr="00444D7A">
        <w:rPr>
          <w:rFonts w:cs="Calibri"/>
          <w:sz w:val="24"/>
        </w:rPr>
        <w:t xml:space="preserve"> the guidance by Miles and Huberman (1994) for preparing, coding and identifying themes within qualitative data.</w:t>
      </w:r>
      <w:r w:rsidR="00A75A8F">
        <w:rPr>
          <w:rFonts w:cs="Calibri"/>
          <w:sz w:val="24"/>
        </w:rPr>
        <w:t xml:space="preserve"> </w:t>
      </w:r>
    </w:p>
    <w:p w14:paraId="65C1922F" w14:textId="77777777" w:rsidR="00A75A8F" w:rsidRDefault="00A75A8F" w:rsidP="00A75A8F">
      <w:pPr>
        <w:spacing w:after="0" w:line="360" w:lineRule="auto"/>
        <w:rPr>
          <w:rFonts w:cs="Calibri"/>
          <w:sz w:val="24"/>
        </w:rPr>
      </w:pPr>
    </w:p>
    <w:p w14:paraId="4E11FA3A" w14:textId="5EDE6FCE" w:rsidR="00A75A8F" w:rsidRDefault="00A75A8F" w:rsidP="00A75A8F">
      <w:pPr>
        <w:tabs>
          <w:tab w:val="left" w:pos="8505"/>
        </w:tabs>
        <w:spacing w:after="0" w:line="360" w:lineRule="auto"/>
        <w:rPr>
          <w:rFonts w:cs="Calibri"/>
          <w:sz w:val="24"/>
        </w:rPr>
      </w:pPr>
      <w:r>
        <w:rPr>
          <w:rFonts w:cs="Calibri"/>
          <w:sz w:val="24"/>
        </w:rPr>
        <w:t>My initial immersion in the collected data consisted of listening to the tapes as soon as I had completed each interview. This allowed me to check the tapes</w:t>
      </w:r>
      <w:r w:rsidR="0035510E">
        <w:rPr>
          <w:rFonts w:cs="Calibri"/>
          <w:sz w:val="24"/>
        </w:rPr>
        <w:t>;</w:t>
      </w:r>
      <w:r>
        <w:rPr>
          <w:rFonts w:cs="Calibri"/>
          <w:sz w:val="24"/>
        </w:rPr>
        <w:t xml:space="preserve"> note any initial aspects I wished to incorporate into future interviews</w:t>
      </w:r>
      <w:r w:rsidR="0035510E">
        <w:rPr>
          <w:rFonts w:cs="Calibri"/>
          <w:sz w:val="24"/>
        </w:rPr>
        <w:t>;</w:t>
      </w:r>
      <w:r>
        <w:rPr>
          <w:rFonts w:cs="Calibri"/>
          <w:sz w:val="24"/>
        </w:rPr>
        <w:t xml:space="preserve"> identify key points</w:t>
      </w:r>
      <w:r w:rsidR="0035510E">
        <w:rPr>
          <w:rFonts w:cs="Calibri"/>
          <w:sz w:val="24"/>
        </w:rPr>
        <w:t>,</w:t>
      </w:r>
      <w:r>
        <w:rPr>
          <w:rFonts w:cs="Calibri"/>
          <w:sz w:val="24"/>
        </w:rPr>
        <w:t xml:space="preserve"> and reflect on each interview. </w:t>
      </w:r>
      <w:r w:rsidRPr="00444D7A">
        <w:rPr>
          <w:rFonts w:cs="Calibri"/>
          <w:sz w:val="24"/>
        </w:rPr>
        <w:t>I intended to produce only partial transcripts of the interviews</w:t>
      </w:r>
      <w:r>
        <w:rPr>
          <w:rFonts w:cs="Calibri"/>
          <w:sz w:val="24"/>
        </w:rPr>
        <w:t>.</w:t>
      </w:r>
      <w:r w:rsidRPr="00444D7A">
        <w:rPr>
          <w:rFonts w:cs="Calibri"/>
          <w:sz w:val="24"/>
        </w:rPr>
        <w:t xml:space="preserve"> Bathmaker supports this approach</w:t>
      </w:r>
      <w:r w:rsidR="005E4EED">
        <w:rPr>
          <w:rFonts w:cs="Calibri"/>
          <w:sz w:val="24"/>
        </w:rPr>
        <w:t>,</w:t>
      </w:r>
      <w:r w:rsidRPr="00444D7A">
        <w:rPr>
          <w:rFonts w:cs="Calibri"/>
          <w:sz w:val="24"/>
        </w:rPr>
        <w:t xml:space="preserve"> arguing that full transcripts may not always be necessary (</w:t>
      </w:r>
      <w:r>
        <w:rPr>
          <w:rFonts w:cs="Calibri"/>
          <w:sz w:val="24"/>
        </w:rPr>
        <w:t xml:space="preserve">2004, </w:t>
      </w:r>
      <w:r w:rsidRPr="00444D7A">
        <w:rPr>
          <w:rFonts w:cs="Calibri"/>
          <w:sz w:val="24"/>
        </w:rPr>
        <w:t xml:space="preserve">p.166). As I carried out the interviews, it became </w:t>
      </w:r>
      <w:r>
        <w:rPr>
          <w:rFonts w:cs="Calibri"/>
          <w:sz w:val="24"/>
        </w:rPr>
        <w:t xml:space="preserve">apparent </w:t>
      </w:r>
      <w:r w:rsidRPr="00444D7A">
        <w:rPr>
          <w:rFonts w:cs="Calibri"/>
          <w:sz w:val="24"/>
        </w:rPr>
        <w:t>that a full transcript w</w:t>
      </w:r>
      <w:r>
        <w:rPr>
          <w:rFonts w:cs="Calibri"/>
          <w:sz w:val="24"/>
        </w:rPr>
        <w:t>as</w:t>
      </w:r>
      <w:r w:rsidRPr="00444D7A">
        <w:rPr>
          <w:rFonts w:cs="Calibri"/>
          <w:sz w:val="24"/>
        </w:rPr>
        <w:t xml:space="preserve"> necessary,</w:t>
      </w:r>
      <w:r w:rsidR="005E4EED">
        <w:rPr>
          <w:rFonts w:cs="Calibri"/>
          <w:sz w:val="24"/>
        </w:rPr>
        <w:t xml:space="preserve"> both</w:t>
      </w:r>
      <w:r w:rsidRPr="00444D7A">
        <w:rPr>
          <w:rFonts w:cs="Calibri"/>
          <w:sz w:val="24"/>
        </w:rPr>
        <w:t xml:space="preserve"> for my own understanding of the interview and also to </w:t>
      </w:r>
      <w:r>
        <w:rPr>
          <w:rFonts w:cs="Calibri"/>
          <w:sz w:val="24"/>
        </w:rPr>
        <w:t>enable</w:t>
      </w:r>
      <w:r w:rsidRPr="00444D7A">
        <w:rPr>
          <w:rFonts w:cs="Calibri"/>
          <w:sz w:val="24"/>
        </w:rPr>
        <w:t xml:space="preserve"> a careful analysis and coding of the key issues following the advice of Miles and Huberman</w:t>
      </w:r>
      <w:r>
        <w:rPr>
          <w:rFonts w:cs="Calibri"/>
          <w:sz w:val="24"/>
        </w:rPr>
        <w:t xml:space="preserve"> (1994)</w:t>
      </w:r>
      <w:r w:rsidRPr="00444D7A">
        <w:rPr>
          <w:rFonts w:cs="Calibri"/>
          <w:sz w:val="24"/>
        </w:rPr>
        <w:t xml:space="preserve">. </w:t>
      </w:r>
      <w:r>
        <w:rPr>
          <w:rFonts w:cs="Calibri"/>
          <w:sz w:val="24"/>
        </w:rPr>
        <w:t xml:space="preserve">Completing full transcripts took up a large amount of time, but ultimately allowed a full understanding of the data and identification of key aspects and quotes. I came to realise, as </w:t>
      </w:r>
      <w:r w:rsidRPr="00444D7A">
        <w:rPr>
          <w:rFonts w:cs="Calibri"/>
          <w:sz w:val="24"/>
        </w:rPr>
        <w:t xml:space="preserve">Miles and Huberman (1994) </w:t>
      </w:r>
      <w:r>
        <w:rPr>
          <w:rFonts w:cs="Calibri"/>
          <w:sz w:val="24"/>
        </w:rPr>
        <w:t>state,</w:t>
      </w:r>
      <w:r w:rsidRPr="00444D7A">
        <w:rPr>
          <w:rFonts w:cs="Calibri"/>
          <w:sz w:val="24"/>
        </w:rPr>
        <w:t xml:space="preserve"> self-transcription </w:t>
      </w:r>
      <w:r>
        <w:rPr>
          <w:rFonts w:cs="Calibri"/>
          <w:sz w:val="24"/>
        </w:rPr>
        <w:t xml:space="preserve">was my </w:t>
      </w:r>
      <w:r w:rsidRPr="00444D7A">
        <w:rPr>
          <w:rFonts w:cs="Calibri"/>
          <w:sz w:val="24"/>
        </w:rPr>
        <w:t>first step in analysis of the data.</w:t>
      </w:r>
    </w:p>
    <w:p w14:paraId="22B96527" w14:textId="77777777" w:rsidR="00A75A8F" w:rsidRDefault="00A75A8F" w:rsidP="00A75A8F">
      <w:pPr>
        <w:spacing w:after="0" w:line="360" w:lineRule="auto"/>
        <w:rPr>
          <w:rFonts w:cs="Calibri"/>
          <w:sz w:val="24"/>
        </w:rPr>
      </w:pPr>
    </w:p>
    <w:p w14:paraId="36AC1E4C" w14:textId="77777777" w:rsidR="00AE17B7" w:rsidRDefault="00A75A8F" w:rsidP="00A75A8F">
      <w:pPr>
        <w:tabs>
          <w:tab w:val="left" w:pos="8505"/>
        </w:tabs>
        <w:spacing w:after="0" w:line="360" w:lineRule="auto"/>
        <w:rPr>
          <w:rFonts w:cs="Calibri"/>
          <w:sz w:val="24"/>
        </w:rPr>
      </w:pPr>
      <w:r w:rsidRPr="00444D7A">
        <w:rPr>
          <w:rFonts w:cs="Calibri"/>
          <w:sz w:val="24"/>
        </w:rPr>
        <w:t xml:space="preserve">After </w:t>
      </w:r>
      <w:r>
        <w:rPr>
          <w:rFonts w:cs="Calibri"/>
          <w:sz w:val="24"/>
        </w:rPr>
        <w:t xml:space="preserve">initially </w:t>
      </w:r>
      <w:r w:rsidRPr="00444D7A">
        <w:rPr>
          <w:rFonts w:cs="Calibri"/>
          <w:sz w:val="24"/>
        </w:rPr>
        <w:t xml:space="preserve">considering the possible use of computer programmes such as NViVO to </w:t>
      </w:r>
      <w:r>
        <w:rPr>
          <w:rFonts w:cs="Calibri"/>
          <w:sz w:val="24"/>
        </w:rPr>
        <w:t xml:space="preserve">conduct </w:t>
      </w:r>
      <w:r w:rsidRPr="00444D7A">
        <w:rPr>
          <w:rFonts w:cs="Calibri"/>
          <w:sz w:val="24"/>
        </w:rPr>
        <w:t xml:space="preserve">my analysis, I decided not to take this approach. The small number of interviews and selected policy texts </w:t>
      </w:r>
      <w:r>
        <w:rPr>
          <w:rFonts w:cs="Calibri"/>
          <w:sz w:val="24"/>
        </w:rPr>
        <w:t>enabled</w:t>
      </w:r>
      <w:r w:rsidRPr="00444D7A">
        <w:rPr>
          <w:rFonts w:cs="Calibri"/>
          <w:sz w:val="24"/>
        </w:rPr>
        <w:t xml:space="preserve"> a full understanding and comparison of each text without the use of a computer programme</w:t>
      </w:r>
      <w:r>
        <w:rPr>
          <w:rFonts w:cs="Calibri"/>
          <w:sz w:val="24"/>
        </w:rPr>
        <w:t xml:space="preserve"> and </w:t>
      </w:r>
      <w:r w:rsidR="005E4EED">
        <w:rPr>
          <w:rFonts w:cs="Calibri"/>
          <w:sz w:val="24"/>
        </w:rPr>
        <w:t xml:space="preserve">the process of learning the </w:t>
      </w:r>
      <w:r w:rsidRPr="00444D7A">
        <w:rPr>
          <w:rFonts w:cs="Calibri"/>
          <w:sz w:val="24"/>
        </w:rPr>
        <w:t xml:space="preserve">technology may </w:t>
      </w:r>
      <w:r>
        <w:rPr>
          <w:rFonts w:cs="Calibri"/>
          <w:sz w:val="24"/>
        </w:rPr>
        <w:t xml:space="preserve">have </w:t>
      </w:r>
      <w:r w:rsidRPr="00444D7A">
        <w:rPr>
          <w:rFonts w:cs="Calibri"/>
          <w:sz w:val="24"/>
        </w:rPr>
        <w:t>detract</w:t>
      </w:r>
      <w:r>
        <w:rPr>
          <w:rFonts w:cs="Calibri"/>
          <w:sz w:val="24"/>
        </w:rPr>
        <w:t>ed</w:t>
      </w:r>
      <w:r w:rsidRPr="00444D7A">
        <w:rPr>
          <w:rFonts w:cs="Calibri"/>
          <w:sz w:val="24"/>
        </w:rPr>
        <w:t xml:space="preserve"> attention away from analysis and interpretation. Pomerantz (2004) comments on the large investment in time required to be able to use</w:t>
      </w:r>
      <w:r w:rsidR="005E4EED">
        <w:rPr>
          <w:rFonts w:cs="Calibri"/>
          <w:sz w:val="24"/>
        </w:rPr>
        <w:t xml:space="preserve"> such software,</w:t>
      </w:r>
      <w:r w:rsidRPr="00444D7A">
        <w:rPr>
          <w:rFonts w:cs="Calibri"/>
          <w:sz w:val="24"/>
        </w:rPr>
        <w:t xml:space="preserve"> in his case ATLAS.ti. Bathmaker </w:t>
      </w:r>
      <w:r w:rsidR="00AE17B7">
        <w:rPr>
          <w:rFonts w:cs="Calibri"/>
          <w:sz w:val="24"/>
        </w:rPr>
        <w:t xml:space="preserve">(2004) using NUD.IST to analyse full transcripts of 47 interviews </w:t>
      </w:r>
      <w:r w:rsidRPr="00444D7A">
        <w:rPr>
          <w:rFonts w:cs="Calibri"/>
          <w:sz w:val="24"/>
        </w:rPr>
        <w:t xml:space="preserve">discusses the </w:t>
      </w:r>
      <w:r w:rsidRPr="00444D7A">
        <w:rPr>
          <w:rFonts w:cs="Calibri"/>
          <w:sz w:val="24"/>
        </w:rPr>
        <w:lastRenderedPageBreak/>
        <w:t>issue of researchers adopting a</w:t>
      </w:r>
      <w:r>
        <w:rPr>
          <w:rFonts w:cs="Calibri"/>
          <w:sz w:val="24"/>
        </w:rPr>
        <w:t xml:space="preserve"> particular</w:t>
      </w:r>
      <w:r w:rsidRPr="00444D7A">
        <w:rPr>
          <w:rFonts w:cs="Calibri"/>
          <w:sz w:val="24"/>
        </w:rPr>
        <w:t xml:space="preserve"> approach to data analysis just because the computer programme is designed in this way rather than because it is the most appropriate way of understanding the data. In light of this</w:t>
      </w:r>
      <w:r w:rsidR="005E4EED">
        <w:rPr>
          <w:rFonts w:cs="Calibri"/>
          <w:sz w:val="24"/>
        </w:rPr>
        <w:t>,</w:t>
      </w:r>
      <w:r w:rsidRPr="00444D7A">
        <w:rPr>
          <w:rFonts w:cs="Calibri"/>
          <w:sz w:val="24"/>
        </w:rPr>
        <w:t xml:space="preserve"> I w</w:t>
      </w:r>
      <w:r>
        <w:rPr>
          <w:rFonts w:cs="Calibri"/>
          <w:sz w:val="24"/>
        </w:rPr>
        <w:t>anted</w:t>
      </w:r>
      <w:r w:rsidRPr="00444D7A">
        <w:rPr>
          <w:rFonts w:cs="Calibri"/>
          <w:sz w:val="24"/>
        </w:rPr>
        <w:t xml:space="preserve"> to invest my time in the actual policy texts and interview recordings</w:t>
      </w:r>
      <w:r>
        <w:rPr>
          <w:rFonts w:cs="Calibri"/>
          <w:sz w:val="24"/>
        </w:rPr>
        <w:t xml:space="preserve">. I started to identify recurring points and issues across my interviews and continued to refine these as I completed each transcript. </w:t>
      </w:r>
    </w:p>
    <w:p w14:paraId="6944727D" w14:textId="77777777" w:rsidR="00AE17B7" w:rsidRDefault="00AE17B7" w:rsidP="00A75A8F">
      <w:pPr>
        <w:tabs>
          <w:tab w:val="left" w:pos="8505"/>
        </w:tabs>
        <w:spacing w:after="0" w:line="360" w:lineRule="auto"/>
        <w:rPr>
          <w:rFonts w:cs="Calibri"/>
          <w:sz w:val="24"/>
        </w:rPr>
      </w:pPr>
    </w:p>
    <w:p w14:paraId="340F04CA" w14:textId="2B3C4C1B" w:rsidR="00A75A8F" w:rsidRPr="003A47A6" w:rsidRDefault="00A75A8F" w:rsidP="003A47A6">
      <w:pPr>
        <w:tabs>
          <w:tab w:val="left" w:pos="8505"/>
        </w:tabs>
        <w:spacing w:line="360" w:lineRule="auto"/>
        <w:rPr>
          <w:rFonts w:cs="Calibri"/>
          <w:sz w:val="24"/>
        </w:rPr>
      </w:pPr>
      <w:r>
        <w:rPr>
          <w:rFonts w:cs="Calibri"/>
          <w:sz w:val="24"/>
        </w:rPr>
        <w:t>Initially I identified 29 codes</w:t>
      </w:r>
      <w:r w:rsidR="00151908">
        <w:rPr>
          <w:rFonts w:cs="Calibri"/>
          <w:sz w:val="24"/>
        </w:rPr>
        <w:t>,</w:t>
      </w:r>
      <w:r>
        <w:rPr>
          <w:rFonts w:cs="Calibri"/>
          <w:sz w:val="24"/>
        </w:rPr>
        <w:t xml:space="preserve"> but after working through each transcript several times to identify each occurrence</w:t>
      </w:r>
      <w:r w:rsidR="00151908">
        <w:rPr>
          <w:rFonts w:cs="Calibri"/>
          <w:sz w:val="24"/>
        </w:rPr>
        <w:t>,</w:t>
      </w:r>
      <w:r>
        <w:rPr>
          <w:rFonts w:cs="Calibri"/>
          <w:sz w:val="24"/>
        </w:rPr>
        <w:t xml:space="preserve"> I realised that I had missed out some other important concepts particularly </w:t>
      </w:r>
      <w:r w:rsidR="00BE038F">
        <w:rPr>
          <w:rFonts w:cs="Calibri"/>
          <w:sz w:val="24"/>
        </w:rPr>
        <w:t>relating to parent and student ‘choice’</w:t>
      </w:r>
      <w:r>
        <w:rPr>
          <w:rFonts w:cs="Calibri"/>
          <w:sz w:val="24"/>
        </w:rPr>
        <w:t xml:space="preserve">, which took the total to 31 codes. I then recoded all transcripts using the 31 codes and was reassured to find that my initial analysis remained the same </w:t>
      </w:r>
      <w:r w:rsidR="00AE17B7">
        <w:rPr>
          <w:rFonts w:cs="Calibri"/>
          <w:sz w:val="24"/>
        </w:rPr>
        <w:t>with the now addition of the</w:t>
      </w:r>
      <w:r>
        <w:rPr>
          <w:rFonts w:cs="Calibri"/>
          <w:sz w:val="24"/>
        </w:rPr>
        <w:t xml:space="preserve"> new codes</w:t>
      </w:r>
      <w:r w:rsidR="00151908">
        <w:rPr>
          <w:rFonts w:cs="Calibri"/>
          <w:sz w:val="24"/>
        </w:rPr>
        <w:t>.</w:t>
      </w:r>
      <w:r>
        <w:rPr>
          <w:rFonts w:cs="Calibri"/>
          <w:sz w:val="24"/>
        </w:rPr>
        <w:t xml:space="preserve"> </w:t>
      </w:r>
      <w:r w:rsidR="00151908">
        <w:rPr>
          <w:rFonts w:cs="Calibri"/>
          <w:sz w:val="24"/>
        </w:rPr>
        <w:t>T</w:t>
      </w:r>
      <w:r>
        <w:rPr>
          <w:rFonts w:cs="Calibri"/>
          <w:sz w:val="24"/>
        </w:rPr>
        <w:t xml:space="preserve">his process acted as an internal check on my analysis. </w:t>
      </w:r>
      <w:r>
        <w:rPr>
          <w:sz w:val="24"/>
          <w:szCs w:val="24"/>
        </w:rPr>
        <w:t>After producing a table of codes cross</w:t>
      </w:r>
      <w:r w:rsidR="00151908">
        <w:rPr>
          <w:sz w:val="24"/>
          <w:szCs w:val="24"/>
        </w:rPr>
        <w:t>-</w:t>
      </w:r>
      <w:r>
        <w:rPr>
          <w:sz w:val="24"/>
          <w:szCs w:val="24"/>
        </w:rPr>
        <w:t xml:space="preserve">referenced to each school and </w:t>
      </w:r>
      <w:r w:rsidR="00D27BF7">
        <w:rPr>
          <w:sz w:val="24"/>
          <w:szCs w:val="24"/>
        </w:rPr>
        <w:t xml:space="preserve">each interviewee (see </w:t>
      </w:r>
      <w:r w:rsidR="00151908">
        <w:rPr>
          <w:sz w:val="24"/>
          <w:szCs w:val="24"/>
        </w:rPr>
        <w:t>A</w:t>
      </w:r>
      <w:r w:rsidR="00D27BF7">
        <w:rPr>
          <w:sz w:val="24"/>
          <w:szCs w:val="24"/>
        </w:rPr>
        <w:t>ppendix 7</w:t>
      </w:r>
      <w:r>
        <w:rPr>
          <w:sz w:val="24"/>
          <w:szCs w:val="24"/>
        </w:rPr>
        <w:t xml:space="preserve">), </w:t>
      </w:r>
      <w:r w:rsidRPr="000930A7">
        <w:rPr>
          <w:sz w:val="24"/>
          <w:szCs w:val="24"/>
        </w:rPr>
        <w:t xml:space="preserve">I then </w:t>
      </w:r>
      <w:r>
        <w:rPr>
          <w:sz w:val="24"/>
          <w:szCs w:val="24"/>
        </w:rPr>
        <w:t>identif</w:t>
      </w:r>
      <w:r w:rsidR="00AE17B7">
        <w:rPr>
          <w:sz w:val="24"/>
          <w:szCs w:val="24"/>
        </w:rPr>
        <w:t>ied</w:t>
      </w:r>
      <w:r>
        <w:rPr>
          <w:sz w:val="24"/>
          <w:szCs w:val="24"/>
        </w:rPr>
        <w:t xml:space="preserve"> the key themes. Referring back to the literature, my aims</w:t>
      </w:r>
      <w:r w:rsidR="00151908">
        <w:rPr>
          <w:sz w:val="24"/>
          <w:szCs w:val="24"/>
        </w:rPr>
        <w:t>,</w:t>
      </w:r>
      <w:r>
        <w:rPr>
          <w:sz w:val="24"/>
          <w:szCs w:val="24"/>
        </w:rPr>
        <w:t xml:space="preserve"> and research questions</w:t>
      </w:r>
      <w:r w:rsidR="00151908">
        <w:rPr>
          <w:sz w:val="24"/>
          <w:szCs w:val="24"/>
        </w:rPr>
        <w:t>,</w:t>
      </w:r>
      <w:r>
        <w:rPr>
          <w:sz w:val="24"/>
          <w:szCs w:val="24"/>
        </w:rPr>
        <w:t xml:space="preserve"> I group</w:t>
      </w:r>
      <w:r w:rsidR="00AE17B7">
        <w:rPr>
          <w:sz w:val="24"/>
          <w:szCs w:val="24"/>
        </w:rPr>
        <w:t>ed</w:t>
      </w:r>
      <w:r>
        <w:rPr>
          <w:sz w:val="24"/>
          <w:szCs w:val="24"/>
        </w:rPr>
        <w:t xml:space="preserve"> my codes together into similar areas and by a process of realignment and reduction identified f</w:t>
      </w:r>
      <w:r w:rsidRPr="000930A7">
        <w:rPr>
          <w:sz w:val="24"/>
          <w:szCs w:val="24"/>
        </w:rPr>
        <w:t xml:space="preserve">ive </w:t>
      </w:r>
      <w:r>
        <w:rPr>
          <w:sz w:val="24"/>
          <w:szCs w:val="24"/>
        </w:rPr>
        <w:t xml:space="preserve">overarching </w:t>
      </w:r>
      <w:r w:rsidRPr="000930A7">
        <w:rPr>
          <w:sz w:val="24"/>
          <w:szCs w:val="24"/>
        </w:rPr>
        <w:t>themes. The</w:t>
      </w:r>
      <w:r>
        <w:rPr>
          <w:sz w:val="24"/>
          <w:szCs w:val="24"/>
        </w:rPr>
        <w:t>se</w:t>
      </w:r>
      <w:r w:rsidRPr="000930A7">
        <w:rPr>
          <w:sz w:val="24"/>
          <w:szCs w:val="24"/>
        </w:rPr>
        <w:t xml:space="preserve"> themes were: </w:t>
      </w:r>
      <w:r>
        <w:rPr>
          <w:sz w:val="24"/>
          <w:szCs w:val="24"/>
        </w:rPr>
        <w:t xml:space="preserve">the </w:t>
      </w:r>
      <w:r w:rsidRPr="000930A7">
        <w:rPr>
          <w:sz w:val="24"/>
          <w:szCs w:val="24"/>
        </w:rPr>
        <w:t>nature of knowledge</w:t>
      </w:r>
      <w:r w:rsidR="00151908">
        <w:rPr>
          <w:sz w:val="24"/>
          <w:szCs w:val="24"/>
        </w:rPr>
        <w:t>;</w:t>
      </w:r>
      <w:r w:rsidRPr="000930A7">
        <w:rPr>
          <w:sz w:val="24"/>
          <w:szCs w:val="24"/>
        </w:rPr>
        <w:t xml:space="preserve"> differentiation and hierarchy; choice and resistance; control and accountability</w:t>
      </w:r>
      <w:r w:rsidR="00151908">
        <w:rPr>
          <w:sz w:val="24"/>
          <w:szCs w:val="24"/>
        </w:rPr>
        <w:t>,</w:t>
      </w:r>
      <w:r w:rsidRPr="000930A7">
        <w:rPr>
          <w:sz w:val="24"/>
          <w:szCs w:val="24"/>
        </w:rPr>
        <w:t xml:space="preserve"> and equality.</w:t>
      </w:r>
    </w:p>
    <w:p w14:paraId="3F378A75" w14:textId="6A8576C0" w:rsidR="00A75A8F" w:rsidRPr="00123B23" w:rsidRDefault="00A75A8F" w:rsidP="00531995">
      <w:pPr>
        <w:pStyle w:val="Heading2"/>
      </w:pPr>
      <w:bookmarkStart w:id="58" w:name="_Toc452316342"/>
      <w:r w:rsidRPr="00123B23">
        <w:t>3.</w:t>
      </w:r>
      <w:r w:rsidR="004D2464">
        <w:t>6</w:t>
      </w:r>
      <w:r w:rsidR="00030F2A">
        <w:t xml:space="preserve"> </w:t>
      </w:r>
      <w:r w:rsidRPr="00123B23">
        <w:t>Ethics</w:t>
      </w:r>
      <w:bookmarkEnd w:id="58"/>
    </w:p>
    <w:p w14:paraId="50C77282" w14:textId="439BBF70" w:rsidR="00A75A8F" w:rsidRPr="00123B23" w:rsidRDefault="00A75A8F" w:rsidP="00A75A8F">
      <w:pPr>
        <w:spacing w:line="360" w:lineRule="auto"/>
        <w:rPr>
          <w:rFonts w:cs="Calibri"/>
          <w:sz w:val="24"/>
        </w:rPr>
      </w:pPr>
      <w:r w:rsidRPr="00123B23">
        <w:rPr>
          <w:rFonts w:cs="Calibri"/>
          <w:sz w:val="24"/>
        </w:rPr>
        <w:t>For my research to be rigorous and credible, I need</w:t>
      </w:r>
      <w:r w:rsidR="00151908">
        <w:rPr>
          <w:rFonts w:cs="Calibri"/>
          <w:sz w:val="24"/>
        </w:rPr>
        <w:t>ed</w:t>
      </w:r>
      <w:r w:rsidRPr="00123B23">
        <w:rPr>
          <w:rFonts w:cs="Calibri"/>
          <w:sz w:val="24"/>
        </w:rPr>
        <w:t xml:space="preserve"> to demonstrate that I ha</w:t>
      </w:r>
      <w:r w:rsidR="00151908">
        <w:rPr>
          <w:rFonts w:cs="Calibri"/>
          <w:sz w:val="24"/>
        </w:rPr>
        <w:t>d</w:t>
      </w:r>
      <w:r w:rsidRPr="00123B23">
        <w:rPr>
          <w:rFonts w:cs="Calibri"/>
          <w:sz w:val="24"/>
        </w:rPr>
        <w:t xml:space="preserve"> carried it out in an ethical and trustworthy manner. This section considers the ethical considerations within my research process; the ethical review process</w:t>
      </w:r>
      <w:r w:rsidR="00151908">
        <w:rPr>
          <w:rFonts w:cs="Calibri"/>
          <w:sz w:val="24"/>
        </w:rPr>
        <w:t>,</w:t>
      </w:r>
      <w:r w:rsidRPr="00123B23">
        <w:rPr>
          <w:rFonts w:cs="Calibri"/>
          <w:sz w:val="24"/>
        </w:rPr>
        <w:t xml:space="preserve"> and my defence of the trustworthiness of my research.</w:t>
      </w:r>
    </w:p>
    <w:p w14:paraId="0E80D46C" w14:textId="4EFFEA63" w:rsidR="00A75A8F" w:rsidRPr="00123B23" w:rsidRDefault="00A75A8F" w:rsidP="00531995">
      <w:pPr>
        <w:pStyle w:val="Heading3"/>
      </w:pPr>
      <w:bookmarkStart w:id="59" w:name="_Toc452316343"/>
      <w:r w:rsidRPr="00123B23">
        <w:t>3.</w:t>
      </w:r>
      <w:r w:rsidR="004D2464">
        <w:t>6</w:t>
      </w:r>
      <w:r w:rsidRPr="00123B23">
        <w:t>.1 Ethical considerations</w:t>
      </w:r>
      <w:bookmarkEnd w:id="59"/>
    </w:p>
    <w:p w14:paraId="7F61FBFC" w14:textId="187126EE" w:rsidR="00A75A8F" w:rsidRPr="00123B23" w:rsidRDefault="00A75A8F" w:rsidP="00531995">
      <w:pPr>
        <w:tabs>
          <w:tab w:val="left" w:pos="8647"/>
        </w:tabs>
        <w:spacing w:after="120" w:line="360" w:lineRule="auto"/>
        <w:rPr>
          <w:rFonts w:cs="Calibri"/>
          <w:sz w:val="24"/>
        </w:rPr>
      </w:pPr>
      <w:r w:rsidRPr="00123B23">
        <w:rPr>
          <w:rFonts w:cs="Calibri"/>
          <w:sz w:val="24"/>
        </w:rPr>
        <w:t xml:space="preserve"> Wellington (2000) states that there are five ways a research project could be unethical</w:t>
      </w:r>
      <w:r w:rsidR="00151908">
        <w:rPr>
          <w:rFonts w:cs="Calibri"/>
          <w:sz w:val="24"/>
        </w:rPr>
        <w:t>. These are:</w:t>
      </w:r>
      <w:r w:rsidRPr="00123B23">
        <w:rPr>
          <w:rFonts w:cs="Calibri"/>
          <w:sz w:val="24"/>
        </w:rPr>
        <w:t xml:space="preserve"> the design or planning</w:t>
      </w:r>
      <w:r w:rsidR="00151908">
        <w:rPr>
          <w:rFonts w:cs="Calibri"/>
          <w:sz w:val="24"/>
        </w:rPr>
        <w:t>;</w:t>
      </w:r>
      <w:r w:rsidRPr="00123B23">
        <w:rPr>
          <w:rFonts w:cs="Calibri"/>
          <w:sz w:val="24"/>
        </w:rPr>
        <w:t xml:space="preserve"> the methods used</w:t>
      </w:r>
      <w:r w:rsidR="00151908">
        <w:rPr>
          <w:rFonts w:cs="Calibri"/>
          <w:sz w:val="24"/>
        </w:rPr>
        <w:t>;</w:t>
      </w:r>
      <w:r w:rsidRPr="00123B23">
        <w:rPr>
          <w:rFonts w:cs="Calibri"/>
          <w:sz w:val="24"/>
        </w:rPr>
        <w:t xml:space="preserve"> the analysis and interpretation of the data</w:t>
      </w:r>
      <w:r w:rsidR="00151908">
        <w:rPr>
          <w:rFonts w:cs="Calibri"/>
          <w:sz w:val="24"/>
        </w:rPr>
        <w:t>;</w:t>
      </w:r>
      <w:r w:rsidRPr="00123B23">
        <w:rPr>
          <w:rFonts w:cs="Calibri"/>
          <w:sz w:val="24"/>
        </w:rPr>
        <w:t xml:space="preserve"> the presentation of the research</w:t>
      </w:r>
      <w:r w:rsidR="00151908">
        <w:rPr>
          <w:rFonts w:cs="Calibri"/>
          <w:sz w:val="24"/>
        </w:rPr>
        <w:t>,</w:t>
      </w:r>
      <w:r w:rsidRPr="00123B23">
        <w:rPr>
          <w:rFonts w:cs="Calibri"/>
          <w:sz w:val="24"/>
        </w:rPr>
        <w:t xml:space="preserve"> </w:t>
      </w:r>
      <w:r w:rsidR="00151908">
        <w:rPr>
          <w:rFonts w:cs="Calibri"/>
          <w:sz w:val="24"/>
        </w:rPr>
        <w:t>or</w:t>
      </w:r>
      <w:r w:rsidRPr="00123B23">
        <w:rPr>
          <w:rFonts w:cs="Calibri"/>
          <w:sz w:val="24"/>
        </w:rPr>
        <w:t xml:space="preserve"> the presentation of conclusions and recommendations. The area that I concentrated on most from an ethical perspective was my semi-structured interview data. People generously gave me their time</w:t>
      </w:r>
      <w:r w:rsidR="00151908">
        <w:rPr>
          <w:rFonts w:cs="Calibri"/>
          <w:sz w:val="24"/>
        </w:rPr>
        <w:t>, therefore</w:t>
      </w:r>
      <w:r w:rsidRPr="00123B23">
        <w:rPr>
          <w:rFonts w:cs="Calibri"/>
          <w:sz w:val="24"/>
        </w:rPr>
        <w:t xml:space="preserve"> I need</w:t>
      </w:r>
      <w:r w:rsidR="00151908">
        <w:rPr>
          <w:rFonts w:cs="Calibri"/>
          <w:sz w:val="24"/>
        </w:rPr>
        <w:t>ed</w:t>
      </w:r>
      <w:r w:rsidRPr="00123B23">
        <w:rPr>
          <w:rFonts w:cs="Calibri"/>
          <w:sz w:val="24"/>
        </w:rPr>
        <w:t xml:space="preserve"> to guard their anonymity and trust with care and ensure </w:t>
      </w:r>
      <w:r w:rsidR="00151908">
        <w:rPr>
          <w:rFonts w:cs="Calibri"/>
          <w:sz w:val="24"/>
        </w:rPr>
        <w:t xml:space="preserve">that </w:t>
      </w:r>
      <w:r w:rsidRPr="00123B23">
        <w:rPr>
          <w:rFonts w:cs="Calibri"/>
          <w:sz w:val="24"/>
        </w:rPr>
        <w:t>I represented their voices as accurately as possible. I also need</w:t>
      </w:r>
      <w:r w:rsidR="00151908">
        <w:rPr>
          <w:rFonts w:cs="Calibri"/>
          <w:sz w:val="24"/>
        </w:rPr>
        <w:t>ed</w:t>
      </w:r>
      <w:r w:rsidRPr="00123B23">
        <w:rPr>
          <w:rFonts w:cs="Calibri"/>
          <w:sz w:val="24"/>
        </w:rPr>
        <w:t xml:space="preserve"> to ensure the anonymity of both the LA area </w:t>
      </w:r>
      <w:r w:rsidRPr="00123B23">
        <w:rPr>
          <w:rFonts w:cs="Calibri"/>
          <w:sz w:val="24"/>
        </w:rPr>
        <w:lastRenderedPageBreak/>
        <w:t>and the specific schools. My intention in carryin</w:t>
      </w:r>
      <w:r w:rsidR="00BE038F">
        <w:rPr>
          <w:rFonts w:cs="Calibri"/>
          <w:sz w:val="24"/>
        </w:rPr>
        <w:t>g out a CDA</w:t>
      </w:r>
      <w:r w:rsidRPr="00123B23">
        <w:rPr>
          <w:rFonts w:cs="Calibri"/>
          <w:sz w:val="24"/>
        </w:rPr>
        <w:t xml:space="preserve"> </w:t>
      </w:r>
      <w:r w:rsidR="00151908">
        <w:rPr>
          <w:rFonts w:cs="Calibri"/>
          <w:sz w:val="24"/>
        </w:rPr>
        <w:t>wa</w:t>
      </w:r>
      <w:r w:rsidRPr="00123B23">
        <w:rPr>
          <w:rFonts w:cs="Calibri"/>
          <w:sz w:val="24"/>
        </w:rPr>
        <w:t xml:space="preserve">s to contribute to the on-going debate about the EBac and its implementation as well as to affect change, however small. It </w:t>
      </w:r>
      <w:r w:rsidR="00151908">
        <w:rPr>
          <w:rFonts w:cs="Calibri"/>
          <w:sz w:val="24"/>
        </w:rPr>
        <w:t>wa</w:t>
      </w:r>
      <w:r w:rsidRPr="00123B23">
        <w:rPr>
          <w:rFonts w:cs="Calibri"/>
          <w:sz w:val="24"/>
        </w:rPr>
        <w:t>s vital that I consider</w:t>
      </w:r>
      <w:r w:rsidR="00151908">
        <w:rPr>
          <w:rFonts w:cs="Calibri"/>
          <w:sz w:val="24"/>
        </w:rPr>
        <w:t>ed</w:t>
      </w:r>
      <w:r w:rsidRPr="00123B23">
        <w:rPr>
          <w:rFonts w:cs="Calibri"/>
          <w:sz w:val="24"/>
        </w:rPr>
        <w:t xml:space="preserve"> the ethical implications at all stages. Pring makes a distinction between:</w:t>
      </w:r>
    </w:p>
    <w:p w14:paraId="6D0D010F" w14:textId="35B88F3B" w:rsidR="00A75A8F" w:rsidRPr="00123B23" w:rsidRDefault="00151908" w:rsidP="00A75A8F">
      <w:pPr>
        <w:spacing w:line="240" w:lineRule="auto"/>
        <w:ind w:left="720"/>
        <w:rPr>
          <w:rFonts w:cs="Calibri"/>
          <w:sz w:val="24"/>
        </w:rPr>
      </w:pPr>
      <w:r>
        <w:rPr>
          <w:rFonts w:cs="Calibri"/>
          <w:sz w:val="24"/>
        </w:rPr>
        <w:t>…</w:t>
      </w:r>
      <w:r w:rsidR="00A75A8F" w:rsidRPr="00123B23">
        <w:rPr>
          <w:rFonts w:cs="Calibri"/>
          <w:sz w:val="24"/>
        </w:rPr>
        <w:t>those (moral) considerations which relate to general “principles of action” and those which relate to the dispositions and character of the researcher, (2000, p.141).</w:t>
      </w:r>
    </w:p>
    <w:p w14:paraId="26EE88DF" w14:textId="64DB4896" w:rsidR="00A75A8F" w:rsidRPr="00123B23" w:rsidRDefault="00A75A8F" w:rsidP="00A75A8F">
      <w:pPr>
        <w:spacing w:line="360" w:lineRule="auto"/>
        <w:rPr>
          <w:rFonts w:cs="Calibri"/>
          <w:sz w:val="24"/>
        </w:rPr>
      </w:pPr>
      <w:r w:rsidRPr="00123B23">
        <w:rPr>
          <w:rFonts w:cs="Calibri"/>
          <w:sz w:val="24"/>
        </w:rPr>
        <w:t xml:space="preserve">Utilising my analysis of the original policy with the policy implementation as experienced by practitioners within schools, my intention </w:t>
      </w:r>
      <w:r w:rsidR="00151908">
        <w:rPr>
          <w:rFonts w:cs="Calibri"/>
          <w:sz w:val="24"/>
        </w:rPr>
        <w:t>wa</w:t>
      </w:r>
      <w:r w:rsidRPr="00123B23">
        <w:rPr>
          <w:rFonts w:cs="Calibri"/>
          <w:sz w:val="24"/>
        </w:rPr>
        <w:t>s to reveal teachers’ perspectives and experiences of the impact of the policy. I use</w:t>
      </w:r>
      <w:r w:rsidR="00151908">
        <w:rPr>
          <w:rFonts w:cs="Calibri"/>
          <w:sz w:val="24"/>
        </w:rPr>
        <w:t>d</w:t>
      </w:r>
      <w:r w:rsidRPr="00123B23">
        <w:rPr>
          <w:rFonts w:cs="Calibri"/>
          <w:sz w:val="24"/>
        </w:rPr>
        <w:t xml:space="preserve"> semi-structured interviews so that the voices and experiences of the teachers </w:t>
      </w:r>
      <w:r w:rsidR="00151908">
        <w:rPr>
          <w:rFonts w:cs="Calibri"/>
          <w:sz w:val="24"/>
        </w:rPr>
        <w:t>would be</w:t>
      </w:r>
      <w:r w:rsidRPr="00123B23">
        <w:rPr>
          <w:rFonts w:cs="Calibri"/>
          <w:sz w:val="24"/>
        </w:rPr>
        <w:t xml:space="preserve"> at the forefront of my analysis. This creates an ethical issue in terms of individuals trusting me to interpret and analyse their words appropriately. All participants received and agreed a full transcript of their interview,</w:t>
      </w:r>
      <w:r w:rsidR="00151908">
        <w:rPr>
          <w:rFonts w:cs="Calibri"/>
          <w:sz w:val="24"/>
        </w:rPr>
        <w:t xml:space="preserve"> so</w:t>
      </w:r>
      <w:r w:rsidRPr="00123B23">
        <w:rPr>
          <w:rFonts w:cs="Calibri"/>
          <w:sz w:val="24"/>
        </w:rPr>
        <w:t xml:space="preserve"> in this way I checked back that they were in agreement with what they said and how </w:t>
      </w:r>
      <w:r w:rsidR="00151908">
        <w:rPr>
          <w:rFonts w:cs="Calibri"/>
          <w:sz w:val="24"/>
        </w:rPr>
        <w:t>they said it</w:t>
      </w:r>
      <w:r w:rsidRPr="00123B23">
        <w:rPr>
          <w:rFonts w:cs="Calibri"/>
          <w:sz w:val="24"/>
        </w:rPr>
        <w:t>. I fel</w:t>
      </w:r>
      <w:r w:rsidR="005652D9">
        <w:rPr>
          <w:rFonts w:cs="Calibri"/>
          <w:sz w:val="24"/>
        </w:rPr>
        <w:t>t</w:t>
      </w:r>
      <w:r w:rsidRPr="00123B23">
        <w:rPr>
          <w:rFonts w:cs="Calibri"/>
          <w:sz w:val="24"/>
        </w:rPr>
        <w:t xml:space="preserve"> that there </w:t>
      </w:r>
      <w:r w:rsidR="005652D9">
        <w:rPr>
          <w:rFonts w:cs="Calibri"/>
          <w:sz w:val="24"/>
        </w:rPr>
        <w:t>was</w:t>
      </w:r>
      <w:r w:rsidRPr="00123B23">
        <w:rPr>
          <w:rFonts w:cs="Calibri"/>
          <w:sz w:val="24"/>
        </w:rPr>
        <w:t xml:space="preserve"> a strong ethical component in terms of how I </w:t>
      </w:r>
      <w:r w:rsidR="00151908">
        <w:rPr>
          <w:rFonts w:cs="Calibri"/>
          <w:sz w:val="24"/>
        </w:rPr>
        <w:t xml:space="preserve">would </w:t>
      </w:r>
      <w:r w:rsidRPr="00123B23">
        <w:rPr>
          <w:rFonts w:cs="Calibri"/>
          <w:sz w:val="24"/>
        </w:rPr>
        <w:t>then present this data within the final thesis. Burgess et al</w:t>
      </w:r>
      <w:r w:rsidR="00151908">
        <w:rPr>
          <w:rFonts w:cs="Calibri"/>
          <w:sz w:val="24"/>
        </w:rPr>
        <w:t>.</w:t>
      </w:r>
      <w:r w:rsidRPr="00123B23">
        <w:rPr>
          <w:rFonts w:cs="Calibri"/>
          <w:sz w:val="24"/>
        </w:rPr>
        <w:t xml:space="preserve"> stress the high level of trust that participants place in the researcher</w:t>
      </w:r>
      <w:r w:rsidR="00151908">
        <w:rPr>
          <w:rFonts w:cs="Calibri"/>
          <w:sz w:val="24"/>
        </w:rPr>
        <w:t>,</w:t>
      </w:r>
      <w:r w:rsidRPr="00123B23">
        <w:rPr>
          <w:rFonts w:cs="Calibri"/>
          <w:sz w:val="24"/>
        </w:rPr>
        <w:t xml:space="preserve"> as well as the academic and professional integrity required </w:t>
      </w:r>
      <w:r w:rsidR="00151908">
        <w:rPr>
          <w:rFonts w:cs="Calibri"/>
          <w:sz w:val="24"/>
        </w:rPr>
        <w:t xml:space="preserve">to </w:t>
      </w:r>
      <w:r w:rsidRPr="00123B23">
        <w:rPr>
          <w:rFonts w:cs="Calibri"/>
          <w:sz w:val="24"/>
        </w:rPr>
        <w:t xml:space="preserve">“sustain that trust through conducting your research appropriately”, (2006, p.39). Pring </w:t>
      </w:r>
      <w:r w:rsidR="00151908">
        <w:rPr>
          <w:rFonts w:cs="Calibri"/>
          <w:sz w:val="24"/>
        </w:rPr>
        <w:t xml:space="preserve">(2000) </w:t>
      </w:r>
      <w:r w:rsidRPr="00123B23">
        <w:rPr>
          <w:rFonts w:cs="Calibri"/>
          <w:sz w:val="24"/>
        </w:rPr>
        <w:t>comments on the fact that</w:t>
      </w:r>
      <w:r w:rsidR="00151908">
        <w:rPr>
          <w:rFonts w:cs="Calibri"/>
          <w:sz w:val="24"/>
        </w:rPr>
        <w:t xml:space="preserve"> the</w:t>
      </w:r>
      <w:r w:rsidRPr="00123B23">
        <w:rPr>
          <w:rFonts w:cs="Calibri"/>
          <w:sz w:val="24"/>
        </w:rPr>
        <w:t xml:space="preserve"> decisions and choices a researcher makes will be greatly determined by the personal disposition of the researcher.</w:t>
      </w:r>
    </w:p>
    <w:p w14:paraId="2805A68F" w14:textId="77777777" w:rsidR="00A75A8F" w:rsidRPr="00123B23" w:rsidRDefault="00A75A8F" w:rsidP="00A75A8F">
      <w:pPr>
        <w:spacing w:line="240" w:lineRule="auto"/>
        <w:ind w:left="720"/>
        <w:rPr>
          <w:rFonts w:cs="Calibri"/>
          <w:sz w:val="24"/>
        </w:rPr>
      </w:pPr>
      <w:r w:rsidRPr="00123B23">
        <w:rPr>
          <w:rFonts w:cs="Calibri"/>
          <w:sz w:val="24"/>
        </w:rPr>
        <w:t>Such intellectual virtues therefore would include openness to criticism and co-operation since it is truth which matters more than one’s own personal recognition by others. The virtuous researcher would be horrified at any attempt to “cook the books” or to stifle criticism or to destroy data or to act partially, (2000 p.151).</w:t>
      </w:r>
    </w:p>
    <w:p w14:paraId="2023282E" w14:textId="746C8D05" w:rsidR="00777451" w:rsidRPr="00123B23" w:rsidRDefault="00A75A8F" w:rsidP="003A47A6">
      <w:pPr>
        <w:spacing w:line="360" w:lineRule="auto"/>
        <w:rPr>
          <w:rFonts w:cs="Calibri"/>
          <w:sz w:val="24"/>
        </w:rPr>
      </w:pPr>
      <w:r w:rsidRPr="00123B23">
        <w:rPr>
          <w:rFonts w:cs="Calibri"/>
          <w:sz w:val="24"/>
        </w:rPr>
        <w:t>I h</w:t>
      </w:r>
      <w:r w:rsidR="00AE17B7">
        <w:rPr>
          <w:rFonts w:cs="Calibri"/>
          <w:sz w:val="24"/>
        </w:rPr>
        <w:t>ave attempted to explain my</w:t>
      </w:r>
      <w:r w:rsidRPr="00123B23">
        <w:rPr>
          <w:rFonts w:cs="Calibri"/>
          <w:sz w:val="24"/>
        </w:rPr>
        <w:t xml:space="preserve"> decision-making </w:t>
      </w:r>
      <w:r w:rsidR="00AE17B7" w:rsidRPr="00123B23">
        <w:rPr>
          <w:rFonts w:cs="Calibri"/>
          <w:sz w:val="24"/>
        </w:rPr>
        <w:t>processes in</w:t>
      </w:r>
      <w:r w:rsidRPr="00123B23">
        <w:rPr>
          <w:rFonts w:cs="Calibri"/>
          <w:sz w:val="24"/>
        </w:rPr>
        <w:t xml:space="preserve"> sufficient detail to allow full consideration of my approach. I am aware of my responsibilities as a researcher and aim to reflect accurately the views of the teachers who generously gave their time to me. </w:t>
      </w:r>
    </w:p>
    <w:p w14:paraId="7C717738" w14:textId="4ACFBB2B" w:rsidR="00A75A8F" w:rsidRPr="00123B23" w:rsidRDefault="00A75A8F" w:rsidP="00531995">
      <w:pPr>
        <w:pStyle w:val="Heading3"/>
      </w:pPr>
      <w:bookmarkStart w:id="60" w:name="_Toc452316344"/>
      <w:r w:rsidRPr="00123B23">
        <w:t>3.</w:t>
      </w:r>
      <w:r w:rsidR="0070645A">
        <w:t>6</w:t>
      </w:r>
      <w:r w:rsidRPr="00123B23">
        <w:t>.2 Ethical review process</w:t>
      </w:r>
      <w:bookmarkEnd w:id="60"/>
    </w:p>
    <w:p w14:paraId="39FEBDCC" w14:textId="4268664E" w:rsidR="00777451" w:rsidRPr="00123B23" w:rsidRDefault="00A75A8F" w:rsidP="003A47A6">
      <w:pPr>
        <w:spacing w:line="360" w:lineRule="auto"/>
        <w:rPr>
          <w:rFonts w:cs="Calibri"/>
          <w:sz w:val="24"/>
        </w:rPr>
      </w:pPr>
      <w:r w:rsidRPr="00123B23">
        <w:rPr>
          <w:rFonts w:cs="Calibri"/>
          <w:sz w:val="24"/>
        </w:rPr>
        <w:t>All ethical review procedures and guidance from the University of Sheffield</w:t>
      </w:r>
      <w:r w:rsidR="00DA4A3B">
        <w:rPr>
          <w:rFonts w:cs="Calibri"/>
          <w:sz w:val="24"/>
        </w:rPr>
        <w:t xml:space="preserve"> –School of Education (2011)</w:t>
      </w:r>
      <w:r w:rsidRPr="00123B23">
        <w:rPr>
          <w:rFonts w:cs="Calibri"/>
          <w:sz w:val="24"/>
        </w:rPr>
        <w:t xml:space="preserve">, University Research Ethics Committee </w:t>
      </w:r>
      <w:r w:rsidR="00DA4A3B">
        <w:rPr>
          <w:rFonts w:cs="Calibri"/>
          <w:sz w:val="24"/>
        </w:rPr>
        <w:t xml:space="preserve">(U-REC, 2007) </w:t>
      </w:r>
      <w:r w:rsidRPr="00123B23">
        <w:rPr>
          <w:rFonts w:cs="Calibri"/>
          <w:sz w:val="24"/>
        </w:rPr>
        <w:t>and the Ethical Guidelines for Educational Research from BERA (2011) were followed at each stage of the research. In this section</w:t>
      </w:r>
      <w:r w:rsidR="00777451">
        <w:rPr>
          <w:rFonts w:cs="Calibri"/>
          <w:sz w:val="24"/>
        </w:rPr>
        <w:t>,</w:t>
      </w:r>
      <w:r w:rsidRPr="00123B23">
        <w:rPr>
          <w:rFonts w:cs="Calibri"/>
          <w:sz w:val="24"/>
        </w:rPr>
        <w:t xml:space="preserve"> I discuss each of the components of the ethical review process; </w:t>
      </w:r>
      <w:r w:rsidRPr="00123B23">
        <w:rPr>
          <w:rFonts w:cs="Calibri"/>
          <w:sz w:val="24"/>
        </w:rPr>
        <w:lastRenderedPageBreak/>
        <w:t>first</w:t>
      </w:r>
      <w:r w:rsidR="00777451">
        <w:rPr>
          <w:rFonts w:cs="Calibri"/>
          <w:sz w:val="24"/>
        </w:rPr>
        <w:t>,</w:t>
      </w:r>
      <w:r w:rsidRPr="00123B23">
        <w:rPr>
          <w:rFonts w:cs="Calibri"/>
          <w:sz w:val="24"/>
        </w:rPr>
        <w:t xml:space="preserve"> considering the participants within my research</w:t>
      </w:r>
      <w:r w:rsidR="00777451">
        <w:rPr>
          <w:rFonts w:cs="Calibri"/>
          <w:sz w:val="24"/>
        </w:rPr>
        <w:t xml:space="preserve">, then </w:t>
      </w:r>
      <w:r w:rsidRPr="00123B23">
        <w:rPr>
          <w:rFonts w:cs="Calibri"/>
          <w:sz w:val="24"/>
        </w:rPr>
        <w:t>discuss</w:t>
      </w:r>
      <w:r w:rsidR="00777451">
        <w:rPr>
          <w:rFonts w:cs="Calibri"/>
          <w:sz w:val="24"/>
        </w:rPr>
        <w:t>ing</w:t>
      </w:r>
      <w:r w:rsidR="000D27B4">
        <w:rPr>
          <w:rFonts w:cs="Calibri"/>
          <w:sz w:val="24"/>
        </w:rPr>
        <w:t xml:space="preserve"> the information provided to allow them to make</w:t>
      </w:r>
      <w:r w:rsidRPr="00123B23">
        <w:rPr>
          <w:rFonts w:cs="Calibri"/>
          <w:sz w:val="24"/>
        </w:rPr>
        <w:t xml:space="preserve"> informed decision</w:t>
      </w:r>
      <w:r w:rsidR="000D27B4">
        <w:rPr>
          <w:rFonts w:cs="Calibri"/>
          <w:sz w:val="24"/>
        </w:rPr>
        <w:t>s about being involved</w:t>
      </w:r>
      <w:r w:rsidRPr="00123B23">
        <w:rPr>
          <w:rFonts w:cs="Calibri"/>
          <w:sz w:val="24"/>
        </w:rPr>
        <w:t xml:space="preserve"> in the research; third</w:t>
      </w:r>
      <w:r w:rsidR="00777451">
        <w:rPr>
          <w:rFonts w:cs="Calibri"/>
          <w:sz w:val="24"/>
        </w:rPr>
        <w:t>,</w:t>
      </w:r>
      <w:r w:rsidRPr="00123B23">
        <w:rPr>
          <w:rFonts w:cs="Calibri"/>
          <w:sz w:val="24"/>
        </w:rPr>
        <w:t xml:space="preserve"> to consider issues relating to the anonymity of the data</w:t>
      </w:r>
      <w:r w:rsidR="00777451">
        <w:rPr>
          <w:rFonts w:cs="Calibri"/>
          <w:sz w:val="24"/>
        </w:rPr>
        <w:t>,</w:t>
      </w:r>
      <w:r w:rsidRPr="00123B23">
        <w:rPr>
          <w:rFonts w:cs="Calibri"/>
          <w:sz w:val="24"/>
        </w:rPr>
        <w:t xml:space="preserve"> and finally evaluating the trustworthiness of my research.</w:t>
      </w:r>
    </w:p>
    <w:p w14:paraId="60FE579F" w14:textId="1E4C4D58" w:rsidR="00A75A8F" w:rsidRPr="00123B23" w:rsidRDefault="00A75A8F" w:rsidP="00531995">
      <w:pPr>
        <w:pStyle w:val="Heading3"/>
      </w:pPr>
      <w:bookmarkStart w:id="61" w:name="_Toc452316345"/>
      <w:r w:rsidRPr="00123B23">
        <w:t>3.</w:t>
      </w:r>
      <w:r w:rsidR="0070645A">
        <w:t>6</w:t>
      </w:r>
      <w:r w:rsidRPr="00123B23">
        <w:t>.3 Participants</w:t>
      </w:r>
      <w:bookmarkEnd w:id="61"/>
    </w:p>
    <w:p w14:paraId="18746873" w14:textId="23242DA1" w:rsidR="00A75A8F" w:rsidRDefault="00A75A8F" w:rsidP="00DE2DC2">
      <w:pPr>
        <w:tabs>
          <w:tab w:val="left" w:pos="8222"/>
        </w:tabs>
        <w:spacing w:after="0" w:line="360" w:lineRule="auto"/>
        <w:rPr>
          <w:rFonts w:cs="Calibri"/>
          <w:sz w:val="24"/>
        </w:rPr>
      </w:pPr>
      <w:r w:rsidRPr="00123B23">
        <w:rPr>
          <w:rFonts w:cs="Calibri"/>
          <w:sz w:val="24"/>
        </w:rPr>
        <w:t xml:space="preserve">I gained ethical approval for my interviews by successfully completing the </w:t>
      </w:r>
      <w:r w:rsidRPr="00DE2DC2">
        <w:rPr>
          <w:i/>
          <w:sz w:val="24"/>
        </w:rPr>
        <w:t xml:space="preserve">University of Sheffield Education Department Research Ethics </w:t>
      </w:r>
      <w:r w:rsidR="00786F25">
        <w:rPr>
          <w:rFonts w:cs="Calibri"/>
          <w:i/>
          <w:sz w:val="24"/>
        </w:rPr>
        <w:t>A</w:t>
      </w:r>
      <w:r w:rsidRPr="00DE2DC2">
        <w:rPr>
          <w:i/>
          <w:sz w:val="24"/>
        </w:rPr>
        <w:t>ppl</w:t>
      </w:r>
      <w:r w:rsidR="00D27BF7" w:rsidRPr="00DE2DC2">
        <w:rPr>
          <w:i/>
          <w:sz w:val="24"/>
        </w:rPr>
        <w:t>ication</w:t>
      </w:r>
      <w:r w:rsidR="00D27BF7">
        <w:rPr>
          <w:rFonts w:cs="Calibri"/>
          <w:sz w:val="24"/>
        </w:rPr>
        <w:t xml:space="preserve"> (see </w:t>
      </w:r>
      <w:r w:rsidR="00397D98">
        <w:rPr>
          <w:rFonts w:cs="Calibri"/>
          <w:sz w:val="24"/>
        </w:rPr>
        <w:t>A</w:t>
      </w:r>
      <w:r w:rsidR="00D27BF7">
        <w:rPr>
          <w:rFonts w:cs="Calibri"/>
          <w:sz w:val="24"/>
        </w:rPr>
        <w:t>ppendix 1</w:t>
      </w:r>
      <w:r w:rsidRPr="00123B23">
        <w:rPr>
          <w:rFonts w:cs="Calibri"/>
          <w:sz w:val="24"/>
        </w:rPr>
        <w:t>). I did not share the identity of the schools with other schools taking part. Schools were identified as meeting my required sample criteria using only publicly available data. Bassey (1999</w:t>
      </w:r>
      <w:r w:rsidR="00AE17B7">
        <w:rPr>
          <w:rFonts w:cs="Calibri"/>
          <w:sz w:val="24"/>
        </w:rPr>
        <w:t xml:space="preserve">) </w:t>
      </w:r>
      <w:r w:rsidRPr="00123B23">
        <w:rPr>
          <w:rFonts w:cs="Calibri"/>
          <w:sz w:val="24"/>
        </w:rPr>
        <w:t>argue</w:t>
      </w:r>
      <w:r w:rsidR="00AE17B7">
        <w:rPr>
          <w:rFonts w:cs="Calibri"/>
          <w:sz w:val="24"/>
        </w:rPr>
        <w:t>s</w:t>
      </w:r>
      <w:r w:rsidRPr="00123B23">
        <w:rPr>
          <w:rFonts w:cs="Calibri"/>
          <w:sz w:val="24"/>
        </w:rPr>
        <w:t xml:space="preserve"> that it is the moral responsibility of the researcher to respect the privacy and dignity of research participants. My ethical review application stated that I would keep all tapes and transcripts anonymous and secure and that participants would be asked to check the transcripts</w:t>
      </w:r>
      <w:r w:rsidR="00786F25">
        <w:rPr>
          <w:rFonts w:cs="Calibri"/>
          <w:sz w:val="24"/>
        </w:rPr>
        <w:t>. M</w:t>
      </w:r>
      <w:r w:rsidRPr="00123B23">
        <w:rPr>
          <w:rFonts w:cs="Calibri"/>
          <w:sz w:val="24"/>
        </w:rPr>
        <w:t>y actions have upheld these aims. Burgess et al</w:t>
      </w:r>
      <w:r w:rsidR="0070645A">
        <w:rPr>
          <w:rFonts w:cs="Calibri"/>
          <w:sz w:val="24"/>
        </w:rPr>
        <w:t>.</w:t>
      </w:r>
      <w:r w:rsidRPr="00123B23">
        <w:rPr>
          <w:rFonts w:cs="Calibri"/>
          <w:sz w:val="24"/>
        </w:rPr>
        <w:t xml:space="preserve"> (2006) highlight an ethical concern that </w:t>
      </w:r>
      <w:r w:rsidR="00786F25">
        <w:rPr>
          <w:rFonts w:cs="Calibri"/>
          <w:sz w:val="24"/>
        </w:rPr>
        <w:t>it is</w:t>
      </w:r>
      <w:r w:rsidRPr="00123B23">
        <w:rPr>
          <w:rFonts w:cs="Calibri"/>
          <w:sz w:val="24"/>
        </w:rPr>
        <w:t xml:space="preserve"> sometimes difficult to maintain the anonymity of respondents from their own colleagues (p.33). My attendance in the four schools was not widely broadcast and the reasons for my visit were not discussed beyond the participants who had agreed to meet with me. </w:t>
      </w:r>
      <w:r w:rsidR="00786F25">
        <w:rPr>
          <w:rFonts w:cs="Calibri"/>
          <w:sz w:val="24"/>
        </w:rPr>
        <w:t xml:space="preserve">The duration of time between </w:t>
      </w:r>
      <w:r w:rsidRPr="00123B23">
        <w:rPr>
          <w:rFonts w:cs="Calibri"/>
          <w:sz w:val="24"/>
        </w:rPr>
        <w:t xml:space="preserve">carrying out the interviews to submitting the completed thesis </w:t>
      </w:r>
      <w:r w:rsidR="00786F25">
        <w:rPr>
          <w:rFonts w:cs="Calibri"/>
          <w:sz w:val="24"/>
        </w:rPr>
        <w:t>acts as</w:t>
      </w:r>
      <w:r w:rsidRPr="00123B23">
        <w:rPr>
          <w:rFonts w:cs="Calibri"/>
          <w:sz w:val="24"/>
        </w:rPr>
        <w:t xml:space="preserve"> </w:t>
      </w:r>
      <w:r w:rsidR="00786F25">
        <w:rPr>
          <w:rFonts w:cs="Calibri"/>
          <w:sz w:val="24"/>
        </w:rPr>
        <w:t xml:space="preserve">additional </w:t>
      </w:r>
      <w:r w:rsidRPr="00123B23">
        <w:rPr>
          <w:rFonts w:cs="Calibri"/>
          <w:sz w:val="24"/>
        </w:rPr>
        <w:t>protect</w:t>
      </w:r>
      <w:r w:rsidR="00786F25">
        <w:rPr>
          <w:rFonts w:cs="Calibri"/>
          <w:sz w:val="24"/>
        </w:rPr>
        <w:t>ion of</w:t>
      </w:r>
      <w:r w:rsidRPr="00123B23">
        <w:rPr>
          <w:rFonts w:cs="Calibri"/>
          <w:sz w:val="24"/>
        </w:rPr>
        <w:t xml:space="preserve"> the anonymity of my participants from their colleagues.</w:t>
      </w:r>
    </w:p>
    <w:p w14:paraId="47FCE849" w14:textId="77777777" w:rsidR="00786F25" w:rsidRPr="00123B23" w:rsidRDefault="00786F25" w:rsidP="00DE2DC2">
      <w:pPr>
        <w:tabs>
          <w:tab w:val="left" w:pos="8222"/>
        </w:tabs>
        <w:spacing w:after="0" w:line="360" w:lineRule="auto"/>
        <w:rPr>
          <w:rFonts w:cs="Calibri"/>
          <w:sz w:val="24"/>
        </w:rPr>
      </w:pPr>
    </w:p>
    <w:p w14:paraId="44D7B6A7" w14:textId="3E04A65C" w:rsidR="00A75A8F" w:rsidRDefault="00A75A8F" w:rsidP="00A75A8F">
      <w:pPr>
        <w:spacing w:line="360" w:lineRule="auto"/>
        <w:rPr>
          <w:rFonts w:cs="Calibri"/>
          <w:sz w:val="24"/>
        </w:rPr>
      </w:pPr>
      <w:r w:rsidRPr="00123B23">
        <w:rPr>
          <w:rFonts w:cs="Calibri"/>
          <w:sz w:val="24"/>
        </w:rPr>
        <w:t>My role as a research practitioner was the one that I adopted as my research relationship (Burgess et al</w:t>
      </w:r>
      <w:r w:rsidR="00786F25">
        <w:rPr>
          <w:rFonts w:cs="Calibri"/>
          <w:sz w:val="24"/>
        </w:rPr>
        <w:t>.,</w:t>
      </w:r>
      <w:r w:rsidRPr="00123B23">
        <w:rPr>
          <w:rFonts w:cs="Calibri"/>
          <w:sz w:val="24"/>
        </w:rPr>
        <w:t xml:space="preserve"> 2006) and appeared to fit best with the participants’ understanding of the interviews. My participa</w:t>
      </w:r>
      <w:r w:rsidR="00D27BF7">
        <w:rPr>
          <w:rFonts w:cs="Calibri"/>
          <w:sz w:val="24"/>
        </w:rPr>
        <w:t>nt information sheet (</w:t>
      </w:r>
      <w:r w:rsidR="00DF4D33">
        <w:rPr>
          <w:rFonts w:cs="Calibri"/>
          <w:sz w:val="24"/>
        </w:rPr>
        <w:t>A</w:t>
      </w:r>
      <w:r w:rsidR="00D27BF7">
        <w:rPr>
          <w:rFonts w:cs="Calibri"/>
          <w:sz w:val="24"/>
        </w:rPr>
        <w:t>ppendix 4</w:t>
      </w:r>
      <w:r w:rsidRPr="00123B23">
        <w:rPr>
          <w:rFonts w:cs="Calibri"/>
          <w:sz w:val="24"/>
        </w:rPr>
        <w:t>) and introduction</w:t>
      </w:r>
      <w:r w:rsidR="00DF4D33">
        <w:rPr>
          <w:rFonts w:cs="Calibri"/>
          <w:sz w:val="24"/>
        </w:rPr>
        <w:t xml:space="preserve"> </w:t>
      </w:r>
      <w:r w:rsidRPr="00123B23">
        <w:rPr>
          <w:rFonts w:cs="Calibri"/>
          <w:sz w:val="24"/>
        </w:rPr>
        <w:t>high</w:t>
      </w:r>
      <w:r w:rsidR="00E70BCB">
        <w:rPr>
          <w:rFonts w:cs="Calibri"/>
          <w:sz w:val="24"/>
        </w:rPr>
        <w:t>lighted my role as a Deputy</w:t>
      </w:r>
      <w:r w:rsidRPr="00123B23">
        <w:rPr>
          <w:rFonts w:cs="Calibri"/>
          <w:sz w:val="24"/>
        </w:rPr>
        <w:t xml:space="preserve"> in a particular school and therefore as a current practitioner, but also stressed my primary role in this circumstance as an EdD student. An ethical issue that could have arisen here relates to the implicit power relations between a Head of Department speaking to a Deputy from a different school. I believe that the exploratory non-judgemental nature of the interview</w:t>
      </w:r>
      <w:r w:rsidR="00272A74">
        <w:rPr>
          <w:rFonts w:cs="Calibri"/>
          <w:sz w:val="24"/>
        </w:rPr>
        <w:t>,</w:t>
      </w:r>
      <w:r w:rsidRPr="00123B23">
        <w:rPr>
          <w:rFonts w:cs="Calibri"/>
          <w:sz w:val="24"/>
        </w:rPr>
        <w:t xml:space="preserve"> along with my repeated </w:t>
      </w:r>
      <w:r w:rsidR="00272A74">
        <w:rPr>
          <w:rFonts w:cs="Calibri"/>
          <w:sz w:val="24"/>
        </w:rPr>
        <w:t xml:space="preserve">assurances </w:t>
      </w:r>
      <w:r w:rsidRPr="00123B23">
        <w:rPr>
          <w:rFonts w:cs="Calibri"/>
          <w:sz w:val="24"/>
        </w:rPr>
        <w:t>that all information was to be treated in the strictest confidence</w:t>
      </w:r>
      <w:r w:rsidR="00272A74">
        <w:rPr>
          <w:rFonts w:cs="Calibri"/>
          <w:sz w:val="24"/>
        </w:rPr>
        <w:t>,</w:t>
      </w:r>
      <w:r w:rsidRPr="00123B23">
        <w:rPr>
          <w:rFonts w:cs="Calibri"/>
          <w:sz w:val="24"/>
        </w:rPr>
        <w:t xml:space="preserve"> prevented this from becoming a barrier.</w:t>
      </w:r>
    </w:p>
    <w:p w14:paraId="22870B52" w14:textId="703FF1F2" w:rsidR="00A75A8F" w:rsidRPr="00123B23" w:rsidRDefault="00A75A8F" w:rsidP="00531995">
      <w:pPr>
        <w:pStyle w:val="Heading3"/>
      </w:pPr>
      <w:bookmarkStart w:id="62" w:name="_Toc452316346"/>
      <w:r w:rsidRPr="00123B23">
        <w:lastRenderedPageBreak/>
        <w:t>3.</w:t>
      </w:r>
      <w:r w:rsidR="0070645A">
        <w:t>6</w:t>
      </w:r>
      <w:r w:rsidRPr="00123B23">
        <w:t>.4 Information provided to participants</w:t>
      </w:r>
      <w:bookmarkEnd w:id="62"/>
    </w:p>
    <w:p w14:paraId="31CA1CC9" w14:textId="401007E9" w:rsidR="00A75A8F" w:rsidRPr="00123B23" w:rsidRDefault="00A75A8F" w:rsidP="00A75A8F">
      <w:pPr>
        <w:tabs>
          <w:tab w:val="left" w:pos="8505"/>
        </w:tabs>
        <w:spacing w:line="360" w:lineRule="auto"/>
        <w:rPr>
          <w:rFonts w:cs="Calibri"/>
          <w:sz w:val="24"/>
        </w:rPr>
      </w:pPr>
      <w:r w:rsidRPr="00123B23">
        <w:rPr>
          <w:rFonts w:cs="Calibri"/>
          <w:sz w:val="24"/>
        </w:rPr>
        <w:t xml:space="preserve">I have worked within the </w:t>
      </w:r>
      <w:r w:rsidR="00AE17B7">
        <w:rPr>
          <w:rFonts w:cs="Calibri"/>
          <w:sz w:val="24"/>
        </w:rPr>
        <w:t>British Educational Research Association (</w:t>
      </w:r>
      <w:r w:rsidRPr="00123B23">
        <w:rPr>
          <w:rFonts w:cs="Calibri"/>
          <w:sz w:val="24"/>
        </w:rPr>
        <w:t>BERA</w:t>
      </w:r>
      <w:r w:rsidR="00AE17B7">
        <w:rPr>
          <w:rFonts w:cs="Calibri"/>
          <w:sz w:val="24"/>
        </w:rPr>
        <w:t>)</w:t>
      </w:r>
      <w:r w:rsidRPr="00123B23">
        <w:rPr>
          <w:rFonts w:cs="Calibri"/>
          <w:sz w:val="24"/>
        </w:rPr>
        <w:t xml:space="preserve"> Ethical guidelines (2011) </w:t>
      </w:r>
      <w:r w:rsidR="00272A74">
        <w:rPr>
          <w:rFonts w:cs="Calibri"/>
          <w:sz w:val="24"/>
        </w:rPr>
        <w:t xml:space="preserve">in terms of </w:t>
      </w:r>
      <w:r w:rsidRPr="00123B23">
        <w:rPr>
          <w:rFonts w:cs="Calibri"/>
          <w:sz w:val="24"/>
        </w:rPr>
        <w:t xml:space="preserve">my responsibilities to participants. Full information about my study was provided initially to the schools and then to the participants to ensure that they were able to give </w:t>
      </w:r>
      <w:r w:rsidR="00D27BF7">
        <w:rPr>
          <w:rFonts w:cs="Calibri"/>
          <w:sz w:val="24"/>
        </w:rPr>
        <w:t xml:space="preserve">informed consent (see </w:t>
      </w:r>
      <w:r w:rsidR="00272A74">
        <w:rPr>
          <w:rFonts w:cs="Calibri"/>
          <w:sz w:val="24"/>
        </w:rPr>
        <w:t>A</w:t>
      </w:r>
      <w:r w:rsidR="00D27BF7">
        <w:rPr>
          <w:rFonts w:cs="Calibri"/>
          <w:sz w:val="24"/>
        </w:rPr>
        <w:t>ppendix 5</w:t>
      </w:r>
      <w:r w:rsidRPr="00123B23">
        <w:rPr>
          <w:rFonts w:cs="Calibri"/>
          <w:sz w:val="24"/>
        </w:rPr>
        <w:t xml:space="preserve">).  A detailed email covered all aspects identified within the </w:t>
      </w:r>
      <w:r w:rsidR="00272A74">
        <w:rPr>
          <w:rFonts w:cs="Calibri"/>
          <w:sz w:val="24"/>
        </w:rPr>
        <w:t>e</w:t>
      </w:r>
      <w:r w:rsidRPr="00123B23">
        <w:rPr>
          <w:rFonts w:cs="Calibri"/>
          <w:sz w:val="24"/>
        </w:rPr>
        <w:t xml:space="preserve">thics </w:t>
      </w:r>
      <w:r w:rsidR="00272A74">
        <w:rPr>
          <w:rFonts w:cs="Calibri"/>
          <w:sz w:val="24"/>
        </w:rPr>
        <w:t>g</w:t>
      </w:r>
      <w:r w:rsidRPr="00123B23">
        <w:rPr>
          <w:rFonts w:cs="Calibri"/>
          <w:sz w:val="24"/>
        </w:rPr>
        <w:t xml:space="preserve">uidance provided by the University of Sheffield and included full details of the research process and requirements. This information was followed by a more detailed dialogue when I met with the </w:t>
      </w:r>
      <w:r w:rsidR="000D27B4">
        <w:rPr>
          <w:rFonts w:cs="Calibri"/>
          <w:sz w:val="24"/>
        </w:rPr>
        <w:t>participants. The</w:t>
      </w:r>
      <w:r w:rsidRPr="00123B23">
        <w:rPr>
          <w:rFonts w:cs="Calibri"/>
          <w:sz w:val="24"/>
        </w:rPr>
        <w:t xml:space="preserve"> Participant Information Sheet and Consent Form </w:t>
      </w:r>
      <w:r w:rsidR="000D27B4">
        <w:rPr>
          <w:rFonts w:cs="Calibri"/>
          <w:sz w:val="24"/>
        </w:rPr>
        <w:t xml:space="preserve">were sent </w:t>
      </w:r>
      <w:r w:rsidR="0047050E">
        <w:rPr>
          <w:rFonts w:cs="Calibri"/>
          <w:sz w:val="24"/>
        </w:rPr>
        <w:t>in advance with</w:t>
      </w:r>
      <w:r w:rsidRPr="00123B23">
        <w:rPr>
          <w:rFonts w:cs="Calibri"/>
          <w:sz w:val="24"/>
        </w:rPr>
        <w:t xml:space="preserve"> </w:t>
      </w:r>
      <w:r w:rsidR="0047050E">
        <w:rPr>
          <w:rFonts w:cs="Calibri"/>
          <w:sz w:val="24"/>
        </w:rPr>
        <w:t>copies</w:t>
      </w:r>
      <w:r w:rsidRPr="00123B23">
        <w:rPr>
          <w:rFonts w:cs="Calibri"/>
          <w:sz w:val="24"/>
        </w:rPr>
        <w:t xml:space="preserve"> </w:t>
      </w:r>
      <w:r w:rsidR="000D27B4">
        <w:rPr>
          <w:rFonts w:cs="Calibri"/>
          <w:sz w:val="24"/>
        </w:rPr>
        <w:t xml:space="preserve">given </w:t>
      </w:r>
      <w:r w:rsidR="0047050E">
        <w:rPr>
          <w:rFonts w:cs="Calibri"/>
          <w:sz w:val="24"/>
        </w:rPr>
        <w:t xml:space="preserve">directly </w:t>
      </w:r>
      <w:r w:rsidR="000D27B4">
        <w:rPr>
          <w:rFonts w:cs="Calibri"/>
          <w:sz w:val="24"/>
        </w:rPr>
        <w:t>to</w:t>
      </w:r>
      <w:r w:rsidRPr="00123B23">
        <w:rPr>
          <w:rFonts w:cs="Calibri"/>
          <w:sz w:val="24"/>
        </w:rPr>
        <w:t xml:space="preserve"> the participants</w:t>
      </w:r>
      <w:r w:rsidR="0047050E">
        <w:rPr>
          <w:rFonts w:cs="Calibri"/>
          <w:sz w:val="24"/>
        </w:rPr>
        <w:t xml:space="preserve"> when I met them. A</w:t>
      </w:r>
      <w:r w:rsidRPr="00123B23">
        <w:rPr>
          <w:rFonts w:cs="Calibri"/>
          <w:sz w:val="24"/>
        </w:rPr>
        <w:t xml:space="preserve">ll participants were </w:t>
      </w:r>
      <w:r w:rsidR="0047050E">
        <w:rPr>
          <w:rFonts w:cs="Calibri"/>
          <w:sz w:val="24"/>
        </w:rPr>
        <w:t xml:space="preserve">made </w:t>
      </w:r>
      <w:r w:rsidRPr="00123B23">
        <w:rPr>
          <w:rFonts w:cs="Calibri"/>
          <w:sz w:val="24"/>
        </w:rPr>
        <w:t>aware that they could withdr</w:t>
      </w:r>
      <w:r w:rsidR="0047050E">
        <w:rPr>
          <w:rFonts w:cs="Calibri"/>
          <w:sz w:val="24"/>
        </w:rPr>
        <w:t>aw at any point from the research</w:t>
      </w:r>
      <w:r w:rsidRPr="00123B23">
        <w:rPr>
          <w:rFonts w:cs="Calibri"/>
          <w:sz w:val="24"/>
        </w:rPr>
        <w:t>. I agreed a date by which I would return the full transcript and asked for them to confirm that they were happy with the content as an accurate record of our conversation. All participants replied and no requests for changes or sections to be omitted were made.</w:t>
      </w:r>
    </w:p>
    <w:p w14:paraId="31BF1640" w14:textId="6031CDF8" w:rsidR="00A75A8F" w:rsidRPr="00123B23" w:rsidRDefault="00A75A8F" w:rsidP="00531995">
      <w:pPr>
        <w:pStyle w:val="Heading3"/>
      </w:pPr>
      <w:bookmarkStart w:id="63" w:name="_Toc452316347"/>
      <w:r w:rsidRPr="00123B23">
        <w:t>3.</w:t>
      </w:r>
      <w:r w:rsidR="0070645A">
        <w:t>6</w:t>
      </w:r>
      <w:r w:rsidRPr="00123B23">
        <w:t>.5 Anonymity of data</w:t>
      </w:r>
      <w:bookmarkEnd w:id="63"/>
    </w:p>
    <w:p w14:paraId="5F03AF72" w14:textId="1E439099" w:rsidR="00E573F8" w:rsidRDefault="00A75A8F" w:rsidP="00A75A8F">
      <w:pPr>
        <w:spacing w:line="360" w:lineRule="auto"/>
        <w:rPr>
          <w:rFonts w:cs="Calibri"/>
          <w:b/>
          <w:sz w:val="24"/>
        </w:rPr>
      </w:pPr>
      <w:r w:rsidRPr="00123B23">
        <w:rPr>
          <w:rFonts w:cs="Calibri"/>
          <w:sz w:val="24"/>
        </w:rPr>
        <w:t>As the research involved tape recording the interviews, permission for this was gained and a full explanation provided of the use of the tapes, safe storage and appropriate disposal. The participants’ anonymity and that of the relevant school was assured, as was the confidentiality of their responses. This was achieved through the careful handling, labelling and storage of the tapes and transcripts along with the use of pseudonyms throughout the analysis stage and final write</w:t>
      </w:r>
      <w:r w:rsidR="00E573F8">
        <w:rPr>
          <w:rFonts w:cs="Calibri"/>
          <w:sz w:val="24"/>
        </w:rPr>
        <w:t>-</w:t>
      </w:r>
      <w:r w:rsidRPr="00123B23">
        <w:rPr>
          <w:rFonts w:cs="Calibri"/>
          <w:sz w:val="24"/>
        </w:rPr>
        <w:t>up. The description of the four schools is deliberately vague to allow sufficient information for the reader</w:t>
      </w:r>
      <w:r w:rsidR="00E573F8">
        <w:rPr>
          <w:rFonts w:cs="Calibri"/>
          <w:sz w:val="24"/>
        </w:rPr>
        <w:t>,</w:t>
      </w:r>
      <w:r w:rsidRPr="00123B23">
        <w:rPr>
          <w:rFonts w:cs="Calibri"/>
          <w:sz w:val="24"/>
        </w:rPr>
        <w:t xml:space="preserve"> but without providing identifying features. I anticipated and found that I had to approach a number of schools to find those which were willing and had the capacity to take part. I justified and explained my procedures and plans, though no participants or schools requested adjustments or expressed concerns.</w:t>
      </w:r>
      <w:r w:rsidRPr="00123B23">
        <w:rPr>
          <w:rFonts w:cs="Calibri"/>
          <w:b/>
          <w:sz w:val="24"/>
        </w:rPr>
        <w:t xml:space="preserve"> </w:t>
      </w:r>
    </w:p>
    <w:p w14:paraId="4FA040EE" w14:textId="71B78313" w:rsidR="00A75A8F" w:rsidRPr="00A9368A" w:rsidRDefault="00A75A8F" w:rsidP="00531995">
      <w:pPr>
        <w:pStyle w:val="Heading3"/>
      </w:pPr>
      <w:bookmarkStart w:id="64" w:name="_Toc452316348"/>
      <w:r w:rsidRPr="00A9368A">
        <w:t>3.</w:t>
      </w:r>
      <w:r w:rsidR="0070645A">
        <w:t>6</w:t>
      </w:r>
      <w:r w:rsidRPr="00A9368A">
        <w:t>.7 Trustworthiness of my research</w:t>
      </w:r>
      <w:bookmarkEnd w:id="64"/>
      <w:r w:rsidRPr="00A9368A">
        <w:t xml:space="preserve"> </w:t>
      </w:r>
    </w:p>
    <w:p w14:paraId="1052AF61" w14:textId="210F0CEF" w:rsidR="00123B23" w:rsidRPr="00A9368A" w:rsidRDefault="00A75A8F" w:rsidP="00A75A8F">
      <w:pPr>
        <w:spacing w:after="0" w:line="360" w:lineRule="auto"/>
        <w:rPr>
          <w:rFonts w:cs="Calibri"/>
          <w:sz w:val="24"/>
        </w:rPr>
      </w:pPr>
      <w:r w:rsidRPr="00A9368A">
        <w:rPr>
          <w:rFonts w:cs="Calibri"/>
          <w:sz w:val="24"/>
        </w:rPr>
        <w:t>I sought comment</w:t>
      </w:r>
      <w:r w:rsidR="0070645A">
        <w:rPr>
          <w:rFonts w:cs="Calibri"/>
          <w:sz w:val="24"/>
        </w:rPr>
        <w:t>s</w:t>
      </w:r>
      <w:r w:rsidRPr="00A9368A">
        <w:rPr>
          <w:rFonts w:cs="Calibri"/>
          <w:sz w:val="24"/>
        </w:rPr>
        <w:t xml:space="preserve"> and feedback at all stages of my research from my supervisor and EdD colleagues in order to question and test out my assumptions</w:t>
      </w:r>
      <w:r w:rsidR="0070645A">
        <w:rPr>
          <w:rFonts w:cs="Calibri"/>
          <w:sz w:val="24"/>
        </w:rPr>
        <w:t>,</w:t>
      </w:r>
      <w:r w:rsidRPr="00A9368A">
        <w:rPr>
          <w:rFonts w:cs="Calibri"/>
          <w:sz w:val="24"/>
        </w:rPr>
        <w:t xml:space="preserve"> as well as to ensure that I provide sufficient but not excessive</w:t>
      </w:r>
      <w:r w:rsidR="00B02930">
        <w:rPr>
          <w:rFonts w:cs="Calibri"/>
          <w:sz w:val="24"/>
        </w:rPr>
        <w:t xml:space="preserve"> detail (Troyna</w:t>
      </w:r>
      <w:r w:rsidR="00E573F8">
        <w:rPr>
          <w:rFonts w:cs="Calibri"/>
          <w:sz w:val="24"/>
        </w:rPr>
        <w:t>,</w:t>
      </w:r>
      <w:r w:rsidR="00B02930">
        <w:rPr>
          <w:rFonts w:cs="Calibri"/>
          <w:sz w:val="24"/>
        </w:rPr>
        <w:t xml:space="preserve"> 1994). </w:t>
      </w:r>
      <w:r w:rsidRPr="00A9368A">
        <w:rPr>
          <w:rFonts w:cs="Calibri"/>
          <w:sz w:val="24"/>
        </w:rPr>
        <w:t xml:space="preserve">Lincoln </w:t>
      </w:r>
      <w:r w:rsidR="00B02930">
        <w:rPr>
          <w:rFonts w:cs="Calibri"/>
          <w:sz w:val="24"/>
        </w:rPr>
        <w:t xml:space="preserve">and Guba </w:t>
      </w:r>
      <w:r w:rsidRPr="00A9368A">
        <w:rPr>
          <w:rFonts w:cs="Calibri"/>
          <w:sz w:val="24"/>
        </w:rPr>
        <w:t>(1985) identified four categories of trustworthiness that research should comply with: credibility, transferability, dependability</w:t>
      </w:r>
      <w:r w:rsidR="0070645A">
        <w:rPr>
          <w:rFonts w:cs="Calibri"/>
          <w:sz w:val="24"/>
        </w:rPr>
        <w:t>,</w:t>
      </w:r>
      <w:r w:rsidRPr="00A9368A">
        <w:rPr>
          <w:rFonts w:cs="Calibri"/>
          <w:sz w:val="24"/>
        </w:rPr>
        <w:t xml:space="preserve"> and confirmability. </w:t>
      </w:r>
    </w:p>
    <w:p w14:paraId="4231DD5A" w14:textId="720E7E31" w:rsidR="00A75A8F" w:rsidRPr="00A9368A" w:rsidRDefault="00A75A8F" w:rsidP="00A75A8F">
      <w:pPr>
        <w:spacing w:after="0" w:line="360" w:lineRule="auto"/>
        <w:rPr>
          <w:rFonts w:cs="Calibri"/>
          <w:sz w:val="24"/>
        </w:rPr>
      </w:pPr>
      <w:r w:rsidRPr="00A9368A">
        <w:rPr>
          <w:rFonts w:cs="Calibri"/>
          <w:sz w:val="24"/>
        </w:rPr>
        <w:lastRenderedPageBreak/>
        <w:t>The credibility of my research is based on the confidence in the ‘truth’ of the findings</w:t>
      </w:r>
      <w:r w:rsidR="00A9368A">
        <w:rPr>
          <w:rFonts w:cs="Calibri"/>
          <w:sz w:val="24"/>
        </w:rPr>
        <w:t>,</w:t>
      </w:r>
      <w:r w:rsidR="00E573F8">
        <w:rPr>
          <w:rFonts w:cs="Calibri"/>
          <w:sz w:val="24"/>
        </w:rPr>
        <w:t xml:space="preserve"> i.e.</w:t>
      </w:r>
      <w:r w:rsidR="00A9368A">
        <w:rPr>
          <w:rFonts w:cs="Calibri"/>
          <w:sz w:val="24"/>
        </w:rPr>
        <w:t xml:space="preserve"> to what extent my findings reflect the reality of the situation</w:t>
      </w:r>
      <w:r w:rsidRPr="00A9368A">
        <w:rPr>
          <w:rFonts w:cs="Calibri"/>
          <w:sz w:val="24"/>
        </w:rPr>
        <w:t xml:space="preserve">. I adopted </w:t>
      </w:r>
      <w:r w:rsidR="00E573F8">
        <w:rPr>
          <w:rFonts w:cs="Calibri"/>
          <w:sz w:val="24"/>
        </w:rPr>
        <w:t xml:space="preserve">the </w:t>
      </w:r>
      <w:r w:rsidRPr="00A9368A">
        <w:rPr>
          <w:rFonts w:cs="Calibri"/>
          <w:sz w:val="24"/>
        </w:rPr>
        <w:t>methods of CDA and semi-structured interviews</w:t>
      </w:r>
      <w:r w:rsidR="00E573F8">
        <w:rPr>
          <w:rFonts w:cs="Calibri"/>
          <w:sz w:val="24"/>
        </w:rPr>
        <w:t>,</w:t>
      </w:r>
      <w:r w:rsidRPr="00A9368A">
        <w:rPr>
          <w:rFonts w:cs="Calibri"/>
          <w:sz w:val="24"/>
        </w:rPr>
        <w:t xml:space="preserve"> which are consistent with my research aims and questions and my theoretical perspective. I justified the choice of these methods</w:t>
      </w:r>
      <w:r w:rsidR="006258BB" w:rsidRPr="00A9368A">
        <w:rPr>
          <w:rFonts w:cs="Calibri"/>
          <w:sz w:val="24"/>
        </w:rPr>
        <w:t xml:space="preserve"> in </w:t>
      </w:r>
      <w:r w:rsidR="00E573F8">
        <w:rPr>
          <w:rFonts w:cs="Calibri"/>
          <w:sz w:val="24"/>
        </w:rPr>
        <w:t>S</w:t>
      </w:r>
      <w:r w:rsidR="00281477">
        <w:rPr>
          <w:rFonts w:cs="Calibri"/>
          <w:sz w:val="24"/>
        </w:rPr>
        <w:t>ection 3.4</w:t>
      </w:r>
      <w:r w:rsidRPr="00A9368A">
        <w:rPr>
          <w:rFonts w:cs="Calibri"/>
          <w:sz w:val="24"/>
        </w:rPr>
        <w:t>. The use of two methods allows for a deeper and richer understanding of the topic</w:t>
      </w:r>
      <w:r w:rsidR="00281477">
        <w:rPr>
          <w:rFonts w:cs="Calibri"/>
          <w:sz w:val="24"/>
        </w:rPr>
        <w:t xml:space="preserve"> in order to triangulate the findings and to uncover additional evidence to support any assertions and thereby strengthen the credibility of the research. </w:t>
      </w:r>
    </w:p>
    <w:p w14:paraId="78E1FA77" w14:textId="77777777" w:rsidR="00123B23" w:rsidRPr="00A9368A" w:rsidRDefault="00123B23" w:rsidP="00A75A8F">
      <w:pPr>
        <w:spacing w:after="0" w:line="360" w:lineRule="auto"/>
        <w:rPr>
          <w:rFonts w:cs="Calibri"/>
          <w:sz w:val="24"/>
        </w:rPr>
      </w:pPr>
    </w:p>
    <w:p w14:paraId="0E05ADED" w14:textId="627F1EB1" w:rsidR="00A75A8F" w:rsidRPr="00281477" w:rsidRDefault="0047050E" w:rsidP="00A75A8F">
      <w:pPr>
        <w:spacing w:after="0" w:line="360" w:lineRule="auto"/>
        <w:rPr>
          <w:rFonts w:cs="Calibri"/>
          <w:sz w:val="24"/>
        </w:rPr>
      </w:pPr>
      <w:r>
        <w:rPr>
          <w:rFonts w:cs="Calibri"/>
          <w:sz w:val="24"/>
        </w:rPr>
        <w:t>Demonstrating</w:t>
      </w:r>
      <w:r w:rsidR="00A75A8F" w:rsidRPr="00A9368A">
        <w:rPr>
          <w:rFonts w:cs="Calibri"/>
          <w:sz w:val="24"/>
        </w:rPr>
        <w:t xml:space="preserve"> that the findings have applicability in other contexts</w:t>
      </w:r>
      <w:r>
        <w:rPr>
          <w:rFonts w:cs="Calibri"/>
          <w:sz w:val="24"/>
        </w:rPr>
        <w:t xml:space="preserve"> refers to the transferability</w:t>
      </w:r>
      <w:r w:rsidR="00A75A8F" w:rsidRPr="00A9368A">
        <w:rPr>
          <w:rFonts w:cs="Calibri"/>
          <w:sz w:val="24"/>
        </w:rPr>
        <w:t>. My findings are a small</w:t>
      </w:r>
      <w:r w:rsidR="00E573F8">
        <w:rPr>
          <w:rFonts w:cs="Calibri"/>
          <w:sz w:val="24"/>
        </w:rPr>
        <w:t>-</w:t>
      </w:r>
      <w:r w:rsidR="00A75A8F" w:rsidRPr="00A9368A">
        <w:rPr>
          <w:rFonts w:cs="Calibri"/>
          <w:sz w:val="24"/>
        </w:rPr>
        <w:t xml:space="preserve">scale piece of research capturing key issues relating to the implementation of the EBac </w:t>
      </w:r>
      <w:r w:rsidR="006258BB" w:rsidRPr="00A9368A">
        <w:rPr>
          <w:rFonts w:cs="Calibri"/>
          <w:sz w:val="24"/>
        </w:rPr>
        <w:t xml:space="preserve">in </w:t>
      </w:r>
      <w:r w:rsidR="00A75A8F" w:rsidRPr="00A9368A">
        <w:rPr>
          <w:rFonts w:cs="Calibri"/>
          <w:sz w:val="24"/>
        </w:rPr>
        <w:t>four differing schools at a given moment in time. I have used the concept of Bassey’s (1998) “fuzzy generalisation” in order to highlight key aspects from my sample which may have wider resonance with other schools in similar positions.</w:t>
      </w:r>
      <w:r w:rsidR="00557812">
        <w:rPr>
          <w:rFonts w:cs="Calibri"/>
          <w:sz w:val="24"/>
        </w:rPr>
        <w:t xml:space="preserve"> I believe that such resonance allow</w:t>
      </w:r>
      <w:r w:rsidR="00E573F8">
        <w:rPr>
          <w:rFonts w:cs="Calibri"/>
          <w:sz w:val="24"/>
        </w:rPr>
        <w:t>s</w:t>
      </w:r>
      <w:r w:rsidR="00557812">
        <w:rPr>
          <w:rFonts w:cs="Calibri"/>
          <w:sz w:val="24"/>
        </w:rPr>
        <w:t xml:space="preserve"> my findings to have transferability across a range of school settings. </w:t>
      </w:r>
      <w:r w:rsidR="00A75A8F" w:rsidRPr="00A9368A">
        <w:rPr>
          <w:rFonts w:cs="Calibri"/>
          <w:sz w:val="24"/>
        </w:rPr>
        <w:t xml:space="preserve"> </w:t>
      </w:r>
    </w:p>
    <w:p w14:paraId="32DD8FCA" w14:textId="77777777" w:rsidR="00123B23" w:rsidRPr="00281477" w:rsidRDefault="00123B23" w:rsidP="00A75A8F">
      <w:pPr>
        <w:spacing w:after="0" w:line="360" w:lineRule="auto"/>
        <w:rPr>
          <w:rFonts w:cs="Calibri"/>
          <w:sz w:val="24"/>
        </w:rPr>
      </w:pPr>
    </w:p>
    <w:p w14:paraId="0AEE039D" w14:textId="732831CB" w:rsidR="00A75A8F" w:rsidRPr="00281477" w:rsidRDefault="00A75A8F" w:rsidP="00A75A8F">
      <w:pPr>
        <w:spacing w:after="0" w:line="360" w:lineRule="auto"/>
        <w:rPr>
          <w:rFonts w:cs="Calibri"/>
          <w:sz w:val="24"/>
        </w:rPr>
      </w:pPr>
      <w:r w:rsidRPr="00281477">
        <w:rPr>
          <w:rFonts w:cs="Calibri"/>
          <w:sz w:val="24"/>
        </w:rPr>
        <w:t xml:space="preserve">Dependability relates to </w:t>
      </w:r>
      <w:r w:rsidR="00F75C99">
        <w:rPr>
          <w:rFonts w:cs="Calibri"/>
          <w:sz w:val="24"/>
        </w:rPr>
        <w:t xml:space="preserve">how </w:t>
      </w:r>
      <w:r w:rsidRPr="00281477">
        <w:rPr>
          <w:rFonts w:cs="Calibri"/>
          <w:sz w:val="24"/>
        </w:rPr>
        <w:t>reliable and therefore repeatable</w:t>
      </w:r>
      <w:r w:rsidR="00F75C99">
        <w:rPr>
          <w:rFonts w:cs="Calibri"/>
          <w:sz w:val="24"/>
        </w:rPr>
        <w:t xml:space="preserve"> my work may be considered to be</w:t>
      </w:r>
      <w:r w:rsidRPr="00281477">
        <w:rPr>
          <w:rFonts w:cs="Calibri"/>
          <w:sz w:val="24"/>
        </w:rPr>
        <w:t>. I have provided detail of my research planning, process and reflection to allow others to understand and potentially replicate my actions and research. Shenton (</w:t>
      </w:r>
      <w:r w:rsidR="0047050E">
        <w:rPr>
          <w:rFonts w:cs="Calibri"/>
          <w:sz w:val="24"/>
        </w:rPr>
        <w:t>2004) argues that</w:t>
      </w:r>
      <w:r w:rsidRPr="00281477">
        <w:rPr>
          <w:rFonts w:cs="Calibri"/>
          <w:sz w:val="24"/>
        </w:rPr>
        <w:t xml:space="preserve"> res</w:t>
      </w:r>
      <w:r w:rsidR="0047050E">
        <w:rPr>
          <w:rFonts w:cs="Calibri"/>
          <w:sz w:val="24"/>
        </w:rPr>
        <w:t>earchers need to discuss the design and the</w:t>
      </w:r>
      <w:r w:rsidRPr="00281477">
        <w:rPr>
          <w:rFonts w:cs="Calibri"/>
          <w:sz w:val="24"/>
        </w:rPr>
        <w:t xml:space="preserve"> implementation</w:t>
      </w:r>
      <w:r w:rsidR="0047050E">
        <w:rPr>
          <w:rFonts w:cs="Calibri"/>
          <w:sz w:val="24"/>
        </w:rPr>
        <w:t xml:space="preserve"> of their research,</w:t>
      </w:r>
      <w:r w:rsidRPr="00281477">
        <w:rPr>
          <w:rFonts w:cs="Calibri"/>
          <w:sz w:val="24"/>
        </w:rPr>
        <w:t xml:space="preserve"> </w:t>
      </w:r>
      <w:r w:rsidR="0047050E">
        <w:rPr>
          <w:rFonts w:cs="Calibri"/>
          <w:sz w:val="24"/>
        </w:rPr>
        <w:t>the</w:t>
      </w:r>
      <w:r w:rsidRPr="00281477">
        <w:rPr>
          <w:rFonts w:cs="Calibri"/>
          <w:sz w:val="24"/>
        </w:rPr>
        <w:t xml:space="preserve"> detail of </w:t>
      </w:r>
      <w:r w:rsidR="0047050E">
        <w:rPr>
          <w:rFonts w:cs="Calibri"/>
          <w:sz w:val="24"/>
        </w:rPr>
        <w:t>the data collection</w:t>
      </w:r>
      <w:r w:rsidR="00F75C99">
        <w:rPr>
          <w:rFonts w:cs="Calibri"/>
          <w:sz w:val="24"/>
        </w:rPr>
        <w:t>,</w:t>
      </w:r>
      <w:r w:rsidRPr="00281477">
        <w:rPr>
          <w:rFonts w:cs="Calibri"/>
          <w:sz w:val="24"/>
        </w:rPr>
        <w:t xml:space="preserve"> </w:t>
      </w:r>
      <w:r w:rsidR="0047050E">
        <w:rPr>
          <w:rFonts w:cs="Calibri"/>
          <w:sz w:val="24"/>
        </w:rPr>
        <w:t>along with an evaluative reflection of the work</w:t>
      </w:r>
      <w:r w:rsidRPr="00281477">
        <w:rPr>
          <w:rFonts w:cs="Calibri"/>
          <w:sz w:val="24"/>
        </w:rPr>
        <w:t xml:space="preserve"> (p.71-72). My study includes reference</w:t>
      </w:r>
      <w:r w:rsidR="00F75C99">
        <w:rPr>
          <w:rFonts w:cs="Calibri"/>
          <w:sz w:val="24"/>
        </w:rPr>
        <w:t>s</w:t>
      </w:r>
      <w:r w:rsidRPr="00281477">
        <w:rPr>
          <w:rFonts w:cs="Calibri"/>
          <w:sz w:val="24"/>
        </w:rPr>
        <w:t xml:space="preserve"> to all of these, and offers suggestions for future research and improvements to my methodology and methods. </w:t>
      </w:r>
    </w:p>
    <w:p w14:paraId="4F1ED15D" w14:textId="77777777" w:rsidR="00123B23" w:rsidRPr="00281477" w:rsidRDefault="00123B23" w:rsidP="00A75A8F">
      <w:pPr>
        <w:spacing w:after="0" w:line="360" w:lineRule="auto"/>
        <w:rPr>
          <w:rFonts w:cs="Calibri"/>
          <w:sz w:val="24"/>
        </w:rPr>
      </w:pPr>
    </w:p>
    <w:p w14:paraId="64138835" w14:textId="4D035D16" w:rsidR="00A75A8F" w:rsidRPr="00444D7A" w:rsidRDefault="009333F4" w:rsidP="003A47A6">
      <w:pPr>
        <w:spacing w:line="360" w:lineRule="auto"/>
        <w:rPr>
          <w:rFonts w:cs="Calibri"/>
          <w:sz w:val="24"/>
        </w:rPr>
      </w:pPr>
      <w:r w:rsidRPr="00281477">
        <w:rPr>
          <w:rFonts w:asciiTheme="minorHAnsi" w:hAnsiTheme="minorHAnsi" w:cs="Calibri"/>
          <w:sz w:val="24"/>
          <w:szCs w:val="24"/>
        </w:rPr>
        <w:t xml:space="preserve">The concept of confirmability </w:t>
      </w:r>
      <w:r w:rsidR="006258BB" w:rsidRPr="00281477">
        <w:rPr>
          <w:rFonts w:asciiTheme="minorHAnsi" w:hAnsiTheme="minorHAnsi" w:cs="Calibri"/>
          <w:sz w:val="24"/>
          <w:szCs w:val="24"/>
        </w:rPr>
        <w:t>refers to</w:t>
      </w:r>
      <w:r w:rsidRPr="00281477">
        <w:rPr>
          <w:rFonts w:asciiTheme="minorHAnsi" w:hAnsiTheme="minorHAnsi" w:cs="Calibri"/>
          <w:sz w:val="24"/>
          <w:szCs w:val="24"/>
        </w:rPr>
        <w:t xml:space="preserve"> t</w:t>
      </w:r>
      <w:r w:rsidR="00A75A8F" w:rsidRPr="00281477">
        <w:rPr>
          <w:rFonts w:asciiTheme="minorHAnsi" w:hAnsiTheme="minorHAnsi" w:cs="Calibri"/>
          <w:sz w:val="24"/>
          <w:szCs w:val="24"/>
        </w:rPr>
        <w:t xml:space="preserve">he </w:t>
      </w:r>
      <w:r w:rsidR="00A75A8F" w:rsidRPr="00281477">
        <w:rPr>
          <w:rFonts w:asciiTheme="minorHAnsi" w:hAnsiTheme="minorHAnsi"/>
          <w:color w:val="000000"/>
          <w:sz w:val="24"/>
          <w:szCs w:val="24"/>
          <w:shd w:val="clear" w:color="auto" w:fill="FFFFFF"/>
        </w:rPr>
        <w:t>neutrality of the research</w:t>
      </w:r>
      <w:r w:rsidR="00F75C99">
        <w:rPr>
          <w:rFonts w:asciiTheme="minorHAnsi" w:hAnsiTheme="minorHAnsi"/>
          <w:color w:val="000000"/>
          <w:sz w:val="24"/>
          <w:szCs w:val="24"/>
          <w:shd w:val="clear" w:color="auto" w:fill="FFFFFF"/>
        </w:rPr>
        <w:t>;</w:t>
      </w:r>
      <w:r w:rsidR="00281477">
        <w:rPr>
          <w:rFonts w:asciiTheme="minorHAnsi" w:hAnsiTheme="minorHAnsi"/>
          <w:color w:val="000000"/>
          <w:sz w:val="24"/>
          <w:szCs w:val="24"/>
          <w:shd w:val="clear" w:color="auto" w:fill="FFFFFF"/>
        </w:rPr>
        <w:t xml:space="preserve"> </w:t>
      </w:r>
      <w:r w:rsidR="00901278">
        <w:rPr>
          <w:rFonts w:asciiTheme="minorHAnsi" w:hAnsiTheme="minorHAnsi"/>
          <w:color w:val="000000"/>
          <w:sz w:val="24"/>
          <w:szCs w:val="24"/>
          <w:shd w:val="clear" w:color="auto" w:fill="FFFFFF"/>
        </w:rPr>
        <w:t>the extent to which the findings</w:t>
      </w:r>
      <w:r w:rsidR="00A75A8F" w:rsidRPr="00281477">
        <w:rPr>
          <w:rFonts w:asciiTheme="minorHAnsi" w:hAnsiTheme="minorHAnsi"/>
          <w:color w:val="000000"/>
          <w:sz w:val="24"/>
          <w:szCs w:val="24"/>
          <w:shd w:val="clear" w:color="auto" w:fill="FFFFFF"/>
        </w:rPr>
        <w:t xml:space="preserve"> </w:t>
      </w:r>
      <w:r w:rsidR="00901278">
        <w:rPr>
          <w:rFonts w:asciiTheme="minorHAnsi" w:hAnsiTheme="minorHAnsi"/>
          <w:color w:val="000000"/>
          <w:sz w:val="24"/>
          <w:szCs w:val="24"/>
          <w:shd w:val="clear" w:color="auto" w:fill="FFFFFF"/>
        </w:rPr>
        <w:t xml:space="preserve">are </w:t>
      </w:r>
      <w:r w:rsidR="00A75A8F" w:rsidRPr="00281477">
        <w:rPr>
          <w:rFonts w:asciiTheme="minorHAnsi" w:hAnsiTheme="minorHAnsi"/>
          <w:color w:val="000000"/>
          <w:sz w:val="24"/>
          <w:szCs w:val="24"/>
          <w:shd w:val="clear" w:color="auto" w:fill="FFFFFF"/>
        </w:rPr>
        <w:t>deter</w:t>
      </w:r>
      <w:r w:rsidR="00901278">
        <w:rPr>
          <w:rFonts w:asciiTheme="minorHAnsi" w:hAnsiTheme="minorHAnsi"/>
          <w:color w:val="000000"/>
          <w:sz w:val="24"/>
          <w:szCs w:val="24"/>
          <w:shd w:val="clear" w:color="auto" w:fill="FFFFFF"/>
        </w:rPr>
        <w:t>mined by the respondents rather than</w:t>
      </w:r>
      <w:r w:rsidR="00A75A8F" w:rsidRPr="00281477">
        <w:rPr>
          <w:rFonts w:asciiTheme="minorHAnsi" w:hAnsiTheme="minorHAnsi"/>
          <w:color w:val="000000"/>
          <w:sz w:val="24"/>
          <w:szCs w:val="24"/>
          <w:shd w:val="clear" w:color="auto" w:fill="FFFFFF"/>
        </w:rPr>
        <w:t xml:space="preserve"> </w:t>
      </w:r>
      <w:r w:rsidR="00901278">
        <w:rPr>
          <w:rFonts w:asciiTheme="minorHAnsi" w:hAnsiTheme="minorHAnsi"/>
          <w:color w:val="000000"/>
          <w:sz w:val="24"/>
          <w:szCs w:val="24"/>
          <w:shd w:val="clear" w:color="auto" w:fill="FFFFFF"/>
        </w:rPr>
        <w:t xml:space="preserve">due to </w:t>
      </w:r>
      <w:r w:rsidR="00A75A8F" w:rsidRPr="00281477">
        <w:rPr>
          <w:rFonts w:asciiTheme="minorHAnsi" w:hAnsiTheme="minorHAnsi"/>
          <w:color w:val="000000"/>
          <w:sz w:val="24"/>
          <w:szCs w:val="24"/>
          <w:shd w:val="clear" w:color="auto" w:fill="FFFFFF"/>
        </w:rPr>
        <w:t>researcher bias</w:t>
      </w:r>
      <w:r w:rsidR="00A75A8F" w:rsidRPr="00281477">
        <w:rPr>
          <w:rFonts w:cs="Calibri"/>
          <w:sz w:val="24"/>
        </w:rPr>
        <w:t xml:space="preserve">. CDA </w:t>
      </w:r>
      <w:r w:rsidR="00281477" w:rsidRPr="00281477">
        <w:rPr>
          <w:rFonts w:cs="Calibri"/>
          <w:sz w:val="24"/>
        </w:rPr>
        <w:t xml:space="preserve">has potential for researcher bias </w:t>
      </w:r>
      <w:r w:rsidR="00281477">
        <w:rPr>
          <w:rFonts w:cs="Calibri"/>
          <w:sz w:val="24"/>
        </w:rPr>
        <w:t xml:space="preserve">as </w:t>
      </w:r>
      <w:r w:rsidR="00885573">
        <w:rPr>
          <w:rFonts w:cs="Calibri"/>
          <w:sz w:val="24"/>
        </w:rPr>
        <w:t xml:space="preserve">it is </w:t>
      </w:r>
      <w:r w:rsidR="00A75A8F" w:rsidRPr="00281477">
        <w:rPr>
          <w:rFonts w:cs="Calibri"/>
          <w:sz w:val="24"/>
        </w:rPr>
        <w:t>a product of my analysis</w:t>
      </w:r>
      <w:r w:rsidR="00F75C99">
        <w:rPr>
          <w:rFonts w:cs="Calibri"/>
          <w:sz w:val="24"/>
        </w:rPr>
        <w:t>,</w:t>
      </w:r>
      <w:r w:rsidR="00A75A8F" w:rsidRPr="00281477">
        <w:rPr>
          <w:rFonts w:cs="Calibri"/>
          <w:sz w:val="24"/>
        </w:rPr>
        <w:t xml:space="preserve"> which is </w:t>
      </w:r>
      <w:r w:rsidR="00885573">
        <w:rPr>
          <w:rFonts w:cs="Calibri"/>
          <w:sz w:val="24"/>
        </w:rPr>
        <w:t xml:space="preserve">open to </w:t>
      </w:r>
      <w:r w:rsidR="00A75A8F" w:rsidRPr="00281477">
        <w:rPr>
          <w:rFonts w:cs="Calibri"/>
          <w:sz w:val="24"/>
        </w:rPr>
        <w:t>influence by my approach and beliefs</w:t>
      </w:r>
      <w:r w:rsidRPr="00281477">
        <w:rPr>
          <w:rFonts w:cs="Calibri"/>
          <w:sz w:val="24"/>
        </w:rPr>
        <w:t>.</w:t>
      </w:r>
      <w:r w:rsidR="00A75A8F" w:rsidRPr="00281477">
        <w:rPr>
          <w:rFonts w:cs="Calibri"/>
          <w:sz w:val="24"/>
        </w:rPr>
        <w:t xml:space="preserve"> </w:t>
      </w:r>
      <w:r w:rsidRPr="00281477">
        <w:rPr>
          <w:rFonts w:cs="Calibri"/>
          <w:sz w:val="24"/>
        </w:rPr>
        <w:t>To address this concern</w:t>
      </w:r>
      <w:r w:rsidR="00F75C99">
        <w:rPr>
          <w:rFonts w:cs="Calibri"/>
          <w:sz w:val="24"/>
        </w:rPr>
        <w:t>,</w:t>
      </w:r>
      <w:r w:rsidRPr="00281477">
        <w:rPr>
          <w:rFonts w:cs="Calibri"/>
          <w:sz w:val="24"/>
        </w:rPr>
        <w:t xml:space="preserve"> I</w:t>
      </w:r>
      <w:r w:rsidR="00A75A8F" w:rsidRPr="00281477">
        <w:rPr>
          <w:rFonts w:cs="Calibri"/>
          <w:sz w:val="24"/>
        </w:rPr>
        <w:t xml:space="preserve"> adopted and applied Hyatt’s framework in order to provide an external </w:t>
      </w:r>
      <w:r w:rsidR="00281477">
        <w:rPr>
          <w:rFonts w:cs="Calibri"/>
          <w:sz w:val="24"/>
        </w:rPr>
        <w:t xml:space="preserve">framework, </w:t>
      </w:r>
      <w:r w:rsidR="00A75A8F" w:rsidRPr="00281477">
        <w:rPr>
          <w:rFonts w:cs="Calibri"/>
          <w:sz w:val="24"/>
        </w:rPr>
        <w:t xml:space="preserve">structure </w:t>
      </w:r>
      <w:r w:rsidR="00885573">
        <w:rPr>
          <w:rFonts w:cs="Calibri"/>
          <w:sz w:val="24"/>
        </w:rPr>
        <w:t xml:space="preserve">and set of guidelines </w:t>
      </w:r>
      <w:r w:rsidR="00F75C99">
        <w:rPr>
          <w:rFonts w:cs="Calibri"/>
          <w:sz w:val="24"/>
        </w:rPr>
        <w:t>for</w:t>
      </w:r>
      <w:r w:rsidR="00A75A8F" w:rsidRPr="00281477">
        <w:rPr>
          <w:rFonts w:cs="Calibri"/>
          <w:sz w:val="24"/>
        </w:rPr>
        <w:t xml:space="preserve"> my work. I discussed my emerging analysis with my supervisor and other colleagues with linguistic knowledge to test out </w:t>
      </w:r>
      <w:r w:rsidR="00DB570F" w:rsidRPr="00281477">
        <w:rPr>
          <w:rFonts w:cs="Calibri"/>
          <w:sz w:val="24"/>
        </w:rPr>
        <w:t xml:space="preserve">the quality of my analysis and </w:t>
      </w:r>
      <w:r w:rsidR="00A75A8F" w:rsidRPr="00281477">
        <w:rPr>
          <w:rFonts w:cs="Calibri"/>
          <w:sz w:val="24"/>
        </w:rPr>
        <w:t xml:space="preserve">my interpretations. The discussion of </w:t>
      </w:r>
      <w:r w:rsidR="00A75A8F" w:rsidRPr="00281477">
        <w:rPr>
          <w:rFonts w:cs="Calibri"/>
          <w:sz w:val="24"/>
        </w:rPr>
        <w:lastRenderedPageBreak/>
        <w:t xml:space="preserve">my approach </w:t>
      </w:r>
      <w:r w:rsidR="00885573">
        <w:rPr>
          <w:rFonts w:cs="Calibri"/>
          <w:sz w:val="24"/>
        </w:rPr>
        <w:t xml:space="preserve">and analysis </w:t>
      </w:r>
      <w:r w:rsidR="00A75A8F" w:rsidRPr="00281477">
        <w:rPr>
          <w:rFonts w:cs="Calibri"/>
          <w:sz w:val="24"/>
        </w:rPr>
        <w:t>is intended to provide the reader with</w:t>
      </w:r>
      <w:r w:rsidR="00885573">
        <w:rPr>
          <w:rFonts w:cs="Calibri"/>
          <w:sz w:val="24"/>
        </w:rPr>
        <w:t xml:space="preserve"> ongoing</w:t>
      </w:r>
      <w:r w:rsidR="00A75A8F" w:rsidRPr="00281477">
        <w:rPr>
          <w:rFonts w:cs="Calibri"/>
          <w:sz w:val="24"/>
        </w:rPr>
        <w:t xml:space="preserve"> information </w:t>
      </w:r>
      <w:r w:rsidR="00885573">
        <w:rPr>
          <w:rFonts w:cs="Calibri"/>
          <w:sz w:val="24"/>
        </w:rPr>
        <w:t xml:space="preserve">about how I approached and conducted my analysis for them </w:t>
      </w:r>
      <w:r w:rsidR="00A75A8F" w:rsidRPr="00281477">
        <w:rPr>
          <w:rFonts w:cs="Calibri"/>
          <w:sz w:val="24"/>
        </w:rPr>
        <w:t xml:space="preserve">to </w:t>
      </w:r>
      <w:r w:rsidR="00885573">
        <w:rPr>
          <w:rFonts w:cs="Calibri"/>
          <w:sz w:val="24"/>
        </w:rPr>
        <w:t xml:space="preserve">be able to </w:t>
      </w:r>
      <w:r w:rsidR="00A75A8F" w:rsidRPr="00281477">
        <w:rPr>
          <w:rFonts w:cs="Calibri"/>
          <w:sz w:val="24"/>
        </w:rPr>
        <w:t xml:space="preserve">draw their own conclusions </w:t>
      </w:r>
      <w:r w:rsidR="00F75C99">
        <w:rPr>
          <w:rFonts w:cs="Calibri"/>
          <w:sz w:val="24"/>
        </w:rPr>
        <w:t>about</w:t>
      </w:r>
      <w:r w:rsidR="00A75A8F" w:rsidRPr="00281477">
        <w:rPr>
          <w:rFonts w:cs="Calibri"/>
          <w:sz w:val="24"/>
        </w:rPr>
        <w:t xml:space="preserve"> the confirmability</w:t>
      </w:r>
      <w:r w:rsidR="00885573">
        <w:rPr>
          <w:rFonts w:cs="Calibri"/>
          <w:sz w:val="24"/>
        </w:rPr>
        <w:t xml:space="preserve"> of my work</w:t>
      </w:r>
      <w:r w:rsidR="00A75A8F" w:rsidRPr="00281477">
        <w:rPr>
          <w:rFonts w:cs="Calibri"/>
          <w:sz w:val="24"/>
        </w:rPr>
        <w:t>.</w:t>
      </w:r>
      <w:r w:rsidR="00885573">
        <w:rPr>
          <w:rFonts w:cs="Calibri"/>
          <w:sz w:val="24"/>
        </w:rPr>
        <w:t xml:space="preserve"> </w:t>
      </w:r>
      <w:r w:rsidR="00F75C99">
        <w:rPr>
          <w:rFonts w:cs="Calibri"/>
          <w:sz w:val="24"/>
        </w:rPr>
        <w:t>T</w:t>
      </w:r>
      <w:r w:rsidR="00885573">
        <w:rPr>
          <w:rFonts w:cs="Calibri"/>
          <w:sz w:val="24"/>
        </w:rPr>
        <w:t>he use of quotes from the policy</w:t>
      </w:r>
      <w:r w:rsidR="00F75C99">
        <w:rPr>
          <w:rFonts w:cs="Calibri"/>
          <w:sz w:val="24"/>
        </w:rPr>
        <w:t>, for example, was</w:t>
      </w:r>
      <w:r w:rsidR="00885573">
        <w:rPr>
          <w:rFonts w:cs="Calibri"/>
          <w:sz w:val="24"/>
        </w:rPr>
        <w:t xml:space="preserve"> followed by my interpretation and analysis using the relevant section from Hyatt’s framework.</w:t>
      </w:r>
      <w:r w:rsidR="00A75A8F" w:rsidRPr="00281477">
        <w:rPr>
          <w:rFonts w:cs="Calibri"/>
          <w:sz w:val="24"/>
        </w:rPr>
        <w:t xml:space="preserve"> With the semi-structured interviews, the codes and themes arising from my analysis </w:t>
      </w:r>
      <w:r w:rsidR="00F75C99">
        <w:rPr>
          <w:rFonts w:cs="Calibri"/>
          <w:sz w:val="24"/>
        </w:rPr>
        <w:t>we</w:t>
      </w:r>
      <w:r w:rsidR="00123B23" w:rsidRPr="00281477">
        <w:rPr>
          <w:rFonts w:cs="Calibri"/>
          <w:sz w:val="24"/>
        </w:rPr>
        <w:t>re</w:t>
      </w:r>
      <w:r w:rsidR="00A75A8F" w:rsidRPr="00281477">
        <w:rPr>
          <w:rFonts w:cs="Calibri"/>
          <w:sz w:val="24"/>
        </w:rPr>
        <w:t xml:space="preserve"> influenced by my positionality</w:t>
      </w:r>
      <w:r w:rsidR="00DB570F" w:rsidRPr="00281477">
        <w:rPr>
          <w:rFonts w:cs="Calibri"/>
          <w:sz w:val="24"/>
        </w:rPr>
        <w:t>, research questions, study aims and my review of the literature</w:t>
      </w:r>
      <w:r w:rsidR="00A75A8F" w:rsidRPr="00281477">
        <w:rPr>
          <w:rFonts w:cs="Calibri"/>
          <w:sz w:val="24"/>
        </w:rPr>
        <w:t xml:space="preserve">. I have attempted to provide a clear </w:t>
      </w:r>
      <w:r w:rsidR="00123B23" w:rsidRPr="00281477">
        <w:rPr>
          <w:rFonts w:cs="Calibri"/>
          <w:sz w:val="24"/>
        </w:rPr>
        <w:t>‘</w:t>
      </w:r>
      <w:r w:rsidR="00A75A8F" w:rsidRPr="00281477">
        <w:rPr>
          <w:rFonts w:cs="Calibri"/>
          <w:sz w:val="24"/>
        </w:rPr>
        <w:t>audit trail</w:t>
      </w:r>
      <w:r w:rsidR="00123B23" w:rsidRPr="00281477">
        <w:rPr>
          <w:rFonts w:cs="Calibri"/>
          <w:sz w:val="24"/>
        </w:rPr>
        <w:t>’</w:t>
      </w:r>
      <w:r w:rsidR="00A75A8F" w:rsidRPr="00281477">
        <w:rPr>
          <w:rFonts w:cs="Calibri"/>
          <w:sz w:val="24"/>
        </w:rPr>
        <w:t xml:space="preserve"> for the readers</w:t>
      </w:r>
      <w:r w:rsidR="00F75C99">
        <w:rPr>
          <w:rFonts w:cs="Calibri"/>
          <w:sz w:val="24"/>
        </w:rPr>
        <w:t>,</w:t>
      </w:r>
      <w:r w:rsidR="00A75A8F" w:rsidRPr="00281477">
        <w:rPr>
          <w:rFonts w:cs="Calibri"/>
          <w:sz w:val="24"/>
        </w:rPr>
        <w:t xml:space="preserve"> as suggested by Shenton (2004).</w:t>
      </w:r>
      <w:r w:rsidRPr="00281477">
        <w:rPr>
          <w:rFonts w:cs="Calibri"/>
          <w:sz w:val="24"/>
        </w:rPr>
        <w:t xml:space="preserve"> I now consider the data collection phase of my research.</w:t>
      </w:r>
    </w:p>
    <w:p w14:paraId="5C5D3364" w14:textId="282C63E5" w:rsidR="00A75A8F" w:rsidRDefault="00A75A8F" w:rsidP="00531995">
      <w:pPr>
        <w:pStyle w:val="Heading2"/>
      </w:pPr>
      <w:bookmarkStart w:id="65" w:name="_Toc452316349"/>
      <w:r w:rsidRPr="00444D7A">
        <w:t>3.</w:t>
      </w:r>
      <w:r w:rsidR="0070645A">
        <w:t>7</w:t>
      </w:r>
      <w:r w:rsidRPr="00444D7A">
        <w:t xml:space="preserve"> Issues arising during the data collection phase</w:t>
      </w:r>
      <w:bookmarkEnd w:id="65"/>
      <w:r w:rsidRPr="00444D7A">
        <w:t xml:space="preserve"> </w:t>
      </w:r>
    </w:p>
    <w:p w14:paraId="79BC0A47" w14:textId="6B1ABD45" w:rsidR="00A75A8F" w:rsidRPr="003A47A6" w:rsidRDefault="00A75A8F" w:rsidP="003A47A6">
      <w:pPr>
        <w:spacing w:line="360" w:lineRule="auto"/>
        <w:rPr>
          <w:rFonts w:cs="Calibri"/>
          <w:i/>
          <w:sz w:val="24"/>
        </w:rPr>
      </w:pPr>
      <w:r>
        <w:rPr>
          <w:rFonts w:cs="Calibri"/>
          <w:sz w:val="24"/>
        </w:rPr>
        <w:t>While I had planned and prepared for the interviews</w:t>
      </w:r>
      <w:r w:rsidR="00A12E4A">
        <w:rPr>
          <w:rFonts w:cs="Calibri"/>
          <w:sz w:val="24"/>
        </w:rPr>
        <w:t>,</w:t>
      </w:r>
      <w:r>
        <w:rPr>
          <w:rFonts w:cs="Calibri"/>
          <w:sz w:val="24"/>
        </w:rPr>
        <w:t xml:space="preserve"> it was not possible to anticipate all eventualities. I</w:t>
      </w:r>
      <w:r w:rsidR="00E6782B">
        <w:rPr>
          <w:rFonts w:cs="Calibri"/>
          <w:sz w:val="24"/>
        </w:rPr>
        <w:t xml:space="preserve"> have</w:t>
      </w:r>
      <w:r>
        <w:rPr>
          <w:rFonts w:cs="Calibri"/>
          <w:sz w:val="24"/>
        </w:rPr>
        <w:t xml:space="preserve"> reflect</w:t>
      </w:r>
      <w:r w:rsidR="00E6782B">
        <w:rPr>
          <w:rFonts w:cs="Calibri"/>
          <w:sz w:val="24"/>
        </w:rPr>
        <w:t>ed</w:t>
      </w:r>
      <w:r>
        <w:rPr>
          <w:rFonts w:cs="Calibri"/>
          <w:sz w:val="24"/>
        </w:rPr>
        <w:t xml:space="preserve"> and comment</w:t>
      </w:r>
      <w:r w:rsidR="00E6782B">
        <w:rPr>
          <w:rFonts w:cs="Calibri"/>
          <w:sz w:val="24"/>
        </w:rPr>
        <w:t>ed</w:t>
      </w:r>
      <w:r>
        <w:rPr>
          <w:rFonts w:cs="Calibri"/>
          <w:sz w:val="24"/>
        </w:rPr>
        <w:t xml:space="preserve"> on issues that arose with my sample of schools, sample of teachers</w:t>
      </w:r>
      <w:r w:rsidR="00E6782B">
        <w:rPr>
          <w:rFonts w:cs="Calibri"/>
          <w:sz w:val="24"/>
        </w:rPr>
        <w:t>,</w:t>
      </w:r>
      <w:r>
        <w:rPr>
          <w:rFonts w:cs="Calibri"/>
          <w:sz w:val="24"/>
        </w:rPr>
        <w:t xml:space="preserve"> and negotiating access to the schools. </w:t>
      </w:r>
    </w:p>
    <w:p w14:paraId="3DE33BF5" w14:textId="4A01028F" w:rsidR="00A75A8F" w:rsidRPr="00444D7A" w:rsidRDefault="00A75A8F" w:rsidP="00531995">
      <w:pPr>
        <w:pStyle w:val="Heading3"/>
      </w:pPr>
      <w:bookmarkStart w:id="66" w:name="_Toc452316350"/>
      <w:r>
        <w:t>3.</w:t>
      </w:r>
      <w:r w:rsidR="0070645A">
        <w:t>7</w:t>
      </w:r>
      <w:r>
        <w:t>.1 School sample</w:t>
      </w:r>
      <w:bookmarkEnd w:id="66"/>
    </w:p>
    <w:p w14:paraId="517FEAB6" w14:textId="0E78A896" w:rsidR="00A75A8F" w:rsidRDefault="00A75A8F" w:rsidP="00A75A8F">
      <w:pPr>
        <w:tabs>
          <w:tab w:val="left" w:pos="8364"/>
          <w:tab w:val="left" w:pos="8647"/>
        </w:tabs>
        <w:spacing w:line="360" w:lineRule="auto"/>
        <w:rPr>
          <w:rFonts w:cs="Calibri"/>
          <w:sz w:val="24"/>
        </w:rPr>
      </w:pPr>
      <w:r w:rsidRPr="00444D7A">
        <w:rPr>
          <w:rFonts w:cs="Calibri"/>
          <w:sz w:val="24"/>
        </w:rPr>
        <w:t xml:space="preserve">My sample evolved during my research </w:t>
      </w:r>
      <w:r w:rsidR="00E6782B">
        <w:rPr>
          <w:rFonts w:cs="Calibri"/>
          <w:sz w:val="24"/>
        </w:rPr>
        <w:t xml:space="preserve">planning </w:t>
      </w:r>
      <w:r w:rsidRPr="00444D7A">
        <w:rPr>
          <w:rFonts w:cs="Calibri"/>
          <w:sz w:val="24"/>
        </w:rPr>
        <w:t xml:space="preserve">and data collection. I </w:t>
      </w:r>
      <w:r>
        <w:rPr>
          <w:rFonts w:cs="Calibri"/>
          <w:sz w:val="24"/>
        </w:rPr>
        <w:t>planned</w:t>
      </w:r>
      <w:r w:rsidRPr="00444D7A">
        <w:rPr>
          <w:rFonts w:cs="Calibri"/>
          <w:sz w:val="24"/>
        </w:rPr>
        <w:t xml:space="preserve"> to include an independent school within my sample. </w:t>
      </w:r>
      <w:r w:rsidR="008F21B0">
        <w:rPr>
          <w:rFonts w:cs="Calibri"/>
          <w:sz w:val="24"/>
        </w:rPr>
        <w:t>It became</w:t>
      </w:r>
      <w:r w:rsidRPr="00444D7A">
        <w:rPr>
          <w:rFonts w:cs="Calibri"/>
          <w:sz w:val="24"/>
        </w:rPr>
        <w:t xml:space="preserve"> apparent that the EBac appeared to have little </w:t>
      </w:r>
      <w:r w:rsidR="00E6782B">
        <w:rPr>
          <w:rFonts w:cs="Calibri"/>
          <w:sz w:val="24"/>
        </w:rPr>
        <w:t xml:space="preserve">impact on </w:t>
      </w:r>
      <w:r w:rsidRPr="00444D7A">
        <w:rPr>
          <w:rFonts w:cs="Calibri"/>
          <w:sz w:val="24"/>
        </w:rPr>
        <w:t>the curriculum planning or thinking</w:t>
      </w:r>
      <w:r w:rsidR="008F21B0">
        <w:rPr>
          <w:rFonts w:cs="Calibri"/>
          <w:sz w:val="24"/>
        </w:rPr>
        <w:t xml:space="preserve"> of independent schools</w:t>
      </w:r>
      <w:r w:rsidRPr="00444D7A">
        <w:rPr>
          <w:rFonts w:cs="Calibri"/>
          <w:sz w:val="24"/>
        </w:rPr>
        <w:t>. This could reflect</w:t>
      </w:r>
      <w:r>
        <w:rPr>
          <w:rFonts w:cs="Calibri"/>
          <w:sz w:val="24"/>
        </w:rPr>
        <w:t xml:space="preserve"> </w:t>
      </w:r>
      <w:r w:rsidRPr="00444D7A">
        <w:rPr>
          <w:rFonts w:cs="Calibri"/>
          <w:sz w:val="24"/>
        </w:rPr>
        <w:t>a genuine lack of focus on the EBac</w:t>
      </w:r>
      <w:r>
        <w:rPr>
          <w:rFonts w:cs="Calibri"/>
          <w:sz w:val="24"/>
        </w:rPr>
        <w:t>,</w:t>
      </w:r>
      <w:r w:rsidRPr="00444D7A">
        <w:rPr>
          <w:rFonts w:cs="Calibri"/>
          <w:sz w:val="24"/>
        </w:rPr>
        <w:t xml:space="preserve"> </w:t>
      </w:r>
      <w:r>
        <w:rPr>
          <w:rFonts w:cs="Calibri"/>
          <w:sz w:val="24"/>
        </w:rPr>
        <w:t xml:space="preserve">possibly as their curriculum was orientated towards this combination of subjects anyway, </w:t>
      </w:r>
      <w:r w:rsidRPr="00444D7A">
        <w:rPr>
          <w:rFonts w:cs="Calibri"/>
          <w:sz w:val="24"/>
        </w:rPr>
        <w:t xml:space="preserve">or </w:t>
      </w:r>
      <w:r>
        <w:rPr>
          <w:rFonts w:cs="Calibri"/>
          <w:sz w:val="24"/>
        </w:rPr>
        <w:t xml:space="preserve">an </w:t>
      </w:r>
      <w:r w:rsidRPr="00444D7A">
        <w:rPr>
          <w:rFonts w:cs="Calibri"/>
          <w:sz w:val="24"/>
        </w:rPr>
        <w:t>unwillingness to take part in the research. I believe that my sample of four state schools allow</w:t>
      </w:r>
      <w:r>
        <w:rPr>
          <w:rFonts w:cs="Calibri"/>
          <w:sz w:val="24"/>
        </w:rPr>
        <w:t>s</w:t>
      </w:r>
      <w:r w:rsidRPr="00444D7A">
        <w:rPr>
          <w:rFonts w:cs="Calibri"/>
          <w:sz w:val="24"/>
        </w:rPr>
        <w:t xml:space="preserve"> a comparison across different types of state school and </w:t>
      </w:r>
      <w:r>
        <w:rPr>
          <w:rFonts w:cs="Calibri"/>
          <w:sz w:val="24"/>
        </w:rPr>
        <w:t>highlights issues that resonat</w:t>
      </w:r>
      <w:r w:rsidR="00E6782B">
        <w:rPr>
          <w:rFonts w:cs="Calibri"/>
          <w:sz w:val="24"/>
        </w:rPr>
        <w:t>e</w:t>
      </w:r>
      <w:r>
        <w:rPr>
          <w:rFonts w:cs="Calibri"/>
          <w:sz w:val="24"/>
        </w:rPr>
        <w:t xml:space="preserve"> </w:t>
      </w:r>
      <w:r w:rsidRPr="00444D7A">
        <w:rPr>
          <w:rFonts w:cs="Calibri"/>
          <w:sz w:val="24"/>
        </w:rPr>
        <w:t>with other schools</w:t>
      </w:r>
      <w:r>
        <w:rPr>
          <w:rFonts w:cs="Calibri"/>
          <w:sz w:val="24"/>
        </w:rPr>
        <w:t xml:space="preserve"> in similar positions</w:t>
      </w:r>
      <w:r w:rsidRPr="00444D7A">
        <w:rPr>
          <w:rFonts w:cs="Calibri"/>
          <w:sz w:val="24"/>
        </w:rPr>
        <w:t>.</w:t>
      </w:r>
      <w:r>
        <w:rPr>
          <w:rFonts w:cs="Calibri"/>
          <w:sz w:val="24"/>
        </w:rPr>
        <w:t xml:space="preserve"> (Bassey, 1985).</w:t>
      </w:r>
    </w:p>
    <w:p w14:paraId="335C379D" w14:textId="23CC14E6" w:rsidR="00A75A8F" w:rsidRPr="00250AF3" w:rsidRDefault="00A75A8F" w:rsidP="00531995">
      <w:pPr>
        <w:pStyle w:val="Heading3"/>
      </w:pPr>
      <w:bookmarkStart w:id="67" w:name="_Toc452316351"/>
      <w:r>
        <w:t>3.</w:t>
      </w:r>
      <w:r w:rsidR="0070645A">
        <w:t>7</w:t>
      </w:r>
      <w:r>
        <w:t>.2 Negotiating access to school leaders</w:t>
      </w:r>
      <w:bookmarkEnd w:id="67"/>
    </w:p>
    <w:p w14:paraId="626B7C9D" w14:textId="50511EA1" w:rsidR="00E6782B" w:rsidRDefault="00A75A8F" w:rsidP="003A47A6">
      <w:pPr>
        <w:tabs>
          <w:tab w:val="left" w:pos="8647"/>
        </w:tabs>
        <w:spacing w:line="360" w:lineRule="auto"/>
        <w:rPr>
          <w:rFonts w:cs="Calibri"/>
          <w:sz w:val="24"/>
        </w:rPr>
      </w:pPr>
      <w:r>
        <w:rPr>
          <w:rFonts w:cs="Calibri"/>
          <w:sz w:val="24"/>
        </w:rPr>
        <w:t xml:space="preserve">Accessing </w:t>
      </w:r>
      <w:r w:rsidRPr="00444D7A">
        <w:rPr>
          <w:rFonts w:cs="Calibri"/>
          <w:sz w:val="24"/>
        </w:rPr>
        <w:t xml:space="preserve">school leaders </w:t>
      </w:r>
      <w:r>
        <w:rPr>
          <w:rFonts w:cs="Calibri"/>
          <w:sz w:val="24"/>
        </w:rPr>
        <w:t>was</w:t>
      </w:r>
      <w:r w:rsidRPr="00444D7A">
        <w:rPr>
          <w:rFonts w:cs="Calibri"/>
          <w:sz w:val="24"/>
        </w:rPr>
        <w:t xml:space="preserve"> hard</w:t>
      </w:r>
      <w:r w:rsidR="008F21B0">
        <w:rPr>
          <w:rFonts w:cs="Calibri"/>
          <w:sz w:val="24"/>
        </w:rPr>
        <w:t xml:space="preserve"> to achieve</w:t>
      </w:r>
      <w:r>
        <w:rPr>
          <w:rFonts w:cs="Calibri"/>
          <w:sz w:val="24"/>
        </w:rPr>
        <w:t xml:space="preserve">, mainly </w:t>
      </w:r>
      <w:r w:rsidR="00E6782B" w:rsidRPr="00444D7A">
        <w:rPr>
          <w:rFonts w:cs="Calibri"/>
          <w:sz w:val="24"/>
        </w:rPr>
        <w:t xml:space="preserve">due </w:t>
      </w:r>
      <w:r w:rsidRPr="00444D7A">
        <w:rPr>
          <w:rFonts w:cs="Calibri"/>
          <w:sz w:val="24"/>
        </w:rPr>
        <w:t xml:space="preserve">to the timing of my interviews in the summer term, </w:t>
      </w:r>
      <w:r w:rsidR="008F21B0" w:rsidRPr="00444D7A">
        <w:rPr>
          <w:rFonts w:cs="Calibri"/>
          <w:sz w:val="24"/>
        </w:rPr>
        <w:t>when</w:t>
      </w:r>
      <w:r w:rsidR="008F21B0">
        <w:rPr>
          <w:rFonts w:cs="Calibri"/>
          <w:sz w:val="24"/>
        </w:rPr>
        <w:t xml:space="preserve"> </w:t>
      </w:r>
      <w:r w:rsidR="008F21B0" w:rsidRPr="00444D7A">
        <w:rPr>
          <w:rFonts w:cs="Calibri"/>
          <w:sz w:val="24"/>
        </w:rPr>
        <w:t>teachers</w:t>
      </w:r>
      <w:r w:rsidRPr="00444D7A">
        <w:rPr>
          <w:rFonts w:cs="Calibri"/>
          <w:sz w:val="24"/>
        </w:rPr>
        <w:t xml:space="preserve"> focus on examination classes and planning for the following year. I also found it difficult to get agreement to interview </w:t>
      </w:r>
      <w:r w:rsidR="00E6782B">
        <w:rPr>
          <w:rFonts w:cs="Calibri"/>
          <w:sz w:val="24"/>
        </w:rPr>
        <w:t>subject h</w:t>
      </w:r>
      <w:r w:rsidRPr="00444D7A">
        <w:rPr>
          <w:rFonts w:cs="Calibri"/>
          <w:sz w:val="24"/>
        </w:rPr>
        <w:t>ead</w:t>
      </w:r>
      <w:r>
        <w:rPr>
          <w:rFonts w:cs="Calibri"/>
          <w:sz w:val="24"/>
        </w:rPr>
        <w:t>s</w:t>
      </w:r>
      <w:r w:rsidRPr="00444D7A">
        <w:rPr>
          <w:rFonts w:cs="Calibri"/>
          <w:sz w:val="24"/>
        </w:rPr>
        <w:t xml:space="preserve"> of both an EBac and a non</w:t>
      </w:r>
      <w:r w:rsidR="00CB1972">
        <w:rPr>
          <w:rFonts w:cs="Calibri"/>
          <w:sz w:val="24"/>
        </w:rPr>
        <w:t>-</w:t>
      </w:r>
      <w:r w:rsidRPr="00444D7A">
        <w:rPr>
          <w:rFonts w:cs="Calibri"/>
          <w:sz w:val="24"/>
        </w:rPr>
        <w:t xml:space="preserve">EBac subject.  </w:t>
      </w:r>
      <w:r>
        <w:rPr>
          <w:rFonts w:cs="Calibri"/>
          <w:sz w:val="24"/>
        </w:rPr>
        <w:t xml:space="preserve">I </w:t>
      </w:r>
      <w:r w:rsidRPr="00444D7A">
        <w:rPr>
          <w:rFonts w:cs="Calibri"/>
          <w:sz w:val="24"/>
        </w:rPr>
        <w:t>interview</w:t>
      </w:r>
      <w:r>
        <w:rPr>
          <w:rFonts w:cs="Calibri"/>
          <w:sz w:val="24"/>
        </w:rPr>
        <w:t>ed</w:t>
      </w:r>
      <w:r w:rsidRPr="00444D7A">
        <w:rPr>
          <w:rFonts w:cs="Calibri"/>
          <w:sz w:val="24"/>
        </w:rPr>
        <w:t xml:space="preserve"> a</w:t>
      </w:r>
      <w:r w:rsidR="00142956">
        <w:rPr>
          <w:rFonts w:cs="Calibri"/>
          <w:sz w:val="24"/>
        </w:rPr>
        <w:t xml:space="preserve"> non-</w:t>
      </w:r>
      <w:r w:rsidRPr="00444D7A">
        <w:rPr>
          <w:rFonts w:cs="Calibri"/>
          <w:sz w:val="24"/>
        </w:rPr>
        <w:t xml:space="preserve">EBac subject </w:t>
      </w:r>
      <w:r w:rsidR="00E6782B">
        <w:rPr>
          <w:rFonts w:cs="Calibri"/>
          <w:sz w:val="24"/>
        </w:rPr>
        <w:t>h</w:t>
      </w:r>
      <w:r w:rsidRPr="00444D7A">
        <w:rPr>
          <w:rFonts w:cs="Calibri"/>
          <w:sz w:val="24"/>
        </w:rPr>
        <w:t xml:space="preserve">ead </w:t>
      </w:r>
      <w:r>
        <w:rPr>
          <w:rFonts w:cs="Calibri"/>
          <w:sz w:val="24"/>
        </w:rPr>
        <w:t>i</w:t>
      </w:r>
      <w:r w:rsidRPr="00444D7A">
        <w:rPr>
          <w:rFonts w:cs="Calibri"/>
          <w:sz w:val="24"/>
        </w:rPr>
        <w:t xml:space="preserve">n </w:t>
      </w:r>
      <w:r>
        <w:rPr>
          <w:rFonts w:cs="Calibri"/>
          <w:sz w:val="24"/>
        </w:rPr>
        <w:t xml:space="preserve">only </w:t>
      </w:r>
      <w:r w:rsidRPr="00444D7A">
        <w:rPr>
          <w:rFonts w:cs="Calibri"/>
          <w:sz w:val="24"/>
        </w:rPr>
        <w:t xml:space="preserve">two of the four </w:t>
      </w:r>
      <w:r>
        <w:rPr>
          <w:rFonts w:cs="Calibri"/>
          <w:sz w:val="24"/>
        </w:rPr>
        <w:t>case</w:t>
      </w:r>
      <w:r w:rsidR="00E6782B">
        <w:rPr>
          <w:rFonts w:cs="Calibri"/>
          <w:sz w:val="24"/>
        </w:rPr>
        <w:t xml:space="preserve"> </w:t>
      </w:r>
      <w:r>
        <w:rPr>
          <w:rFonts w:cs="Calibri"/>
          <w:sz w:val="24"/>
        </w:rPr>
        <w:t xml:space="preserve">study </w:t>
      </w:r>
      <w:r w:rsidRPr="00444D7A">
        <w:rPr>
          <w:rFonts w:cs="Calibri"/>
          <w:sz w:val="24"/>
        </w:rPr>
        <w:t>schools</w:t>
      </w:r>
      <w:r>
        <w:rPr>
          <w:rFonts w:cs="Calibri"/>
          <w:sz w:val="24"/>
        </w:rPr>
        <w:t xml:space="preserve">, resulting in a </w:t>
      </w:r>
      <w:r w:rsidRPr="00444D7A">
        <w:rPr>
          <w:rFonts w:cs="Calibri"/>
          <w:sz w:val="24"/>
        </w:rPr>
        <w:t xml:space="preserve">potential </w:t>
      </w:r>
      <w:r>
        <w:rPr>
          <w:rFonts w:cs="Calibri"/>
          <w:sz w:val="24"/>
        </w:rPr>
        <w:t>im</w:t>
      </w:r>
      <w:r w:rsidRPr="00444D7A">
        <w:rPr>
          <w:rFonts w:cs="Calibri"/>
          <w:sz w:val="24"/>
        </w:rPr>
        <w:t xml:space="preserve">balance </w:t>
      </w:r>
      <w:r>
        <w:rPr>
          <w:rFonts w:cs="Calibri"/>
          <w:sz w:val="24"/>
        </w:rPr>
        <w:t xml:space="preserve">in </w:t>
      </w:r>
      <w:r w:rsidRPr="00444D7A">
        <w:rPr>
          <w:rFonts w:cs="Calibri"/>
          <w:sz w:val="24"/>
        </w:rPr>
        <w:t>my sample and the findings of my research</w:t>
      </w:r>
      <w:r>
        <w:rPr>
          <w:rFonts w:cs="Calibri"/>
          <w:sz w:val="24"/>
        </w:rPr>
        <w:t>. Three of the EBac Heads of Department had non</w:t>
      </w:r>
      <w:r w:rsidR="00CB1972">
        <w:rPr>
          <w:rFonts w:cs="Calibri"/>
          <w:sz w:val="24"/>
        </w:rPr>
        <w:t>-</w:t>
      </w:r>
      <w:r>
        <w:rPr>
          <w:rFonts w:cs="Calibri"/>
          <w:sz w:val="24"/>
        </w:rPr>
        <w:t xml:space="preserve">EBac subjects within their departments and I asked the participants to consider the impact on all subjects for which </w:t>
      </w:r>
      <w:r>
        <w:rPr>
          <w:rFonts w:cs="Calibri"/>
          <w:sz w:val="24"/>
        </w:rPr>
        <w:lastRenderedPageBreak/>
        <w:t xml:space="preserve">they were responsible. Nonetheless, </w:t>
      </w:r>
      <w:r w:rsidRPr="00444D7A">
        <w:rPr>
          <w:rFonts w:cs="Calibri"/>
          <w:sz w:val="24"/>
        </w:rPr>
        <w:t xml:space="preserve">the </w:t>
      </w:r>
      <w:r w:rsidR="00E6782B">
        <w:rPr>
          <w:rFonts w:cs="Calibri"/>
          <w:sz w:val="24"/>
        </w:rPr>
        <w:t>10</w:t>
      </w:r>
      <w:r w:rsidRPr="00444D7A">
        <w:rPr>
          <w:rFonts w:cs="Calibri"/>
          <w:sz w:val="24"/>
        </w:rPr>
        <w:t xml:space="preserve"> school leaders that I </w:t>
      </w:r>
      <w:r>
        <w:rPr>
          <w:rFonts w:cs="Calibri"/>
          <w:sz w:val="24"/>
        </w:rPr>
        <w:t xml:space="preserve">did interview </w:t>
      </w:r>
      <w:r w:rsidRPr="00444D7A">
        <w:rPr>
          <w:rFonts w:cs="Calibri"/>
          <w:sz w:val="24"/>
        </w:rPr>
        <w:t>provided</w:t>
      </w:r>
      <w:r w:rsidDel="003637C7">
        <w:rPr>
          <w:rFonts w:cs="Calibri"/>
          <w:sz w:val="24"/>
        </w:rPr>
        <w:t xml:space="preserve"> </w:t>
      </w:r>
      <w:r>
        <w:rPr>
          <w:rFonts w:cs="Calibri"/>
          <w:sz w:val="24"/>
        </w:rPr>
        <w:t>in-</w:t>
      </w:r>
      <w:r w:rsidRPr="00444D7A">
        <w:rPr>
          <w:rFonts w:cs="Calibri"/>
          <w:sz w:val="24"/>
        </w:rPr>
        <w:t>depth</w:t>
      </w:r>
      <w:r>
        <w:rPr>
          <w:rFonts w:cs="Calibri"/>
          <w:sz w:val="24"/>
        </w:rPr>
        <w:t xml:space="preserve">, </w:t>
      </w:r>
      <w:r w:rsidRPr="00444D7A">
        <w:rPr>
          <w:rFonts w:cs="Calibri"/>
          <w:sz w:val="24"/>
        </w:rPr>
        <w:t xml:space="preserve">rich and </w:t>
      </w:r>
      <w:r>
        <w:rPr>
          <w:rFonts w:cs="Calibri"/>
          <w:sz w:val="24"/>
        </w:rPr>
        <w:t>wide-</w:t>
      </w:r>
      <w:r w:rsidRPr="00444D7A">
        <w:rPr>
          <w:rFonts w:cs="Calibri"/>
          <w:sz w:val="24"/>
        </w:rPr>
        <w:t>rang</w:t>
      </w:r>
      <w:r>
        <w:rPr>
          <w:rFonts w:cs="Calibri"/>
          <w:sz w:val="24"/>
        </w:rPr>
        <w:t>ing</w:t>
      </w:r>
      <w:r w:rsidRPr="00444D7A">
        <w:rPr>
          <w:rFonts w:cs="Calibri"/>
          <w:sz w:val="24"/>
        </w:rPr>
        <w:t xml:space="preserve"> account</w:t>
      </w:r>
      <w:r>
        <w:rPr>
          <w:rFonts w:cs="Calibri"/>
          <w:sz w:val="24"/>
        </w:rPr>
        <w:t>s of their perspectives of the EBac</w:t>
      </w:r>
      <w:r w:rsidRPr="00444D7A">
        <w:rPr>
          <w:rFonts w:cs="Calibri"/>
          <w:sz w:val="24"/>
        </w:rPr>
        <w:t xml:space="preserve">. </w:t>
      </w:r>
    </w:p>
    <w:p w14:paraId="4A85A1A3" w14:textId="674A7313" w:rsidR="00A75A8F" w:rsidRPr="00250AF3" w:rsidRDefault="00A75A8F" w:rsidP="00531995">
      <w:pPr>
        <w:pStyle w:val="Heading3"/>
      </w:pPr>
      <w:bookmarkStart w:id="68" w:name="_Toc452316352"/>
      <w:r>
        <w:t>3.</w:t>
      </w:r>
      <w:r w:rsidR="0070645A">
        <w:t>7</w:t>
      </w:r>
      <w:r>
        <w:t xml:space="preserve">.3 </w:t>
      </w:r>
      <w:r w:rsidRPr="00250AF3">
        <w:t>Interview</w:t>
      </w:r>
      <w:r>
        <w:t xml:space="preserve"> arrangements</w:t>
      </w:r>
      <w:bookmarkEnd w:id="68"/>
    </w:p>
    <w:p w14:paraId="0396D823" w14:textId="37FBD5F7" w:rsidR="00A75A8F" w:rsidRDefault="00A75A8F" w:rsidP="00DE2DC2">
      <w:pPr>
        <w:tabs>
          <w:tab w:val="left" w:pos="8647"/>
        </w:tabs>
        <w:spacing w:after="0" w:line="360" w:lineRule="auto"/>
        <w:rPr>
          <w:rFonts w:cs="Calibri"/>
          <w:sz w:val="24"/>
        </w:rPr>
      </w:pPr>
      <w:r>
        <w:rPr>
          <w:rFonts w:cs="Calibri"/>
          <w:sz w:val="24"/>
        </w:rPr>
        <w:t>O</w:t>
      </w:r>
      <w:r w:rsidRPr="00444D7A">
        <w:rPr>
          <w:rFonts w:cs="Calibri"/>
          <w:sz w:val="24"/>
        </w:rPr>
        <w:t xml:space="preserve">rganising the interviews took time in order to fit around </w:t>
      </w:r>
      <w:r>
        <w:rPr>
          <w:rFonts w:cs="Calibri"/>
          <w:sz w:val="24"/>
        </w:rPr>
        <w:t>teacher</w:t>
      </w:r>
      <w:r w:rsidR="00E6782B">
        <w:rPr>
          <w:rFonts w:cs="Calibri"/>
          <w:sz w:val="24"/>
        </w:rPr>
        <w:t>s’</w:t>
      </w:r>
      <w:r>
        <w:rPr>
          <w:rFonts w:cs="Calibri"/>
          <w:sz w:val="24"/>
        </w:rPr>
        <w:t xml:space="preserve"> </w:t>
      </w:r>
      <w:r w:rsidRPr="00444D7A">
        <w:rPr>
          <w:rFonts w:cs="Calibri"/>
          <w:sz w:val="24"/>
        </w:rPr>
        <w:t>timetables</w:t>
      </w:r>
      <w:r>
        <w:rPr>
          <w:rFonts w:cs="Calibri"/>
          <w:sz w:val="24"/>
        </w:rPr>
        <w:t xml:space="preserve"> and school activities.</w:t>
      </w:r>
      <w:r w:rsidRPr="00444D7A">
        <w:rPr>
          <w:rFonts w:cs="Calibri"/>
          <w:sz w:val="24"/>
        </w:rPr>
        <w:t xml:space="preserve"> My technique was to persevere using email</w:t>
      </w:r>
      <w:r w:rsidR="00E6782B">
        <w:rPr>
          <w:rFonts w:cs="Calibri"/>
          <w:sz w:val="24"/>
        </w:rPr>
        <w:t>,</w:t>
      </w:r>
      <w:r w:rsidRPr="00444D7A">
        <w:rPr>
          <w:rFonts w:cs="Calibri"/>
          <w:sz w:val="24"/>
        </w:rPr>
        <w:t xml:space="preserve"> but to try to be as accommodating as possible</w:t>
      </w:r>
      <w:r w:rsidR="00E6782B">
        <w:rPr>
          <w:rFonts w:cs="Calibri"/>
          <w:sz w:val="24"/>
        </w:rPr>
        <w:t xml:space="preserve"> when booking interviews</w:t>
      </w:r>
      <w:r w:rsidRPr="00444D7A">
        <w:rPr>
          <w:rFonts w:cs="Calibri"/>
          <w:sz w:val="24"/>
        </w:rPr>
        <w:t>. A</w:t>
      </w:r>
      <w:r>
        <w:rPr>
          <w:rFonts w:cs="Calibri"/>
          <w:sz w:val="24"/>
        </w:rPr>
        <w:t>fter three follow</w:t>
      </w:r>
      <w:r w:rsidR="00E6782B">
        <w:rPr>
          <w:rFonts w:cs="Calibri"/>
          <w:sz w:val="24"/>
        </w:rPr>
        <w:t>-</w:t>
      </w:r>
      <w:r>
        <w:rPr>
          <w:rFonts w:cs="Calibri"/>
          <w:sz w:val="24"/>
        </w:rPr>
        <w:t xml:space="preserve">up emails </w:t>
      </w:r>
      <w:r w:rsidRPr="00444D7A">
        <w:rPr>
          <w:rFonts w:cs="Calibri"/>
          <w:sz w:val="24"/>
        </w:rPr>
        <w:t>I felt that I could not ask again</w:t>
      </w:r>
      <w:r>
        <w:rPr>
          <w:rFonts w:cs="Calibri"/>
          <w:sz w:val="24"/>
        </w:rPr>
        <w:t xml:space="preserve"> and consequently did</w:t>
      </w:r>
      <w:r w:rsidRPr="00444D7A">
        <w:rPr>
          <w:rFonts w:cs="Calibri"/>
          <w:sz w:val="24"/>
        </w:rPr>
        <w:t xml:space="preserve"> not secur</w:t>
      </w:r>
      <w:r>
        <w:rPr>
          <w:rFonts w:cs="Calibri"/>
          <w:sz w:val="24"/>
        </w:rPr>
        <w:t xml:space="preserve">e </w:t>
      </w:r>
      <w:r w:rsidRPr="00444D7A">
        <w:rPr>
          <w:rFonts w:cs="Calibri"/>
          <w:sz w:val="24"/>
        </w:rPr>
        <w:t>appointment</w:t>
      </w:r>
      <w:r>
        <w:rPr>
          <w:rFonts w:cs="Calibri"/>
          <w:sz w:val="24"/>
        </w:rPr>
        <w:t>s</w:t>
      </w:r>
      <w:r w:rsidRPr="00444D7A">
        <w:rPr>
          <w:rFonts w:cs="Calibri"/>
          <w:sz w:val="24"/>
        </w:rPr>
        <w:t xml:space="preserve"> with</w:t>
      </w:r>
      <w:r w:rsidR="00E6782B">
        <w:rPr>
          <w:rFonts w:cs="Calibri"/>
          <w:sz w:val="24"/>
        </w:rPr>
        <w:t xml:space="preserve"> those individuals</w:t>
      </w:r>
      <w:r>
        <w:rPr>
          <w:rFonts w:cs="Calibri"/>
          <w:sz w:val="24"/>
        </w:rPr>
        <w:t>.</w:t>
      </w:r>
      <w:r w:rsidRPr="00444D7A">
        <w:rPr>
          <w:rFonts w:cs="Calibri"/>
          <w:sz w:val="24"/>
        </w:rPr>
        <w:t xml:space="preserve"> </w:t>
      </w:r>
    </w:p>
    <w:p w14:paraId="0CC18433" w14:textId="77777777" w:rsidR="00E6782B" w:rsidRDefault="00E6782B" w:rsidP="00DE2DC2">
      <w:pPr>
        <w:tabs>
          <w:tab w:val="left" w:pos="8647"/>
        </w:tabs>
        <w:spacing w:after="0" w:line="360" w:lineRule="auto"/>
        <w:rPr>
          <w:rFonts w:cs="Calibri"/>
          <w:sz w:val="24"/>
        </w:rPr>
      </w:pPr>
    </w:p>
    <w:p w14:paraId="741BAC90" w14:textId="1643CD52" w:rsidR="00A75A8F" w:rsidRPr="00F90E8D" w:rsidRDefault="00A75A8F" w:rsidP="00F90E8D">
      <w:pPr>
        <w:spacing w:line="360" w:lineRule="auto"/>
        <w:rPr>
          <w:rFonts w:cs="Calibri"/>
          <w:sz w:val="24"/>
          <w:szCs w:val="24"/>
        </w:rPr>
      </w:pPr>
      <w:r w:rsidRPr="00444D7A">
        <w:rPr>
          <w:rFonts w:cs="Calibri"/>
          <w:sz w:val="24"/>
        </w:rPr>
        <w:t>My questions evolve</w:t>
      </w:r>
      <w:r>
        <w:rPr>
          <w:rFonts w:cs="Calibri"/>
          <w:sz w:val="24"/>
        </w:rPr>
        <w:t>d</w:t>
      </w:r>
      <w:r w:rsidRPr="00444D7A">
        <w:rPr>
          <w:rFonts w:cs="Calibri"/>
          <w:sz w:val="24"/>
        </w:rPr>
        <w:t xml:space="preserve"> throughout my </w:t>
      </w:r>
      <w:r w:rsidR="00E6782B">
        <w:rPr>
          <w:rFonts w:cs="Calibri"/>
          <w:sz w:val="24"/>
        </w:rPr>
        <w:t>10</w:t>
      </w:r>
      <w:r>
        <w:rPr>
          <w:rFonts w:cs="Calibri"/>
          <w:sz w:val="24"/>
        </w:rPr>
        <w:t xml:space="preserve"> </w:t>
      </w:r>
      <w:r w:rsidRPr="00444D7A">
        <w:rPr>
          <w:rFonts w:cs="Calibri"/>
          <w:sz w:val="24"/>
        </w:rPr>
        <w:t>interviews</w:t>
      </w:r>
      <w:r w:rsidR="00E6782B">
        <w:rPr>
          <w:rFonts w:cs="Calibri"/>
          <w:sz w:val="24"/>
        </w:rPr>
        <w:t>,</w:t>
      </w:r>
      <w:r w:rsidRPr="00444D7A">
        <w:rPr>
          <w:rFonts w:cs="Calibri"/>
          <w:sz w:val="24"/>
        </w:rPr>
        <w:t xml:space="preserve"> though I follow</w:t>
      </w:r>
      <w:r>
        <w:rPr>
          <w:rFonts w:cs="Calibri"/>
          <w:sz w:val="24"/>
        </w:rPr>
        <w:t>ed</w:t>
      </w:r>
      <w:r w:rsidRPr="00444D7A">
        <w:rPr>
          <w:rFonts w:cs="Calibri"/>
          <w:sz w:val="24"/>
        </w:rPr>
        <w:t xml:space="preserve"> a similar format</w:t>
      </w:r>
      <w:r w:rsidR="00E6782B">
        <w:rPr>
          <w:rFonts w:cs="Calibri"/>
          <w:sz w:val="24"/>
        </w:rPr>
        <w:t xml:space="preserve"> so</w:t>
      </w:r>
      <w:r w:rsidRPr="00444D7A">
        <w:rPr>
          <w:rFonts w:cs="Calibri"/>
          <w:sz w:val="24"/>
        </w:rPr>
        <w:t xml:space="preserve"> </w:t>
      </w:r>
      <w:r>
        <w:rPr>
          <w:rFonts w:cs="Calibri"/>
          <w:sz w:val="24"/>
        </w:rPr>
        <w:t xml:space="preserve">comparisons </w:t>
      </w:r>
      <w:r w:rsidR="00E6782B">
        <w:rPr>
          <w:rFonts w:cs="Calibri"/>
          <w:sz w:val="24"/>
        </w:rPr>
        <w:t>could</w:t>
      </w:r>
      <w:r>
        <w:rPr>
          <w:rFonts w:cs="Calibri"/>
          <w:sz w:val="24"/>
        </w:rPr>
        <w:t xml:space="preserve"> be made. </w:t>
      </w:r>
      <w:r w:rsidRPr="00444D7A">
        <w:rPr>
          <w:rFonts w:cs="Calibri"/>
          <w:sz w:val="24"/>
        </w:rPr>
        <w:t>Despite my careful planning with the technology for recording the interviews, I had one failure</w:t>
      </w:r>
      <w:r>
        <w:rPr>
          <w:rFonts w:cs="Calibri"/>
          <w:sz w:val="24"/>
        </w:rPr>
        <w:t xml:space="preserve"> when my digital recorder did not work due to insufficient battery power. </w:t>
      </w:r>
      <w:r w:rsidRPr="00444D7A">
        <w:rPr>
          <w:rFonts w:cs="Calibri"/>
          <w:sz w:val="24"/>
        </w:rPr>
        <w:t xml:space="preserve"> I dealt with this by taking detailed handwritten notes throughout the interview and transcribing immediately after the interview. The transcript was immediately returned to the interviewee and they were asked to provide any comments on the accuracy of the write</w:t>
      </w:r>
      <w:r w:rsidR="00E6782B">
        <w:rPr>
          <w:rFonts w:cs="Calibri"/>
          <w:sz w:val="24"/>
        </w:rPr>
        <w:t>-</w:t>
      </w:r>
      <w:r w:rsidRPr="00444D7A">
        <w:rPr>
          <w:rFonts w:cs="Calibri"/>
          <w:sz w:val="24"/>
        </w:rPr>
        <w:t xml:space="preserve">up. This event did act as </w:t>
      </w:r>
      <w:r w:rsidR="00E6782B">
        <w:rPr>
          <w:rFonts w:cs="Calibri"/>
          <w:sz w:val="24"/>
        </w:rPr>
        <w:t xml:space="preserve">motivation </w:t>
      </w:r>
      <w:r w:rsidRPr="00444D7A">
        <w:rPr>
          <w:rFonts w:cs="Calibri"/>
          <w:sz w:val="24"/>
        </w:rPr>
        <w:t>to ensure that I had even more contingencies in place for the remaining interviews</w:t>
      </w:r>
      <w:r>
        <w:rPr>
          <w:rFonts w:cs="Calibri"/>
          <w:sz w:val="24"/>
        </w:rPr>
        <w:t xml:space="preserve"> by replacing the batteries before each interview and taking a spare set with me</w:t>
      </w:r>
      <w:r w:rsidRPr="00444D7A">
        <w:rPr>
          <w:rFonts w:cs="Calibri"/>
          <w:sz w:val="24"/>
        </w:rPr>
        <w:t>.</w:t>
      </w:r>
      <w:r>
        <w:rPr>
          <w:rFonts w:cs="Calibri"/>
          <w:sz w:val="24"/>
          <w:szCs w:val="24"/>
        </w:rPr>
        <w:t xml:space="preserve"> </w:t>
      </w:r>
      <w:r w:rsidRPr="0055642D">
        <w:rPr>
          <w:rFonts w:cs="Calibri"/>
          <w:sz w:val="24"/>
          <w:szCs w:val="24"/>
        </w:rPr>
        <w:t>To conclude my methodology chapter</w:t>
      </w:r>
      <w:r w:rsidR="00E6782B">
        <w:rPr>
          <w:rFonts w:cs="Calibri"/>
          <w:sz w:val="24"/>
          <w:szCs w:val="24"/>
        </w:rPr>
        <w:t>,</w:t>
      </w:r>
      <w:r w:rsidRPr="0055642D">
        <w:rPr>
          <w:rFonts w:cs="Calibri"/>
          <w:sz w:val="24"/>
          <w:szCs w:val="24"/>
        </w:rPr>
        <w:t xml:space="preserve"> I</w:t>
      </w:r>
      <w:r>
        <w:rPr>
          <w:rFonts w:cs="Calibri"/>
          <w:sz w:val="24"/>
          <w:szCs w:val="24"/>
        </w:rPr>
        <w:t xml:space="preserve"> </w:t>
      </w:r>
      <w:r w:rsidRPr="0055642D">
        <w:rPr>
          <w:rFonts w:cs="Calibri"/>
          <w:sz w:val="24"/>
          <w:szCs w:val="24"/>
        </w:rPr>
        <w:t>reflect on the strengths and limitations of my methodology and methods.</w:t>
      </w:r>
    </w:p>
    <w:p w14:paraId="006D7706" w14:textId="34C42B26" w:rsidR="00A75A8F" w:rsidRPr="003A47A6" w:rsidRDefault="00A75A8F" w:rsidP="003A47A6">
      <w:pPr>
        <w:pStyle w:val="Heading2"/>
        <w:spacing w:before="0" w:after="200"/>
      </w:pPr>
      <w:bookmarkStart w:id="69" w:name="_Toc452316353"/>
      <w:r>
        <w:t>3.</w:t>
      </w:r>
      <w:r w:rsidR="0070645A">
        <w:t>8</w:t>
      </w:r>
      <w:r w:rsidRPr="00250AF3">
        <w:t xml:space="preserve"> Strengths and limitations of the methodology </w:t>
      </w:r>
      <w:r w:rsidRPr="004F27DA">
        <w:t>and methods used in the study</w:t>
      </w:r>
      <w:bookmarkEnd w:id="69"/>
    </w:p>
    <w:p w14:paraId="027BC8E5" w14:textId="2510F841" w:rsidR="00A75A8F" w:rsidRPr="007F7DB3" w:rsidRDefault="00A75A8F" w:rsidP="00531995">
      <w:pPr>
        <w:pStyle w:val="Heading3"/>
      </w:pPr>
      <w:bookmarkStart w:id="70" w:name="_Toc452316354"/>
      <w:r>
        <w:t>3.</w:t>
      </w:r>
      <w:r w:rsidR="0070645A">
        <w:t>8</w:t>
      </w:r>
      <w:r>
        <w:t xml:space="preserve">.1 </w:t>
      </w:r>
      <w:r w:rsidRPr="007F7DB3">
        <w:t>Strengths of the methodology and methods</w:t>
      </w:r>
      <w:bookmarkEnd w:id="70"/>
    </w:p>
    <w:p w14:paraId="61D6B702" w14:textId="3A52BD32" w:rsidR="00A75A8F" w:rsidRDefault="00A75A8F" w:rsidP="00A75A8F">
      <w:pPr>
        <w:tabs>
          <w:tab w:val="left" w:pos="8505"/>
        </w:tabs>
        <w:spacing w:after="0" w:line="360" w:lineRule="auto"/>
        <w:rPr>
          <w:rFonts w:cs="Calibri"/>
          <w:sz w:val="24"/>
        </w:rPr>
      </w:pPr>
      <w:r>
        <w:rPr>
          <w:rFonts w:cs="Calibri"/>
          <w:sz w:val="24"/>
        </w:rPr>
        <w:t>M</w:t>
      </w:r>
      <w:r w:rsidRPr="00250AF3">
        <w:rPr>
          <w:rFonts w:cs="Calibri"/>
          <w:sz w:val="24"/>
        </w:rPr>
        <w:t>y methods</w:t>
      </w:r>
      <w:r>
        <w:rPr>
          <w:rFonts w:cs="Calibri"/>
          <w:sz w:val="24"/>
        </w:rPr>
        <w:t xml:space="preserve"> of CDA and semi-structured interviews</w:t>
      </w:r>
      <w:r w:rsidRPr="00250AF3">
        <w:rPr>
          <w:rFonts w:cs="Calibri"/>
          <w:sz w:val="24"/>
        </w:rPr>
        <w:t xml:space="preserve"> allowed me to investigat</w:t>
      </w:r>
      <w:r>
        <w:rPr>
          <w:rFonts w:cs="Calibri"/>
          <w:sz w:val="24"/>
        </w:rPr>
        <w:t>e</w:t>
      </w:r>
      <w:r w:rsidRPr="00250AF3">
        <w:rPr>
          <w:rFonts w:cs="Calibri"/>
          <w:sz w:val="24"/>
        </w:rPr>
        <w:t xml:space="preserve"> the social construction of meaning both within policy texts and in the interpretation and implementation of the </w:t>
      </w:r>
      <w:r>
        <w:rPr>
          <w:rFonts w:cs="Calibri"/>
          <w:sz w:val="24"/>
        </w:rPr>
        <w:t xml:space="preserve">EBac </w:t>
      </w:r>
      <w:r w:rsidRPr="00250AF3">
        <w:rPr>
          <w:rFonts w:cs="Calibri"/>
          <w:sz w:val="24"/>
        </w:rPr>
        <w:t>policy at school level</w:t>
      </w:r>
      <w:r w:rsidR="00E6782B">
        <w:rPr>
          <w:rFonts w:cs="Calibri"/>
          <w:sz w:val="24"/>
        </w:rPr>
        <w:t>,</w:t>
      </w:r>
      <w:r w:rsidRPr="00250AF3">
        <w:rPr>
          <w:rFonts w:cs="Calibri"/>
          <w:sz w:val="24"/>
        </w:rPr>
        <w:t xml:space="preserve"> as perceived by a number of school leaders. </w:t>
      </w:r>
      <w:r>
        <w:rPr>
          <w:rFonts w:cs="Calibri"/>
          <w:sz w:val="24"/>
        </w:rPr>
        <w:t xml:space="preserve">Hyatt’s CDA framework guided me through a range of linguistic devices and procedures and ensured that I applied each one to the texts and then reflected on how the analysis related to my study aims and research questions. </w:t>
      </w:r>
    </w:p>
    <w:p w14:paraId="0537A773" w14:textId="77777777" w:rsidR="00A75A8F" w:rsidRPr="00444D7A" w:rsidRDefault="00A75A8F" w:rsidP="00A75A8F">
      <w:pPr>
        <w:spacing w:after="0" w:line="360" w:lineRule="auto"/>
        <w:rPr>
          <w:rFonts w:cs="Calibri"/>
          <w:sz w:val="24"/>
        </w:rPr>
      </w:pPr>
    </w:p>
    <w:p w14:paraId="2E1FE4C7" w14:textId="2BDBA74C" w:rsidR="00A75A8F" w:rsidRDefault="00A75A8F" w:rsidP="003A47A6">
      <w:pPr>
        <w:tabs>
          <w:tab w:val="left" w:pos="8647"/>
        </w:tabs>
        <w:spacing w:line="360" w:lineRule="auto"/>
        <w:rPr>
          <w:rFonts w:cs="Calibri"/>
          <w:sz w:val="24"/>
        </w:rPr>
      </w:pPr>
      <w:r w:rsidRPr="00444D7A">
        <w:rPr>
          <w:rFonts w:cs="Calibri"/>
          <w:sz w:val="24"/>
        </w:rPr>
        <w:lastRenderedPageBreak/>
        <w:t>The semi-structured interviews allow</w:t>
      </w:r>
      <w:r>
        <w:rPr>
          <w:rFonts w:cs="Calibri"/>
          <w:sz w:val="24"/>
        </w:rPr>
        <w:t>ed</w:t>
      </w:r>
      <w:r w:rsidRPr="00444D7A">
        <w:rPr>
          <w:rFonts w:cs="Calibri"/>
          <w:sz w:val="24"/>
        </w:rPr>
        <w:t xml:space="preserve"> me to gain critical insight into t</w:t>
      </w:r>
      <w:r>
        <w:rPr>
          <w:rFonts w:cs="Calibri"/>
          <w:sz w:val="24"/>
        </w:rPr>
        <w:t xml:space="preserve">eachers’ experiences and the </w:t>
      </w:r>
      <w:r w:rsidRPr="00444D7A">
        <w:rPr>
          <w:rFonts w:cs="Calibri"/>
          <w:sz w:val="24"/>
        </w:rPr>
        <w:t xml:space="preserve">impact of the EBac </w:t>
      </w:r>
      <w:r w:rsidR="00E6782B">
        <w:rPr>
          <w:rFonts w:cs="Calibri"/>
          <w:sz w:val="24"/>
        </w:rPr>
        <w:t>in</w:t>
      </w:r>
      <w:r w:rsidRPr="00444D7A">
        <w:rPr>
          <w:rFonts w:cs="Calibri"/>
          <w:sz w:val="24"/>
        </w:rPr>
        <w:t xml:space="preserve"> school</w:t>
      </w:r>
      <w:r w:rsidR="00E6782B">
        <w:rPr>
          <w:rFonts w:cs="Calibri"/>
          <w:sz w:val="24"/>
        </w:rPr>
        <w:t>s</w:t>
      </w:r>
      <w:r w:rsidRPr="00444D7A">
        <w:rPr>
          <w:rFonts w:cs="Calibri"/>
          <w:sz w:val="24"/>
        </w:rPr>
        <w:t xml:space="preserve"> and </w:t>
      </w:r>
      <w:r w:rsidR="00E6782B">
        <w:rPr>
          <w:rFonts w:cs="Calibri"/>
          <w:sz w:val="24"/>
        </w:rPr>
        <w:t xml:space="preserve">at </w:t>
      </w:r>
      <w:r>
        <w:rPr>
          <w:rFonts w:cs="Calibri"/>
          <w:sz w:val="24"/>
        </w:rPr>
        <w:t xml:space="preserve">subject </w:t>
      </w:r>
      <w:r w:rsidRPr="00444D7A">
        <w:rPr>
          <w:rFonts w:cs="Calibri"/>
          <w:sz w:val="24"/>
        </w:rPr>
        <w:t>department level.</w:t>
      </w:r>
      <w:r>
        <w:rPr>
          <w:rFonts w:cs="Calibri"/>
          <w:sz w:val="24"/>
        </w:rPr>
        <w:t xml:space="preserve"> Rich and detailed information was generated, allowing me to </w:t>
      </w:r>
      <w:r w:rsidR="00E6782B">
        <w:rPr>
          <w:rFonts w:cs="Calibri"/>
          <w:sz w:val="24"/>
        </w:rPr>
        <w:t>immerse</w:t>
      </w:r>
      <w:r>
        <w:rPr>
          <w:rFonts w:cs="Calibri"/>
          <w:sz w:val="24"/>
        </w:rPr>
        <w:t xml:space="preserve"> myself in the voices of participants, ultimately coding for 31 different aspects. The flexible semi-structured approach facilitated conversations in which I was able to respond to and follow up points that I would not have been able to do in a structured interview or questionnaire. The process of meeting people within their own environments provided a useful context for the EBac conversation</w:t>
      </w:r>
      <w:r w:rsidR="00E6782B">
        <w:rPr>
          <w:rFonts w:cs="Calibri"/>
          <w:sz w:val="24"/>
        </w:rPr>
        <w:t>,</w:t>
      </w:r>
      <w:r>
        <w:rPr>
          <w:rFonts w:cs="Calibri"/>
          <w:sz w:val="24"/>
        </w:rPr>
        <w:t xml:space="preserve"> in that they were discussing events impacting on their own school in an environment in which they were familiar. I heard from the teachers involved how the EBac had been received and responded to within their schools and the impact that it had upon them and their role</w:t>
      </w:r>
      <w:r w:rsidR="00E6782B">
        <w:rPr>
          <w:rFonts w:cs="Calibri"/>
          <w:sz w:val="24"/>
        </w:rPr>
        <w:t>s</w:t>
      </w:r>
      <w:r>
        <w:rPr>
          <w:rFonts w:cs="Calibri"/>
          <w:sz w:val="24"/>
        </w:rPr>
        <w:t>. T</w:t>
      </w:r>
      <w:r w:rsidRPr="00444D7A">
        <w:rPr>
          <w:rFonts w:cs="Calibri"/>
          <w:sz w:val="24"/>
        </w:rPr>
        <w:t>he</w:t>
      </w:r>
      <w:r>
        <w:rPr>
          <w:rFonts w:cs="Calibri"/>
          <w:sz w:val="24"/>
        </w:rPr>
        <w:t>se</w:t>
      </w:r>
      <w:r w:rsidRPr="00444D7A">
        <w:rPr>
          <w:rFonts w:cs="Calibri"/>
          <w:sz w:val="24"/>
        </w:rPr>
        <w:t xml:space="preserve"> conversations allowed space and time for the participants to </w:t>
      </w:r>
      <w:r>
        <w:rPr>
          <w:rFonts w:cs="Calibri"/>
          <w:sz w:val="24"/>
        </w:rPr>
        <w:t xml:space="preserve">reflect on </w:t>
      </w:r>
      <w:r w:rsidRPr="00444D7A">
        <w:rPr>
          <w:rFonts w:cs="Calibri"/>
          <w:sz w:val="24"/>
        </w:rPr>
        <w:t>decisions that they had made or were part of in relation to the EBac</w:t>
      </w:r>
      <w:r w:rsidR="00E6782B">
        <w:rPr>
          <w:rFonts w:cs="Calibri"/>
          <w:sz w:val="24"/>
        </w:rPr>
        <w:t>, which</w:t>
      </w:r>
      <w:r w:rsidRPr="00444D7A">
        <w:rPr>
          <w:rFonts w:cs="Calibri"/>
          <w:sz w:val="24"/>
        </w:rPr>
        <w:t xml:space="preserve"> may lead to subsequent changes</w:t>
      </w:r>
      <w:r>
        <w:rPr>
          <w:rFonts w:cs="Calibri"/>
          <w:sz w:val="24"/>
        </w:rPr>
        <w:t xml:space="preserve"> in approach and practice</w:t>
      </w:r>
      <w:r w:rsidRPr="00444D7A">
        <w:rPr>
          <w:rFonts w:cs="Calibri"/>
          <w:sz w:val="24"/>
        </w:rPr>
        <w:t>.</w:t>
      </w:r>
      <w:r>
        <w:rPr>
          <w:rFonts w:cs="Calibri"/>
          <w:sz w:val="24"/>
        </w:rPr>
        <w:t xml:space="preserve"> In a busy role</w:t>
      </w:r>
      <w:r w:rsidR="00E6782B">
        <w:rPr>
          <w:rFonts w:cs="Calibri"/>
          <w:sz w:val="24"/>
        </w:rPr>
        <w:t>,</w:t>
      </w:r>
      <w:r>
        <w:rPr>
          <w:rFonts w:cs="Calibri"/>
          <w:sz w:val="24"/>
        </w:rPr>
        <w:t xml:space="preserve"> such reflection time can often be lacking, and protecting time to discuss issues relating to the EBac appeared to be important to my participants, shifting the method from data collection to data ‘creation’ and hopefully, empowerment (Wellington</w:t>
      </w:r>
      <w:r w:rsidR="00E6782B">
        <w:rPr>
          <w:rFonts w:cs="Calibri"/>
          <w:sz w:val="24"/>
        </w:rPr>
        <w:t>,</w:t>
      </w:r>
      <w:r>
        <w:rPr>
          <w:rFonts w:cs="Calibri"/>
          <w:sz w:val="24"/>
        </w:rPr>
        <w:t xml:space="preserve"> 2000, p.72). </w:t>
      </w:r>
    </w:p>
    <w:p w14:paraId="18987BDD" w14:textId="71B29A27" w:rsidR="00A75A8F" w:rsidRPr="007F7DB3" w:rsidRDefault="00A75A8F" w:rsidP="00531995">
      <w:pPr>
        <w:pStyle w:val="Heading3"/>
      </w:pPr>
      <w:bookmarkStart w:id="71" w:name="_Toc452316355"/>
      <w:r>
        <w:t>3.</w:t>
      </w:r>
      <w:r w:rsidR="0070645A">
        <w:t>8</w:t>
      </w:r>
      <w:r>
        <w:t xml:space="preserve">.2 </w:t>
      </w:r>
      <w:r w:rsidRPr="007F7DB3">
        <w:t>Limitations of the methodology and methods</w:t>
      </w:r>
      <w:bookmarkEnd w:id="71"/>
    </w:p>
    <w:p w14:paraId="2CD49165" w14:textId="7E02AD41" w:rsidR="00A75A8F" w:rsidRDefault="00A75A8F" w:rsidP="00A75A8F">
      <w:pPr>
        <w:spacing w:after="0" w:line="360" w:lineRule="auto"/>
        <w:rPr>
          <w:rFonts w:cs="Calibri"/>
          <w:sz w:val="24"/>
        </w:rPr>
      </w:pPr>
      <w:r w:rsidRPr="00250AF3">
        <w:rPr>
          <w:rFonts w:cs="Calibri"/>
          <w:sz w:val="24"/>
        </w:rPr>
        <w:t xml:space="preserve">CDA </w:t>
      </w:r>
      <w:r>
        <w:rPr>
          <w:rFonts w:cs="Calibri"/>
          <w:sz w:val="24"/>
        </w:rPr>
        <w:t>is a method</w:t>
      </w:r>
      <w:r w:rsidRPr="00250AF3">
        <w:rPr>
          <w:rFonts w:cs="Calibri"/>
          <w:sz w:val="24"/>
        </w:rPr>
        <w:t xml:space="preserve"> I found challenging but illuminating. </w:t>
      </w:r>
      <w:r>
        <w:rPr>
          <w:rFonts w:cs="Calibri"/>
          <w:sz w:val="24"/>
        </w:rPr>
        <w:t>Li</w:t>
      </w:r>
      <w:r w:rsidR="00E6782B">
        <w:rPr>
          <w:rFonts w:cs="Calibri"/>
          <w:sz w:val="24"/>
        </w:rPr>
        <w:t>nguistic</w:t>
      </w:r>
      <w:r>
        <w:rPr>
          <w:rFonts w:cs="Calibri"/>
          <w:sz w:val="24"/>
        </w:rPr>
        <w:t xml:space="preserve"> analysis is not a method that I would naturally have gravitated towards. </w:t>
      </w:r>
      <w:r w:rsidR="00E6782B">
        <w:rPr>
          <w:rFonts w:cs="Calibri"/>
          <w:sz w:val="24"/>
        </w:rPr>
        <w:t>I</w:t>
      </w:r>
      <w:r>
        <w:rPr>
          <w:rFonts w:cs="Calibri"/>
          <w:sz w:val="24"/>
        </w:rPr>
        <w:t xml:space="preserve">t provided a clear and practical structure </w:t>
      </w:r>
      <w:r w:rsidR="00E6782B">
        <w:rPr>
          <w:rFonts w:cs="Calibri"/>
          <w:sz w:val="24"/>
        </w:rPr>
        <w:t xml:space="preserve">through which </w:t>
      </w:r>
      <w:r>
        <w:rPr>
          <w:rFonts w:cs="Calibri"/>
          <w:sz w:val="24"/>
        </w:rPr>
        <w:t>to investigate the EBac policy</w:t>
      </w:r>
      <w:r w:rsidR="00E6782B">
        <w:rPr>
          <w:rFonts w:cs="Calibri"/>
          <w:sz w:val="24"/>
        </w:rPr>
        <w:t>,</w:t>
      </w:r>
      <w:r>
        <w:rPr>
          <w:rFonts w:cs="Calibri"/>
          <w:sz w:val="24"/>
        </w:rPr>
        <w:t xml:space="preserve"> but there was a risk of focusing on the framework and losing sight of my aims and research questions. A detailed framework spanning </w:t>
      </w:r>
      <w:r w:rsidR="00E6782B">
        <w:rPr>
          <w:rFonts w:cs="Calibri"/>
          <w:sz w:val="24"/>
        </w:rPr>
        <w:t>11</w:t>
      </w:r>
      <w:r>
        <w:rPr>
          <w:rFonts w:cs="Calibri"/>
          <w:sz w:val="24"/>
        </w:rPr>
        <w:t xml:space="preserve"> criteria generated a large amount of data</w:t>
      </w:r>
      <w:r w:rsidR="00E6782B">
        <w:rPr>
          <w:rFonts w:cs="Calibri"/>
          <w:sz w:val="24"/>
        </w:rPr>
        <w:t>,</w:t>
      </w:r>
      <w:r>
        <w:rPr>
          <w:rFonts w:cs="Calibri"/>
          <w:sz w:val="24"/>
        </w:rPr>
        <w:t xml:space="preserve"> which is both a strength and a limitation. I had a very detailed understanding of the texts and the linguistic devices in operation</w:t>
      </w:r>
      <w:r w:rsidR="00E6782B">
        <w:rPr>
          <w:rFonts w:cs="Calibri"/>
          <w:sz w:val="24"/>
        </w:rPr>
        <w:t>, which was a strength, but</w:t>
      </w:r>
      <w:r>
        <w:rPr>
          <w:rFonts w:cs="Calibri"/>
          <w:sz w:val="24"/>
        </w:rPr>
        <w:t xml:space="preserve"> having </w:t>
      </w:r>
      <w:r w:rsidR="00E6782B">
        <w:rPr>
          <w:rFonts w:cs="Calibri"/>
          <w:sz w:val="24"/>
        </w:rPr>
        <w:t xml:space="preserve">such a broad </w:t>
      </w:r>
      <w:r>
        <w:rPr>
          <w:rFonts w:cs="Calibri"/>
          <w:sz w:val="24"/>
        </w:rPr>
        <w:t xml:space="preserve">range covering </w:t>
      </w:r>
      <w:r w:rsidR="00E6782B">
        <w:rPr>
          <w:rFonts w:cs="Calibri"/>
          <w:sz w:val="24"/>
        </w:rPr>
        <w:t xml:space="preserve">11 </w:t>
      </w:r>
      <w:r>
        <w:rPr>
          <w:rFonts w:cs="Calibri"/>
          <w:sz w:val="24"/>
        </w:rPr>
        <w:t xml:space="preserve">areas </w:t>
      </w:r>
      <w:r w:rsidR="00E6782B">
        <w:rPr>
          <w:rFonts w:cs="Calibri"/>
          <w:sz w:val="24"/>
        </w:rPr>
        <w:t>was a weakness</w:t>
      </w:r>
      <w:r>
        <w:rPr>
          <w:rFonts w:cs="Calibri"/>
          <w:sz w:val="24"/>
        </w:rPr>
        <w:t xml:space="preserve">. The generated data </w:t>
      </w:r>
      <w:r w:rsidR="00E6782B">
        <w:rPr>
          <w:rFonts w:cs="Calibri"/>
          <w:sz w:val="24"/>
        </w:rPr>
        <w:t>has therefore been</w:t>
      </w:r>
      <w:r>
        <w:rPr>
          <w:rFonts w:cs="Calibri"/>
          <w:sz w:val="24"/>
        </w:rPr>
        <w:t xml:space="preserve"> interpreted to address the research questions.</w:t>
      </w:r>
    </w:p>
    <w:p w14:paraId="71DAADCC" w14:textId="77777777" w:rsidR="00A75A8F" w:rsidRDefault="00A75A8F" w:rsidP="00A75A8F">
      <w:pPr>
        <w:spacing w:after="0" w:line="360" w:lineRule="auto"/>
        <w:rPr>
          <w:rFonts w:cs="Calibri"/>
          <w:sz w:val="24"/>
        </w:rPr>
      </w:pPr>
    </w:p>
    <w:p w14:paraId="60220938" w14:textId="0A326F78" w:rsidR="00030F2A" w:rsidRPr="003A47A6" w:rsidRDefault="00A75A8F" w:rsidP="003A47A6">
      <w:pPr>
        <w:tabs>
          <w:tab w:val="left" w:pos="8364"/>
        </w:tabs>
        <w:spacing w:line="360" w:lineRule="auto"/>
        <w:rPr>
          <w:rFonts w:cs="Calibri"/>
          <w:sz w:val="24"/>
        </w:rPr>
      </w:pPr>
      <w:r w:rsidRPr="00250AF3">
        <w:rPr>
          <w:rFonts w:cs="Calibri"/>
          <w:sz w:val="24"/>
        </w:rPr>
        <w:t>The semi</w:t>
      </w:r>
      <w:r>
        <w:rPr>
          <w:rFonts w:cs="Calibri"/>
          <w:sz w:val="24"/>
        </w:rPr>
        <w:t>-</w:t>
      </w:r>
      <w:r w:rsidRPr="00250AF3">
        <w:rPr>
          <w:rFonts w:cs="Calibri"/>
          <w:sz w:val="24"/>
        </w:rPr>
        <w:t xml:space="preserve">structured interviews </w:t>
      </w:r>
      <w:r>
        <w:rPr>
          <w:rFonts w:cs="Calibri"/>
          <w:sz w:val="24"/>
        </w:rPr>
        <w:t>generated</w:t>
      </w:r>
      <w:r w:rsidRPr="00250AF3">
        <w:rPr>
          <w:rFonts w:cs="Calibri"/>
          <w:sz w:val="24"/>
        </w:rPr>
        <w:t xml:space="preserve"> far </w:t>
      </w:r>
      <w:r>
        <w:rPr>
          <w:rFonts w:cs="Calibri"/>
          <w:sz w:val="24"/>
        </w:rPr>
        <w:t xml:space="preserve">more </w:t>
      </w:r>
      <w:r w:rsidRPr="00250AF3">
        <w:rPr>
          <w:rFonts w:cs="Calibri"/>
          <w:sz w:val="24"/>
        </w:rPr>
        <w:t xml:space="preserve">data </w:t>
      </w:r>
      <w:r>
        <w:rPr>
          <w:rFonts w:cs="Calibri"/>
          <w:sz w:val="24"/>
        </w:rPr>
        <w:t xml:space="preserve">than </w:t>
      </w:r>
      <w:r w:rsidRPr="00250AF3">
        <w:rPr>
          <w:rFonts w:cs="Calibri"/>
          <w:sz w:val="24"/>
        </w:rPr>
        <w:t>I imagined</w:t>
      </w:r>
      <w:r>
        <w:rPr>
          <w:rFonts w:cs="Calibri"/>
          <w:sz w:val="24"/>
        </w:rPr>
        <w:t>,</w:t>
      </w:r>
      <w:r w:rsidRPr="00250AF3">
        <w:rPr>
          <w:rFonts w:cs="Calibri"/>
          <w:sz w:val="24"/>
        </w:rPr>
        <w:t xml:space="preserve"> provid</w:t>
      </w:r>
      <w:r>
        <w:rPr>
          <w:rFonts w:cs="Calibri"/>
          <w:sz w:val="24"/>
        </w:rPr>
        <w:t>ing</w:t>
      </w:r>
      <w:r w:rsidRPr="00250AF3">
        <w:rPr>
          <w:rFonts w:cs="Calibri"/>
          <w:sz w:val="24"/>
        </w:rPr>
        <w:t xml:space="preserve"> a wide range of opinions and experiences on which to draw when considering my research questions. </w:t>
      </w:r>
      <w:r>
        <w:rPr>
          <w:rFonts w:cs="Calibri"/>
          <w:sz w:val="24"/>
        </w:rPr>
        <w:t xml:space="preserve">Once the four schools were identified, the quality of the interview data was </w:t>
      </w:r>
      <w:r>
        <w:rPr>
          <w:rFonts w:cs="Calibri"/>
          <w:sz w:val="24"/>
        </w:rPr>
        <w:lastRenderedPageBreak/>
        <w:t xml:space="preserve">down to my interviewing skills (Verma </w:t>
      </w:r>
      <w:r w:rsidR="00E6782B">
        <w:rPr>
          <w:rFonts w:cs="Calibri"/>
          <w:sz w:val="24"/>
        </w:rPr>
        <w:t>and</w:t>
      </w:r>
      <w:r>
        <w:rPr>
          <w:rFonts w:cs="Calibri"/>
          <w:sz w:val="24"/>
        </w:rPr>
        <w:t xml:space="preserve"> Mallick</w:t>
      </w:r>
      <w:r w:rsidR="00E6782B">
        <w:rPr>
          <w:rFonts w:cs="Calibri"/>
          <w:sz w:val="24"/>
        </w:rPr>
        <w:t>,</w:t>
      </w:r>
      <w:r>
        <w:rPr>
          <w:rFonts w:cs="Calibri"/>
          <w:sz w:val="24"/>
        </w:rPr>
        <w:t xml:space="preserve"> 1999). I believe </w:t>
      </w:r>
      <w:r w:rsidR="00E6782B">
        <w:rPr>
          <w:rFonts w:cs="Calibri"/>
          <w:sz w:val="24"/>
        </w:rPr>
        <w:t xml:space="preserve">that </w:t>
      </w:r>
      <w:r>
        <w:rPr>
          <w:rFonts w:cs="Calibri"/>
          <w:sz w:val="24"/>
        </w:rPr>
        <w:t>I was able to put the participants at ease and was able to draw out a number of points for detailed disc</w:t>
      </w:r>
      <w:r w:rsidR="00B02930">
        <w:rPr>
          <w:rFonts w:cs="Calibri"/>
          <w:sz w:val="24"/>
        </w:rPr>
        <w:t xml:space="preserve">ussion. My Deputy role </w:t>
      </w:r>
      <w:r>
        <w:rPr>
          <w:rFonts w:cs="Calibri"/>
          <w:sz w:val="24"/>
        </w:rPr>
        <w:t>did not appear to create any power inequalities during the interviews</w:t>
      </w:r>
      <w:r w:rsidR="00E6782B">
        <w:rPr>
          <w:rFonts w:cs="Calibri"/>
          <w:sz w:val="24"/>
        </w:rPr>
        <w:t>;</w:t>
      </w:r>
      <w:r>
        <w:rPr>
          <w:rFonts w:cs="Calibri"/>
          <w:sz w:val="24"/>
        </w:rPr>
        <w:t xml:space="preserve"> </w:t>
      </w:r>
      <w:r w:rsidR="00E6782B">
        <w:rPr>
          <w:rFonts w:cs="Calibri"/>
          <w:sz w:val="24"/>
        </w:rPr>
        <w:t>if anything,</w:t>
      </w:r>
      <w:r>
        <w:rPr>
          <w:rFonts w:cs="Calibri"/>
          <w:sz w:val="24"/>
        </w:rPr>
        <w:t xml:space="preserve"> my role provided me with the credibility to encourage people to provide detailed information. </w:t>
      </w:r>
      <w:r w:rsidRPr="00444D7A">
        <w:rPr>
          <w:rFonts w:cs="Calibri"/>
          <w:sz w:val="24"/>
        </w:rPr>
        <w:t>An artificial, structured, time bound, one</w:t>
      </w:r>
      <w:r>
        <w:rPr>
          <w:rFonts w:cs="Calibri"/>
          <w:sz w:val="24"/>
        </w:rPr>
        <w:t>-</w:t>
      </w:r>
      <w:r w:rsidRPr="00444D7A">
        <w:rPr>
          <w:rFonts w:cs="Calibri"/>
          <w:sz w:val="24"/>
        </w:rPr>
        <w:t xml:space="preserve">off interview situation </w:t>
      </w:r>
      <w:r>
        <w:rPr>
          <w:rFonts w:cs="Calibri"/>
          <w:sz w:val="24"/>
        </w:rPr>
        <w:t>cannot</w:t>
      </w:r>
      <w:r w:rsidRPr="00444D7A">
        <w:rPr>
          <w:rFonts w:cs="Calibri"/>
          <w:sz w:val="24"/>
        </w:rPr>
        <w:t xml:space="preserve"> </w:t>
      </w:r>
      <w:r>
        <w:rPr>
          <w:rFonts w:cs="Calibri"/>
          <w:sz w:val="24"/>
        </w:rPr>
        <w:t>provide access to</w:t>
      </w:r>
      <w:r w:rsidRPr="00444D7A">
        <w:rPr>
          <w:rFonts w:cs="Calibri"/>
          <w:sz w:val="24"/>
        </w:rPr>
        <w:t xml:space="preserve"> a full understanding of the whole </w:t>
      </w:r>
      <w:r>
        <w:rPr>
          <w:rFonts w:cs="Calibri"/>
          <w:sz w:val="24"/>
        </w:rPr>
        <w:t>school context, ethos and relationships. M</w:t>
      </w:r>
      <w:r w:rsidRPr="00444D7A">
        <w:rPr>
          <w:rFonts w:cs="Calibri"/>
          <w:sz w:val="24"/>
        </w:rPr>
        <w:t xml:space="preserve">y position as a school leader, while </w:t>
      </w:r>
      <w:r>
        <w:rPr>
          <w:rFonts w:cs="Calibri"/>
          <w:sz w:val="24"/>
        </w:rPr>
        <w:t>providing</w:t>
      </w:r>
      <w:r w:rsidRPr="00444D7A">
        <w:rPr>
          <w:rFonts w:cs="Calibri"/>
          <w:sz w:val="24"/>
        </w:rPr>
        <w:t xml:space="preserve"> me </w:t>
      </w:r>
      <w:r>
        <w:rPr>
          <w:rFonts w:cs="Calibri"/>
          <w:sz w:val="24"/>
        </w:rPr>
        <w:t xml:space="preserve">with </w:t>
      </w:r>
      <w:r w:rsidRPr="00444D7A">
        <w:rPr>
          <w:rFonts w:cs="Calibri"/>
          <w:sz w:val="24"/>
        </w:rPr>
        <w:t xml:space="preserve">knowledge, understanding and empathy with the decisions </w:t>
      </w:r>
      <w:r>
        <w:rPr>
          <w:rFonts w:cs="Calibri"/>
          <w:sz w:val="24"/>
        </w:rPr>
        <w:t xml:space="preserve">of participants, </w:t>
      </w:r>
      <w:r w:rsidRPr="00444D7A">
        <w:rPr>
          <w:rFonts w:cs="Calibri"/>
          <w:sz w:val="24"/>
        </w:rPr>
        <w:t xml:space="preserve">may </w:t>
      </w:r>
      <w:r>
        <w:rPr>
          <w:rFonts w:cs="Calibri"/>
          <w:sz w:val="24"/>
        </w:rPr>
        <w:t xml:space="preserve">have denied me the external perspective necessary to challenge or probe the educational discourse of student ‘ability’ evident within </w:t>
      </w:r>
      <w:r w:rsidR="00142956">
        <w:rPr>
          <w:rFonts w:cs="Calibri"/>
          <w:sz w:val="24"/>
        </w:rPr>
        <w:t xml:space="preserve">all of </w:t>
      </w:r>
      <w:r>
        <w:rPr>
          <w:rFonts w:cs="Calibri"/>
          <w:sz w:val="24"/>
        </w:rPr>
        <w:t>the interviews. The interpretation of inequality linked to notions of ‘ability’ became an area of particular interest within my analysis</w:t>
      </w:r>
      <w:r w:rsidR="009B6C57">
        <w:rPr>
          <w:rFonts w:cs="Calibri"/>
          <w:sz w:val="24"/>
        </w:rPr>
        <w:t>,</w:t>
      </w:r>
      <w:r>
        <w:rPr>
          <w:rFonts w:cs="Calibri"/>
          <w:sz w:val="24"/>
        </w:rPr>
        <w:t xml:space="preserve"> which is addressed in the discussion chapter. </w:t>
      </w:r>
    </w:p>
    <w:p w14:paraId="3AFD86C3" w14:textId="6BD0BC5B" w:rsidR="00A75A8F" w:rsidRDefault="00A75A8F" w:rsidP="00531995">
      <w:pPr>
        <w:pStyle w:val="Heading3"/>
      </w:pPr>
      <w:bookmarkStart w:id="72" w:name="_Toc452316356"/>
      <w:r w:rsidRPr="000A3B19">
        <w:t>3.</w:t>
      </w:r>
      <w:r w:rsidR="0070645A">
        <w:t>8</w:t>
      </w:r>
      <w:r>
        <w:t xml:space="preserve">.3 </w:t>
      </w:r>
      <w:r w:rsidRPr="000A3B19">
        <w:t>Conclusion</w:t>
      </w:r>
      <w:bookmarkEnd w:id="72"/>
    </w:p>
    <w:p w14:paraId="2B27AC86" w14:textId="6E2D57A9" w:rsidR="00123B23" w:rsidRDefault="00A75A8F" w:rsidP="00A75A8F">
      <w:pPr>
        <w:spacing w:after="0" w:line="360" w:lineRule="auto"/>
        <w:rPr>
          <w:rFonts w:cs="Calibri"/>
          <w:sz w:val="24"/>
        </w:rPr>
      </w:pPr>
      <w:r>
        <w:rPr>
          <w:rFonts w:cs="Calibri"/>
          <w:sz w:val="24"/>
        </w:rPr>
        <w:t xml:space="preserve">My methodology and methods of data collection ensured that I collected detailed information regarding EBac policy, practice and implications within schools. </w:t>
      </w:r>
      <w:r w:rsidR="009B6C57">
        <w:rPr>
          <w:rFonts w:cs="Calibri"/>
          <w:sz w:val="24"/>
        </w:rPr>
        <w:t xml:space="preserve">The </w:t>
      </w:r>
      <w:r>
        <w:rPr>
          <w:rFonts w:cs="Calibri"/>
          <w:sz w:val="24"/>
        </w:rPr>
        <w:t xml:space="preserve">presentation of findings necessary </w:t>
      </w:r>
      <w:r w:rsidR="009B6C57">
        <w:rPr>
          <w:rFonts w:cs="Calibri"/>
          <w:sz w:val="24"/>
        </w:rPr>
        <w:t xml:space="preserve">included a </w:t>
      </w:r>
      <w:r>
        <w:rPr>
          <w:rFonts w:cs="Calibri"/>
          <w:sz w:val="24"/>
        </w:rPr>
        <w:t>reduction and interpretation of the data, though I ensure</w:t>
      </w:r>
      <w:r w:rsidR="009B6C57">
        <w:rPr>
          <w:rFonts w:cs="Calibri"/>
          <w:sz w:val="24"/>
        </w:rPr>
        <w:t>d</w:t>
      </w:r>
      <w:r>
        <w:rPr>
          <w:rFonts w:cs="Calibri"/>
          <w:sz w:val="24"/>
        </w:rPr>
        <w:t xml:space="preserve"> that my participants’ words dr</w:t>
      </w:r>
      <w:r w:rsidR="009B6C57">
        <w:rPr>
          <w:rFonts w:cs="Calibri"/>
          <w:sz w:val="24"/>
        </w:rPr>
        <w:t>o</w:t>
      </w:r>
      <w:r>
        <w:rPr>
          <w:rFonts w:cs="Calibri"/>
          <w:sz w:val="24"/>
        </w:rPr>
        <w:t>ve my underlying analysis, interpretation and presentation. The next section provides the analysis of the findings of the CDA and semi-structured interviews.</w:t>
      </w:r>
    </w:p>
    <w:p w14:paraId="5426B70A" w14:textId="77777777" w:rsidR="00D347E1" w:rsidRDefault="00123B23" w:rsidP="00D347E1">
      <w:pPr>
        <w:spacing w:after="0" w:line="240" w:lineRule="auto"/>
        <w:rPr>
          <w:rFonts w:cs="Calibri"/>
          <w:sz w:val="24"/>
        </w:rPr>
      </w:pPr>
      <w:r>
        <w:rPr>
          <w:rFonts w:cs="Calibri"/>
          <w:sz w:val="24"/>
        </w:rPr>
        <w:br w:type="page"/>
      </w:r>
    </w:p>
    <w:p w14:paraId="4055E74F" w14:textId="04F4ED26" w:rsidR="00B54F29" w:rsidRDefault="00B54F29" w:rsidP="00531995">
      <w:pPr>
        <w:pStyle w:val="Heading1"/>
        <w:jc w:val="center"/>
      </w:pPr>
      <w:bookmarkStart w:id="73" w:name="_Toc452316357"/>
      <w:r w:rsidRPr="00E44C38">
        <w:lastRenderedPageBreak/>
        <w:t xml:space="preserve">Chapter </w:t>
      </w:r>
      <w:r w:rsidR="0017024C">
        <w:t>4</w:t>
      </w:r>
      <w:r w:rsidRPr="00E44C38">
        <w:t xml:space="preserve"> – </w:t>
      </w:r>
      <w:r>
        <w:t>Analysis</w:t>
      </w:r>
      <w:bookmarkEnd w:id="73"/>
    </w:p>
    <w:p w14:paraId="44FCEA3C" w14:textId="77777777" w:rsidR="00D347E1" w:rsidRPr="00D347E1" w:rsidRDefault="00D347E1" w:rsidP="00D347E1">
      <w:pPr>
        <w:spacing w:after="0" w:line="240" w:lineRule="auto"/>
        <w:rPr>
          <w:rFonts w:cs="Calibri"/>
          <w:sz w:val="24"/>
        </w:rPr>
      </w:pPr>
    </w:p>
    <w:p w14:paraId="071E6C39" w14:textId="61AB9F3D" w:rsidR="0055642D" w:rsidRPr="00E926D8" w:rsidRDefault="00E926D8" w:rsidP="00531995">
      <w:pPr>
        <w:pStyle w:val="Heading2"/>
      </w:pPr>
      <w:bookmarkStart w:id="74" w:name="_Toc452316358"/>
      <w:r>
        <w:t xml:space="preserve">4.1 </w:t>
      </w:r>
      <w:r w:rsidR="00B54F29" w:rsidRPr="00E926D8">
        <w:t>Introduction</w:t>
      </w:r>
      <w:bookmarkEnd w:id="74"/>
      <w:r w:rsidR="00B54F29" w:rsidRPr="00E926D8">
        <w:tab/>
      </w:r>
    </w:p>
    <w:p w14:paraId="74E8B2E6" w14:textId="433A8240" w:rsidR="00120771" w:rsidRDefault="00E926D8" w:rsidP="00BC2442">
      <w:pPr>
        <w:tabs>
          <w:tab w:val="left" w:pos="8505"/>
        </w:tabs>
        <w:spacing w:line="360" w:lineRule="auto"/>
        <w:rPr>
          <w:rFonts w:cs="Calibri"/>
          <w:sz w:val="24"/>
        </w:rPr>
      </w:pPr>
      <w:r>
        <w:rPr>
          <w:rFonts w:cs="Calibri"/>
          <w:sz w:val="24"/>
        </w:rPr>
        <w:t xml:space="preserve">In </w:t>
      </w:r>
      <w:r w:rsidR="00B529D2">
        <w:rPr>
          <w:rFonts w:cs="Calibri"/>
          <w:sz w:val="24"/>
        </w:rPr>
        <w:t>this chapter</w:t>
      </w:r>
      <w:r w:rsidR="00120771">
        <w:rPr>
          <w:rFonts w:cs="Calibri"/>
          <w:sz w:val="24"/>
        </w:rPr>
        <w:t xml:space="preserve"> </w:t>
      </w:r>
      <w:r>
        <w:rPr>
          <w:rFonts w:cs="Calibri"/>
          <w:sz w:val="24"/>
        </w:rPr>
        <w:t xml:space="preserve">I </w:t>
      </w:r>
      <w:r w:rsidR="00120771">
        <w:rPr>
          <w:rFonts w:cs="Calibri"/>
          <w:sz w:val="24"/>
        </w:rPr>
        <w:t xml:space="preserve">present </w:t>
      </w:r>
      <w:r w:rsidR="00B529D2">
        <w:rPr>
          <w:rFonts w:cs="Calibri"/>
          <w:sz w:val="24"/>
        </w:rPr>
        <w:t>the</w:t>
      </w:r>
      <w:r w:rsidR="00120771">
        <w:rPr>
          <w:rFonts w:cs="Calibri"/>
          <w:sz w:val="24"/>
        </w:rPr>
        <w:t xml:space="preserve"> analysis of my </w:t>
      </w:r>
      <w:r w:rsidR="00BC2442">
        <w:rPr>
          <w:rFonts w:cs="Calibri"/>
          <w:sz w:val="24"/>
        </w:rPr>
        <w:t xml:space="preserve">data </w:t>
      </w:r>
      <w:r w:rsidR="0013062A">
        <w:rPr>
          <w:rFonts w:cs="Calibri"/>
          <w:sz w:val="24"/>
        </w:rPr>
        <w:t xml:space="preserve">and </w:t>
      </w:r>
      <w:r w:rsidR="00BC2442">
        <w:rPr>
          <w:rFonts w:cs="Calibri"/>
          <w:sz w:val="24"/>
        </w:rPr>
        <w:t xml:space="preserve">identify the </w:t>
      </w:r>
      <w:r w:rsidR="00587AF4">
        <w:rPr>
          <w:rFonts w:cs="Calibri"/>
          <w:sz w:val="24"/>
        </w:rPr>
        <w:t xml:space="preserve">key </w:t>
      </w:r>
      <w:r w:rsidR="00BC2442">
        <w:rPr>
          <w:rFonts w:cs="Calibri"/>
          <w:sz w:val="24"/>
        </w:rPr>
        <w:t>findings</w:t>
      </w:r>
      <w:r w:rsidR="00120771">
        <w:rPr>
          <w:rFonts w:cs="Calibri"/>
          <w:sz w:val="24"/>
        </w:rPr>
        <w:t>. T</w:t>
      </w:r>
      <w:r w:rsidR="00587AF4">
        <w:rPr>
          <w:rFonts w:cs="Calibri"/>
          <w:sz w:val="24"/>
        </w:rPr>
        <w:t xml:space="preserve">o analyse the </w:t>
      </w:r>
      <w:r w:rsidR="00BC2442">
        <w:rPr>
          <w:rFonts w:cs="Calibri"/>
          <w:sz w:val="24"/>
        </w:rPr>
        <w:t>data</w:t>
      </w:r>
      <w:r w:rsidR="00256902">
        <w:rPr>
          <w:rFonts w:cs="Calibri"/>
          <w:sz w:val="24"/>
        </w:rPr>
        <w:t>,</w:t>
      </w:r>
      <w:r w:rsidR="00120771">
        <w:rPr>
          <w:rFonts w:cs="Calibri"/>
          <w:sz w:val="24"/>
        </w:rPr>
        <w:t xml:space="preserve"> </w:t>
      </w:r>
      <w:r w:rsidR="00587AF4">
        <w:rPr>
          <w:rFonts w:cs="Calibri"/>
          <w:sz w:val="24"/>
        </w:rPr>
        <w:t xml:space="preserve">I </w:t>
      </w:r>
      <w:r w:rsidR="00256902">
        <w:rPr>
          <w:rFonts w:cs="Calibri"/>
          <w:sz w:val="24"/>
        </w:rPr>
        <w:t xml:space="preserve">have </w:t>
      </w:r>
      <w:r w:rsidR="00587AF4">
        <w:rPr>
          <w:rFonts w:cs="Calibri"/>
          <w:sz w:val="24"/>
        </w:rPr>
        <w:t>use</w:t>
      </w:r>
      <w:r w:rsidR="00256902">
        <w:rPr>
          <w:rFonts w:cs="Calibri"/>
          <w:sz w:val="24"/>
        </w:rPr>
        <w:t>d</w:t>
      </w:r>
      <w:r w:rsidR="00B529D2">
        <w:rPr>
          <w:rFonts w:cs="Calibri"/>
          <w:sz w:val="24"/>
        </w:rPr>
        <w:t xml:space="preserve"> Scheurich’s </w:t>
      </w:r>
      <w:r w:rsidR="00DF24E7">
        <w:rPr>
          <w:rFonts w:cs="Calibri"/>
          <w:sz w:val="24"/>
        </w:rPr>
        <w:t xml:space="preserve">PA </w:t>
      </w:r>
      <w:r w:rsidR="00B529D2">
        <w:rPr>
          <w:rFonts w:cs="Calibri"/>
          <w:sz w:val="24"/>
        </w:rPr>
        <w:t>framework</w:t>
      </w:r>
      <w:r w:rsidR="00587AF4">
        <w:rPr>
          <w:rFonts w:cs="Calibri"/>
          <w:sz w:val="24"/>
        </w:rPr>
        <w:t xml:space="preserve"> </w:t>
      </w:r>
      <w:r w:rsidR="00120771">
        <w:rPr>
          <w:rFonts w:cs="Calibri"/>
          <w:sz w:val="24"/>
        </w:rPr>
        <w:t xml:space="preserve">to investigate my research aims of how and why the EBac was introduced in England, to look at the potential and actual impact in the school curriculum from the perspective of teachers, and to identify potential winners and losers of this policy. Throughout </w:t>
      </w:r>
      <w:r w:rsidR="00587AF4">
        <w:rPr>
          <w:rFonts w:cs="Calibri"/>
          <w:sz w:val="24"/>
        </w:rPr>
        <w:t>the</w:t>
      </w:r>
      <w:r w:rsidR="00120771">
        <w:rPr>
          <w:rFonts w:cs="Calibri"/>
          <w:sz w:val="24"/>
        </w:rPr>
        <w:t xml:space="preserve"> analysis I address my three research questions:</w:t>
      </w:r>
    </w:p>
    <w:p w14:paraId="767A702B" w14:textId="6EC634F4" w:rsidR="00B97A95" w:rsidRPr="00B529D2" w:rsidRDefault="00B529D2" w:rsidP="00B529D2">
      <w:pPr>
        <w:pStyle w:val="ListParagraph"/>
        <w:numPr>
          <w:ilvl w:val="0"/>
          <w:numId w:val="30"/>
        </w:numPr>
        <w:spacing w:line="360" w:lineRule="auto"/>
        <w:rPr>
          <w:rFonts w:cs="Calibri"/>
          <w:sz w:val="24"/>
        </w:rPr>
      </w:pPr>
      <w:r>
        <w:rPr>
          <w:rFonts w:cs="Calibri"/>
          <w:sz w:val="24"/>
        </w:rPr>
        <w:t>W</w:t>
      </w:r>
      <w:r w:rsidR="00120771" w:rsidRPr="00B529D2">
        <w:rPr>
          <w:rFonts w:cs="Calibri"/>
          <w:sz w:val="24"/>
        </w:rPr>
        <w:t xml:space="preserve">hat is the EBac policy and how and why </w:t>
      </w:r>
      <w:r w:rsidR="00120771" w:rsidRPr="0055642D">
        <w:rPr>
          <w:rFonts w:cs="Calibri"/>
          <w:sz w:val="24"/>
        </w:rPr>
        <w:t xml:space="preserve">was it </w:t>
      </w:r>
      <w:r w:rsidRPr="0055642D">
        <w:rPr>
          <w:rFonts w:cs="Calibri"/>
          <w:sz w:val="24"/>
        </w:rPr>
        <w:t>introduced</w:t>
      </w:r>
      <w:r w:rsidR="00120771" w:rsidRPr="0055642D">
        <w:rPr>
          <w:rFonts w:cs="Calibri"/>
          <w:sz w:val="24"/>
        </w:rPr>
        <w:t xml:space="preserve"> </w:t>
      </w:r>
      <w:r w:rsidR="0055642D">
        <w:rPr>
          <w:rFonts w:cs="Calibri"/>
          <w:sz w:val="24"/>
        </w:rPr>
        <w:t xml:space="preserve">in 2010 as </w:t>
      </w:r>
      <w:r w:rsidR="00120771" w:rsidRPr="00B529D2">
        <w:rPr>
          <w:rFonts w:cs="Calibri"/>
          <w:sz w:val="24"/>
        </w:rPr>
        <w:t>part of a wider policy framework?</w:t>
      </w:r>
    </w:p>
    <w:p w14:paraId="10DAB92D" w14:textId="6D67D93B" w:rsidR="00120771" w:rsidRDefault="00120771" w:rsidP="00640136">
      <w:pPr>
        <w:pStyle w:val="ListParagraph"/>
        <w:numPr>
          <w:ilvl w:val="0"/>
          <w:numId w:val="30"/>
        </w:numPr>
        <w:spacing w:line="360" w:lineRule="auto"/>
        <w:rPr>
          <w:rFonts w:cs="Calibri"/>
          <w:sz w:val="24"/>
        </w:rPr>
      </w:pPr>
      <w:r>
        <w:rPr>
          <w:rFonts w:cs="Calibri"/>
          <w:sz w:val="24"/>
        </w:rPr>
        <w:t>What are teachers’ perspectives on the constitution and implementation of the EBac?</w:t>
      </w:r>
    </w:p>
    <w:p w14:paraId="00BD4300" w14:textId="5B1C3B14" w:rsidR="00A05787" w:rsidRPr="00B43651" w:rsidRDefault="00120771" w:rsidP="00A05787">
      <w:pPr>
        <w:pStyle w:val="ListParagraph"/>
        <w:numPr>
          <w:ilvl w:val="0"/>
          <w:numId w:val="30"/>
        </w:numPr>
        <w:spacing w:line="360" w:lineRule="auto"/>
        <w:rPr>
          <w:rFonts w:cs="Calibri"/>
          <w:sz w:val="24"/>
        </w:rPr>
      </w:pPr>
      <w:r>
        <w:rPr>
          <w:rFonts w:cs="Calibri"/>
          <w:sz w:val="24"/>
        </w:rPr>
        <w:t>Does the EBac have implications for educational equality?</w:t>
      </w:r>
    </w:p>
    <w:p w14:paraId="5B381877" w14:textId="05E0DBB2" w:rsidR="00C70AE3" w:rsidRDefault="00A05787" w:rsidP="00B54F29">
      <w:pPr>
        <w:spacing w:line="360" w:lineRule="auto"/>
        <w:rPr>
          <w:rFonts w:cs="Calibri"/>
          <w:sz w:val="24"/>
        </w:rPr>
      </w:pPr>
      <w:r>
        <w:rPr>
          <w:rFonts w:cs="Calibri"/>
          <w:sz w:val="24"/>
        </w:rPr>
        <w:t>Scheurich’s framework structures my analysis around three a</w:t>
      </w:r>
      <w:r w:rsidR="00D90632">
        <w:rPr>
          <w:rFonts w:cs="Calibri"/>
          <w:sz w:val="24"/>
        </w:rPr>
        <w:t>renas</w:t>
      </w:r>
      <w:r w:rsidR="000E5713">
        <w:rPr>
          <w:rFonts w:cs="Calibri"/>
          <w:sz w:val="24"/>
        </w:rPr>
        <w:t>.</w:t>
      </w:r>
      <w:r>
        <w:rPr>
          <w:rFonts w:cs="Calibri"/>
          <w:sz w:val="24"/>
        </w:rPr>
        <w:t xml:space="preserve"> </w:t>
      </w:r>
      <w:r w:rsidR="000E5713">
        <w:rPr>
          <w:rFonts w:cs="Calibri"/>
          <w:sz w:val="24"/>
        </w:rPr>
        <w:t>The f</w:t>
      </w:r>
      <w:r>
        <w:rPr>
          <w:rFonts w:cs="Calibri"/>
          <w:sz w:val="24"/>
        </w:rPr>
        <w:t>irst is the social const</w:t>
      </w:r>
      <w:r w:rsidR="0013062A">
        <w:rPr>
          <w:rFonts w:cs="Calibri"/>
          <w:sz w:val="24"/>
        </w:rPr>
        <w:t xml:space="preserve">itution </w:t>
      </w:r>
      <w:r>
        <w:rPr>
          <w:rFonts w:cs="Calibri"/>
          <w:sz w:val="24"/>
        </w:rPr>
        <w:t xml:space="preserve">of the problem of </w:t>
      </w:r>
      <w:r w:rsidR="00B43651">
        <w:rPr>
          <w:rFonts w:cs="Calibri"/>
          <w:sz w:val="24"/>
        </w:rPr>
        <w:t xml:space="preserve">perceived declining </w:t>
      </w:r>
      <w:r>
        <w:rPr>
          <w:rFonts w:cs="Calibri"/>
          <w:sz w:val="24"/>
        </w:rPr>
        <w:t>educational standards in England</w:t>
      </w:r>
      <w:r w:rsidR="00501E05">
        <w:rPr>
          <w:rFonts w:cs="Calibri"/>
          <w:sz w:val="24"/>
        </w:rPr>
        <w:t>.</w:t>
      </w:r>
      <w:r>
        <w:rPr>
          <w:rFonts w:cs="Calibri"/>
          <w:sz w:val="24"/>
        </w:rPr>
        <w:t xml:space="preserve"> </w:t>
      </w:r>
      <w:r w:rsidR="00501E05">
        <w:rPr>
          <w:rFonts w:cs="Calibri"/>
          <w:sz w:val="24"/>
        </w:rPr>
        <w:t>S</w:t>
      </w:r>
      <w:r>
        <w:rPr>
          <w:rFonts w:cs="Calibri"/>
          <w:sz w:val="24"/>
        </w:rPr>
        <w:t>econd</w:t>
      </w:r>
      <w:r w:rsidR="00501E05">
        <w:rPr>
          <w:rFonts w:cs="Calibri"/>
          <w:sz w:val="24"/>
        </w:rPr>
        <w:t>ly,</w:t>
      </w:r>
      <w:r>
        <w:rPr>
          <w:rFonts w:cs="Calibri"/>
          <w:sz w:val="24"/>
        </w:rPr>
        <w:t xml:space="preserve"> the grid of social regularities</w:t>
      </w:r>
      <w:r w:rsidR="00501E05">
        <w:rPr>
          <w:rFonts w:cs="Calibri"/>
          <w:sz w:val="24"/>
        </w:rPr>
        <w:t>,</w:t>
      </w:r>
      <w:r>
        <w:rPr>
          <w:rFonts w:cs="Calibri"/>
          <w:sz w:val="24"/>
        </w:rPr>
        <w:t xml:space="preserve"> which intersect</w:t>
      </w:r>
      <w:r w:rsidR="00501E05">
        <w:rPr>
          <w:rFonts w:cs="Calibri"/>
          <w:sz w:val="24"/>
        </w:rPr>
        <w:t>s</w:t>
      </w:r>
      <w:r>
        <w:rPr>
          <w:rFonts w:cs="Calibri"/>
          <w:sz w:val="24"/>
        </w:rPr>
        <w:t xml:space="preserve"> to determine </w:t>
      </w:r>
      <w:r w:rsidR="0013062A">
        <w:rPr>
          <w:rFonts w:cs="Calibri"/>
          <w:sz w:val="24"/>
        </w:rPr>
        <w:t>a particular phenomenon</w:t>
      </w:r>
      <w:r>
        <w:rPr>
          <w:rFonts w:cs="Calibri"/>
          <w:sz w:val="24"/>
        </w:rPr>
        <w:t xml:space="preserve"> as a problem at </w:t>
      </w:r>
      <w:r w:rsidR="0013062A">
        <w:rPr>
          <w:rFonts w:cs="Calibri"/>
          <w:sz w:val="24"/>
        </w:rPr>
        <w:t>any</w:t>
      </w:r>
      <w:r>
        <w:rPr>
          <w:rFonts w:cs="Calibri"/>
          <w:sz w:val="24"/>
        </w:rPr>
        <w:t xml:space="preserve"> given moment in time</w:t>
      </w:r>
      <w:r w:rsidR="00501E05">
        <w:rPr>
          <w:rFonts w:cs="Calibri"/>
          <w:sz w:val="24"/>
        </w:rPr>
        <w:t xml:space="preserve"> and lastly,</w:t>
      </w:r>
      <w:r>
        <w:rPr>
          <w:rFonts w:cs="Calibri"/>
          <w:sz w:val="24"/>
        </w:rPr>
        <w:t xml:space="preserve"> the legitimate policy solutions that </w:t>
      </w:r>
      <w:r w:rsidR="00501E05">
        <w:rPr>
          <w:rFonts w:cs="Calibri"/>
          <w:sz w:val="24"/>
        </w:rPr>
        <w:t xml:space="preserve">have </w:t>
      </w:r>
      <w:r>
        <w:rPr>
          <w:rFonts w:cs="Calibri"/>
          <w:sz w:val="24"/>
        </w:rPr>
        <w:t>arise</w:t>
      </w:r>
      <w:r w:rsidR="00501E05">
        <w:rPr>
          <w:rFonts w:cs="Calibri"/>
          <w:sz w:val="24"/>
        </w:rPr>
        <w:t>n</w:t>
      </w:r>
      <w:r>
        <w:rPr>
          <w:rFonts w:cs="Calibri"/>
          <w:sz w:val="24"/>
        </w:rPr>
        <w:t xml:space="preserve"> from this grid of social regularities</w:t>
      </w:r>
      <w:r w:rsidR="0013062A">
        <w:rPr>
          <w:rFonts w:cs="Calibri"/>
          <w:sz w:val="24"/>
        </w:rPr>
        <w:t xml:space="preserve">, </w:t>
      </w:r>
      <w:r>
        <w:rPr>
          <w:rFonts w:cs="Calibri"/>
          <w:sz w:val="24"/>
        </w:rPr>
        <w:t>resulting</w:t>
      </w:r>
      <w:r w:rsidR="0013062A">
        <w:rPr>
          <w:rFonts w:cs="Calibri"/>
          <w:sz w:val="24"/>
        </w:rPr>
        <w:t xml:space="preserve"> eventually </w:t>
      </w:r>
      <w:r>
        <w:rPr>
          <w:rFonts w:cs="Calibri"/>
          <w:sz w:val="24"/>
        </w:rPr>
        <w:t>in the EBac</w:t>
      </w:r>
      <w:r w:rsidR="0013062A">
        <w:rPr>
          <w:rFonts w:cs="Calibri"/>
          <w:sz w:val="24"/>
        </w:rPr>
        <w:t xml:space="preserve"> policy</w:t>
      </w:r>
      <w:r>
        <w:rPr>
          <w:rFonts w:cs="Calibri"/>
          <w:sz w:val="24"/>
        </w:rPr>
        <w:t>.</w:t>
      </w:r>
    </w:p>
    <w:p w14:paraId="02B0F17D" w14:textId="3B823107" w:rsidR="008F20E8" w:rsidRDefault="00B54F29" w:rsidP="00B54F29">
      <w:pPr>
        <w:spacing w:line="360" w:lineRule="auto"/>
        <w:rPr>
          <w:rFonts w:cs="Calibri"/>
          <w:sz w:val="24"/>
        </w:rPr>
      </w:pPr>
      <w:r>
        <w:rPr>
          <w:rFonts w:cs="Calibri"/>
          <w:sz w:val="24"/>
        </w:rPr>
        <w:t xml:space="preserve">The first part </w:t>
      </w:r>
      <w:r w:rsidR="00B87781">
        <w:rPr>
          <w:rFonts w:cs="Calibri"/>
          <w:sz w:val="24"/>
        </w:rPr>
        <w:t xml:space="preserve">of the chapter </w:t>
      </w:r>
      <w:r w:rsidR="00825ABF">
        <w:rPr>
          <w:rFonts w:cs="Calibri"/>
          <w:sz w:val="24"/>
        </w:rPr>
        <w:t>(4.</w:t>
      </w:r>
      <w:r w:rsidR="004F3949">
        <w:rPr>
          <w:rFonts w:cs="Calibri"/>
          <w:sz w:val="24"/>
        </w:rPr>
        <w:t xml:space="preserve">2) </w:t>
      </w:r>
      <w:r w:rsidR="00B87781">
        <w:rPr>
          <w:rFonts w:cs="Calibri"/>
          <w:sz w:val="24"/>
        </w:rPr>
        <w:t>is</w:t>
      </w:r>
      <w:r w:rsidR="00B529D2">
        <w:rPr>
          <w:rFonts w:cs="Calibri"/>
          <w:sz w:val="24"/>
        </w:rPr>
        <w:t xml:space="preserve"> </w:t>
      </w:r>
      <w:r w:rsidR="00A05787">
        <w:rPr>
          <w:rFonts w:cs="Calibri"/>
          <w:sz w:val="24"/>
        </w:rPr>
        <w:t xml:space="preserve">a </w:t>
      </w:r>
      <w:r w:rsidR="00B529D2">
        <w:rPr>
          <w:rFonts w:cs="Calibri"/>
          <w:sz w:val="24"/>
        </w:rPr>
        <w:t xml:space="preserve">policy analysis </w:t>
      </w:r>
      <w:r w:rsidR="00BC2442">
        <w:rPr>
          <w:rFonts w:cs="Calibri"/>
          <w:sz w:val="24"/>
        </w:rPr>
        <w:t>applying</w:t>
      </w:r>
      <w:r w:rsidR="00B529D2">
        <w:rPr>
          <w:rFonts w:cs="Calibri"/>
          <w:sz w:val="24"/>
        </w:rPr>
        <w:t xml:space="preserve"> Hyatt’s </w:t>
      </w:r>
      <w:r w:rsidR="00587AF4">
        <w:rPr>
          <w:rFonts w:cs="Calibri"/>
          <w:sz w:val="24"/>
        </w:rPr>
        <w:t xml:space="preserve">(2010) </w:t>
      </w:r>
      <w:r w:rsidR="00B529D2">
        <w:rPr>
          <w:rFonts w:cs="Calibri"/>
          <w:sz w:val="24"/>
        </w:rPr>
        <w:t xml:space="preserve">CDA framework on </w:t>
      </w:r>
      <w:r w:rsidR="00BC2442">
        <w:rPr>
          <w:rFonts w:cs="Calibri"/>
          <w:sz w:val="24"/>
        </w:rPr>
        <w:t>my</w:t>
      </w:r>
      <w:r w:rsidR="00B529D2">
        <w:rPr>
          <w:rFonts w:cs="Calibri"/>
          <w:sz w:val="24"/>
        </w:rPr>
        <w:t xml:space="preserve"> </w:t>
      </w:r>
      <w:r w:rsidR="00640136">
        <w:rPr>
          <w:rFonts w:cs="Calibri"/>
          <w:sz w:val="24"/>
        </w:rPr>
        <w:t xml:space="preserve">three </w:t>
      </w:r>
      <w:r w:rsidR="00B529D2">
        <w:rPr>
          <w:rFonts w:cs="Calibri"/>
          <w:sz w:val="24"/>
        </w:rPr>
        <w:t>selected</w:t>
      </w:r>
      <w:r w:rsidR="00640136">
        <w:rPr>
          <w:rFonts w:cs="Calibri"/>
          <w:sz w:val="24"/>
        </w:rPr>
        <w:t xml:space="preserve"> policy </w:t>
      </w:r>
      <w:r w:rsidR="00B529D2">
        <w:rPr>
          <w:rFonts w:cs="Calibri"/>
          <w:sz w:val="24"/>
        </w:rPr>
        <w:t>texts</w:t>
      </w:r>
      <w:r w:rsidR="00C761D8">
        <w:rPr>
          <w:rFonts w:cs="Calibri"/>
          <w:sz w:val="24"/>
        </w:rPr>
        <w:t xml:space="preserve"> (see 3.5</w:t>
      </w:r>
      <w:r w:rsidR="00587AF4">
        <w:rPr>
          <w:rFonts w:cs="Calibri"/>
          <w:sz w:val="24"/>
        </w:rPr>
        <w:t>.2 for</w:t>
      </w:r>
      <w:r w:rsidR="004722EC">
        <w:rPr>
          <w:rFonts w:cs="Calibri"/>
          <w:sz w:val="24"/>
        </w:rPr>
        <w:t xml:space="preserve"> the</w:t>
      </w:r>
      <w:r w:rsidR="00587AF4">
        <w:rPr>
          <w:rFonts w:cs="Calibri"/>
          <w:sz w:val="24"/>
        </w:rPr>
        <w:t xml:space="preserve"> Critical Literacy Frame and </w:t>
      </w:r>
      <w:r w:rsidR="004722EC">
        <w:rPr>
          <w:rFonts w:cs="Calibri"/>
          <w:sz w:val="24"/>
        </w:rPr>
        <w:t xml:space="preserve">11 </w:t>
      </w:r>
      <w:r w:rsidR="00587AF4">
        <w:rPr>
          <w:rFonts w:cs="Calibri"/>
          <w:sz w:val="24"/>
        </w:rPr>
        <w:t>criteria)</w:t>
      </w:r>
      <w:r w:rsidR="00B529D2">
        <w:rPr>
          <w:rFonts w:cs="Calibri"/>
          <w:sz w:val="24"/>
        </w:rPr>
        <w:t xml:space="preserve">. </w:t>
      </w:r>
      <w:r w:rsidR="00587AF4">
        <w:rPr>
          <w:rFonts w:cs="Calibri"/>
          <w:sz w:val="24"/>
        </w:rPr>
        <w:t xml:space="preserve">The section is structured </w:t>
      </w:r>
      <w:r w:rsidR="00DA2FC6">
        <w:rPr>
          <w:rFonts w:cs="Calibri"/>
          <w:sz w:val="24"/>
        </w:rPr>
        <w:t xml:space="preserve">around analysis of all </w:t>
      </w:r>
      <w:r w:rsidR="00B02FEB">
        <w:rPr>
          <w:rFonts w:cs="Calibri"/>
          <w:sz w:val="24"/>
        </w:rPr>
        <w:t xml:space="preserve">11 </w:t>
      </w:r>
      <w:r w:rsidR="00DA2FC6">
        <w:rPr>
          <w:rFonts w:cs="Calibri"/>
          <w:sz w:val="24"/>
        </w:rPr>
        <w:t xml:space="preserve">criteria outlined in the </w:t>
      </w:r>
      <w:r w:rsidR="00CD5B38">
        <w:rPr>
          <w:rFonts w:cs="Calibri"/>
          <w:sz w:val="24"/>
        </w:rPr>
        <w:t>framework</w:t>
      </w:r>
      <w:r w:rsidR="00DA2FC6">
        <w:rPr>
          <w:rFonts w:cs="Calibri"/>
          <w:sz w:val="24"/>
        </w:rPr>
        <w:t xml:space="preserve">. </w:t>
      </w:r>
      <w:r w:rsidR="00587AF4">
        <w:rPr>
          <w:rFonts w:cs="Calibri"/>
          <w:sz w:val="24"/>
        </w:rPr>
        <w:t xml:space="preserve">CDA allows </w:t>
      </w:r>
      <w:r w:rsidR="00A64464">
        <w:rPr>
          <w:rFonts w:cs="Calibri"/>
          <w:sz w:val="24"/>
        </w:rPr>
        <w:t xml:space="preserve">for </w:t>
      </w:r>
      <w:r w:rsidR="00587AF4">
        <w:rPr>
          <w:rFonts w:cs="Calibri"/>
          <w:sz w:val="24"/>
        </w:rPr>
        <w:t xml:space="preserve">a detailed analysis and exploration of the multiple dimensions of the text. </w:t>
      </w:r>
      <w:r w:rsidR="00B529D2">
        <w:rPr>
          <w:rFonts w:cs="Calibri"/>
          <w:sz w:val="24"/>
        </w:rPr>
        <w:t xml:space="preserve">The second part </w:t>
      </w:r>
      <w:r w:rsidR="00587AF4">
        <w:rPr>
          <w:rFonts w:cs="Calibri"/>
          <w:sz w:val="24"/>
        </w:rPr>
        <w:t xml:space="preserve">of the chapter </w:t>
      </w:r>
      <w:r w:rsidR="00825ABF">
        <w:rPr>
          <w:rFonts w:cs="Calibri"/>
          <w:sz w:val="24"/>
        </w:rPr>
        <w:t>(4.</w:t>
      </w:r>
      <w:r w:rsidR="004F3949">
        <w:rPr>
          <w:rFonts w:cs="Calibri"/>
          <w:sz w:val="24"/>
        </w:rPr>
        <w:t>3</w:t>
      </w:r>
      <w:r w:rsidR="00825ABF">
        <w:rPr>
          <w:rFonts w:cs="Calibri"/>
          <w:sz w:val="24"/>
        </w:rPr>
        <w:t xml:space="preserve">) </w:t>
      </w:r>
      <w:r w:rsidR="00B529D2">
        <w:rPr>
          <w:rFonts w:cs="Calibri"/>
          <w:sz w:val="24"/>
        </w:rPr>
        <w:t xml:space="preserve">is an analysis of the </w:t>
      </w:r>
      <w:r w:rsidR="00640136">
        <w:rPr>
          <w:rFonts w:cs="Calibri"/>
          <w:sz w:val="24"/>
        </w:rPr>
        <w:t>semi-structured interview</w:t>
      </w:r>
      <w:r w:rsidR="00BC2442">
        <w:rPr>
          <w:rFonts w:cs="Calibri"/>
          <w:sz w:val="24"/>
        </w:rPr>
        <w:t xml:space="preserve"> data</w:t>
      </w:r>
      <w:r w:rsidR="00587AF4">
        <w:rPr>
          <w:rFonts w:cs="Calibri"/>
          <w:sz w:val="24"/>
        </w:rPr>
        <w:t>,</w:t>
      </w:r>
      <w:r w:rsidR="00640136">
        <w:rPr>
          <w:rFonts w:cs="Calibri"/>
          <w:sz w:val="24"/>
        </w:rPr>
        <w:t xml:space="preserve"> introduc</w:t>
      </w:r>
      <w:r w:rsidR="00587AF4">
        <w:rPr>
          <w:rFonts w:cs="Calibri"/>
          <w:sz w:val="24"/>
        </w:rPr>
        <w:t>ing</w:t>
      </w:r>
      <w:r w:rsidR="00640136">
        <w:rPr>
          <w:rFonts w:cs="Calibri"/>
          <w:sz w:val="24"/>
        </w:rPr>
        <w:t xml:space="preserve"> the four </w:t>
      </w:r>
      <w:r w:rsidR="00587AF4">
        <w:rPr>
          <w:rFonts w:cs="Calibri"/>
          <w:sz w:val="24"/>
        </w:rPr>
        <w:t xml:space="preserve">sample </w:t>
      </w:r>
      <w:r w:rsidR="00640136">
        <w:rPr>
          <w:rFonts w:cs="Calibri"/>
          <w:sz w:val="24"/>
        </w:rPr>
        <w:t xml:space="preserve">schools and the </w:t>
      </w:r>
      <w:r w:rsidR="00A64464">
        <w:rPr>
          <w:rFonts w:cs="Calibri"/>
          <w:sz w:val="24"/>
        </w:rPr>
        <w:t>10</w:t>
      </w:r>
      <w:r w:rsidR="00640136">
        <w:rPr>
          <w:rFonts w:cs="Calibri"/>
          <w:sz w:val="24"/>
        </w:rPr>
        <w:t xml:space="preserve"> school leaders </w:t>
      </w:r>
      <w:r w:rsidR="00587AF4">
        <w:rPr>
          <w:rFonts w:cs="Calibri"/>
          <w:sz w:val="24"/>
        </w:rPr>
        <w:t>interviewed</w:t>
      </w:r>
      <w:r w:rsidR="00640136">
        <w:rPr>
          <w:rFonts w:cs="Calibri"/>
          <w:sz w:val="24"/>
        </w:rPr>
        <w:t xml:space="preserve">. </w:t>
      </w:r>
      <w:r w:rsidR="00B226EF">
        <w:rPr>
          <w:rFonts w:cs="Calibri"/>
          <w:sz w:val="24"/>
        </w:rPr>
        <w:t>The approach to the EBac policy by each school is placed within a four-fold typology of accept</w:t>
      </w:r>
      <w:r w:rsidR="00882EB9">
        <w:rPr>
          <w:rFonts w:cs="Calibri"/>
          <w:sz w:val="24"/>
        </w:rPr>
        <w:t>ance</w:t>
      </w:r>
      <w:r w:rsidR="00B226EF">
        <w:rPr>
          <w:rFonts w:cs="Calibri"/>
          <w:sz w:val="24"/>
        </w:rPr>
        <w:t>, resist</w:t>
      </w:r>
      <w:r w:rsidR="00882EB9">
        <w:rPr>
          <w:rFonts w:cs="Calibri"/>
          <w:sz w:val="24"/>
        </w:rPr>
        <w:t>ance</w:t>
      </w:r>
      <w:r w:rsidR="00B226EF">
        <w:rPr>
          <w:rFonts w:cs="Calibri"/>
          <w:sz w:val="24"/>
        </w:rPr>
        <w:t xml:space="preserve">, </w:t>
      </w:r>
      <w:r w:rsidR="00882EB9">
        <w:rPr>
          <w:rFonts w:cs="Calibri"/>
          <w:sz w:val="24"/>
        </w:rPr>
        <w:t>compliance</w:t>
      </w:r>
      <w:r w:rsidR="00D27BF7">
        <w:rPr>
          <w:rFonts w:cs="Calibri"/>
          <w:sz w:val="24"/>
        </w:rPr>
        <w:t xml:space="preserve"> or confu</w:t>
      </w:r>
      <w:r w:rsidR="00882EB9">
        <w:rPr>
          <w:rFonts w:cs="Calibri"/>
          <w:sz w:val="24"/>
        </w:rPr>
        <w:t>sion</w:t>
      </w:r>
      <w:r w:rsidR="00D27BF7">
        <w:rPr>
          <w:rFonts w:cs="Calibri"/>
          <w:sz w:val="24"/>
        </w:rPr>
        <w:t xml:space="preserve"> (see </w:t>
      </w:r>
      <w:r w:rsidR="00A64464">
        <w:rPr>
          <w:rFonts w:cs="Calibri"/>
          <w:sz w:val="24"/>
        </w:rPr>
        <w:t>A</w:t>
      </w:r>
      <w:r w:rsidR="00D27BF7">
        <w:rPr>
          <w:rFonts w:cs="Calibri"/>
          <w:sz w:val="24"/>
        </w:rPr>
        <w:t>ppendix 8</w:t>
      </w:r>
      <w:r w:rsidR="00B226EF">
        <w:rPr>
          <w:rFonts w:cs="Calibri"/>
          <w:sz w:val="24"/>
        </w:rPr>
        <w:t xml:space="preserve">). </w:t>
      </w:r>
      <w:r w:rsidR="00640136">
        <w:rPr>
          <w:rFonts w:cs="Calibri"/>
          <w:sz w:val="24"/>
        </w:rPr>
        <w:t xml:space="preserve">The </w:t>
      </w:r>
      <w:r w:rsidR="00B529D2">
        <w:rPr>
          <w:rFonts w:cs="Calibri"/>
          <w:sz w:val="24"/>
        </w:rPr>
        <w:t>five key themes</w:t>
      </w:r>
      <w:r w:rsidR="00587AF4">
        <w:rPr>
          <w:rFonts w:cs="Calibri"/>
          <w:sz w:val="24"/>
        </w:rPr>
        <w:t xml:space="preserve"> identified from my </w:t>
      </w:r>
      <w:r w:rsidR="00825ABF">
        <w:rPr>
          <w:rFonts w:cs="Calibri"/>
          <w:sz w:val="24"/>
        </w:rPr>
        <w:t xml:space="preserve">interview </w:t>
      </w:r>
      <w:r w:rsidR="00587AF4">
        <w:rPr>
          <w:rFonts w:cs="Calibri"/>
          <w:sz w:val="24"/>
        </w:rPr>
        <w:t>analysis</w:t>
      </w:r>
      <w:r w:rsidR="00640136">
        <w:rPr>
          <w:rFonts w:cs="Calibri"/>
          <w:sz w:val="24"/>
        </w:rPr>
        <w:t xml:space="preserve"> are</w:t>
      </w:r>
      <w:r w:rsidR="00A64464">
        <w:rPr>
          <w:rFonts w:cs="Calibri"/>
          <w:sz w:val="24"/>
        </w:rPr>
        <w:t xml:space="preserve"> then</w:t>
      </w:r>
      <w:r w:rsidR="00640136">
        <w:rPr>
          <w:rFonts w:cs="Calibri"/>
          <w:sz w:val="24"/>
        </w:rPr>
        <w:t xml:space="preserve"> </w:t>
      </w:r>
      <w:r w:rsidR="00BC2442">
        <w:rPr>
          <w:rFonts w:cs="Calibri"/>
          <w:sz w:val="24"/>
        </w:rPr>
        <w:t>presented</w:t>
      </w:r>
      <w:r w:rsidR="00B529D2">
        <w:rPr>
          <w:rFonts w:cs="Calibri"/>
          <w:sz w:val="24"/>
        </w:rPr>
        <w:t xml:space="preserve">: </w:t>
      </w:r>
      <w:r w:rsidR="00640136">
        <w:rPr>
          <w:rFonts w:cs="Calibri"/>
          <w:sz w:val="24"/>
        </w:rPr>
        <w:t>the nature of knowledge; differentiation and hierarchy; choice and resistance; control and accountability</w:t>
      </w:r>
      <w:r w:rsidR="00A64464">
        <w:rPr>
          <w:rFonts w:cs="Calibri"/>
          <w:sz w:val="24"/>
        </w:rPr>
        <w:t>,</w:t>
      </w:r>
      <w:r w:rsidR="00640136">
        <w:rPr>
          <w:rFonts w:cs="Calibri"/>
          <w:sz w:val="24"/>
        </w:rPr>
        <w:t xml:space="preserve"> and equality</w:t>
      </w:r>
      <w:r w:rsidR="00EA5F50">
        <w:rPr>
          <w:rFonts w:cs="Calibri"/>
          <w:sz w:val="24"/>
        </w:rPr>
        <w:t xml:space="preserve"> (4.4)</w:t>
      </w:r>
      <w:r w:rsidR="00640136">
        <w:rPr>
          <w:rFonts w:cs="Calibri"/>
          <w:sz w:val="24"/>
        </w:rPr>
        <w:t xml:space="preserve">. </w:t>
      </w:r>
      <w:r w:rsidR="00872408">
        <w:rPr>
          <w:rFonts w:cs="Calibri"/>
          <w:sz w:val="24"/>
        </w:rPr>
        <w:t>The CDA</w:t>
      </w:r>
      <w:r w:rsidR="00A64464">
        <w:rPr>
          <w:rFonts w:cs="Calibri"/>
          <w:sz w:val="24"/>
        </w:rPr>
        <w:t>-</w:t>
      </w:r>
      <w:r w:rsidR="00573EE8">
        <w:rPr>
          <w:rFonts w:cs="Calibri"/>
          <w:sz w:val="24"/>
        </w:rPr>
        <w:lastRenderedPageBreak/>
        <w:t>generated</w:t>
      </w:r>
      <w:r w:rsidR="00872408">
        <w:rPr>
          <w:rFonts w:cs="Calibri"/>
          <w:sz w:val="24"/>
        </w:rPr>
        <w:t xml:space="preserve"> background detail for my interview questions </w:t>
      </w:r>
      <w:r w:rsidR="00573EE8">
        <w:rPr>
          <w:rFonts w:cs="Calibri"/>
          <w:sz w:val="24"/>
        </w:rPr>
        <w:t>provi</w:t>
      </w:r>
      <w:r w:rsidR="00A64464">
        <w:rPr>
          <w:rFonts w:cs="Calibri"/>
          <w:sz w:val="24"/>
        </w:rPr>
        <w:t>des</w:t>
      </w:r>
      <w:r w:rsidR="00872408">
        <w:rPr>
          <w:rFonts w:cs="Calibri"/>
          <w:sz w:val="24"/>
        </w:rPr>
        <w:t xml:space="preserve"> a detailed understanding of the policy the practitioners were implementing.</w:t>
      </w:r>
    </w:p>
    <w:p w14:paraId="170FA979" w14:textId="532C5C85" w:rsidR="00B54F29" w:rsidRPr="00E44C38" w:rsidRDefault="00B54F29" w:rsidP="00531995">
      <w:pPr>
        <w:pStyle w:val="Heading2"/>
      </w:pPr>
      <w:bookmarkStart w:id="75" w:name="_Toc452316359"/>
      <w:r w:rsidRPr="00E44C38">
        <w:t>4.</w:t>
      </w:r>
      <w:r w:rsidR="009B36FC">
        <w:t>2</w:t>
      </w:r>
      <w:r w:rsidRPr="00E44C38">
        <w:t xml:space="preserve"> </w:t>
      </w:r>
      <w:r w:rsidR="00B97A95">
        <w:t xml:space="preserve">Policy </w:t>
      </w:r>
      <w:r w:rsidR="00640136">
        <w:t>analysis</w:t>
      </w:r>
      <w:bookmarkEnd w:id="75"/>
      <w:r w:rsidR="00B97A95">
        <w:t xml:space="preserve"> </w:t>
      </w:r>
    </w:p>
    <w:p w14:paraId="4EE534E3" w14:textId="65C8873D" w:rsidR="00B54F29" w:rsidRPr="00E44C38" w:rsidRDefault="00B54F29" w:rsidP="0017024C">
      <w:pPr>
        <w:spacing w:after="0" w:line="360" w:lineRule="auto"/>
        <w:rPr>
          <w:rFonts w:cs="Calibri"/>
          <w:sz w:val="24"/>
        </w:rPr>
      </w:pPr>
      <w:r w:rsidRPr="00E44C38">
        <w:rPr>
          <w:rFonts w:cs="Calibri"/>
          <w:sz w:val="24"/>
        </w:rPr>
        <w:t>In order to research</w:t>
      </w:r>
      <w:r w:rsidR="004C4B57">
        <w:rPr>
          <w:rFonts w:cs="Calibri"/>
          <w:sz w:val="24"/>
        </w:rPr>
        <w:t xml:space="preserve"> my first question</w:t>
      </w:r>
      <w:r w:rsidR="00226A4F">
        <w:rPr>
          <w:rFonts w:cs="Calibri"/>
          <w:sz w:val="24"/>
        </w:rPr>
        <w:t>:</w:t>
      </w:r>
      <w:r w:rsidR="004C4B57">
        <w:rPr>
          <w:rFonts w:cs="Calibri"/>
          <w:sz w:val="24"/>
        </w:rPr>
        <w:t xml:space="preserve"> </w:t>
      </w:r>
      <w:r w:rsidR="00226A4F">
        <w:rPr>
          <w:rFonts w:cs="Calibri"/>
          <w:sz w:val="24"/>
        </w:rPr>
        <w:t>“W</w:t>
      </w:r>
      <w:r w:rsidR="004C4B57" w:rsidRPr="0017024C">
        <w:rPr>
          <w:sz w:val="24"/>
        </w:rPr>
        <w:t>hat is the EBac policy and how and why</w:t>
      </w:r>
      <w:r w:rsidRPr="0017024C">
        <w:rPr>
          <w:sz w:val="24"/>
        </w:rPr>
        <w:t xml:space="preserve"> was </w:t>
      </w:r>
      <w:r w:rsidR="004C4B57" w:rsidRPr="0017024C">
        <w:rPr>
          <w:sz w:val="24"/>
        </w:rPr>
        <w:t xml:space="preserve">it </w:t>
      </w:r>
      <w:r w:rsidRPr="0017024C">
        <w:rPr>
          <w:sz w:val="24"/>
        </w:rPr>
        <w:t>introduced as part of the wider policy framework</w:t>
      </w:r>
      <w:r w:rsidR="00226A4F">
        <w:rPr>
          <w:rFonts w:cs="Calibri"/>
          <w:sz w:val="24"/>
        </w:rPr>
        <w:t>”</w:t>
      </w:r>
      <w:r w:rsidRPr="00E44C38">
        <w:rPr>
          <w:rFonts w:cs="Calibri"/>
          <w:sz w:val="24"/>
        </w:rPr>
        <w:t>, I have analysed the following sections of key documents</w:t>
      </w:r>
      <w:r w:rsidR="004C4B57">
        <w:rPr>
          <w:rFonts w:cs="Calibri"/>
          <w:sz w:val="24"/>
        </w:rPr>
        <w:t xml:space="preserve"> (see </w:t>
      </w:r>
      <w:r w:rsidR="00226A4F">
        <w:rPr>
          <w:rFonts w:cs="Calibri"/>
          <w:sz w:val="24"/>
        </w:rPr>
        <w:t>S</w:t>
      </w:r>
      <w:r w:rsidR="003D597F">
        <w:rPr>
          <w:rFonts w:cs="Calibri"/>
          <w:sz w:val="24"/>
        </w:rPr>
        <w:t>e</w:t>
      </w:r>
      <w:r w:rsidR="00C761D8">
        <w:rPr>
          <w:rFonts w:cs="Calibri"/>
          <w:sz w:val="24"/>
        </w:rPr>
        <w:t>ction 3.5</w:t>
      </w:r>
      <w:r w:rsidR="003D597F">
        <w:rPr>
          <w:rFonts w:cs="Calibri"/>
          <w:sz w:val="24"/>
        </w:rPr>
        <w:t>.4</w:t>
      </w:r>
      <w:r w:rsidR="004C4B57">
        <w:rPr>
          <w:rFonts w:cs="Calibri"/>
          <w:sz w:val="24"/>
        </w:rPr>
        <w:t xml:space="preserve"> for discussion about the criteria for selection)</w:t>
      </w:r>
      <w:r w:rsidR="00226A4F">
        <w:rPr>
          <w:rFonts w:cs="Calibri"/>
          <w:sz w:val="24"/>
        </w:rPr>
        <w:t>:</w:t>
      </w:r>
    </w:p>
    <w:p w14:paraId="4A2ACF91" w14:textId="00E9BC89" w:rsidR="00B54F29" w:rsidRPr="00E44C38" w:rsidRDefault="005E49B6" w:rsidP="00B54F29">
      <w:pPr>
        <w:spacing w:line="360" w:lineRule="auto"/>
        <w:rPr>
          <w:rFonts w:cs="Calibri"/>
          <w:sz w:val="24"/>
        </w:rPr>
      </w:pPr>
      <w:r>
        <w:rPr>
          <w:rFonts w:cs="Calibri"/>
          <w:sz w:val="24"/>
        </w:rPr>
        <w:t xml:space="preserve">Policy document No 1: </w:t>
      </w:r>
      <w:r w:rsidR="00B54F29" w:rsidRPr="00E44C38">
        <w:rPr>
          <w:rFonts w:cs="Calibri"/>
          <w:i/>
          <w:sz w:val="24"/>
        </w:rPr>
        <w:t>The Importance of Teaching: The Schools White Paper 2010</w:t>
      </w:r>
      <w:r w:rsidR="00B54F29" w:rsidRPr="00E44C38">
        <w:rPr>
          <w:rFonts w:cs="Calibri"/>
          <w:sz w:val="24"/>
        </w:rPr>
        <w:t xml:space="preserve"> </w:t>
      </w:r>
      <w:r>
        <w:rPr>
          <w:rFonts w:cs="Calibri"/>
          <w:sz w:val="24"/>
        </w:rPr>
        <w:t>(</w:t>
      </w:r>
      <w:r w:rsidR="00B54F29" w:rsidRPr="00E44C38">
        <w:rPr>
          <w:rFonts w:cs="Calibri"/>
          <w:sz w:val="24"/>
        </w:rPr>
        <w:t>D</w:t>
      </w:r>
      <w:r w:rsidR="007A7027">
        <w:rPr>
          <w:rFonts w:cs="Calibri"/>
          <w:sz w:val="24"/>
        </w:rPr>
        <w:t>fE</w:t>
      </w:r>
      <w:r>
        <w:rPr>
          <w:rFonts w:cs="Calibri"/>
          <w:sz w:val="24"/>
        </w:rPr>
        <w:t>,</w:t>
      </w:r>
      <w:r w:rsidR="00B54F29" w:rsidRPr="00E44C38">
        <w:rPr>
          <w:rFonts w:cs="Calibri"/>
          <w:sz w:val="24"/>
        </w:rPr>
        <w:t xml:space="preserve"> 2010</w:t>
      </w:r>
      <w:r>
        <w:rPr>
          <w:rFonts w:cs="Calibri"/>
          <w:sz w:val="24"/>
        </w:rPr>
        <w:t>)</w:t>
      </w:r>
      <w:r w:rsidR="00B54F29" w:rsidRPr="00E44C38">
        <w:rPr>
          <w:rFonts w:cs="Calibri"/>
          <w:sz w:val="24"/>
        </w:rPr>
        <w:t>:</w:t>
      </w:r>
    </w:p>
    <w:p w14:paraId="6769C51D" w14:textId="5A726423" w:rsidR="00B54F29" w:rsidRPr="00E44C38" w:rsidRDefault="00B54F29" w:rsidP="00B54F29">
      <w:pPr>
        <w:pStyle w:val="ListParagraph"/>
        <w:numPr>
          <w:ilvl w:val="0"/>
          <w:numId w:val="8"/>
        </w:numPr>
        <w:tabs>
          <w:tab w:val="clear" w:pos="360"/>
          <w:tab w:val="num" w:pos="720"/>
        </w:tabs>
        <w:spacing w:line="360" w:lineRule="auto"/>
        <w:ind w:left="720" w:hanging="360"/>
        <w:contextualSpacing w:val="0"/>
        <w:rPr>
          <w:rFonts w:cs="Calibri"/>
          <w:sz w:val="24"/>
          <w:szCs w:val="24"/>
        </w:rPr>
      </w:pPr>
      <w:r w:rsidRPr="00E44C38">
        <w:rPr>
          <w:rFonts w:cs="Calibri"/>
          <w:sz w:val="24"/>
          <w:szCs w:val="24"/>
        </w:rPr>
        <w:t>Foreword by the Prime Minister and Deputy Prime Minister p.3-5</w:t>
      </w:r>
      <w:r w:rsidR="006C3A67">
        <w:rPr>
          <w:rFonts w:cs="Calibri"/>
          <w:sz w:val="24"/>
          <w:szCs w:val="24"/>
        </w:rPr>
        <w:t xml:space="preserve"> (PM/DPM)</w:t>
      </w:r>
    </w:p>
    <w:p w14:paraId="5FBBE8C3" w14:textId="798D3C99" w:rsidR="00B54F29" w:rsidRPr="00E44C38" w:rsidRDefault="00B54F29" w:rsidP="00DF6729">
      <w:pPr>
        <w:pStyle w:val="ListParagraph"/>
        <w:numPr>
          <w:ilvl w:val="0"/>
          <w:numId w:val="8"/>
        </w:numPr>
        <w:tabs>
          <w:tab w:val="clear" w:pos="360"/>
          <w:tab w:val="num" w:pos="720"/>
          <w:tab w:val="left" w:pos="8364"/>
        </w:tabs>
        <w:spacing w:line="360" w:lineRule="auto"/>
        <w:ind w:left="720" w:hanging="360"/>
        <w:contextualSpacing w:val="0"/>
        <w:rPr>
          <w:rFonts w:cs="Calibri"/>
          <w:sz w:val="24"/>
          <w:szCs w:val="24"/>
        </w:rPr>
      </w:pPr>
      <w:r w:rsidRPr="00E44C38">
        <w:rPr>
          <w:rFonts w:cs="Calibri"/>
          <w:sz w:val="24"/>
          <w:szCs w:val="24"/>
        </w:rPr>
        <w:t>Foreword by the Secretary of State for Education p.6-7</w:t>
      </w:r>
      <w:r w:rsidR="006C3A67">
        <w:rPr>
          <w:rFonts w:cs="Calibri"/>
          <w:sz w:val="24"/>
          <w:szCs w:val="24"/>
        </w:rPr>
        <w:t xml:space="preserve"> (</w:t>
      </w:r>
      <w:r w:rsidR="009B36FC">
        <w:rPr>
          <w:rFonts w:cs="Calibri"/>
          <w:sz w:val="24"/>
          <w:szCs w:val="24"/>
        </w:rPr>
        <w:t>Gove</w:t>
      </w:r>
      <w:r w:rsidR="006C3A67">
        <w:rPr>
          <w:rFonts w:cs="Calibri"/>
          <w:sz w:val="24"/>
          <w:szCs w:val="24"/>
        </w:rPr>
        <w:t>)</w:t>
      </w:r>
    </w:p>
    <w:p w14:paraId="46DD6B03" w14:textId="36BDB4AB" w:rsidR="00B54F29" w:rsidRPr="00E44C38" w:rsidRDefault="00B54F29" w:rsidP="00B54F29">
      <w:pPr>
        <w:pStyle w:val="ListParagraph"/>
        <w:numPr>
          <w:ilvl w:val="0"/>
          <w:numId w:val="8"/>
        </w:numPr>
        <w:tabs>
          <w:tab w:val="clear" w:pos="360"/>
          <w:tab w:val="num" w:pos="720"/>
        </w:tabs>
        <w:spacing w:line="360" w:lineRule="auto"/>
        <w:ind w:left="720" w:hanging="360"/>
        <w:contextualSpacing w:val="0"/>
        <w:rPr>
          <w:rFonts w:cs="Calibri"/>
          <w:sz w:val="24"/>
          <w:szCs w:val="24"/>
        </w:rPr>
      </w:pPr>
      <w:r w:rsidRPr="00E44C38">
        <w:rPr>
          <w:rFonts w:cs="Calibri"/>
          <w:sz w:val="24"/>
          <w:szCs w:val="24"/>
        </w:rPr>
        <w:t xml:space="preserve">Section 4.20-4.24 </w:t>
      </w:r>
      <w:r w:rsidRPr="004C4B57">
        <w:rPr>
          <w:rFonts w:cs="Calibri"/>
          <w:i/>
          <w:sz w:val="24"/>
          <w:szCs w:val="24"/>
        </w:rPr>
        <w:t>The English Baccalaureate will encourage schools to offer a broad set of academic subjects to age 16</w:t>
      </w:r>
      <w:r w:rsidRPr="00E44C38">
        <w:rPr>
          <w:rFonts w:cs="Calibri"/>
          <w:sz w:val="24"/>
          <w:szCs w:val="24"/>
        </w:rPr>
        <w:t xml:space="preserve"> p.44-45</w:t>
      </w:r>
      <w:r w:rsidR="006C3A67">
        <w:rPr>
          <w:rFonts w:cs="Calibri"/>
          <w:sz w:val="24"/>
          <w:szCs w:val="24"/>
        </w:rPr>
        <w:t xml:space="preserve"> (EBac)</w:t>
      </w:r>
    </w:p>
    <w:p w14:paraId="375F3AB1" w14:textId="3D01FFFC" w:rsidR="00B54F29" w:rsidRPr="00E44C38" w:rsidRDefault="005E49B6" w:rsidP="00B54F29">
      <w:pPr>
        <w:spacing w:line="360" w:lineRule="auto"/>
        <w:rPr>
          <w:rFonts w:cs="Calibri"/>
          <w:sz w:val="24"/>
        </w:rPr>
      </w:pPr>
      <w:r>
        <w:rPr>
          <w:rFonts w:cs="Calibri"/>
          <w:sz w:val="24"/>
        </w:rPr>
        <w:t xml:space="preserve">Policy document No 2: </w:t>
      </w:r>
      <w:r w:rsidR="00B54F29" w:rsidRPr="00E44C38">
        <w:rPr>
          <w:rFonts w:cs="Calibri"/>
          <w:i/>
          <w:sz w:val="24"/>
        </w:rPr>
        <w:t>Statement of Intent Addendum – English Baccalaureate 2010 December 2010</w:t>
      </w:r>
      <w:r w:rsidR="00B54F29" w:rsidRPr="00E44C38">
        <w:rPr>
          <w:rFonts w:cs="Calibri"/>
          <w:sz w:val="24"/>
        </w:rPr>
        <w:t>, Re-issued 12 January 2011</w:t>
      </w:r>
      <w:r>
        <w:rPr>
          <w:rFonts w:cs="Calibri"/>
          <w:sz w:val="24"/>
        </w:rPr>
        <w:t xml:space="preserve">. </w:t>
      </w:r>
      <w:r w:rsidR="006C3A67">
        <w:rPr>
          <w:rFonts w:cs="Calibri"/>
          <w:sz w:val="24"/>
        </w:rPr>
        <w:t xml:space="preserve"> </w:t>
      </w:r>
      <w:r w:rsidR="00574231">
        <w:rPr>
          <w:rFonts w:cs="Calibri"/>
          <w:sz w:val="24"/>
        </w:rPr>
        <w:t xml:space="preserve">(Pages 1-3) </w:t>
      </w:r>
      <w:r w:rsidR="006C3A67">
        <w:rPr>
          <w:rFonts w:cs="Calibri"/>
          <w:sz w:val="24"/>
        </w:rPr>
        <w:t>(Addendum)</w:t>
      </w:r>
      <w:r w:rsidR="00CA363D">
        <w:rPr>
          <w:rFonts w:cs="Calibri"/>
          <w:sz w:val="24"/>
        </w:rPr>
        <w:t xml:space="preserve"> (DfE, Dec 2010d).</w:t>
      </w:r>
    </w:p>
    <w:p w14:paraId="5B5B61A7" w14:textId="4B07DBA7" w:rsidR="00B54F29" w:rsidRDefault="005E49B6" w:rsidP="009B36FC">
      <w:pPr>
        <w:tabs>
          <w:tab w:val="left" w:pos="8647"/>
        </w:tabs>
        <w:spacing w:line="360" w:lineRule="auto"/>
        <w:rPr>
          <w:rFonts w:cs="Calibri"/>
          <w:sz w:val="24"/>
        </w:rPr>
      </w:pPr>
      <w:r>
        <w:rPr>
          <w:rFonts w:cs="Calibri"/>
          <w:sz w:val="24"/>
        </w:rPr>
        <w:t xml:space="preserve">Policy document No 3: </w:t>
      </w:r>
      <w:r w:rsidR="00B54F29" w:rsidRPr="00E44C38">
        <w:rPr>
          <w:rFonts w:cs="Calibri"/>
          <w:sz w:val="24"/>
        </w:rPr>
        <w:t>Schools White Paper: Speech to the House of Commons on the launch of the Schools White Paper – Gove</w:t>
      </w:r>
      <w:r w:rsidR="00EA4550">
        <w:rPr>
          <w:rFonts w:cs="Calibri"/>
          <w:sz w:val="24"/>
        </w:rPr>
        <w:t>,</w:t>
      </w:r>
      <w:r w:rsidR="00B54F29" w:rsidRPr="00E44C38">
        <w:rPr>
          <w:rFonts w:cs="Calibri"/>
          <w:sz w:val="24"/>
        </w:rPr>
        <w:t xml:space="preserve"> 24.11.2010</w:t>
      </w:r>
      <w:r w:rsidR="006C3A67">
        <w:rPr>
          <w:rFonts w:cs="Calibri"/>
          <w:sz w:val="24"/>
        </w:rPr>
        <w:t xml:space="preserve"> </w:t>
      </w:r>
      <w:r w:rsidR="00574231">
        <w:rPr>
          <w:rFonts w:cs="Calibri"/>
          <w:sz w:val="24"/>
        </w:rPr>
        <w:t xml:space="preserve">(Pages 1-3) </w:t>
      </w:r>
      <w:r w:rsidR="006C3A67">
        <w:rPr>
          <w:rFonts w:cs="Calibri"/>
          <w:sz w:val="24"/>
        </w:rPr>
        <w:t>(Speech)</w:t>
      </w:r>
      <w:r w:rsidR="00CA363D">
        <w:rPr>
          <w:rFonts w:cs="Calibri"/>
          <w:sz w:val="24"/>
        </w:rPr>
        <w:t xml:space="preserve"> (Gove, Nov 2010).</w:t>
      </w:r>
    </w:p>
    <w:p w14:paraId="2FDA18D2" w14:textId="514D9BA2" w:rsidR="004C4B57" w:rsidRDefault="003D597F" w:rsidP="00B54F29">
      <w:pPr>
        <w:spacing w:line="360" w:lineRule="auto"/>
        <w:rPr>
          <w:rFonts w:cs="Calibri"/>
          <w:sz w:val="24"/>
        </w:rPr>
      </w:pPr>
      <w:r>
        <w:rPr>
          <w:rFonts w:cs="Calibri"/>
          <w:sz w:val="24"/>
        </w:rPr>
        <w:t>A</w:t>
      </w:r>
      <w:r w:rsidR="00CC3531">
        <w:rPr>
          <w:rFonts w:cs="Calibri"/>
          <w:sz w:val="24"/>
        </w:rPr>
        <w:t xml:space="preserve"> text is</w:t>
      </w:r>
      <w:r>
        <w:rPr>
          <w:rFonts w:cs="Calibri"/>
          <w:sz w:val="24"/>
        </w:rPr>
        <w:t xml:space="preserve"> not </w:t>
      </w:r>
      <w:r w:rsidR="00CC3531">
        <w:rPr>
          <w:rFonts w:cs="Calibri"/>
          <w:sz w:val="24"/>
        </w:rPr>
        <w:t>a neutral artefact but is created for a reason</w:t>
      </w:r>
      <w:r w:rsidR="00EA4550">
        <w:rPr>
          <w:rFonts w:cs="Calibri"/>
          <w:sz w:val="24"/>
        </w:rPr>
        <w:t>.</w:t>
      </w:r>
      <w:r w:rsidR="009B36FC">
        <w:rPr>
          <w:rFonts w:cs="Calibri"/>
          <w:sz w:val="24"/>
        </w:rPr>
        <w:t xml:space="preserve"> </w:t>
      </w:r>
      <w:r w:rsidR="00EA4550">
        <w:rPr>
          <w:rFonts w:cs="Calibri"/>
          <w:sz w:val="24"/>
        </w:rPr>
        <w:t>I</w:t>
      </w:r>
      <w:r w:rsidR="00CC3531">
        <w:rPr>
          <w:rFonts w:cs="Calibri"/>
          <w:sz w:val="24"/>
        </w:rPr>
        <w:t>n the case of policy texts</w:t>
      </w:r>
      <w:r w:rsidR="00EA4550">
        <w:rPr>
          <w:rFonts w:cs="Calibri"/>
          <w:sz w:val="24"/>
        </w:rPr>
        <w:t>,</w:t>
      </w:r>
      <w:r w:rsidR="00CC3531">
        <w:rPr>
          <w:rFonts w:cs="Calibri"/>
          <w:sz w:val="24"/>
        </w:rPr>
        <w:t xml:space="preserve"> the aim is to outline and present a case for the policy in question</w:t>
      </w:r>
      <w:r>
        <w:rPr>
          <w:rFonts w:cs="Calibri"/>
          <w:sz w:val="24"/>
        </w:rPr>
        <w:t>, in Scheurich’s terms to frame the social construction of the problem (</w:t>
      </w:r>
      <w:r w:rsidR="00EA4550">
        <w:rPr>
          <w:rFonts w:cs="Calibri"/>
          <w:sz w:val="24"/>
        </w:rPr>
        <w:t>A</w:t>
      </w:r>
      <w:r>
        <w:rPr>
          <w:rFonts w:cs="Calibri"/>
          <w:sz w:val="24"/>
        </w:rPr>
        <w:t>rena 1)</w:t>
      </w:r>
      <w:r w:rsidR="00CC3531">
        <w:rPr>
          <w:rFonts w:cs="Calibri"/>
          <w:sz w:val="24"/>
        </w:rPr>
        <w:t>. Hyatt comments that:</w:t>
      </w:r>
    </w:p>
    <w:p w14:paraId="1BC04C6A" w14:textId="29586AAC" w:rsidR="004C4B57" w:rsidRPr="00E44C38" w:rsidRDefault="004C4B57" w:rsidP="004368B9">
      <w:pPr>
        <w:spacing w:line="240" w:lineRule="auto"/>
        <w:ind w:left="720"/>
        <w:rPr>
          <w:rFonts w:cs="Calibri"/>
          <w:sz w:val="24"/>
        </w:rPr>
      </w:pPr>
      <w:r w:rsidRPr="00E44C38">
        <w:rPr>
          <w:rFonts w:cs="Calibri"/>
          <w:sz w:val="24"/>
        </w:rPr>
        <w:t xml:space="preserve">Language, instead of drawing meanings passively from pre-existing knowledge of the world plays an active role in classifying the phenomena and experiences through which individuals construct, understand and represent reality. (2010, p.1). </w:t>
      </w:r>
    </w:p>
    <w:p w14:paraId="0B5A51D2" w14:textId="01269A11" w:rsidR="00CC3531" w:rsidRPr="00873A2C" w:rsidRDefault="00CC3531" w:rsidP="00CD5B38">
      <w:pPr>
        <w:tabs>
          <w:tab w:val="left" w:pos="8647"/>
        </w:tabs>
        <w:spacing w:line="360" w:lineRule="auto"/>
        <w:rPr>
          <w:rFonts w:cs="Calibri"/>
          <w:sz w:val="24"/>
        </w:rPr>
      </w:pPr>
      <w:r>
        <w:rPr>
          <w:rFonts w:cs="Calibri"/>
          <w:sz w:val="24"/>
        </w:rPr>
        <w:t xml:space="preserve">I explore the active use of language within key EBac policy texts using Scheurich’s concept of </w:t>
      </w:r>
      <w:r w:rsidR="00DF24E7">
        <w:rPr>
          <w:rFonts w:cs="Calibri"/>
          <w:sz w:val="24"/>
        </w:rPr>
        <w:t xml:space="preserve">PA </w:t>
      </w:r>
      <w:r>
        <w:rPr>
          <w:rFonts w:cs="Calibri"/>
          <w:sz w:val="24"/>
        </w:rPr>
        <w:t>to guide my analysis</w:t>
      </w:r>
      <w:r w:rsidR="007C37C0">
        <w:rPr>
          <w:rFonts w:cs="Calibri"/>
          <w:sz w:val="24"/>
        </w:rPr>
        <w:t>, a</w:t>
      </w:r>
      <w:r w:rsidR="00CD5B38">
        <w:rPr>
          <w:rFonts w:cs="Calibri"/>
          <w:sz w:val="24"/>
        </w:rPr>
        <w:t>iming</w:t>
      </w:r>
      <w:r>
        <w:rPr>
          <w:rFonts w:cs="Calibri"/>
          <w:sz w:val="24"/>
        </w:rPr>
        <w:t xml:space="preserve"> to uncover the way that these texts allow teachers to construct, understand and represent the reality of the EBac for themselves and their students. Within any text</w:t>
      </w:r>
      <w:r w:rsidR="007C37C0">
        <w:rPr>
          <w:rFonts w:cs="Calibri"/>
          <w:sz w:val="24"/>
        </w:rPr>
        <w:t>,</w:t>
      </w:r>
      <w:r>
        <w:rPr>
          <w:rFonts w:cs="Calibri"/>
          <w:sz w:val="24"/>
        </w:rPr>
        <w:t xml:space="preserve"> a range of </w:t>
      </w:r>
      <w:r w:rsidR="009B36FC">
        <w:rPr>
          <w:rFonts w:cs="Calibri"/>
          <w:sz w:val="24"/>
        </w:rPr>
        <w:t xml:space="preserve">overt and covert </w:t>
      </w:r>
      <w:r>
        <w:rPr>
          <w:rFonts w:cs="Calibri"/>
          <w:sz w:val="24"/>
        </w:rPr>
        <w:t xml:space="preserve">discourses </w:t>
      </w:r>
      <w:r w:rsidR="009B36FC">
        <w:rPr>
          <w:rFonts w:cs="Calibri"/>
          <w:sz w:val="24"/>
        </w:rPr>
        <w:t>may</w:t>
      </w:r>
      <w:r w:rsidR="007C37C0">
        <w:rPr>
          <w:rFonts w:cs="Calibri"/>
          <w:sz w:val="24"/>
        </w:rPr>
        <w:t xml:space="preserve"> </w:t>
      </w:r>
      <w:r w:rsidR="009B36FC">
        <w:rPr>
          <w:rFonts w:cs="Calibri"/>
          <w:sz w:val="24"/>
        </w:rPr>
        <w:t xml:space="preserve">be </w:t>
      </w:r>
      <w:r>
        <w:rPr>
          <w:rFonts w:cs="Calibri"/>
          <w:sz w:val="24"/>
        </w:rPr>
        <w:t>included</w:t>
      </w:r>
      <w:r w:rsidR="009B36FC">
        <w:rPr>
          <w:rFonts w:cs="Calibri"/>
          <w:sz w:val="24"/>
        </w:rPr>
        <w:t>.</w:t>
      </w:r>
      <w:r w:rsidR="00573EE8">
        <w:rPr>
          <w:rFonts w:cs="Calibri"/>
          <w:sz w:val="24"/>
        </w:rPr>
        <w:t xml:space="preserve"> </w:t>
      </w:r>
      <w:r>
        <w:rPr>
          <w:rFonts w:cs="Calibri"/>
          <w:sz w:val="24"/>
        </w:rPr>
        <w:t>CDA allows a framework for uncovering and identifying multiple discourses within a text (Taylor</w:t>
      </w:r>
      <w:r w:rsidR="007C37C0">
        <w:rPr>
          <w:rFonts w:cs="Calibri"/>
          <w:sz w:val="24"/>
        </w:rPr>
        <w:t>,</w:t>
      </w:r>
      <w:r>
        <w:rPr>
          <w:rFonts w:cs="Calibri"/>
          <w:sz w:val="24"/>
        </w:rPr>
        <w:t xml:space="preserve"> </w:t>
      </w:r>
      <w:r>
        <w:rPr>
          <w:rFonts w:cs="Calibri"/>
          <w:sz w:val="24"/>
        </w:rPr>
        <w:lastRenderedPageBreak/>
        <w:t xml:space="preserve">2004). </w:t>
      </w:r>
      <w:r w:rsidR="007C37C0">
        <w:rPr>
          <w:rFonts w:cs="Calibri"/>
          <w:sz w:val="24"/>
        </w:rPr>
        <w:t>M</w:t>
      </w:r>
      <w:r w:rsidR="004368B9">
        <w:rPr>
          <w:rFonts w:cs="Calibri"/>
          <w:sz w:val="24"/>
        </w:rPr>
        <w:t xml:space="preserve">y analysis </w:t>
      </w:r>
      <w:r w:rsidR="007C37C0">
        <w:rPr>
          <w:rFonts w:cs="Calibri"/>
          <w:sz w:val="24"/>
        </w:rPr>
        <w:t>examines each of the 11</w:t>
      </w:r>
      <w:r w:rsidR="004368B9">
        <w:rPr>
          <w:rFonts w:cs="Calibri"/>
          <w:sz w:val="24"/>
        </w:rPr>
        <w:t xml:space="preserve"> aspects within Hyatt’s Critical Literacy Framework (2010)</w:t>
      </w:r>
      <w:r w:rsidR="007C37C0">
        <w:rPr>
          <w:rFonts w:cs="Calibri"/>
          <w:sz w:val="24"/>
        </w:rPr>
        <w:t xml:space="preserve"> </w:t>
      </w:r>
      <w:r w:rsidR="009B36FC">
        <w:rPr>
          <w:rFonts w:cs="Calibri"/>
          <w:sz w:val="24"/>
        </w:rPr>
        <w:t>in turn</w:t>
      </w:r>
      <w:r w:rsidR="004368B9">
        <w:rPr>
          <w:rFonts w:cs="Calibri"/>
          <w:sz w:val="24"/>
        </w:rPr>
        <w:t>.</w:t>
      </w:r>
    </w:p>
    <w:p w14:paraId="5BBE3D33" w14:textId="39B18C40" w:rsidR="00B54F29" w:rsidRPr="00873A2C" w:rsidRDefault="00B54F29" w:rsidP="00531995">
      <w:pPr>
        <w:pStyle w:val="Heading3"/>
      </w:pPr>
      <w:bookmarkStart w:id="76" w:name="_Toc452316360"/>
      <w:r w:rsidRPr="00873A2C">
        <w:t>4.</w:t>
      </w:r>
      <w:r>
        <w:t>2</w:t>
      </w:r>
      <w:r w:rsidR="009B36FC">
        <w:t>.1</w:t>
      </w:r>
      <w:r w:rsidRPr="00873A2C">
        <w:t xml:space="preserve"> Pronouns – Participant Choices</w:t>
      </w:r>
      <w:bookmarkEnd w:id="76"/>
    </w:p>
    <w:p w14:paraId="2C3EBF32" w14:textId="6598CE22" w:rsidR="00B54F29" w:rsidRDefault="00B54F29" w:rsidP="0017024C">
      <w:pPr>
        <w:spacing w:after="0" w:line="360" w:lineRule="auto"/>
        <w:rPr>
          <w:rFonts w:cs="Calibri"/>
          <w:sz w:val="24"/>
        </w:rPr>
      </w:pPr>
      <w:r w:rsidRPr="00873A2C">
        <w:rPr>
          <w:rFonts w:cs="Calibri"/>
          <w:sz w:val="24"/>
        </w:rPr>
        <w:t xml:space="preserve">When </w:t>
      </w:r>
      <w:r w:rsidR="006C3A67" w:rsidRPr="006C3A67">
        <w:rPr>
          <w:rFonts w:cs="Calibri"/>
          <w:sz w:val="24"/>
        </w:rPr>
        <w:t>looking at</w:t>
      </w:r>
      <w:r w:rsidRPr="006C3A67">
        <w:rPr>
          <w:rFonts w:cs="Calibri"/>
          <w:sz w:val="24"/>
        </w:rPr>
        <w:t xml:space="preserve"> the use of pronouns in a text, the Critical Literacy Frame considers how they are used</w:t>
      </w:r>
      <w:r w:rsidR="004C1717">
        <w:rPr>
          <w:rFonts w:cs="Calibri"/>
          <w:sz w:val="24"/>
        </w:rPr>
        <w:t>;</w:t>
      </w:r>
      <w:r w:rsidRPr="006C3A67">
        <w:rPr>
          <w:rFonts w:cs="Calibri"/>
          <w:sz w:val="24"/>
        </w:rPr>
        <w:t xml:space="preserve"> </w:t>
      </w:r>
      <w:r w:rsidR="005E49B6" w:rsidRPr="006C3A67">
        <w:rPr>
          <w:rFonts w:cs="Calibri"/>
          <w:sz w:val="24"/>
        </w:rPr>
        <w:t>in other words, what</w:t>
      </w:r>
      <w:r w:rsidRPr="006C3A67">
        <w:rPr>
          <w:rFonts w:cs="Calibri"/>
          <w:sz w:val="24"/>
        </w:rPr>
        <w:t xml:space="preserve"> purpose</w:t>
      </w:r>
      <w:r w:rsidR="005E49B6" w:rsidRPr="006C3A67">
        <w:rPr>
          <w:rFonts w:cs="Calibri"/>
          <w:sz w:val="24"/>
        </w:rPr>
        <w:t>/s</w:t>
      </w:r>
      <w:r w:rsidR="004C1717">
        <w:rPr>
          <w:rFonts w:cs="Calibri"/>
          <w:sz w:val="24"/>
        </w:rPr>
        <w:t xml:space="preserve"> </w:t>
      </w:r>
      <w:r w:rsidR="005E49B6" w:rsidRPr="006C3A67">
        <w:rPr>
          <w:rFonts w:cs="Calibri"/>
          <w:sz w:val="24"/>
        </w:rPr>
        <w:t>they serve</w:t>
      </w:r>
      <w:r w:rsidR="006C3A67" w:rsidRPr="006C3A67">
        <w:rPr>
          <w:rFonts w:cs="Calibri"/>
          <w:sz w:val="24"/>
        </w:rPr>
        <w:t xml:space="preserve"> in the text.</w:t>
      </w:r>
      <w:r w:rsidRPr="006C3A67">
        <w:rPr>
          <w:rFonts w:cs="Calibri"/>
          <w:sz w:val="24"/>
        </w:rPr>
        <w:t xml:space="preserve"> </w:t>
      </w:r>
      <w:r w:rsidR="008C4BBF" w:rsidRPr="006C3A67">
        <w:rPr>
          <w:rFonts w:cs="Calibri"/>
          <w:sz w:val="24"/>
        </w:rPr>
        <w:t xml:space="preserve">Pronouns can be used </w:t>
      </w:r>
      <w:r w:rsidRPr="006C3A67">
        <w:rPr>
          <w:rFonts w:cs="Calibri"/>
          <w:sz w:val="24"/>
        </w:rPr>
        <w:t xml:space="preserve">in an inclusive way, such as: </w:t>
      </w:r>
      <w:r w:rsidR="0055642D">
        <w:rPr>
          <w:rFonts w:cs="Calibri"/>
          <w:sz w:val="24"/>
        </w:rPr>
        <w:t>“</w:t>
      </w:r>
      <w:r w:rsidRPr="006C3A67">
        <w:rPr>
          <w:rFonts w:cs="Calibri"/>
          <w:sz w:val="24"/>
        </w:rPr>
        <w:t>we</w:t>
      </w:r>
      <w:r w:rsidR="0055642D">
        <w:rPr>
          <w:rFonts w:cs="Calibri"/>
          <w:sz w:val="24"/>
        </w:rPr>
        <w:t>”</w:t>
      </w:r>
      <w:r w:rsidRPr="006C3A67">
        <w:rPr>
          <w:rFonts w:cs="Calibri"/>
          <w:sz w:val="24"/>
        </w:rPr>
        <w:t xml:space="preserve">, </w:t>
      </w:r>
      <w:r w:rsidR="0055642D">
        <w:rPr>
          <w:rFonts w:cs="Calibri"/>
          <w:sz w:val="24"/>
        </w:rPr>
        <w:t>“</w:t>
      </w:r>
      <w:r w:rsidRPr="006C3A67">
        <w:rPr>
          <w:rFonts w:cs="Calibri"/>
          <w:sz w:val="24"/>
        </w:rPr>
        <w:t>us</w:t>
      </w:r>
      <w:r w:rsidR="0055642D">
        <w:rPr>
          <w:rFonts w:cs="Calibri"/>
          <w:sz w:val="24"/>
        </w:rPr>
        <w:t>”</w:t>
      </w:r>
      <w:r w:rsidRPr="006C3A67">
        <w:rPr>
          <w:rFonts w:cs="Calibri"/>
          <w:sz w:val="24"/>
        </w:rPr>
        <w:t>,</w:t>
      </w:r>
      <w:r w:rsidR="0055642D">
        <w:rPr>
          <w:rFonts w:cs="Calibri"/>
          <w:sz w:val="24"/>
        </w:rPr>
        <w:t xml:space="preserve"> “</w:t>
      </w:r>
      <w:r w:rsidRPr="006C3A67">
        <w:rPr>
          <w:rFonts w:cs="Calibri"/>
          <w:sz w:val="24"/>
        </w:rPr>
        <w:t>our</w:t>
      </w:r>
      <w:r w:rsidR="0055642D">
        <w:rPr>
          <w:rFonts w:cs="Calibri"/>
          <w:sz w:val="24"/>
        </w:rPr>
        <w:t>”</w:t>
      </w:r>
      <w:r w:rsidR="008C4BBF" w:rsidRPr="006C3A67">
        <w:rPr>
          <w:rFonts w:cs="Calibri"/>
          <w:sz w:val="24"/>
        </w:rPr>
        <w:t>, o</w:t>
      </w:r>
      <w:r w:rsidRPr="006C3A67">
        <w:rPr>
          <w:rFonts w:cs="Calibri"/>
          <w:sz w:val="24"/>
        </w:rPr>
        <w:t xml:space="preserve">r, in an exclusive way, such as: </w:t>
      </w:r>
      <w:r w:rsidR="0055642D">
        <w:rPr>
          <w:rFonts w:cs="Calibri"/>
          <w:sz w:val="24"/>
        </w:rPr>
        <w:t>“</w:t>
      </w:r>
      <w:r w:rsidRPr="006C3A67">
        <w:rPr>
          <w:rFonts w:cs="Calibri"/>
          <w:sz w:val="24"/>
        </w:rPr>
        <w:t>he</w:t>
      </w:r>
      <w:r w:rsidR="0055642D">
        <w:rPr>
          <w:rFonts w:cs="Calibri"/>
          <w:sz w:val="24"/>
        </w:rPr>
        <w:t>”</w:t>
      </w:r>
      <w:r w:rsidRPr="006C3A67">
        <w:rPr>
          <w:rFonts w:cs="Calibri"/>
          <w:sz w:val="24"/>
        </w:rPr>
        <w:t xml:space="preserve">, </w:t>
      </w:r>
      <w:r w:rsidR="0055642D">
        <w:rPr>
          <w:rFonts w:cs="Calibri"/>
          <w:sz w:val="24"/>
        </w:rPr>
        <w:t>“</w:t>
      </w:r>
      <w:r w:rsidRPr="006C3A67">
        <w:rPr>
          <w:rFonts w:cs="Calibri"/>
          <w:sz w:val="24"/>
        </w:rPr>
        <w:t>she</w:t>
      </w:r>
      <w:r w:rsidR="0055642D">
        <w:rPr>
          <w:rFonts w:cs="Calibri"/>
          <w:sz w:val="24"/>
        </w:rPr>
        <w:t>”</w:t>
      </w:r>
      <w:r w:rsidRPr="006C3A67">
        <w:rPr>
          <w:rFonts w:cs="Calibri"/>
          <w:sz w:val="24"/>
        </w:rPr>
        <w:t>,</w:t>
      </w:r>
      <w:r w:rsidR="00573EE8">
        <w:rPr>
          <w:rFonts w:cs="Calibri"/>
          <w:sz w:val="24"/>
        </w:rPr>
        <w:t xml:space="preserve"> </w:t>
      </w:r>
      <w:r w:rsidR="006B2DFA">
        <w:rPr>
          <w:rFonts w:cs="Calibri"/>
          <w:sz w:val="24"/>
        </w:rPr>
        <w:t xml:space="preserve"> </w:t>
      </w:r>
      <w:r w:rsidR="0055642D">
        <w:rPr>
          <w:rFonts w:cs="Calibri"/>
          <w:sz w:val="24"/>
        </w:rPr>
        <w:t>“</w:t>
      </w:r>
      <w:r w:rsidRPr="006C3A67">
        <w:rPr>
          <w:rFonts w:cs="Calibri"/>
          <w:sz w:val="24"/>
        </w:rPr>
        <w:t>you</w:t>
      </w:r>
      <w:r w:rsidR="0055642D">
        <w:rPr>
          <w:rFonts w:cs="Calibri"/>
          <w:sz w:val="24"/>
        </w:rPr>
        <w:t>”</w:t>
      </w:r>
      <w:r w:rsidRPr="006C3A67">
        <w:rPr>
          <w:rFonts w:cs="Calibri"/>
          <w:sz w:val="24"/>
        </w:rPr>
        <w:t>.  The White Paper uses inclusive pronouns throughout,</w:t>
      </w:r>
      <w:r w:rsidRPr="00873A2C">
        <w:rPr>
          <w:rFonts w:cs="Calibri"/>
          <w:sz w:val="24"/>
        </w:rPr>
        <w:t xml:space="preserve"> involving the reader as an in-group. For example, “our”, and</w:t>
      </w:r>
      <w:r>
        <w:rPr>
          <w:rFonts w:cs="Calibri"/>
          <w:sz w:val="24"/>
        </w:rPr>
        <w:t xml:space="preserve"> </w:t>
      </w:r>
      <w:r w:rsidRPr="00873A2C">
        <w:rPr>
          <w:rFonts w:cs="Calibri"/>
          <w:sz w:val="24"/>
        </w:rPr>
        <w:t xml:space="preserve">“we”, are used </w:t>
      </w:r>
      <w:r w:rsidR="008C4BBF">
        <w:rPr>
          <w:rFonts w:cs="Calibri"/>
          <w:sz w:val="24"/>
        </w:rPr>
        <w:t>in</w:t>
      </w:r>
      <w:r w:rsidRPr="00873A2C">
        <w:rPr>
          <w:rFonts w:cs="Calibri"/>
          <w:sz w:val="24"/>
        </w:rPr>
        <w:t xml:space="preserve"> the PM /DPM foreword</w:t>
      </w:r>
      <w:r w:rsidR="00EE1CD9">
        <w:rPr>
          <w:rFonts w:cs="Calibri"/>
          <w:sz w:val="24"/>
        </w:rPr>
        <w:t xml:space="preserve"> (p.3)</w:t>
      </w:r>
      <w:r w:rsidRPr="00873A2C">
        <w:rPr>
          <w:rFonts w:cs="Calibri"/>
          <w:sz w:val="24"/>
        </w:rPr>
        <w:t xml:space="preserve">; the foreword by </w:t>
      </w:r>
      <w:r w:rsidR="002235A1">
        <w:rPr>
          <w:rFonts w:cs="Calibri"/>
          <w:sz w:val="24"/>
        </w:rPr>
        <w:t>Gove</w:t>
      </w:r>
      <w:r w:rsidR="0055642D">
        <w:rPr>
          <w:rFonts w:cs="Calibri"/>
          <w:sz w:val="24"/>
        </w:rPr>
        <w:t xml:space="preserve"> </w:t>
      </w:r>
      <w:r w:rsidR="00EE1CD9">
        <w:rPr>
          <w:rFonts w:cs="Calibri"/>
          <w:sz w:val="24"/>
        </w:rPr>
        <w:t>(p.6)</w:t>
      </w:r>
      <w:r w:rsidR="00D15751">
        <w:rPr>
          <w:rFonts w:cs="Calibri"/>
          <w:sz w:val="24"/>
        </w:rPr>
        <w:t>,</w:t>
      </w:r>
      <w:r w:rsidRPr="00873A2C">
        <w:rPr>
          <w:rFonts w:cs="Calibri"/>
          <w:sz w:val="24"/>
        </w:rPr>
        <w:t xml:space="preserve"> and within the </w:t>
      </w:r>
      <w:r w:rsidR="007A3043">
        <w:rPr>
          <w:rFonts w:cs="Calibri"/>
          <w:sz w:val="24"/>
        </w:rPr>
        <w:t xml:space="preserve">EBac text </w:t>
      </w:r>
      <w:r w:rsidRPr="00873A2C">
        <w:rPr>
          <w:rFonts w:cs="Calibri"/>
          <w:sz w:val="24"/>
        </w:rPr>
        <w:t xml:space="preserve">section </w:t>
      </w:r>
      <w:r w:rsidR="007A3043">
        <w:rPr>
          <w:rFonts w:cs="Calibri"/>
          <w:sz w:val="24"/>
        </w:rPr>
        <w:t xml:space="preserve">4.20 </w:t>
      </w:r>
      <w:r w:rsidR="008C4BBF">
        <w:rPr>
          <w:rFonts w:cs="Calibri"/>
          <w:sz w:val="24"/>
        </w:rPr>
        <w:t>(</w:t>
      </w:r>
      <w:r w:rsidR="007A3043">
        <w:rPr>
          <w:rFonts w:cs="Calibri"/>
          <w:sz w:val="24"/>
        </w:rPr>
        <w:t>p.44</w:t>
      </w:r>
      <w:r w:rsidR="008C4BBF">
        <w:rPr>
          <w:rFonts w:cs="Calibri"/>
          <w:sz w:val="24"/>
        </w:rPr>
        <w:t>)</w:t>
      </w:r>
      <w:r w:rsidRPr="00873A2C">
        <w:rPr>
          <w:rFonts w:cs="Calibri"/>
          <w:sz w:val="24"/>
        </w:rPr>
        <w:t xml:space="preserve">. It is not made clear who “we” consists of; it could be all readers, all </w:t>
      </w:r>
      <w:r w:rsidR="007A3043">
        <w:rPr>
          <w:rFonts w:cs="Calibri"/>
          <w:sz w:val="24"/>
        </w:rPr>
        <w:t xml:space="preserve">English </w:t>
      </w:r>
      <w:r w:rsidRPr="00873A2C">
        <w:rPr>
          <w:rFonts w:cs="Calibri"/>
          <w:sz w:val="24"/>
        </w:rPr>
        <w:t>citizens</w:t>
      </w:r>
      <w:r w:rsidR="007A3043">
        <w:rPr>
          <w:rStyle w:val="FootnoteReference"/>
          <w:rFonts w:cs="Calibri"/>
          <w:sz w:val="24"/>
        </w:rPr>
        <w:footnoteReference w:id="35"/>
      </w:r>
      <w:r w:rsidRPr="00873A2C">
        <w:rPr>
          <w:rFonts w:cs="Calibri"/>
          <w:sz w:val="24"/>
        </w:rPr>
        <w:t xml:space="preserve">, the </w:t>
      </w:r>
      <w:r w:rsidR="001A039C">
        <w:rPr>
          <w:rFonts w:cs="Calibri"/>
          <w:sz w:val="24"/>
        </w:rPr>
        <w:t>g</w:t>
      </w:r>
      <w:r w:rsidRPr="00873A2C">
        <w:rPr>
          <w:rFonts w:cs="Calibri"/>
          <w:sz w:val="24"/>
        </w:rPr>
        <w:t>overnment or indeed merely a reference to the three writers. This ambiguity leads the reader to be inextricably included with the tone, direction and assertions put forward in the policy. The</w:t>
      </w:r>
      <w:r w:rsidR="00333377">
        <w:rPr>
          <w:rFonts w:cs="Calibri"/>
          <w:sz w:val="24"/>
        </w:rPr>
        <w:t xml:space="preserve"> White Paper demonstrates these</w:t>
      </w:r>
      <w:r w:rsidRPr="00873A2C">
        <w:rPr>
          <w:rFonts w:cs="Calibri"/>
          <w:sz w:val="24"/>
        </w:rPr>
        <w:t xml:space="preserve"> </w:t>
      </w:r>
      <w:r w:rsidR="009B36FC">
        <w:rPr>
          <w:rFonts w:cs="Calibri"/>
          <w:sz w:val="24"/>
        </w:rPr>
        <w:t xml:space="preserve">inter-relating </w:t>
      </w:r>
      <w:r w:rsidRPr="00873A2C">
        <w:rPr>
          <w:rFonts w:cs="Calibri"/>
          <w:sz w:val="24"/>
        </w:rPr>
        <w:t xml:space="preserve">social </w:t>
      </w:r>
      <w:r w:rsidR="009B36FC">
        <w:rPr>
          <w:rFonts w:cs="Calibri"/>
          <w:sz w:val="24"/>
        </w:rPr>
        <w:t>networks</w:t>
      </w:r>
      <w:r w:rsidRPr="00873A2C">
        <w:rPr>
          <w:rFonts w:cs="Calibri"/>
          <w:sz w:val="24"/>
        </w:rPr>
        <w:t xml:space="preserve"> </w:t>
      </w:r>
      <w:r w:rsidR="007A3043">
        <w:rPr>
          <w:rFonts w:cs="Calibri"/>
          <w:sz w:val="24"/>
        </w:rPr>
        <w:t xml:space="preserve">identified by Scheurich (1994) </w:t>
      </w:r>
      <w:r w:rsidR="002235A1">
        <w:rPr>
          <w:rFonts w:cs="Calibri"/>
          <w:sz w:val="24"/>
        </w:rPr>
        <w:t>(</w:t>
      </w:r>
      <w:r w:rsidR="00D15751">
        <w:rPr>
          <w:rFonts w:cs="Calibri"/>
          <w:sz w:val="24"/>
        </w:rPr>
        <w:t>A</w:t>
      </w:r>
      <w:r w:rsidR="002235A1">
        <w:rPr>
          <w:rFonts w:cs="Calibri"/>
          <w:sz w:val="24"/>
        </w:rPr>
        <w:t>rena 2</w:t>
      </w:r>
      <w:r w:rsidR="00D15751">
        <w:rPr>
          <w:rFonts w:cs="Calibri"/>
          <w:sz w:val="24"/>
        </w:rPr>
        <w:t>,</w:t>
      </w:r>
      <w:r w:rsidR="002235A1">
        <w:rPr>
          <w:rFonts w:cs="Calibri"/>
          <w:sz w:val="24"/>
        </w:rPr>
        <w:t xml:space="preserve"> see </w:t>
      </w:r>
      <w:r w:rsidR="00D15751">
        <w:rPr>
          <w:rFonts w:cs="Calibri"/>
          <w:sz w:val="24"/>
        </w:rPr>
        <w:t>S</w:t>
      </w:r>
      <w:r w:rsidR="002235A1">
        <w:rPr>
          <w:rFonts w:cs="Calibri"/>
          <w:sz w:val="24"/>
        </w:rPr>
        <w:t xml:space="preserve">ection </w:t>
      </w:r>
      <w:r w:rsidR="00C761D8">
        <w:rPr>
          <w:rFonts w:cs="Calibri"/>
          <w:sz w:val="24"/>
        </w:rPr>
        <w:t>2.6.2</w:t>
      </w:r>
      <w:r w:rsidR="002235A1">
        <w:rPr>
          <w:rFonts w:cs="Calibri"/>
          <w:sz w:val="24"/>
        </w:rPr>
        <w:t>)</w:t>
      </w:r>
      <w:r w:rsidR="00333377">
        <w:rPr>
          <w:rFonts w:cs="Calibri"/>
          <w:sz w:val="24"/>
        </w:rPr>
        <w:t>,</w:t>
      </w:r>
      <w:r w:rsidR="002235A1">
        <w:rPr>
          <w:rFonts w:cs="Calibri"/>
          <w:sz w:val="24"/>
        </w:rPr>
        <w:t xml:space="preserve"> </w:t>
      </w:r>
      <w:r w:rsidRPr="00873A2C">
        <w:rPr>
          <w:rFonts w:cs="Calibri"/>
          <w:sz w:val="24"/>
        </w:rPr>
        <w:t>includ</w:t>
      </w:r>
      <w:r w:rsidR="00333377">
        <w:rPr>
          <w:rFonts w:cs="Calibri"/>
          <w:sz w:val="24"/>
        </w:rPr>
        <w:t>ing</w:t>
      </w:r>
      <w:r w:rsidRPr="00873A2C">
        <w:rPr>
          <w:rFonts w:cs="Calibri"/>
          <w:sz w:val="24"/>
        </w:rPr>
        <w:t xml:space="preserve"> the reader as one of the networks and presents a non-negotiable stance </w:t>
      </w:r>
      <w:r w:rsidR="00333377">
        <w:rPr>
          <w:rFonts w:cs="Calibri"/>
          <w:sz w:val="24"/>
        </w:rPr>
        <w:t xml:space="preserve">as its logical conclusion </w:t>
      </w:r>
      <w:r w:rsidRPr="00873A2C">
        <w:rPr>
          <w:rFonts w:cs="Calibri"/>
          <w:sz w:val="24"/>
        </w:rPr>
        <w:t xml:space="preserve">on why this policy </w:t>
      </w:r>
      <w:r w:rsidR="008C4BBF">
        <w:rPr>
          <w:rFonts w:cs="Calibri"/>
          <w:sz w:val="24"/>
        </w:rPr>
        <w:t xml:space="preserve">is the </w:t>
      </w:r>
      <w:r w:rsidR="00D12F1A">
        <w:rPr>
          <w:rFonts w:cs="Calibri"/>
          <w:sz w:val="24"/>
        </w:rPr>
        <w:t>‘</w:t>
      </w:r>
      <w:r w:rsidR="008C4BBF">
        <w:rPr>
          <w:rFonts w:cs="Calibri"/>
          <w:sz w:val="24"/>
        </w:rPr>
        <w:t>right</w:t>
      </w:r>
      <w:r w:rsidR="00D12F1A">
        <w:rPr>
          <w:rFonts w:cs="Calibri"/>
          <w:sz w:val="24"/>
        </w:rPr>
        <w:t>’</w:t>
      </w:r>
      <w:r w:rsidR="008C4BBF">
        <w:rPr>
          <w:rFonts w:cs="Calibri"/>
          <w:sz w:val="24"/>
        </w:rPr>
        <w:t xml:space="preserve"> one at this time </w:t>
      </w:r>
      <w:r w:rsidRPr="00873A2C">
        <w:rPr>
          <w:rFonts w:cs="Calibri"/>
          <w:sz w:val="24"/>
        </w:rPr>
        <w:t>and why it is</w:t>
      </w:r>
      <w:r w:rsidR="00333377">
        <w:rPr>
          <w:rFonts w:cs="Calibri"/>
          <w:sz w:val="24"/>
        </w:rPr>
        <w:t xml:space="preserve"> necessary</w:t>
      </w:r>
      <w:r w:rsidRPr="00873A2C">
        <w:rPr>
          <w:rFonts w:cs="Calibri"/>
          <w:sz w:val="24"/>
        </w:rPr>
        <w:t xml:space="preserve">. </w:t>
      </w:r>
      <w:r w:rsidR="00010496">
        <w:rPr>
          <w:rFonts w:cs="Calibri"/>
          <w:sz w:val="24"/>
        </w:rPr>
        <w:t>T</w:t>
      </w:r>
      <w:r w:rsidRPr="00873A2C">
        <w:rPr>
          <w:rFonts w:cs="Calibri"/>
          <w:sz w:val="24"/>
        </w:rPr>
        <w:t xml:space="preserve">he text works on the explicit assumption that all readers are in agreement with the </w:t>
      </w:r>
      <w:r w:rsidR="00D12F1A">
        <w:rPr>
          <w:rFonts w:cs="Calibri"/>
          <w:sz w:val="24"/>
        </w:rPr>
        <w:t xml:space="preserve">given </w:t>
      </w:r>
      <w:r w:rsidRPr="00873A2C">
        <w:rPr>
          <w:rFonts w:cs="Calibri"/>
          <w:sz w:val="24"/>
        </w:rPr>
        <w:t xml:space="preserve">rationale and arguments.  </w:t>
      </w:r>
    </w:p>
    <w:p w14:paraId="4CBBA674" w14:textId="77777777" w:rsidR="00475574" w:rsidRPr="00873A2C" w:rsidRDefault="00475574" w:rsidP="0017024C">
      <w:pPr>
        <w:spacing w:after="0" w:line="360" w:lineRule="auto"/>
        <w:rPr>
          <w:rFonts w:cs="Calibri"/>
          <w:sz w:val="24"/>
        </w:rPr>
      </w:pPr>
    </w:p>
    <w:p w14:paraId="334AB99C" w14:textId="6CE41FE3" w:rsidR="00F52E5C" w:rsidRDefault="00B54F29" w:rsidP="00B54F29">
      <w:pPr>
        <w:spacing w:line="360" w:lineRule="auto"/>
        <w:rPr>
          <w:rFonts w:cs="Calibri"/>
          <w:sz w:val="24"/>
        </w:rPr>
      </w:pPr>
      <w:r w:rsidRPr="00366FD1">
        <w:rPr>
          <w:rFonts w:cs="Calibri"/>
          <w:sz w:val="24"/>
        </w:rPr>
        <w:t xml:space="preserve">The reader is </w:t>
      </w:r>
      <w:r w:rsidR="008C4BBF">
        <w:rPr>
          <w:rFonts w:cs="Calibri"/>
          <w:sz w:val="24"/>
        </w:rPr>
        <w:t xml:space="preserve">assumed to be </w:t>
      </w:r>
      <w:r w:rsidRPr="00366FD1">
        <w:rPr>
          <w:rFonts w:cs="Calibri"/>
          <w:sz w:val="24"/>
        </w:rPr>
        <w:t xml:space="preserve">part of the </w:t>
      </w:r>
      <w:r w:rsidR="00D12F1A">
        <w:rPr>
          <w:rFonts w:cs="Calibri"/>
          <w:sz w:val="24"/>
        </w:rPr>
        <w:t>‘i</w:t>
      </w:r>
      <w:r w:rsidRPr="00366FD1">
        <w:rPr>
          <w:rFonts w:cs="Calibri"/>
          <w:sz w:val="24"/>
        </w:rPr>
        <w:t>n-group</w:t>
      </w:r>
      <w:r w:rsidR="00D12F1A">
        <w:rPr>
          <w:rFonts w:cs="Calibri"/>
          <w:sz w:val="24"/>
        </w:rPr>
        <w:t>’</w:t>
      </w:r>
      <w:r w:rsidRPr="00366FD1">
        <w:rPr>
          <w:rFonts w:cs="Calibri"/>
          <w:sz w:val="24"/>
        </w:rPr>
        <w:t xml:space="preserve"> and is not presented with</w:t>
      </w:r>
      <w:r w:rsidR="00333377">
        <w:rPr>
          <w:rFonts w:cs="Calibri"/>
          <w:sz w:val="24"/>
        </w:rPr>
        <w:t xml:space="preserve"> the</w:t>
      </w:r>
      <w:r w:rsidR="00D12F1A">
        <w:rPr>
          <w:rFonts w:cs="Calibri"/>
          <w:sz w:val="24"/>
        </w:rPr>
        <w:t xml:space="preserve"> </w:t>
      </w:r>
      <w:r w:rsidRPr="00366FD1">
        <w:rPr>
          <w:rFonts w:cs="Calibri"/>
          <w:sz w:val="24"/>
        </w:rPr>
        <w:t xml:space="preserve">opportunity to digress from this position. </w:t>
      </w:r>
      <w:r w:rsidR="00010496">
        <w:rPr>
          <w:rFonts w:cs="Calibri"/>
          <w:sz w:val="24"/>
        </w:rPr>
        <w:t>T</w:t>
      </w:r>
      <w:r w:rsidR="008C4BBF">
        <w:rPr>
          <w:rFonts w:cs="Calibri"/>
          <w:sz w:val="24"/>
        </w:rPr>
        <w:t xml:space="preserve">he document states: </w:t>
      </w:r>
      <w:r w:rsidRPr="00366FD1">
        <w:rPr>
          <w:rFonts w:cs="Calibri"/>
          <w:sz w:val="24"/>
        </w:rPr>
        <w:t>“The truth is, at the moment we are standing still while others race past” (p.3). Shared knowledge, beliefs and values are presented throughout</w:t>
      </w:r>
      <w:r w:rsidR="008C4BBF">
        <w:rPr>
          <w:rFonts w:cs="Calibri"/>
          <w:sz w:val="24"/>
        </w:rPr>
        <w:t>, for example:</w:t>
      </w:r>
      <w:r w:rsidRPr="00366FD1">
        <w:rPr>
          <w:rFonts w:cs="Calibri"/>
          <w:sz w:val="24"/>
        </w:rPr>
        <w:t xml:space="preserve"> “Reforms on this scale are absolutely essential if our children are to get the education they deserve” (p.5). The reader is positioned as an ally with the government</w:t>
      </w:r>
      <w:r w:rsidR="00333377">
        <w:rPr>
          <w:rFonts w:cs="Calibri"/>
          <w:sz w:val="24"/>
        </w:rPr>
        <w:t>’s</w:t>
      </w:r>
      <w:r w:rsidRPr="00366FD1">
        <w:rPr>
          <w:rFonts w:cs="Calibri"/>
          <w:sz w:val="24"/>
        </w:rPr>
        <w:t xml:space="preserve"> aims</w:t>
      </w:r>
      <w:r w:rsidR="00605A82">
        <w:rPr>
          <w:rFonts w:cs="Calibri"/>
          <w:sz w:val="24"/>
        </w:rPr>
        <w:t xml:space="preserve"> through</w:t>
      </w:r>
      <w:r w:rsidR="003D597F">
        <w:rPr>
          <w:rFonts w:cs="Calibri"/>
          <w:sz w:val="24"/>
        </w:rPr>
        <w:t xml:space="preserve"> </w:t>
      </w:r>
      <w:r w:rsidR="002235A1">
        <w:rPr>
          <w:rFonts w:cs="Calibri"/>
          <w:sz w:val="24"/>
        </w:rPr>
        <w:t>statements designed to appeal to the public</w:t>
      </w:r>
      <w:r w:rsidR="00605A82">
        <w:rPr>
          <w:rFonts w:cs="Calibri"/>
          <w:sz w:val="24"/>
        </w:rPr>
        <w:t>’s</w:t>
      </w:r>
      <w:r w:rsidR="002235A1">
        <w:rPr>
          <w:rFonts w:cs="Calibri"/>
          <w:sz w:val="24"/>
        </w:rPr>
        <w:t xml:space="preserve"> </w:t>
      </w:r>
      <w:r w:rsidR="00605A82">
        <w:rPr>
          <w:rFonts w:cs="Calibri"/>
          <w:sz w:val="24"/>
        </w:rPr>
        <w:t xml:space="preserve">views </w:t>
      </w:r>
      <w:r w:rsidR="002235A1">
        <w:rPr>
          <w:rFonts w:cs="Calibri"/>
          <w:sz w:val="24"/>
        </w:rPr>
        <w:t>about the family and needs of children.</w:t>
      </w:r>
      <w:r w:rsidR="004F1CBE">
        <w:rPr>
          <w:rFonts w:cs="Calibri"/>
          <w:sz w:val="24"/>
        </w:rPr>
        <w:t xml:space="preserve"> In contrast</w:t>
      </w:r>
      <w:r w:rsidR="00605A82">
        <w:rPr>
          <w:rFonts w:cs="Calibri"/>
          <w:sz w:val="24"/>
        </w:rPr>
        <w:t>,</w:t>
      </w:r>
      <w:r w:rsidR="004F1CBE">
        <w:rPr>
          <w:rFonts w:cs="Calibri"/>
          <w:sz w:val="24"/>
        </w:rPr>
        <w:t xml:space="preserve"> t</w:t>
      </w:r>
      <w:r w:rsidRPr="00366FD1">
        <w:rPr>
          <w:rFonts w:cs="Calibri"/>
          <w:sz w:val="24"/>
        </w:rPr>
        <w:t xml:space="preserve">he White Paper speech </w:t>
      </w:r>
      <w:r w:rsidR="00F52E5C">
        <w:rPr>
          <w:rFonts w:cs="Calibri"/>
          <w:sz w:val="24"/>
        </w:rPr>
        <w:t xml:space="preserve">continues the </w:t>
      </w:r>
      <w:r w:rsidRPr="00366FD1">
        <w:rPr>
          <w:rFonts w:cs="Calibri"/>
          <w:sz w:val="24"/>
        </w:rPr>
        <w:t xml:space="preserve">use </w:t>
      </w:r>
      <w:r w:rsidR="00D12F1A">
        <w:rPr>
          <w:rFonts w:cs="Calibri"/>
          <w:sz w:val="24"/>
        </w:rPr>
        <w:t>of i</w:t>
      </w:r>
      <w:r w:rsidR="00D12F1A" w:rsidRPr="00366FD1">
        <w:rPr>
          <w:rFonts w:cs="Calibri"/>
          <w:sz w:val="24"/>
        </w:rPr>
        <w:t xml:space="preserve">nclusive </w:t>
      </w:r>
      <w:r w:rsidRPr="00366FD1">
        <w:rPr>
          <w:rFonts w:cs="Calibri"/>
          <w:sz w:val="24"/>
        </w:rPr>
        <w:t>pronouns</w:t>
      </w:r>
      <w:r w:rsidR="00F52E5C">
        <w:rPr>
          <w:rFonts w:cs="Calibri"/>
          <w:sz w:val="24"/>
        </w:rPr>
        <w:t xml:space="preserve"> seen within the forewords</w:t>
      </w:r>
      <w:r w:rsidRPr="00366FD1">
        <w:rPr>
          <w:rFonts w:cs="Calibri"/>
          <w:sz w:val="24"/>
        </w:rPr>
        <w:t>, in particular “we”, refer</w:t>
      </w:r>
      <w:r w:rsidR="00605A82">
        <w:rPr>
          <w:rFonts w:cs="Calibri"/>
          <w:sz w:val="24"/>
        </w:rPr>
        <w:t>ring</w:t>
      </w:r>
      <w:r w:rsidRPr="00366FD1">
        <w:rPr>
          <w:rFonts w:cs="Calibri"/>
          <w:sz w:val="24"/>
        </w:rPr>
        <w:t xml:space="preserve"> to “we” the government, as opposed to “we” all of us, and therefore the </w:t>
      </w:r>
      <w:r w:rsidR="00B92B2D">
        <w:rPr>
          <w:rFonts w:cs="Calibri"/>
          <w:sz w:val="24"/>
        </w:rPr>
        <w:t>‘</w:t>
      </w:r>
      <w:r w:rsidRPr="00366FD1">
        <w:rPr>
          <w:rFonts w:cs="Calibri"/>
          <w:sz w:val="24"/>
        </w:rPr>
        <w:t>in-group</w:t>
      </w:r>
      <w:r w:rsidR="00B92B2D">
        <w:rPr>
          <w:rFonts w:cs="Calibri"/>
          <w:sz w:val="24"/>
        </w:rPr>
        <w:t>’</w:t>
      </w:r>
      <w:r w:rsidRPr="00366FD1">
        <w:rPr>
          <w:rFonts w:cs="Calibri"/>
          <w:sz w:val="24"/>
        </w:rPr>
        <w:t xml:space="preserve"> emphasis is not as strong within this text. The Addendum begins with reference to “The Government” in the </w:t>
      </w:r>
      <w:r w:rsidRPr="00366FD1">
        <w:rPr>
          <w:rFonts w:cs="Calibri"/>
          <w:sz w:val="24"/>
        </w:rPr>
        <w:lastRenderedPageBreak/>
        <w:t xml:space="preserve">third person but then moves to an inclusive pronoun “we” for the remainder of the document. Such a shift, however, is still explicit in terms of </w:t>
      </w:r>
      <w:r w:rsidR="002235A1">
        <w:rPr>
          <w:rFonts w:cs="Calibri"/>
          <w:sz w:val="24"/>
        </w:rPr>
        <w:t>“</w:t>
      </w:r>
      <w:r w:rsidRPr="00366FD1">
        <w:rPr>
          <w:rFonts w:cs="Calibri"/>
          <w:sz w:val="24"/>
        </w:rPr>
        <w:t>we</w:t>
      </w:r>
      <w:r w:rsidR="002235A1">
        <w:rPr>
          <w:rFonts w:cs="Calibri"/>
          <w:sz w:val="24"/>
        </w:rPr>
        <w:t>”</w:t>
      </w:r>
      <w:r w:rsidRPr="00366FD1">
        <w:rPr>
          <w:rFonts w:cs="Calibri"/>
          <w:sz w:val="24"/>
        </w:rPr>
        <w:t xml:space="preserve"> being representative of the </w:t>
      </w:r>
      <w:r w:rsidR="001A039C">
        <w:rPr>
          <w:rFonts w:cs="Calibri"/>
          <w:sz w:val="24"/>
        </w:rPr>
        <w:t>g</w:t>
      </w:r>
      <w:r w:rsidRPr="00366FD1">
        <w:rPr>
          <w:rFonts w:cs="Calibri"/>
          <w:sz w:val="24"/>
        </w:rPr>
        <w:t>overnment, not the reader.</w:t>
      </w:r>
      <w:r w:rsidR="00B92B2D">
        <w:rPr>
          <w:rFonts w:cs="Calibri"/>
          <w:sz w:val="24"/>
        </w:rPr>
        <w:t xml:space="preserve"> </w:t>
      </w:r>
    </w:p>
    <w:p w14:paraId="7E39A9B1" w14:textId="722A94BA" w:rsidR="00B54F29" w:rsidRPr="00366FD1" w:rsidRDefault="002235A1" w:rsidP="00B54F29">
      <w:pPr>
        <w:spacing w:line="360" w:lineRule="auto"/>
        <w:rPr>
          <w:rFonts w:cs="Calibri"/>
          <w:sz w:val="24"/>
        </w:rPr>
      </w:pPr>
      <w:r>
        <w:rPr>
          <w:rFonts w:cs="Calibri"/>
          <w:sz w:val="24"/>
        </w:rPr>
        <w:t xml:space="preserve">In terms of my first research question, the use of pronouns within the texts set an inclusive tone to the policy. </w:t>
      </w:r>
      <w:r w:rsidR="00010496">
        <w:rPr>
          <w:rFonts w:cs="Calibri"/>
          <w:sz w:val="24"/>
        </w:rPr>
        <w:t>U</w:t>
      </w:r>
      <w:r w:rsidR="0009204A">
        <w:rPr>
          <w:rFonts w:cs="Calibri"/>
          <w:sz w:val="24"/>
        </w:rPr>
        <w:t xml:space="preserve">sing Scheurich’s </w:t>
      </w:r>
      <w:r w:rsidR="00DF24E7">
        <w:rPr>
          <w:rFonts w:cs="Calibri"/>
          <w:sz w:val="24"/>
        </w:rPr>
        <w:t>PA</w:t>
      </w:r>
      <w:r w:rsidR="00605A82">
        <w:rPr>
          <w:rFonts w:cs="Calibri"/>
          <w:sz w:val="24"/>
        </w:rPr>
        <w:t>,</w:t>
      </w:r>
      <w:r w:rsidR="00DF24E7">
        <w:rPr>
          <w:rFonts w:cs="Calibri"/>
          <w:sz w:val="24"/>
        </w:rPr>
        <w:t xml:space="preserve"> </w:t>
      </w:r>
      <w:r w:rsidR="0009204A">
        <w:rPr>
          <w:rFonts w:cs="Calibri"/>
          <w:sz w:val="24"/>
        </w:rPr>
        <w:t xml:space="preserve">it is important to consider the basis on which the set of policy problems and premises were founded and </w:t>
      </w:r>
      <w:r w:rsidR="00FB62A3">
        <w:rPr>
          <w:rFonts w:cs="Calibri"/>
          <w:sz w:val="24"/>
        </w:rPr>
        <w:t xml:space="preserve">the </w:t>
      </w:r>
      <w:r w:rsidR="0009204A">
        <w:rPr>
          <w:rFonts w:cs="Calibri"/>
          <w:sz w:val="24"/>
        </w:rPr>
        <w:t xml:space="preserve">policy solutions which are then presented as logical solutions. </w:t>
      </w:r>
      <w:r w:rsidR="00FB62A3">
        <w:rPr>
          <w:rFonts w:cs="Calibri"/>
          <w:sz w:val="24"/>
        </w:rPr>
        <w:t xml:space="preserve">This policy could be argued to be more about a change in political direction rather than </w:t>
      </w:r>
      <w:r w:rsidR="00184E9D">
        <w:rPr>
          <w:rFonts w:cs="Calibri"/>
          <w:sz w:val="24"/>
        </w:rPr>
        <w:t xml:space="preserve">identification of </w:t>
      </w:r>
      <w:r w:rsidR="00FB62A3">
        <w:rPr>
          <w:rFonts w:cs="Calibri"/>
          <w:sz w:val="24"/>
        </w:rPr>
        <w:t>a new set of problems.</w:t>
      </w:r>
    </w:p>
    <w:p w14:paraId="052FE4EA" w14:textId="06A84965" w:rsidR="00B54F29" w:rsidRPr="00366FD1" w:rsidRDefault="00B54F29" w:rsidP="00531995">
      <w:pPr>
        <w:pStyle w:val="Heading3"/>
      </w:pPr>
      <w:bookmarkStart w:id="77" w:name="_Toc452316361"/>
      <w:r w:rsidRPr="00366FD1">
        <w:t>4.</w:t>
      </w:r>
      <w:r w:rsidR="00DE0E52">
        <w:t>2.3</w:t>
      </w:r>
      <w:r w:rsidRPr="00366FD1">
        <w:t xml:space="preserve"> Activisation/Passivisation</w:t>
      </w:r>
      <w:bookmarkEnd w:id="77"/>
    </w:p>
    <w:p w14:paraId="196D90FE" w14:textId="011459F9" w:rsidR="00B54F29" w:rsidRDefault="00B54F29" w:rsidP="006B2DFA">
      <w:pPr>
        <w:spacing w:after="0" w:line="360" w:lineRule="auto"/>
        <w:rPr>
          <w:rFonts w:cs="Calibri"/>
          <w:sz w:val="24"/>
        </w:rPr>
      </w:pPr>
      <w:r w:rsidRPr="00366FD1">
        <w:rPr>
          <w:rFonts w:cs="Calibri"/>
          <w:sz w:val="24"/>
        </w:rPr>
        <w:t>All th</w:t>
      </w:r>
      <w:r w:rsidR="00B92B2D">
        <w:rPr>
          <w:rFonts w:cs="Calibri"/>
          <w:sz w:val="24"/>
        </w:rPr>
        <w:t>re</w:t>
      </w:r>
      <w:r w:rsidRPr="00366FD1">
        <w:rPr>
          <w:rFonts w:cs="Calibri"/>
          <w:sz w:val="24"/>
        </w:rPr>
        <w:t xml:space="preserve">e texts </w:t>
      </w:r>
      <w:r w:rsidR="00B92B2D">
        <w:rPr>
          <w:rFonts w:cs="Calibri"/>
          <w:sz w:val="24"/>
        </w:rPr>
        <w:t xml:space="preserve">under examination </w:t>
      </w:r>
      <w:r w:rsidR="00605A82">
        <w:rPr>
          <w:rFonts w:cs="Calibri"/>
          <w:sz w:val="24"/>
        </w:rPr>
        <w:t xml:space="preserve">actively use </w:t>
      </w:r>
      <w:r w:rsidRPr="00366FD1">
        <w:rPr>
          <w:rFonts w:cs="Calibri"/>
          <w:sz w:val="24"/>
        </w:rPr>
        <w:t xml:space="preserve">“we will” as a command. </w:t>
      </w:r>
      <w:r w:rsidR="00010496">
        <w:rPr>
          <w:rFonts w:cs="Calibri"/>
          <w:sz w:val="24"/>
        </w:rPr>
        <w:t>I</w:t>
      </w:r>
      <w:r w:rsidRPr="00366FD1">
        <w:rPr>
          <w:rFonts w:cs="Calibri"/>
          <w:sz w:val="24"/>
        </w:rPr>
        <w:t>n the White Paper speech, such a device injects pace and a feeling of rigour into</w:t>
      </w:r>
      <w:r w:rsidR="00DE0E52">
        <w:rPr>
          <w:rFonts w:cs="Calibri"/>
          <w:sz w:val="24"/>
        </w:rPr>
        <w:t xml:space="preserve"> </w:t>
      </w:r>
      <w:r w:rsidRPr="00366FD1">
        <w:rPr>
          <w:rFonts w:cs="Calibri"/>
          <w:sz w:val="24"/>
        </w:rPr>
        <w:t xml:space="preserve">Gove’s statements. </w:t>
      </w:r>
      <w:r w:rsidR="00DE0E52">
        <w:rPr>
          <w:rFonts w:cs="Calibri"/>
          <w:sz w:val="24"/>
        </w:rPr>
        <w:t>T</w:t>
      </w:r>
      <w:r w:rsidRPr="00366FD1">
        <w:rPr>
          <w:rFonts w:cs="Calibri"/>
          <w:sz w:val="24"/>
        </w:rPr>
        <w:t>he reader is left in no doubt that the Coalition is responsible for</w:t>
      </w:r>
      <w:r w:rsidR="00FB62A3">
        <w:rPr>
          <w:rFonts w:cs="Calibri"/>
          <w:sz w:val="24"/>
        </w:rPr>
        <w:t xml:space="preserve"> enhancing educational</w:t>
      </w:r>
      <w:r w:rsidRPr="00366FD1">
        <w:rPr>
          <w:rFonts w:cs="Calibri"/>
          <w:sz w:val="24"/>
        </w:rPr>
        <w:t xml:space="preserve"> progress </w:t>
      </w:r>
      <w:r w:rsidR="00FB62A3">
        <w:rPr>
          <w:rFonts w:cs="Calibri"/>
          <w:sz w:val="24"/>
        </w:rPr>
        <w:t>for all children</w:t>
      </w:r>
      <w:r w:rsidR="00605A82">
        <w:rPr>
          <w:rFonts w:cs="Calibri"/>
          <w:sz w:val="24"/>
        </w:rPr>
        <w:t>,</w:t>
      </w:r>
      <w:r w:rsidR="00B92B2D">
        <w:rPr>
          <w:rFonts w:cs="Calibri"/>
          <w:sz w:val="24"/>
        </w:rPr>
        <w:t xml:space="preserve"> </w:t>
      </w:r>
      <w:r w:rsidR="00DE0E52">
        <w:rPr>
          <w:rFonts w:cs="Calibri"/>
          <w:sz w:val="24"/>
        </w:rPr>
        <w:t>in contrast to</w:t>
      </w:r>
      <w:r w:rsidRPr="00366FD1">
        <w:rPr>
          <w:rFonts w:cs="Calibri"/>
          <w:sz w:val="24"/>
        </w:rPr>
        <w:t xml:space="preserve"> the previous Labour administration</w:t>
      </w:r>
      <w:r w:rsidR="00FB62A3">
        <w:rPr>
          <w:rFonts w:cs="Calibri"/>
          <w:sz w:val="24"/>
        </w:rPr>
        <w:t xml:space="preserve">. </w:t>
      </w:r>
      <w:r w:rsidRPr="00366FD1">
        <w:rPr>
          <w:rFonts w:cs="Calibri"/>
          <w:sz w:val="24"/>
        </w:rPr>
        <w:t xml:space="preserve">“Social mobility went backwards under Labour, and it is the mission of this coalition Government to reverse that unhappy trend and to make opportunity more equal” (p.1). </w:t>
      </w:r>
      <w:r w:rsidR="00DE0E52">
        <w:rPr>
          <w:rFonts w:cs="Calibri"/>
          <w:sz w:val="24"/>
        </w:rPr>
        <w:t>T</w:t>
      </w:r>
      <w:r w:rsidR="00B92B2D">
        <w:rPr>
          <w:rFonts w:cs="Calibri"/>
          <w:sz w:val="24"/>
        </w:rPr>
        <w:t>h</w:t>
      </w:r>
      <w:r w:rsidRPr="00366FD1">
        <w:rPr>
          <w:rFonts w:cs="Calibri"/>
          <w:sz w:val="24"/>
        </w:rPr>
        <w:t>is statement is not to be questioned, only to be acted upon</w:t>
      </w:r>
      <w:r w:rsidR="00DE0E52">
        <w:rPr>
          <w:rFonts w:cs="Calibri"/>
          <w:sz w:val="24"/>
        </w:rPr>
        <w:t xml:space="preserve"> by</w:t>
      </w:r>
      <w:r w:rsidRPr="00366FD1">
        <w:rPr>
          <w:rFonts w:cs="Calibri"/>
          <w:sz w:val="24"/>
        </w:rPr>
        <w:t xml:space="preserve"> the government</w:t>
      </w:r>
      <w:r w:rsidR="00605A82">
        <w:rPr>
          <w:rFonts w:cs="Calibri"/>
          <w:sz w:val="24"/>
        </w:rPr>
        <w:t>,</w:t>
      </w:r>
      <w:r w:rsidRPr="00366FD1">
        <w:rPr>
          <w:rFonts w:cs="Calibri"/>
          <w:sz w:val="24"/>
        </w:rPr>
        <w:t xml:space="preserve"> </w:t>
      </w:r>
      <w:r w:rsidR="00DE0E52">
        <w:rPr>
          <w:rFonts w:cs="Calibri"/>
          <w:sz w:val="24"/>
        </w:rPr>
        <w:t xml:space="preserve">who are </w:t>
      </w:r>
      <w:r w:rsidRPr="00366FD1">
        <w:rPr>
          <w:rFonts w:cs="Calibri"/>
          <w:sz w:val="24"/>
        </w:rPr>
        <w:t xml:space="preserve">presented </w:t>
      </w:r>
      <w:r w:rsidR="00DE0E52" w:rsidRPr="00366FD1">
        <w:rPr>
          <w:rFonts w:cs="Calibri"/>
          <w:sz w:val="24"/>
        </w:rPr>
        <w:t>as having</w:t>
      </w:r>
      <w:r w:rsidRPr="00366FD1">
        <w:rPr>
          <w:rFonts w:cs="Calibri"/>
          <w:sz w:val="24"/>
        </w:rPr>
        <w:t xml:space="preserve"> the drive and determination </w:t>
      </w:r>
      <w:r w:rsidR="00DE0E52">
        <w:rPr>
          <w:rFonts w:cs="Calibri"/>
          <w:sz w:val="24"/>
        </w:rPr>
        <w:t xml:space="preserve">and </w:t>
      </w:r>
      <w:r w:rsidRPr="00366FD1">
        <w:rPr>
          <w:rFonts w:cs="Calibri"/>
          <w:sz w:val="24"/>
        </w:rPr>
        <w:t xml:space="preserve">the policy solution to the identified problems. This links to Scheurich’s discussion regarding the presentation of a limited range of socially constructed </w:t>
      </w:r>
      <w:r w:rsidR="00B92B2D">
        <w:rPr>
          <w:rFonts w:cs="Calibri"/>
          <w:sz w:val="24"/>
        </w:rPr>
        <w:t xml:space="preserve">policy </w:t>
      </w:r>
      <w:r w:rsidRPr="00366FD1">
        <w:rPr>
          <w:rFonts w:cs="Calibri"/>
          <w:sz w:val="24"/>
        </w:rPr>
        <w:t xml:space="preserve">solutions to </w:t>
      </w:r>
      <w:r w:rsidR="00B92B2D">
        <w:rPr>
          <w:rFonts w:cs="Calibri"/>
          <w:sz w:val="24"/>
        </w:rPr>
        <w:t xml:space="preserve">address </w:t>
      </w:r>
      <w:r w:rsidR="00471EDE">
        <w:rPr>
          <w:rFonts w:cs="Calibri"/>
          <w:sz w:val="24"/>
        </w:rPr>
        <w:t>an identified</w:t>
      </w:r>
      <w:r w:rsidRPr="00366FD1">
        <w:rPr>
          <w:rFonts w:cs="Calibri"/>
          <w:sz w:val="24"/>
        </w:rPr>
        <w:t xml:space="preserve"> problem. </w:t>
      </w:r>
    </w:p>
    <w:p w14:paraId="61B9C4D7" w14:textId="77777777" w:rsidR="0067725E" w:rsidRPr="00366FD1" w:rsidRDefault="0067725E" w:rsidP="006B2DFA">
      <w:pPr>
        <w:spacing w:after="0" w:line="360" w:lineRule="auto"/>
        <w:rPr>
          <w:rFonts w:cs="Calibri"/>
          <w:sz w:val="24"/>
        </w:rPr>
      </w:pPr>
    </w:p>
    <w:p w14:paraId="1B602BA7" w14:textId="04CC545E" w:rsidR="00B54F29" w:rsidRDefault="00B54F29" w:rsidP="00DE0E52">
      <w:pPr>
        <w:tabs>
          <w:tab w:val="left" w:pos="8647"/>
        </w:tabs>
        <w:spacing w:line="360" w:lineRule="auto"/>
        <w:rPr>
          <w:rFonts w:cs="Calibri"/>
          <w:sz w:val="24"/>
        </w:rPr>
      </w:pPr>
      <w:r w:rsidRPr="00366FD1">
        <w:rPr>
          <w:rFonts w:cs="Calibri"/>
          <w:sz w:val="24"/>
        </w:rPr>
        <w:t xml:space="preserve">The stated </w:t>
      </w:r>
      <w:r w:rsidR="00B92B2D">
        <w:rPr>
          <w:rFonts w:cs="Calibri"/>
          <w:sz w:val="24"/>
        </w:rPr>
        <w:t xml:space="preserve">policy </w:t>
      </w:r>
      <w:r w:rsidRPr="00366FD1">
        <w:rPr>
          <w:rFonts w:cs="Calibri"/>
          <w:sz w:val="24"/>
        </w:rPr>
        <w:t>solutions</w:t>
      </w:r>
      <w:r w:rsidR="00617671">
        <w:rPr>
          <w:rFonts w:cs="Calibri"/>
          <w:sz w:val="24"/>
        </w:rPr>
        <w:t xml:space="preserve"> </w:t>
      </w:r>
      <w:r w:rsidRPr="00366FD1">
        <w:rPr>
          <w:rFonts w:cs="Calibri"/>
          <w:sz w:val="24"/>
        </w:rPr>
        <w:t>are presented as</w:t>
      </w:r>
      <w:r w:rsidR="00605A82">
        <w:rPr>
          <w:rFonts w:cs="Calibri"/>
          <w:sz w:val="24"/>
        </w:rPr>
        <w:t xml:space="preserve"> already</w:t>
      </w:r>
      <w:r w:rsidRPr="00366FD1">
        <w:rPr>
          <w:rFonts w:cs="Calibri"/>
          <w:sz w:val="24"/>
        </w:rPr>
        <w:t xml:space="preserve"> being </w:t>
      </w:r>
      <w:r w:rsidR="00605A82">
        <w:rPr>
          <w:rFonts w:cs="Calibri"/>
          <w:sz w:val="24"/>
        </w:rPr>
        <w:t>in motion</w:t>
      </w:r>
      <w:r w:rsidR="00DE0E52">
        <w:rPr>
          <w:rFonts w:cs="Calibri"/>
          <w:sz w:val="24"/>
        </w:rPr>
        <w:t xml:space="preserve">; </w:t>
      </w:r>
      <w:r w:rsidRPr="00366FD1">
        <w:rPr>
          <w:rFonts w:cs="Calibri"/>
          <w:sz w:val="24"/>
        </w:rPr>
        <w:t xml:space="preserve">this </w:t>
      </w:r>
      <w:r w:rsidR="00FB62A3">
        <w:rPr>
          <w:rFonts w:cs="Calibri"/>
          <w:sz w:val="24"/>
        </w:rPr>
        <w:t>policy</w:t>
      </w:r>
      <w:r w:rsidRPr="00366FD1">
        <w:rPr>
          <w:rFonts w:cs="Calibri"/>
          <w:sz w:val="24"/>
        </w:rPr>
        <w:t xml:space="preserve"> merely draws them altogether</w:t>
      </w:r>
      <w:r w:rsidR="00FB62A3">
        <w:rPr>
          <w:rFonts w:cs="Calibri"/>
          <w:sz w:val="24"/>
        </w:rPr>
        <w:t>, as stated in the White Paper speech</w:t>
      </w:r>
      <w:r w:rsidR="00B92B2D">
        <w:rPr>
          <w:rFonts w:cs="Calibri"/>
          <w:sz w:val="24"/>
        </w:rPr>
        <w:t>:</w:t>
      </w:r>
      <w:r w:rsidRPr="00366FD1">
        <w:rPr>
          <w:rFonts w:cs="Calibri"/>
          <w:sz w:val="24"/>
        </w:rPr>
        <w:t xml:space="preserve"> </w:t>
      </w:r>
    </w:p>
    <w:p w14:paraId="5377752B" w14:textId="2DCD4263" w:rsidR="00B54F29" w:rsidRDefault="00B54F29" w:rsidP="00B54F29">
      <w:pPr>
        <w:spacing w:line="240" w:lineRule="auto"/>
        <w:ind w:left="720"/>
        <w:rPr>
          <w:rFonts w:cs="Calibri"/>
          <w:sz w:val="24"/>
        </w:rPr>
      </w:pPr>
      <w:r w:rsidRPr="00366FD1">
        <w:rPr>
          <w:rFonts w:cs="Calibri"/>
          <w:sz w:val="24"/>
        </w:rPr>
        <w:t xml:space="preserve">Schools spending is rising, with more money for the poorest through the pupil premium; education reform is accelerating with one new </w:t>
      </w:r>
      <w:r w:rsidR="004B016C">
        <w:rPr>
          <w:rFonts w:cs="Calibri"/>
          <w:sz w:val="24"/>
        </w:rPr>
        <w:t>academy</w:t>
      </w:r>
      <w:r w:rsidRPr="00366FD1">
        <w:rPr>
          <w:rFonts w:cs="Calibri"/>
          <w:sz w:val="24"/>
        </w:rPr>
        <w:t xml:space="preserve"> created </w:t>
      </w:r>
      <w:r w:rsidR="00FB62A3">
        <w:rPr>
          <w:rFonts w:cs="Calibri"/>
          <w:sz w:val="24"/>
        </w:rPr>
        <w:t xml:space="preserve">every </w:t>
      </w:r>
      <w:r w:rsidRPr="00366FD1">
        <w:rPr>
          <w:rFonts w:cs="Calibri"/>
          <w:sz w:val="24"/>
        </w:rPr>
        <w:t>working day; and standards are being driven up, with teachers now supported to excel as never before” (p</w:t>
      </w:r>
      <w:r w:rsidR="00605A82">
        <w:rPr>
          <w:rFonts w:cs="Calibri"/>
          <w:sz w:val="24"/>
        </w:rPr>
        <w:t>.</w:t>
      </w:r>
      <w:r w:rsidRPr="00366FD1">
        <w:rPr>
          <w:rFonts w:cs="Calibri"/>
          <w:sz w:val="24"/>
        </w:rPr>
        <w:t xml:space="preserve">2). </w:t>
      </w:r>
    </w:p>
    <w:p w14:paraId="28D6C1BF" w14:textId="44514EF8" w:rsidR="00B54F29" w:rsidRPr="00366FD1" w:rsidRDefault="00B54F29" w:rsidP="00B54F29">
      <w:pPr>
        <w:spacing w:line="360" w:lineRule="auto"/>
        <w:rPr>
          <w:rFonts w:cs="Calibri"/>
          <w:sz w:val="24"/>
        </w:rPr>
      </w:pPr>
      <w:r w:rsidRPr="00366FD1">
        <w:rPr>
          <w:rFonts w:cs="Calibri"/>
          <w:sz w:val="24"/>
        </w:rPr>
        <w:t>The implication is that these changes</w:t>
      </w:r>
      <w:r w:rsidR="00184E9D">
        <w:rPr>
          <w:rFonts w:cs="Calibri"/>
          <w:sz w:val="24"/>
        </w:rPr>
        <w:t xml:space="preserve">, activated by the </w:t>
      </w:r>
      <w:r w:rsidR="006B2DFA">
        <w:rPr>
          <w:rFonts w:cs="Calibri"/>
          <w:sz w:val="24"/>
        </w:rPr>
        <w:t>g</w:t>
      </w:r>
      <w:r w:rsidR="00184E9D">
        <w:rPr>
          <w:rFonts w:cs="Calibri"/>
          <w:sz w:val="24"/>
        </w:rPr>
        <w:t>overnment,</w:t>
      </w:r>
      <w:r w:rsidRPr="00366FD1">
        <w:rPr>
          <w:rFonts w:cs="Calibri"/>
          <w:sz w:val="24"/>
        </w:rPr>
        <w:t xml:space="preserve"> are happening</w:t>
      </w:r>
      <w:r w:rsidR="00617671">
        <w:rPr>
          <w:rFonts w:cs="Calibri"/>
          <w:sz w:val="24"/>
        </w:rPr>
        <w:t xml:space="preserve">, </w:t>
      </w:r>
      <w:r w:rsidRPr="00366FD1">
        <w:rPr>
          <w:rFonts w:cs="Calibri"/>
          <w:sz w:val="24"/>
        </w:rPr>
        <w:t xml:space="preserve">whereas under Labour they were not. </w:t>
      </w:r>
    </w:p>
    <w:p w14:paraId="12A9468E" w14:textId="0F694B04" w:rsidR="00C035D9" w:rsidRPr="000F28F2" w:rsidRDefault="00B54F29" w:rsidP="00B54F29">
      <w:pPr>
        <w:spacing w:line="360" w:lineRule="auto"/>
        <w:rPr>
          <w:rFonts w:cs="Calibri"/>
          <w:sz w:val="24"/>
        </w:rPr>
      </w:pPr>
      <w:r w:rsidRPr="00366FD1">
        <w:rPr>
          <w:rFonts w:cs="Calibri"/>
          <w:sz w:val="24"/>
        </w:rPr>
        <w:t xml:space="preserve">The </w:t>
      </w:r>
      <w:r w:rsidR="005E7851">
        <w:rPr>
          <w:rFonts w:cs="Calibri"/>
          <w:sz w:val="24"/>
        </w:rPr>
        <w:t xml:space="preserve">White </w:t>
      </w:r>
      <w:r w:rsidR="005E7851" w:rsidRPr="000F28F2">
        <w:rPr>
          <w:rFonts w:cs="Calibri"/>
          <w:sz w:val="24"/>
        </w:rPr>
        <w:t>Paper</w:t>
      </w:r>
      <w:r w:rsidR="000F28F2" w:rsidRPr="000F28F2">
        <w:rPr>
          <w:rFonts w:cs="Calibri"/>
          <w:sz w:val="24"/>
        </w:rPr>
        <w:t xml:space="preserve"> and the </w:t>
      </w:r>
      <w:r w:rsidR="00184E9D">
        <w:rPr>
          <w:rFonts w:cs="Calibri"/>
          <w:sz w:val="24"/>
        </w:rPr>
        <w:t>F</w:t>
      </w:r>
      <w:r w:rsidR="000F28F2" w:rsidRPr="000F28F2">
        <w:rPr>
          <w:rFonts w:cs="Calibri"/>
          <w:sz w:val="24"/>
        </w:rPr>
        <w:t>orewords</w:t>
      </w:r>
      <w:r w:rsidRPr="000F28F2">
        <w:rPr>
          <w:rFonts w:cs="Calibri"/>
          <w:sz w:val="24"/>
        </w:rPr>
        <w:t xml:space="preserve"> highlight the depth of the stated </w:t>
      </w:r>
      <w:r w:rsidR="00617671" w:rsidRPr="000F28F2">
        <w:rPr>
          <w:rFonts w:cs="Calibri"/>
          <w:sz w:val="24"/>
        </w:rPr>
        <w:t xml:space="preserve">policy </w:t>
      </w:r>
      <w:r w:rsidRPr="000F28F2">
        <w:rPr>
          <w:rFonts w:cs="Calibri"/>
          <w:sz w:val="24"/>
        </w:rPr>
        <w:t>problems and the pace and energy that</w:t>
      </w:r>
      <w:r w:rsidR="00DE0E52">
        <w:rPr>
          <w:rFonts w:cs="Calibri"/>
          <w:sz w:val="24"/>
        </w:rPr>
        <w:t xml:space="preserve"> </w:t>
      </w:r>
      <w:r w:rsidRPr="000F28F2">
        <w:rPr>
          <w:rFonts w:cs="Calibri"/>
          <w:sz w:val="24"/>
        </w:rPr>
        <w:t>will now</w:t>
      </w:r>
      <w:r w:rsidR="00184E9D">
        <w:rPr>
          <w:rFonts w:cs="Calibri"/>
          <w:sz w:val="24"/>
        </w:rPr>
        <w:t>, it is claimed,</w:t>
      </w:r>
      <w:r w:rsidRPr="000F28F2">
        <w:rPr>
          <w:rFonts w:cs="Calibri"/>
          <w:sz w:val="24"/>
        </w:rPr>
        <w:t xml:space="preserve"> be injected via the White Paper proposals in </w:t>
      </w:r>
      <w:r w:rsidRPr="000F28F2">
        <w:rPr>
          <w:rFonts w:cs="Calibri"/>
          <w:sz w:val="24"/>
        </w:rPr>
        <w:lastRenderedPageBreak/>
        <w:t xml:space="preserve">order to </w:t>
      </w:r>
      <w:r w:rsidR="00617671" w:rsidRPr="000F28F2">
        <w:rPr>
          <w:rFonts w:cs="Calibri"/>
          <w:sz w:val="24"/>
        </w:rPr>
        <w:t>re</w:t>
      </w:r>
      <w:r w:rsidRPr="000F28F2">
        <w:rPr>
          <w:rFonts w:cs="Calibri"/>
          <w:sz w:val="24"/>
        </w:rPr>
        <w:t xml:space="preserve">solve such problems. </w:t>
      </w:r>
      <w:r w:rsidR="005E7851" w:rsidRPr="000F28F2">
        <w:rPr>
          <w:rFonts w:cs="Calibri"/>
          <w:sz w:val="24"/>
        </w:rPr>
        <w:t xml:space="preserve">Gove in his speech states that </w:t>
      </w:r>
      <w:r w:rsidRPr="000F28F2">
        <w:rPr>
          <w:rFonts w:cs="Calibri"/>
          <w:sz w:val="24"/>
        </w:rPr>
        <w:t>“</w:t>
      </w:r>
      <w:r w:rsidR="005E7851" w:rsidRPr="000F28F2">
        <w:rPr>
          <w:rFonts w:cs="Calibri"/>
          <w:sz w:val="24"/>
        </w:rPr>
        <w:t>t</w:t>
      </w:r>
      <w:r w:rsidRPr="000F28F2">
        <w:rPr>
          <w:rFonts w:cs="Calibri"/>
          <w:sz w:val="24"/>
        </w:rPr>
        <w:t xml:space="preserve">he need for </w:t>
      </w:r>
      <w:r w:rsidR="006B2DFA" w:rsidRPr="000F28F2">
        <w:rPr>
          <w:rFonts w:cs="Calibri"/>
          <w:sz w:val="24"/>
        </w:rPr>
        <w:t>thoroughgoing</w:t>
      </w:r>
      <w:r w:rsidRPr="000F28F2">
        <w:rPr>
          <w:rFonts w:cs="Calibri"/>
          <w:sz w:val="24"/>
        </w:rPr>
        <w:t xml:space="preserve"> reform is urgent” (p.2)</w:t>
      </w:r>
      <w:r w:rsidR="00463674">
        <w:rPr>
          <w:rFonts w:cs="Calibri"/>
          <w:sz w:val="24"/>
        </w:rPr>
        <w:t>,</w:t>
      </w:r>
      <w:r w:rsidR="000F28F2">
        <w:rPr>
          <w:rFonts w:cs="Calibri"/>
          <w:sz w:val="24"/>
        </w:rPr>
        <w:t xml:space="preserve"> </w:t>
      </w:r>
      <w:r w:rsidR="005E7851" w:rsidRPr="000F28F2">
        <w:rPr>
          <w:rFonts w:cs="Calibri"/>
          <w:sz w:val="24"/>
        </w:rPr>
        <w:t xml:space="preserve">leaving no doubt about his proposed pace of </w:t>
      </w:r>
      <w:r w:rsidR="0073469A" w:rsidRPr="000F28F2">
        <w:rPr>
          <w:rFonts w:cs="Calibri"/>
          <w:sz w:val="24"/>
        </w:rPr>
        <w:t>change</w:t>
      </w:r>
      <w:r w:rsidRPr="000F28F2">
        <w:rPr>
          <w:rFonts w:cs="Calibri"/>
          <w:sz w:val="24"/>
        </w:rPr>
        <w:t xml:space="preserve">. This </w:t>
      </w:r>
      <w:r w:rsidR="00056FFB" w:rsidRPr="000F28F2">
        <w:rPr>
          <w:rFonts w:cs="Calibri"/>
          <w:sz w:val="24"/>
        </w:rPr>
        <w:t xml:space="preserve">linguistic </w:t>
      </w:r>
      <w:r w:rsidR="00463674">
        <w:rPr>
          <w:rFonts w:cs="Calibri"/>
          <w:sz w:val="24"/>
        </w:rPr>
        <w:t>‘</w:t>
      </w:r>
      <w:r w:rsidR="00056FFB" w:rsidRPr="000F28F2">
        <w:rPr>
          <w:rFonts w:cs="Calibri"/>
          <w:sz w:val="24"/>
        </w:rPr>
        <w:t>a</w:t>
      </w:r>
      <w:r w:rsidR="00056FFB" w:rsidRPr="000F28F2">
        <w:rPr>
          <w:rFonts w:cs="Calibri"/>
          <w:sz w:val="24"/>
          <w:szCs w:val="24"/>
        </w:rPr>
        <w:t>ctivisation</w:t>
      </w:r>
      <w:r w:rsidR="00463674">
        <w:rPr>
          <w:rFonts w:cs="Calibri"/>
          <w:sz w:val="24"/>
          <w:szCs w:val="24"/>
        </w:rPr>
        <w:t>’</w:t>
      </w:r>
      <w:r w:rsidR="00056FFB" w:rsidRPr="000F28F2">
        <w:rPr>
          <w:rFonts w:cs="Calibri"/>
          <w:b/>
          <w:sz w:val="24"/>
        </w:rPr>
        <w:t xml:space="preserve"> </w:t>
      </w:r>
      <w:r w:rsidR="00463674" w:rsidRPr="000F28F2">
        <w:rPr>
          <w:rFonts w:cs="Calibri"/>
          <w:sz w:val="24"/>
        </w:rPr>
        <w:t>device</w:t>
      </w:r>
      <w:r w:rsidR="00463674" w:rsidRPr="006B2DFA">
        <w:rPr>
          <w:sz w:val="24"/>
        </w:rPr>
        <w:t xml:space="preserve"> </w:t>
      </w:r>
      <w:r w:rsidRPr="000F28F2">
        <w:rPr>
          <w:rFonts w:cs="Calibri"/>
          <w:sz w:val="24"/>
        </w:rPr>
        <w:t xml:space="preserve">therefore links to my first research question </w:t>
      </w:r>
      <w:r w:rsidR="00463674">
        <w:rPr>
          <w:rFonts w:cs="Calibri"/>
          <w:sz w:val="24"/>
        </w:rPr>
        <w:t xml:space="preserve">about </w:t>
      </w:r>
      <w:r w:rsidRPr="000F28F2">
        <w:rPr>
          <w:rFonts w:cs="Calibri"/>
          <w:sz w:val="24"/>
        </w:rPr>
        <w:t xml:space="preserve">why the policy was introduced, stating that the scope and nature of the problems identified within the education system require immediate and wide ranging attention. </w:t>
      </w:r>
      <w:r w:rsidR="00463674">
        <w:rPr>
          <w:rFonts w:cs="Calibri"/>
          <w:sz w:val="24"/>
        </w:rPr>
        <w:t>According to</w:t>
      </w:r>
      <w:r w:rsidR="00C035D9">
        <w:rPr>
          <w:rFonts w:cs="Calibri"/>
          <w:sz w:val="24"/>
        </w:rPr>
        <w:t xml:space="preserve"> Scheurich’s </w:t>
      </w:r>
      <w:r w:rsidR="00DF24E7">
        <w:rPr>
          <w:rFonts w:cs="Calibri"/>
          <w:sz w:val="24"/>
        </w:rPr>
        <w:t>PA</w:t>
      </w:r>
      <w:r w:rsidR="00463674">
        <w:rPr>
          <w:rFonts w:cs="Calibri"/>
          <w:sz w:val="24"/>
        </w:rPr>
        <w:t>,</w:t>
      </w:r>
      <w:r w:rsidR="00DF24E7">
        <w:rPr>
          <w:rFonts w:cs="Calibri"/>
          <w:sz w:val="24"/>
        </w:rPr>
        <w:t xml:space="preserve"> </w:t>
      </w:r>
      <w:r w:rsidR="00C035D9">
        <w:rPr>
          <w:rFonts w:cs="Calibri"/>
          <w:sz w:val="24"/>
        </w:rPr>
        <w:t>the White Paper outlines a set of problems</w:t>
      </w:r>
      <w:r w:rsidR="0047031B">
        <w:rPr>
          <w:rFonts w:cs="Calibri"/>
          <w:sz w:val="24"/>
        </w:rPr>
        <w:t xml:space="preserve"> and policy choices</w:t>
      </w:r>
      <w:r w:rsidR="00C035D9">
        <w:rPr>
          <w:rFonts w:cs="Calibri"/>
          <w:sz w:val="24"/>
        </w:rPr>
        <w:t xml:space="preserve"> </w:t>
      </w:r>
      <w:r w:rsidR="0047031B">
        <w:rPr>
          <w:rFonts w:cs="Calibri"/>
          <w:sz w:val="24"/>
        </w:rPr>
        <w:t>(</w:t>
      </w:r>
      <w:r w:rsidR="00463674">
        <w:rPr>
          <w:rFonts w:cs="Calibri"/>
          <w:sz w:val="24"/>
        </w:rPr>
        <w:t>A</w:t>
      </w:r>
      <w:r w:rsidR="0047031B">
        <w:rPr>
          <w:rFonts w:cs="Calibri"/>
          <w:sz w:val="24"/>
        </w:rPr>
        <w:t xml:space="preserve">rena 2) </w:t>
      </w:r>
      <w:r w:rsidR="00C035D9">
        <w:rPr>
          <w:rFonts w:cs="Calibri"/>
          <w:sz w:val="24"/>
        </w:rPr>
        <w:t>in order to then present and justify the only</w:t>
      </w:r>
      <w:r w:rsidR="00F204E2">
        <w:rPr>
          <w:rFonts w:cs="Calibri"/>
          <w:sz w:val="24"/>
        </w:rPr>
        <w:t xml:space="preserve"> ‘logical’</w:t>
      </w:r>
      <w:r w:rsidR="00C035D9">
        <w:rPr>
          <w:rFonts w:cs="Calibri"/>
          <w:sz w:val="24"/>
        </w:rPr>
        <w:t xml:space="preserve"> policy solutions to these problems</w:t>
      </w:r>
      <w:r w:rsidR="0047031B">
        <w:rPr>
          <w:rFonts w:cs="Calibri"/>
          <w:sz w:val="24"/>
        </w:rPr>
        <w:t xml:space="preserve"> (</w:t>
      </w:r>
      <w:r w:rsidR="00463674">
        <w:rPr>
          <w:rFonts w:cs="Calibri"/>
          <w:sz w:val="24"/>
        </w:rPr>
        <w:t>A</w:t>
      </w:r>
      <w:r w:rsidR="0047031B">
        <w:rPr>
          <w:rFonts w:cs="Calibri"/>
          <w:sz w:val="24"/>
        </w:rPr>
        <w:t>rena 3), a</w:t>
      </w:r>
      <w:r w:rsidR="00C035D9">
        <w:rPr>
          <w:rFonts w:cs="Calibri"/>
          <w:sz w:val="24"/>
        </w:rPr>
        <w:t>ll of which justif</w:t>
      </w:r>
      <w:r w:rsidR="00F204E2">
        <w:rPr>
          <w:rFonts w:cs="Calibri"/>
          <w:sz w:val="24"/>
        </w:rPr>
        <w:t>y</w:t>
      </w:r>
      <w:r w:rsidR="00C035D9">
        <w:rPr>
          <w:rFonts w:cs="Calibri"/>
          <w:sz w:val="24"/>
        </w:rPr>
        <w:t xml:space="preserve"> the </w:t>
      </w:r>
      <w:r w:rsidR="00986574">
        <w:rPr>
          <w:rFonts w:cs="Calibri"/>
          <w:sz w:val="24"/>
        </w:rPr>
        <w:t>educational</w:t>
      </w:r>
      <w:r w:rsidR="00C035D9">
        <w:rPr>
          <w:rFonts w:cs="Calibri"/>
          <w:sz w:val="24"/>
        </w:rPr>
        <w:t xml:space="preserve"> goals of the new government</w:t>
      </w:r>
      <w:r w:rsidR="0047031B">
        <w:rPr>
          <w:rFonts w:cs="Calibri"/>
          <w:sz w:val="24"/>
        </w:rPr>
        <w:t xml:space="preserve"> </w:t>
      </w:r>
      <w:r w:rsidR="004F1CBE">
        <w:rPr>
          <w:rFonts w:cs="Calibri"/>
          <w:sz w:val="24"/>
        </w:rPr>
        <w:t xml:space="preserve">in relation to the constituted policy problems </w:t>
      </w:r>
      <w:r w:rsidR="0047031B">
        <w:rPr>
          <w:rFonts w:cs="Calibri"/>
          <w:sz w:val="24"/>
        </w:rPr>
        <w:t>(</w:t>
      </w:r>
      <w:r w:rsidR="00F204E2">
        <w:rPr>
          <w:rFonts w:cs="Calibri"/>
          <w:sz w:val="24"/>
        </w:rPr>
        <w:t>A</w:t>
      </w:r>
      <w:r w:rsidR="0047031B">
        <w:rPr>
          <w:rFonts w:cs="Calibri"/>
          <w:sz w:val="24"/>
        </w:rPr>
        <w:t>rena 1)</w:t>
      </w:r>
      <w:r w:rsidR="00C035D9">
        <w:rPr>
          <w:rFonts w:cs="Calibri"/>
          <w:sz w:val="24"/>
        </w:rPr>
        <w:t xml:space="preserve">. </w:t>
      </w:r>
    </w:p>
    <w:p w14:paraId="3C230D28" w14:textId="2E72845D" w:rsidR="00B54F29" w:rsidRPr="00366FD1" w:rsidRDefault="00B54F29" w:rsidP="00B54F29">
      <w:pPr>
        <w:spacing w:line="360" w:lineRule="auto"/>
        <w:rPr>
          <w:rFonts w:cs="Calibri"/>
          <w:sz w:val="24"/>
        </w:rPr>
      </w:pPr>
      <w:r w:rsidRPr="00366FD1">
        <w:rPr>
          <w:rFonts w:cs="Calibri"/>
          <w:sz w:val="24"/>
        </w:rPr>
        <w:t>The speech summaris</w:t>
      </w:r>
      <w:r w:rsidR="00010496">
        <w:rPr>
          <w:rFonts w:cs="Calibri"/>
          <w:sz w:val="24"/>
        </w:rPr>
        <w:t>es</w:t>
      </w:r>
      <w:r w:rsidRPr="00366FD1">
        <w:rPr>
          <w:rFonts w:cs="Calibri"/>
          <w:sz w:val="24"/>
        </w:rPr>
        <w:t xml:space="preserve"> </w:t>
      </w:r>
      <w:r w:rsidR="00010496">
        <w:rPr>
          <w:rFonts w:cs="Calibri"/>
          <w:sz w:val="24"/>
        </w:rPr>
        <w:t>the</w:t>
      </w:r>
      <w:r w:rsidRPr="00366FD1">
        <w:rPr>
          <w:rFonts w:cs="Calibri"/>
          <w:sz w:val="24"/>
        </w:rPr>
        <w:t xml:space="preserve"> </w:t>
      </w:r>
      <w:r w:rsidR="00AD005B">
        <w:rPr>
          <w:rFonts w:cs="Calibri"/>
          <w:sz w:val="24"/>
        </w:rPr>
        <w:t>91-</w:t>
      </w:r>
      <w:r w:rsidRPr="00366FD1">
        <w:rPr>
          <w:rFonts w:cs="Calibri"/>
          <w:sz w:val="24"/>
        </w:rPr>
        <w:t xml:space="preserve">page White Paper. Both the </w:t>
      </w:r>
      <w:r w:rsidR="00617671">
        <w:rPr>
          <w:rFonts w:cs="Calibri"/>
          <w:sz w:val="24"/>
        </w:rPr>
        <w:t xml:space="preserve">policy </w:t>
      </w:r>
      <w:r w:rsidRPr="00366FD1">
        <w:rPr>
          <w:rFonts w:cs="Calibri"/>
          <w:sz w:val="24"/>
        </w:rPr>
        <w:t>problems and solutions are presented as universal</w:t>
      </w:r>
      <w:r w:rsidR="00C035D9">
        <w:rPr>
          <w:rFonts w:cs="Calibri"/>
          <w:sz w:val="24"/>
        </w:rPr>
        <w:t>,</w:t>
      </w:r>
      <w:r w:rsidR="00617671">
        <w:rPr>
          <w:rFonts w:cs="Calibri"/>
          <w:sz w:val="24"/>
        </w:rPr>
        <w:t xml:space="preserve"> </w:t>
      </w:r>
      <w:r w:rsidRPr="00366FD1">
        <w:rPr>
          <w:rFonts w:cs="Calibri"/>
          <w:sz w:val="24"/>
        </w:rPr>
        <w:t>obvious and applicable to all. This device becomes</w:t>
      </w:r>
      <w:r w:rsidR="00010496">
        <w:rPr>
          <w:rFonts w:cs="Calibri"/>
          <w:sz w:val="24"/>
        </w:rPr>
        <w:t xml:space="preserve"> </w:t>
      </w:r>
      <w:r w:rsidRPr="00366FD1">
        <w:rPr>
          <w:rFonts w:cs="Calibri"/>
          <w:sz w:val="24"/>
        </w:rPr>
        <w:t>more important when considering that th</w:t>
      </w:r>
      <w:r w:rsidR="006B2DFA">
        <w:rPr>
          <w:rFonts w:cs="Calibri"/>
          <w:sz w:val="24"/>
        </w:rPr>
        <w:t xml:space="preserve">is policy is a union of </w:t>
      </w:r>
      <w:r w:rsidRPr="00366FD1">
        <w:rPr>
          <w:rFonts w:cs="Calibri"/>
          <w:sz w:val="24"/>
        </w:rPr>
        <w:t>Conservative and Liberal Democr</w:t>
      </w:r>
      <w:r w:rsidR="006B2DFA">
        <w:rPr>
          <w:rFonts w:cs="Calibri"/>
          <w:sz w:val="24"/>
        </w:rPr>
        <w:t xml:space="preserve">at approaches. </w:t>
      </w:r>
    </w:p>
    <w:p w14:paraId="27BC9CE9" w14:textId="6C9D3AFB" w:rsidR="00B54F29" w:rsidRPr="00366FD1" w:rsidRDefault="00B54F29" w:rsidP="00531995">
      <w:pPr>
        <w:pStyle w:val="Heading3"/>
      </w:pPr>
      <w:bookmarkStart w:id="78" w:name="_Toc452316362"/>
      <w:r w:rsidRPr="00366FD1">
        <w:t>4.</w:t>
      </w:r>
      <w:r w:rsidR="0070645A">
        <w:t>2</w:t>
      </w:r>
      <w:r w:rsidR="00C035D9">
        <w:t>.</w:t>
      </w:r>
      <w:r>
        <w:t>4</w:t>
      </w:r>
      <w:r w:rsidRPr="00366FD1">
        <w:t xml:space="preserve"> Time – tense and aspect</w:t>
      </w:r>
      <w:bookmarkEnd w:id="78"/>
    </w:p>
    <w:p w14:paraId="677286A0" w14:textId="33723B6A" w:rsidR="00B54F29" w:rsidRDefault="00B54F29" w:rsidP="006B2DFA">
      <w:pPr>
        <w:tabs>
          <w:tab w:val="left" w:pos="8364"/>
          <w:tab w:val="left" w:pos="8789"/>
        </w:tabs>
        <w:spacing w:after="0" w:line="360" w:lineRule="auto"/>
        <w:rPr>
          <w:rFonts w:cs="Calibri"/>
          <w:sz w:val="24"/>
        </w:rPr>
      </w:pPr>
      <w:r w:rsidRPr="00366FD1">
        <w:rPr>
          <w:rFonts w:cs="Calibri"/>
          <w:sz w:val="24"/>
        </w:rPr>
        <w:t xml:space="preserve">The </w:t>
      </w:r>
      <w:r w:rsidR="00A3358B">
        <w:rPr>
          <w:rFonts w:cs="Calibri"/>
          <w:sz w:val="24"/>
        </w:rPr>
        <w:t xml:space="preserve">two </w:t>
      </w:r>
      <w:r w:rsidRPr="00366FD1">
        <w:rPr>
          <w:rFonts w:cs="Calibri"/>
          <w:sz w:val="24"/>
        </w:rPr>
        <w:t xml:space="preserve">White Paper forewords and </w:t>
      </w:r>
      <w:r w:rsidR="00A3358B">
        <w:rPr>
          <w:rFonts w:cs="Calibri"/>
          <w:sz w:val="24"/>
        </w:rPr>
        <w:t xml:space="preserve">the </w:t>
      </w:r>
      <w:r w:rsidRPr="00366FD1">
        <w:rPr>
          <w:rFonts w:cs="Calibri"/>
          <w:sz w:val="24"/>
        </w:rPr>
        <w:t xml:space="preserve">White Paper </w:t>
      </w:r>
      <w:r>
        <w:rPr>
          <w:rFonts w:cs="Calibri"/>
          <w:sz w:val="24"/>
        </w:rPr>
        <w:t>s</w:t>
      </w:r>
      <w:r w:rsidRPr="00366FD1">
        <w:rPr>
          <w:rFonts w:cs="Calibri"/>
          <w:sz w:val="24"/>
        </w:rPr>
        <w:t xml:space="preserve">peech leave the reader and listener with no doubt that the time for action is now. </w:t>
      </w:r>
      <w:r w:rsidR="007573DE">
        <w:rPr>
          <w:rFonts w:cs="Calibri"/>
          <w:sz w:val="24"/>
        </w:rPr>
        <w:t>Gove</w:t>
      </w:r>
      <w:r w:rsidR="00FE6260">
        <w:rPr>
          <w:rFonts w:cs="Calibri"/>
          <w:sz w:val="24"/>
        </w:rPr>
        <w:t>’s</w:t>
      </w:r>
      <w:r w:rsidRPr="00366FD1">
        <w:rPr>
          <w:rFonts w:cs="Calibri"/>
          <w:sz w:val="24"/>
        </w:rPr>
        <w:t xml:space="preserve"> </w:t>
      </w:r>
      <w:r w:rsidR="00FE6260" w:rsidRPr="00366FD1">
        <w:rPr>
          <w:rFonts w:cs="Calibri"/>
          <w:sz w:val="24"/>
        </w:rPr>
        <w:t xml:space="preserve">foreword </w:t>
      </w:r>
      <w:r w:rsidRPr="00366FD1">
        <w:rPr>
          <w:rFonts w:cs="Calibri"/>
          <w:sz w:val="24"/>
        </w:rPr>
        <w:t xml:space="preserve">begins </w:t>
      </w:r>
      <w:r w:rsidR="00FE6260">
        <w:rPr>
          <w:rFonts w:cs="Calibri"/>
          <w:sz w:val="24"/>
        </w:rPr>
        <w:t>with</w:t>
      </w:r>
      <w:r w:rsidRPr="00366FD1">
        <w:rPr>
          <w:rFonts w:cs="Calibri"/>
          <w:sz w:val="24"/>
        </w:rPr>
        <w:t xml:space="preserve"> a summary of the past, presenting social mobility in a negative, deterministic manner</w:t>
      </w:r>
      <w:r w:rsidR="00A3358B">
        <w:rPr>
          <w:rFonts w:cs="Calibri"/>
          <w:sz w:val="24"/>
        </w:rPr>
        <w:t>:</w:t>
      </w:r>
      <w:r w:rsidRPr="00366FD1">
        <w:rPr>
          <w:rFonts w:cs="Calibri"/>
          <w:sz w:val="24"/>
        </w:rPr>
        <w:t xml:space="preserve"> “Throughout history, most individuals have been the victims of forces beyond their control” (p.6). The use of the present perfect tense “have been” is used for discussion about things in the past which are relevant in the present. This sentence therefore suggests a certainty about the past which continues to have an impact on the current situation. The section </w:t>
      </w:r>
      <w:r w:rsidR="007573DE">
        <w:rPr>
          <w:rFonts w:cs="Calibri"/>
          <w:sz w:val="24"/>
        </w:rPr>
        <w:t xml:space="preserve">concludes </w:t>
      </w:r>
      <w:r w:rsidR="0067725E">
        <w:rPr>
          <w:rFonts w:cs="Calibri"/>
          <w:sz w:val="24"/>
        </w:rPr>
        <w:t xml:space="preserve">by </w:t>
      </w:r>
      <w:r w:rsidR="00D93233">
        <w:rPr>
          <w:rFonts w:cs="Calibri"/>
          <w:sz w:val="24"/>
        </w:rPr>
        <w:t>stating</w:t>
      </w:r>
      <w:r w:rsidRPr="00366FD1">
        <w:rPr>
          <w:rFonts w:cs="Calibri"/>
          <w:sz w:val="24"/>
        </w:rPr>
        <w:t xml:space="preserve"> current beliefs and future plans </w:t>
      </w:r>
      <w:r w:rsidR="00D93233">
        <w:rPr>
          <w:rFonts w:cs="Calibri"/>
          <w:sz w:val="24"/>
        </w:rPr>
        <w:t>to address the identified problems</w:t>
      </w:r>
      <w:r w:rsidR="000F28F2">
        <w:rPr>
          <w:rFonts w:cs="Calibri"/>
          <w:sz w:val="24"/>
        </w:rPr>
        <w:t xml:space="preserve"> “t</w:t>
      </w:r>
      <w:r w:rsidRPr="00366FD1">
        <w:rPr>
          <w:rFonts w:cs="Calibri"/>
          <w:sz w:val="24"/>
        </w:rPr>
        <w:t>he importance of teaching cannot be over-stated. And that is why there is a fierce urgency to our plans for reform” (</w:t>
      </w:r>
      <w:r w:rsidR="000F28F2">
        <w:rPr>
          <w:rFonts w:cs="Calibri"/>
          <w:sz w:val="24"/>
        </w:rPr>
        <w:t>p.7</w:t>
      </w:r>
      <w:r w:rsidRPr="00366FD1">
        <w:rPr>
          <w:rFonts w:cs="Calibri"/>
          <w:sz w:val="24"/>
        </w:rPr>
        <w:t xml:space="preserve">). The use of the present simple tense creates the impression that this is a straightforward fact. Again, the reader is left in </w:t>
      </w:r>
      <w:r w:rsidR="00D12F1A">
        <w:rPr>
          <w:rFonts w:cs="Calibri"/>
          <w:sz w:val="24"/>
        </w:rPr>
        <w:t xml:space="preserve">no </w:t>
      </w:r>
      <w:r w:rsidRPr="00366FD1">
        <w:rPr>
          <w:rFonts w:cs="Calibri"/>
          <w:sz w:val="24"/>
        </w:rPr>
        <w:t>doubt that this is the case, with no need for debate</w:t>
      </w:r>
      <w:r w:rsidR="0067725E">
        <w:rPr>
          <w:rFonts w:cs="Calibri"/>
          <w:sz w:val="24"/>
        </w:rPr>
        <w:t>,</w:t>
      </w:r>
      <w:r w:rsidRPr="00366FD1">
        <w:rPr>
          <w:rFonts w:cs="Calibri"/>
          <w:sz w:val="24"/>
        </w:rPr>
        <w:t xml:space="preserve"> only gratitude that the plans </w:t>
      </w:r>
      <w:r w:rsidR="0047031B">
        <w:rPr>
          <w:rFonts w:cs="Calibri"/>
          <w:sz w:val="24"/>
        </w:rPr>
        <w:t xml:space="preserve">about to be </w:t>
      </w:r>
      <w:r w:rsidRPr="00366FD1">
        <w:rPr>
          <w:rFonts w:cs="Calibri"/>
          <w:sz w:val="24"/>
        </w:rPr>
        <w:t>outlined in the White Paper</w:t>
      </w:r>
      <w:r w:rsidR="0067725E">
        <w:rPr>
          <w:rFonts w:cs="Calibri"/>
          <w:sz w:val="24"/>
        </w:rPr>
        <w:t xml:space="preserve"> will</w:t>
      </w:r>
      <w:r w:rsidRPr="00366FD1">
        <w:rPr>
          <w:rFonts w:cs="Calibri"/>
          <w:sz w:val="24"/>
        </w:rPr>
        <w:t xml:space="preserve"> resolve the highlighted problems. </w:t>
      </w:r>
      <w:r w:rsidR="00D93233">
        <w:rPr>
          <w:rFonts w:cs="Calibri"/>
          <w:sz w:val="24"/>
        </w:rPr>
        <w:t xml:space="preserve">This highlights Scheurich’s </w:t>
      </w:r>
      <w:r w:rsidR="0067725E">
        <w:rPr>
          <w:rFonts w:cs="Calibri"/>
          <w:sz w:val="24"/>
        </w:rPr>
        <w:t>A</w:t>
      </w:r>
      <w:r w:rsidR="00D93233">
        <w:rPr>
          <w:rFonts w:cs="Calibri"/>
          <w:sz w:val="24"/>
        </w:rPr>
        <w:t xml:space="preserve">rena </w:t>
      </w:r>
      <w:r w:rsidR="00471EDE">
        <w:rPr>
          <w:rFonts w:cs="Calibri"/>
          <w:sz w:val="24"/>
        </w:rPr>
        <w:t>1</w:t>
      </w:r>
      <w:r w:rsidR="0067725E">
        <w:rPr>
          <w:rFonts w:cs="Calibri"/>
          <w:sz w:val="24"/>
        </w:rPr>
        <w:t>,</w:t>
      </w:r>
      <w:r w:rsidR="00D93233">
        <w:rPr>
          <w:rFonts w:cs="Calibri"/>
          <w:sz w:val="24"/>
        </w:rPr>
        <w:t xml:space="preserve"> </w:t>
      </w:r>
      <w:r w:rsidR="0067725E">
        <w:rPr>
          <w:rFonts w:cs="Calibri"/>
          <w:sz w:val="24"/>
        </w:rPr>
        <w:t>in which</w:t>
      </w:r>
      <w:r w:rsidR="00D93233">
        <w:rPr>
          <w:rFonts w:cs="Calibri"/>
          <w:sz w:val="24"/>
        </w:rPr>
        <w:t xml:space="preserve"> </w:t>
      </w:r>
      <w:r w:rsidR="0047031B">
        <w:rPr>
          <w:rFonts w:cs="Calibri"/>
          <w:sz w:val="24"/>
        </w:rPr>
        <w:t>the policy problem is</w:t>
      </w:r>
      <w:r w:rsidR="00FE6260">
        <w:rPr>
          <w:rFonts w:cs="Calibri"/>
          <w:sz w:val="24"/>
        </w:rPr>
        <w:t xml:space="preserve"> constituted</w:t>
      </w:r>
      <w:r w:rsidR="0047031B">
        <w:rPr>
          <w:rFonts w:cs="Calibri"/>
          <w:sz w:val="24"/>
        </w:rPr>
        <w:t>.</w:t>
      </w:r>
    </w:p>
    <w:p w14:paraId="1022B64F" w14:textId="77777777" w:rsidR="0067725E" w:rsidRPr="00366FD1" w:rsidRDefault="0067725E" w:rsidP="006B2DFA">
      <w:pPr>
        <w:tabs>
          <w:tab w:val="left" w:pos="8364"/>
          <w:tab w:val="left" w:pos="8789"/>
        </w:tabs>
        <w:spacing w:after="0" w:line="360" w:lineRule="auto"/>
        <w:rPr>
          <w:rFonts w:cs="Calibri"/>
          <w:sz w:val="24"/>
        </w:rPr>
      </w:pPr>
    </w:p>
    <w:p w14:paraId="2FA389AF" w14:textId="277E0693" w:rsidR="00B54F29" w:rsidRPr="00366FD1" w:rsidRDefault="00B54F29" w:rsidP="00531995">
      <w:pPr>
        <w:tabs>
          <w:tab w:val="left" w:pos="8505"/>
        </w:tabs>
        <w:spacing w:after="120" w:line="360" w:lineRule="auto"/>
        <w:rPr>
          <w:rFonts w:cs="Calibri"/>
          <w:sz w:val="24"/>
        </w:rPr>
      </w:pPr>
      <w:r w:rsidRPr="00366FD1">
        <w:rPr>
          <w:rFonts w:cs="Calibri"/>
          <w:sz w:val="24"/>
        </w:rPr>
        <w:lastRenderedPageBreak/>
        <w:t xml:space="preserve">In contrast, the </w:t>
      </w:r>
      <w:r w:rsidR="00A80822">
        <w:rPr>
          <w:rFonts w:cs="Calibri"/>
          <w:sz w:val="24"/>
        </w:rPr>
        <w:t xml:space="preserve">EBac </w:t>
      </w:r>
      <w:r w:rsidRPr="00366FD1">
        <w:rPr>
          <w:rFonts w:cs="Calibri"/>
          <w:sz w:val="24"/>
        </w:rPr>
        <w:t xml:space="preserve">section on </w:t>
      </w:r>
      <w:r w:rsidR="0067725E">
        <w:rPr>
          <w:rFonts w:cs="Calibri"/>
          <w:sz w:val="24"/>
        </w:rPr>
        <w:t>“</w:t>
      </w:r>
      <w:r w:rsidRPr="006B2DFA">
        <w:rPr>
          <w:sz w:val="24"/>
        </w:rPr>
        <w:t xml:space="preserve">promotion of </w:t>
      </w:r>
      <w:r w:rsidRPr="006B2DFA">
        <w:rPr>
          <w:rFonts w:cs="Calibri"/>
          <w:sz w:val="24"/>
        </w:rPr>
        <w:t>achievement</w:t>
      </w:r>
      <w:r w:rsidR="0067725E">
        <w:rPr>
          <w:rFonts w:cs="Calibri"/>
          <w:sz w:val="24"/>
        </w:rPr>
        <w:t>”</w:t>
      </w:r>
      <w:r w:rsidRPr="00366FD1">
        <w:rPr>
          <w:rFonts w:cs="Calibri"/>
          <w:sz w:val="24"/>
        </w:rPr>
        <w:t xml:space="preserve"> </w:t>
      </w:r>
      <w:r w:rsidR="009F62C6">
        <w:rPr>
          <w:rFonts w:cs="Calibri"/>
          <w:sz w:val="24"/>
        </w:rPr>
        <w:t>(</w:t>
      </w:r>
      <w:r w:rsidR="009F62C6" w:rsidRPr="00366FD1">
        <w:rPr>
          <w:rFonts w:cs="Calibri"/>
          <w:sz w:val="24"/>
        </w:rPr>
        <w:t>p.44</w:t>
      </w:r>
      <w:r w:rsidR="009F62C6">
        <w:rPr>
          <w:rFonts w:cs="Calibri"/>
          <w:sz w:val="24"/>
        </w:rPr>
        <w:t xml:space="preserve">) </w:t>
      </w:r>
      <w:r w:rsidRPr="00366FD1">
        <w:rPr>
          <w:rFonts w:cs="Calibri"/>
          <w:sz w:val="24"/>
        </w:rPr>
        <w:t>is written in future tense</w:t>
      </w:r>
      <w:r w:rsidR="0067725E">
        <w:rPr>
          <w:rFonts w:cs="Calibri"/>
          <w:sz w:val="24"/>
        </w:rPr>
        <w:t>,</w:t>
      </w:r>
      <w:r w:rsidRPr="00366FD1">
        <w:rPr>
          <w:rFonts w:cs="Calibri"/>
          <w:sz w:val="24"/>
        </w:rPr>
        <w:t xml:space="preserve"> stressing plans that will be </w:t>
      </w:r>
      <w:r w:rsidR="00D93233">
        <w:rPr>
          <w:rFonts w:cs="Calibri"/>
          <w:sz w:val="24"/>
        </w:rPr>
        <w:t>enacted</w:t>
      </w:r>
      <w:r w:rsidRPr="00366FD1">
        <w:rPr>
          <w:rFonts w:cs="Calibri"/>
          <w:sz w:val="24"/>
        </w:rPr>
        <w:t xml:space="preserve"> to improve education for all</w:t>
      </w:r>
      <w:r w:rsidR="0047031B">
        <w:rPr>
          <w:rFonts w:cs="Calibri"/>
          <w:sz w:val="24"/>
        </w:rPr>
        <w:t>.</w:t>
      </w:r>
    </w:p>
    <w:p w14:paraId="2FE5C515" w14:textId="2D3EDF3E" w:rsidR="00B54F29" w:rsidRPr="00366FD1" w:rsidRDefault="00B54F29" w:rsidP="00531995">
      <w:pPr>
        <w:tabs>
          <w:tab w:val="left" w:pos="8505"/>
        </w:tabs>
        <w:spacing w:after="120" w:line="240" w:lineRule="auto"/>
        <w:ind w:left="720"/>
        <w:rPr>
          <w:rFonts w:cs="Calibri"/>
          <w:sz w:val="24"/>
        </w:rPr>
      </w:pPr>
      <w:r w:rsidRPr="00366FD1">
        <w:rPr>
          <w:rFonts w:cs="Calibri"/>
          <w:sz w:val="24"/>
        </w:rPr>
        <w:t>In order to encourage and facilitate a more rounded educational experience for all students we will create a new way of recognising those students, and schools who succeed in achieving real breadth, (</w:t>
      </w:r>
      <w:r w:rsidR="009F62C6">
        <w:rPr>
          <w:rFonts w:cs="Calibri"/>
          <w:sz w:val="24"/>
        </w:rPr>
        <w:t>DfE</w:t>
      </w:r>
      <w:r w:rsidRPr="00366FD1">
        <w:rPr>
          <w:rFonts w:cs="Calibri"/>
          <w:sz w:val="24"/>
        </w:rPr>
        <w:t>, 2010).</w:t>
      </w:r>
    </w:p>
    <w:p w14:paraId="1CC68D8C" w14:textId="60388205" w:rsidR="00B54F29" w:rsidRPr="00366FD1" w:rsidRDefault="00B54F29" w:rsidP="00985CFB">
      <w:pPr>
        <w:tabs>
          <w:tab w:val="left" w:pos="8505"/>
        </w:tabs>
        <w:spacing w:line="360" w:lineRule="auto"/>
        <w:rPr>
          <w:rFonts w:cs="Calibri"/>
          <w:sz w:val="24"/>
        </w:rPr>
      </w:pPr>
      <w:r w:rsidRPr="00366FD1">
        <w:rPr>
          <w:rFonts w:cs="Calibri"/>
          <w:sz w:val="24"/>
        </w:rPr>
        <w:t>The use of this tense</w:t>
      </w:r>
      <w:r w:rsidR="00D93233">
        <w:rPr>
          <w:rFonts w:cs="Calibri"/>
          <w:sz w:val="24"/>
        </w:rPr>
        <w:t xml:space="preserve"> </w:t>
      </w:r>
      <w:r w:rsidRPr="00366FD1">
        <w:rPr>
          <w:rFonts w:cs="Calibri"/>
          <w:sz w:val="24"/>
        </w:rPr>
        <w:t>suggest</w:t>
      </w:r>
      <w:r w:rsidR="00D93233">
        <w:rPr>
          <w:rFonts w:cs="Calibri"/>
          <w:sz w:val="24"/>
        </w:rPr>
        <w:t>s</w:t>
      </w:r>
      <w:r w:rsidRPr="00366FD1">
        <w:rPr>
          <w:rFonts w:cs="Calibri"/>
          <w:sz w:val="24"/>
        </w:rPr>
        <w:t xml:space="preserve"> that most </w:t>
      </w:r>
      <w:r>
        <w:rPr>
          <w:rFonts w:cs="Calibri"/>
          <w:sz w:val="24"/>
        </w:rPr>
        <w:t>students</w:t>
      </w:r>
      <w:r w:rsidR="00D93233">
        <w:rPr>
          <w:rFonts w:cs="Calibri"/>
          <w:sz w:val="24"/>
        </w:rPr>
        <w:t xml:space="preserve"> </w:t>
      </w:r>
      <w:r w:rsidR="00FE6260" w:rsidRPr="00366FD1">
        <w:rPr>
          <w:rFonts w:cs="Calibri"/>
          <w:sz w:val="24"/>
        </w:rPr>
        <w:t>are</w:t>
      </w:r>
      <w:r w:rsidR="00FE6260">
        <w:rPr>
          <w:rFonts w:cs="Calibri"/>
          <w:sz w:val="24"/>
        </w:rPr>
        <w:t xml:space="preserve"> </w:t>
      </w:r>
      <w:r w:rsidR="00D93233">
        <w:rPr>
          <w:rFonts w:cs="Calibri"/>
          <w:sz w:val="24"/>
        </w:rPr>
        <w:t xml:space="preserve">currently </w:t>
      </w:r>
      <w:r w:rsidRPr="00366FD1">
        <w:rPr>
          <w:rFonts w:cs="Calibri"/>
          <w:sz w:val="24"/>
        </w:rPr>
        <w:t>subject</w:t>
      </w:r>
      <w:r w:rsidR="00D93233">
        <w:rPr>
          <w:rFonts w:cs="Calibri"/>
          <w:sz w:val="24"/>
        </w:rPr>
        <w:t>ed</w:t>
      </w:r>
      <w:r w:rsidRPr="00366FD1">
        <w:rPr>
          <w:rFonts w:cs="Calibri"/>
          <w:sz w:val="24"/>
        </w:rPr>
        <w:t xml:space="preserve"> to a </w:t>
      </w:r>
      <w:r w:rsidR="00D93233">
        <w:rPr>
          <w:rFonts w:cs="Calibri"/>
          <w:sz w:val="24"/>
        </w:rPr>
        <w:t xml:space="preserve">narrow </w:t>
      </w:r>
      <w:r w:rsidRPr="00366FD1">
        <w:rPr>
          <w:rFonts w:cs="Calibri"/>
          <w:sz w:val="24"/>
        </w:rPr>
        <w:t>curriculum</w:t>
      </w:r>
      <w:r w:rsidR="0067725E">
        <w:rPr>
          <w:rFonts w:cs="Calibri"/>
          <w:sz w:val="24"/>
        </w:rPr>
        <w:t>,</w:t>
      </w:r>
      <w:r w:rsidR="00985CFB">
        <w:rPr>
          <w:rFonts w:cs="Calibri"/>
          <w:sz w:val="24"/>
        </w:rPr>
        <w:t xml:space="preserve"> which these policy solutions overcome.</w:t>
      </w:r>
    </w:p>
    <w:p w14:paraId="08310250" w14:textId="3C4B9932" w:rsidR="00B54F29" w:rsidRPr="00366FD1" w:rsidRDefault="00B54F29" w:rsidP="003B1135">
      <w:pPr>
        <w:tabs>
          <w:tab w:val="left" w:pos="8789"/>
        </w:tabs>
        <w:spacing w:line="360" w:lineRule="auto"/>
        <w:rPr>
          <w:rFonts w:cs="Calibri"/>
          <w:sz w:val="24"/>
        </w:rPr>
      </w:pPr>
      <w:r w:rsidRPr="00366FD1">
        <w:rPr>
          <w:rFonts w:cs="Calibri"/>
          <w:sz w:val="24"/>
        </w:rPr>
        <w:t>The foreword by the PM/DPM begins with a present perfect simple statement: “So much of the education debate in this country is backward looking: have standards fallen?” (p.3)</w:t>
      </w:r>
      <w:r w:rsidR="0053704A">
        <w:rPr>
          <w:rFonts w:cs="Calibri"/>
          <w:sz w:val="24"/>
        </w:rPr>
        <w:t>, t</w:t>
      </w:r>
      <w:r w:rsidRPr="00366FD1">
        <w:rPr>
          <w:rFonts w:cs="Calibri"/>
          <w:sz w:val="24"/>
        </w:rPr>
        <w:t>he text is framed in an unquestionable, universal manner and the assumptions are based on this definit</w:t>
      </w:r>
      <w:r w:rsidR="009F62C6">
        <w:rPr>
          <w:rFonts w:cs="Calibri"/>
          <w:sz w:val="24"/>
        </w:rPr>
        <w:t>ive</w:t>
      </w:r>
      <w:r w:rsidRPr="00366FD1">
        <w:rPr>
          <w:rFonts w:cs="Calibri"/>
          <w:sz w:val="24"/>
        </w:rPr>
        <w:t xml:space="preserve"> starting premise. Likewise, in 4.20, the section begins with a general action</w:t>
      </w:r>
      <w:r w:rsidR="0067725E">
        <w:rPr>
          <w:rFonts w:cs="Calibri"/>
          <w:sz w:val="24"/>
        </w:rPr>
        <w:t xml:space="preserve"> that is</w:t>
      </w:r>
      <w:r w:rsidRPr="00366FD1">
        <w:rPr>
          <w:rFonts w:cs="Calibri"/>
          <w:sz w:val="24"/>
        </w:rPr>
        <w:t xml:space="preserve"> </w:t>
      </w:r>
      <w:r w:rsidR="003B1135">
        <w:rPr>
          <w:rFonts w:cs="Calibri"/>
          <w:sz w:val="24"/>
        </w:rPr>
        <w:t>presented as a truth</w:t>
      </w:r>
      <w:r w:rsidRPr="00366FD1">
        <w:rPr>
          <w:rFonts w:cs="Calibri"/>
          <w:sz w:val="24"/>
        </w:rPr>
        <w:t xml:space="preserve">: “In order to encourage and facilitate a more rounded educational experience for all students” (p.44). </w:t>
      </w:r>
      <w:r w:rsidR="003B1135">
        <w:rPr>
          <w:rFonts w:cs="Calibri"/>
          <w:sz w:val="24"/>
        </w:rPr>
        <w:t>T</w:t>
      </w:r>
      <w:r w:rsidRPr="00366FD1">
        <w:rPr>
          <w:rFonts w:cs="Calibri"/>
          <w:sz w:val="24"/>
        </w:rPr>
        <w:t xml:space="preserve">his section </w:t>
      </w:r>
      <w:r w:rsidR="003B1135">
        <w:rPr>
          <w:rFonts w:cs="Calibri"/>
          <w:sz w:val="24"/>
        </w:rPr>
        <w:t>then</w:t>
      </w:r>
      <w:r w:rsidRPr="00366FD1">
        <w:rPr>
          <w:rFonts w:cs="Calibri"/>
          <w:sz w:val="24"/>
        </w:rPr>
        <w:t xml:space="preserve"> present</w:t>
      </w:r>
      <w:r w:rsidR="003B1135">
        <w:rPr>
          <w:rFonts w:cs="Calibri"/>
          <w:sz w:val="24"/>
        </w:rPr>
        <w:t>s the solution</w:t>
      </w:r>
      <w:r w:rsidR="0067725E">
        <w:rPr>
          <w:rFonts w:cs="Calibri"/>
          <w:sz w:val="24"/>
        </w:rPr>
        <w:t>:</w:t>
      </w:r>
      <w:r w:rsidRPr="00366FD1">
        <w:rPr>
          <w:rFonts w:cs="Calibri"/>
          <w:sz w:val="24"/>
        </w:rPr>
        <w:t xml:space="preserve"> “so we will introduce a new award – the English Baccalaureate” (p.44)</w:t>
      </w:r>
      <w:r>
        <w:rPr>
          <w:rFonts w:cs="Calibri"/>
          <w:sz w:val="24"/>
        </w:rPr>
        <w:t>. Th</w:t>
      </w:r>
      <w:r w:rsidRPr="00366FD1">
        <w:rPr>
          <w:rFonts w:cs="Calibri"/>
          <w:sz w:val="24"/>
        </w:rPr>
        <w:t xml:space="preserve">e remainder of this section </w:t>
      </w:r>
      <w:r w:rsidR="003B1135">
        <w:rPr>
          <w:rFonts w:cs="Calibri"/>
          <w:sz w:val="24"/>
        </w:rPr>
        <w:t>gives</w:t>
      </w:r>
      <w:r w:rsidRPr="00366FD1">
        <w:rPr>
          <w:rFonts w:cs="Calibri"/>
          <w:sz w:val="24"/>
        </w:rPr>
        <w:t xml:space="preserve"> future actions and benefits based on the initial premise.</w:t>
      </w:r>
    </w:p>
    <w:p w14:paraId="5B32715B" w14:textId="06D852D6" w:rsidR="00B54F29" w:rsidRPr="00366FD1" w:rsidRDefault="00B54F29" w:rsidP="00531995">
      <w:pPr>
        <w:spacing w:after="120" w:line="360" w:lineRule="auto"/>
        <w:rPr>
          <w:rFonts w:cs="Calibri"/>
          <w:sz w:val="24"/>
        </w:rPr>
      </w:pPr>
      <w:r w:rsidRPr="00366FD1">
        <w:rPr>
          <w:rFonts w:cs="Calibri"/>
          <w:sz w:val="24"/>
        </w:rPr>
        <w:t>There is limited use of the past simple tense</w:t>
      </w:r>
      <w:r w:rsidR="0067725E" w:rsidRPr="0067725E">
        <w:rPr>
          <w:rFonts w:cs="Calibri"/>
          <w:sz w:val="24"/>
        </w:rPr>
        <w:t xml:space="preserve"> </w:t>
      </w:r>
      <w:r w:rsidR="0067725E" w:rsidRPr="00366FD1">
        <w:rPr>
          <w:rFonts w:cs="Calibri"/>
          <w:sz w:val="24"/>
        </w:rPr>
        <w:t>in both forewords</w:t>
      </w:r>
      <w:r w:rsidRPr="00366FD1">
        <w:rPr>
          <w:rFonts w:cs="Calibri"/>
          <w:sz w:val="24"/>
        </w:rPr>
        <w:t xml:space="preserve">. This tense is often used in order to represent a past event </w:t>
      </w:r>
      <w:r w:rsidR="0067725E">
        <w:rPr>
          <w:rFonts w:cs="Calibri"/>
          <w:sz w:val="24"/>
        </w:rPr>
        <w:t>that is</w:t>
      </w:r>
      <w:r w:rsidRPr="00366FD1">
        <w:rPr>
          <w:rFonts w:cs="Calibri"/>
          <w:sz w:val="24"/>
        </w:rPr>
        <w:t xml:space="preserve"> no longer important or relevant. Any reference to past events in these texts is used to demonstrate how this policy overcome</w:t>
      </w:r>
      <w:r w:rsidR="0096567B">
        <w:rPr>
          <w:rFonts w:cs="Calibri"/>
          <w:sz w:val="24"/>
        </w:rPr>
        <w:t>s</w:t>
      </w:r>
      <w:r w:rsidRPr="00366FD1">
        <w:rPr>
          <w:rFonts w:cs="Calibri"/>
          <w:sz w:val="24"/>
        </w:rPr>
        <w:t xml:space="preserve"> a previous problem, usually with the implication that the Labour </w:t>
      </w:r>
      <w:r w:rsidR="00A80822">
        <w:rPr>
          <w:rFonts w:cs="Calibri"/>
          <w:sz w:val="24"/>
        </w:rPr>
        <w:t>g</w:t>
      </w:r>
      <w:r w:rsidRPr="00366FD1">
        <w:rPr>
          <w:rFonts w:cs="Calibri"/>
          <w:sz w:val="24"/>
        </w:rPr>
        <w:t>overnment either contributed</w:t>
      </w:r>
      <w:r w:rsidR="0067725E">
        <w:rPr>
          <w:rFonts w:cs="Calibri"/>
          <w:sz w:val="24"/>
        </w:rPr>
        <w:t xml:space="preserve"> to</w:t>
      </w:r>
      <w:r w:rsidRPr="00366FD1">
        <w:rPr>
          <w:rFonts w:cs="Calibri"/>
          <w:sz w:val="24"/>
        </w:rPr>
        <w:t xml:space="preserve"> or created </w:t>
      </w:r>
      <w:r w:rsidR="0067725E">
        <w:rPr>
          <w:rFonts w:cs="Calibri"/>
          <w:sz w:val="24"/>
        </w:rPr>
        <w:t>it</w:t>
      </w:r>
      <w:r w:rsidRPr="00366FD1">
        <w:rPr>
          <w:rFonts w:cs="Calibri"/>
          <w:sz w:val="24"/>
        </w:rPr>
        <w:t>. For example, in the White Paper Speech:</w:t>
      </w:r>
    </w:p>
    <w:p w14:paraId="39339609" w14:textId="45526AD3" w:rsidR="00B54F29" w:rsidRPr="00366FD1" w:rsidRDefault="00B54F29" w:rsidP="00531995">
      <w:pPr>
        <w:spacing w:after="240" w:line="240" w:lineRule="auto"/>
        <w:ind w:left="720"/>
        <w:rPr>
          <w:rFonts w:cs="Calibri"/>
          <w:sz w:val="24"/>
        </w:rPr>
      </w:pPr>
      <w:r w:rsidRPr="00366FD1">
        <w:rPr>
          <w:rFonts w:cs="Calibri"/>
          <w:sz w:val="24"/>
        </w:rPr>
        <w:t>In the last three years of the previous Government, reform went into reverse. Schools lost freedoms, the curriculum lost rigour and Labour lost its way (p2).</w:t>
      </w:r>
    </w:p>
    <w:p w14:paraId="69B6F772" w14:textId="4653D45B" w:rsidR="00A80822" w:rsidRDefault="00B54F29" w:rsidP="00381190">
      <w:pPr>
        <w:tabs>
          <w:tab w:val="left" w:pos="8364"/>
          <w:tab w:val="left" w:pos="8647"/>
        </w:tabs>
        <w:spacing w:line="360" w:lineRule="auto"/>
        <w:rPr>
          <w:rFonts w:cs="Calibri"/>
          <w:sz w:val="24"/>
        </w:rPr>
      </w:pPr>
      <w:r w:rsidRPr="00366FD1">
        <w:rPr>
          <w:rFonts w:cs="Calibri"/>
          <w:sz w:val="24"/>
        </w:rPr>
        <w:t xml:space="preserve">The addendum also begins with a present simple tense statement presented as </w:t>
      </w:r>
      <w:r w:rsidR="0067725E">
        <w:rPr>
          <w:rFonts w:cs="Calibri"/>
          <w:sz w:val="24"/>
        </w:rPr>
        <w:t xml:space="preserve">an </w:t>
      </w:r>
      <w:r w:rsidRPr="00366FD1">
        <w:rPr>
          <w:rFonts w:cs="Calibri"/>
          <w:sz w:val="24"/>
        </w:rPr>
        <w:t>unquestionable “truth”</w:t>
      </w:r>
      <w:r w:rsidR="0067725E">
        <w:rPr>
          <w:rFonts w:cs="Calibri"/>
          <w:sz w:val="24"/>
        </w:rPr>
        <w:t>;</w:t>
      </w:r>
      <w:r w:rsidRPr="00366FD1">
        <w:rPr>
          <w:rFonts w:cs="Calibri"/>
          <w:sz w:val="24"/>
        </w:rPr>
        <w:t xml:space="preserve"> however, in this case, the agent is explicitly the </w:t>
      </w:r>
      <w:r w:rsidR="001A039C">
        <w:rPr>
          <w:rFonts w:cs="Calibri"/>
          <w:sz w:val="24"/>
        </w:rPr>
        <w:t>g</w:t>
      </w:r>
      <w:r w:rsidRPr="00366FD1">
        <w:rPr>
          <w:rFonts w:cs="Calibri"/>
          <w:sz w:val="24"/>
        </w:rPr>
        <w:t xml:space="preserve">overnment. “The Government believes that schools should offer pupils a broad range of academic subjects to age 16, and the English Baccalaureate </w:t>
      </w:r>
      <w:r w:rsidR="00010496">
        <w:rPr>
          <w:rFonts w:cs="Calibri"/>
          <w:sz w:val="24"/>
        </w:rPr>
        <w:t xml:space="preserve">… </w:t>
      </w:r>
      <w:r w:rsidRPr="00366FD1">
        <w:rPr>
          <w:rFonts w:cs="Calibri"/>
          <w:sz w:val="24"/>
        </w:rPr>
        <w:t xml:space="preserve"> promotes that aspiration”</w:t>
      </w:r>
      <w:r>
        <w:rPr>
          <w:rFonts w:cs="Calibri"/>
          <w:sz w:val="24"/>
        </w:rPr>
        <w:t xml:space="preserve"> (p.2)</w:t>
      </w:r>
      <w:r w:rsidRPr="00366FD1">
        <w:rPr>
          <w:rFonts w:cs="Calibri"/>
          <w:sz w:val="24"/>
        </w:rPr>
        <w:t xml:space="preserve">. The belief is as described, but the bold statement </w:t>
      </w:r>
      <w:r w:rsidR="0067725E">
        <w:rPr>
          <w:rFonts w:cs="Calibri"/>
          <w:sz w:val="24"/>
        </w:rPr>
        <w:t xml:space="preserve">is </w:t>
      </w:r>
      <w:r w:rsidRPr="00366FD1">
        <w:rPr>
          <w:rFonts w:cs="Calibri"/>
          <w:sz w:val="24"/>
        </w:rPr>
        <w:t xml:space="preserve">that the EBac, without debate </w:t>
      </w:r>
      <w:r w:rsidRPr="00FF0DAA">
        <w:rPr>
          <w:rFonts w:cs="Calibri"/>
          <w:sz w:val="24"/>
        </w:rPr>
        <w:t>or evidence, allow</w:t>
      </w:r>
      <w:r w:rsidR="00022A57">
        <w:rPr>
          <w:rFonts w:cs="Calibri"/>
          <w:sz w:val="24"/>
        </w:rPr>
        <w:t>s</w:t>
      </w:r>
      <w:r w:rsidRPr="00FF0DAA">
        <w:rPr>
          <w:rFonts w:cs="Calibri"/>
          <w:sz w:val="24"/>
        </w:rPr>
        <w:t xml:space="preserve"> a broad range of academic subjects to be studied. The idea that this policy may lead to additional problems is not considered.</w:t>
      </w:r>
      <w:r w:rsidR="009F62C6">
        <w:rPr>
          <w:rFonts w:cs="Calibri"/>
          <w:sz w:val="24"/>
        </w:rPr>
        <w:t xml:space="preserve"> </w:t>
      </w:r>
      <w:r w:rsidR="00DF24E7">
        <w:rPr>
          <w:rFonts w:cs="Calibri"/>
          <w:sz w:val="24"/>
        </w:rPr>
        <w:t xml:space="preserve">PA </w:t>
      </w:r>
      <w:r w:rsidR="00381190">
        <w:rPr>
          <w:rFonts w:cs="Calibri"/>
          <w:sz w:val="24"/>
        </w:rPr>
        <w:t xml:space="preserve">highlights that </w:t>
      </w:r>
      <w:r w:rsidR="00FE6260">
        <w:rPr>
          <w:rFonts w:cs="Calibri"/>
          <w:sz w:val="24"/>
        </w:rPr>
        <w:t xml:space="preserve">recommended </w:t>
      </w:r>
      <w:r w:rsidR="00381190">
        <w:rPr>
          <w:rFonts w:cs="Calibri"/>
          <w:sz w:val="24"/>
        </w:rPr>
        <w:t xml:space="preserve">policy solutions </w:t>
      </w:r>
      <w:r w:rsidR="00381190">
        <w:rPr>
          <w:rFonts w:cs="Calibri"/>
          <w:sz w:val="24"/>
        </w:rPr>
        <w:lastRenderedPageBreak/>
        <w:t>privilege some choices</w:t>
      </w:r>
      <w:r w:rsidR="00CA363D">
        <w:rPr>
          <w:rFonts w:cs="Calibri"/>
          <w:sz w:val="24"/>
        </w:rPr>
        <w:t>, in this case the promotion of set GCSE academic subjects for all,</w:t>
      </w:r>
      <w:r w:rsidR="00381190">
        <w:rPr>
          <w:rFonts w:cs="Calibri"/>
          <w:sz w:val="24"/>
        </w:rPr>
        <w:t xml:space="preserve"> over</w:t>
      </w:r>
      <w:r w:rsidR="00CA363D">
        <w:rPr>
          <w:rFonts w:cs="Calibri"/>
          <w:sz w:val="24"/>
        </w:rPr>
        <w:t xml:space="preserve"> other choices such as</w:t>
      </w:r>
      <w:r w:rsidR="00550969">
        <w:rPr>
          <w:rFonts w:cs="Calibri"/>
          <w:sz w:val="24"/>
        </w:rPr>
        <w:t xml:space="preserve"> </w:t>
      </w:r>
      <w:r w:rsidR="00CA363D">
        <w:rPr>
          <w:rFonts w:cs="Calibri"/>
          <w:sz w:val="24"/>
        </w:rPr>
        <w:t>individualised programmes of study.</w:t>
      </w:r>
    </w:p>
    <w:p w14:paraId="0CE4310F" w14:textId="44E625C7" w:rsidR="00A80822" w:rsidRDefault="0067725E" w:rsidP="00B54F29">
      <w:pPr>
        <w:spacing w:line="360" w:lineRule="auto"/>
        <w:rPr>
          <w:rFonts w:cs="Calibri"/>
          <w:sz w:val="24"/>
        </w:rPr>
      </w:pPr>
      <w:r>
        <w:rPr>
          <w:rFonts w:cs="Calibri"/>
          <w:sz w:val="24"/>
        </w:rPr>
        <w:t xml:space="preserve">Relating this to my </w:t>
      </w:r>
      <w:r w:rsidR="00A80822">
        <w:rPr>
          <w:rFonts w:cs="Calibri"/>
          <w:sz w:val="24"/>
        </w:rPr>
        <w:t>first research question</w:t>
      </w:r>
      <w:r>
        <w:rPr>
          <w:rFonts w:cs="Calibri"/>
          <w:sz w:val="24"/>
        </w:rPr>
        <w:t>,</w:t>
      </w:r>
      <w:r w:rsidR="00A80822">
        <w:rPr>
          <w:rFonts w:cs="Calibri"/>
          <w:sz w:val="24"/>
        </w:rPr>
        <w:t xml:space="preserve"> the tense</w:t>
      </w:r>
      <w:r>
        <w:rPr>
          <w:rFonts w:cs="Calibri"/>
          <w:sz w:val="24"/>
        </w:rPr>
        <w:t>s</w:t>
      </w:r>
      <w:r w:rsidR="00A80822">
        <w:rPr>
          <w:rFonts w:cs="Calibri"/>
          <w:sz w:val="24"/>
        </w:rPr>
        <w:t xml:space="preserve"> and aspect</w:t>
      </w:r>
      <w:r>
        <w:rPr>
          <w:rFonts w:cs="Calibri"/>
          <w:sz w:val="24"/>
        </w:rPr>
        <w:t>s</w:t>
      </w:r>
      <w:r w:rsidR="00A80822">
        <w:rPr>
          <w:rFonts w:cs="Calibri"/>
          <w:sz w:val="24"/>
        </w:rPr>
        <w:t xml:space="preserve"> used</w:t>
      </w:r>
      <w:r>
        <w:rPr>
          <w:rFonts w:cs="Calibri"/>
          <w:sz w:val="24"/>
        </w:rPr>
        <w:t xml:space="preserve"> </w:t>
      </w:r>
      <w:r w:rsidR="00A80822">
        <w:rPr>
          <w:rFonts w:cs="Calibri"/>
          <w:sz w:val="24"/>
        </w:rPr>
        <w:t>highlight the pol</w:t>
      </w:r>
      <w:r w:rsidR="004823DE">
        <w:rPr>
          <w:rFonts w:cs="Calibri"/>
          <w:sz w:val="24"/>
        </w:rPr>
        <w:t xml:space="preserve">icy imperatives in a directive manner. </w:t>
      </w:r>
      <w:r>
        <w:rPr>
          <w:rFonts w:cs="Calibri"/>
          <w:sz w:val="24"/>
        </w:rPr>
        <w:t>T</w:t>
      </w:r>
      <w:r w:rsidR="004823DE">
        <w:rPr>
          <w:rFonts w:cs="Calibri"/>
          <w:sz w:val="24"/>
        </w:rPr>
        <w:t>he social networks</w:t>
      </w:r>
      <w:r>
        <w:rPr>
          <w:rFonts w:cs="Calibri"/>
          <w:sz w:val="24"/>
        </w:rPr>
        <w:t>, in PA terms,</w:t>
      </w:r>
      <w:r w:rsidR="004823DE">
        <w:rPr>
          <w:rFonts w:cs="Calibri"/>
          <w:sz w:val="24"/>
        </w:rPr>
        <w:t xml:space="preserve"> </w:t>
      </w:r>
      <w:r>
        <w:rPr>
          <w:rFonts w:cs="Calibri"/>
          <w:sz w:val="24"/>
        </w:rPr>
        <w:t>can be identified within the White Paper. These are evident in the</w:t>
      </w:r>
      <w:r w:rsidR="004823DE">
        <w:rPr>
          <w:rFonts w:cs="Calibri"/>
          <w:sz w:val="24"/>
        </w:rPr>
        <w:t xml:space="preserve"> </w:t>
      </w:r>
      <w:r w:rsidR="007B02BC">
        <w:rPr>
          <w:rFonts w:cs="Calibri"/>
          <w:sz w:val="24"/>
        </w:rPr>
        <w:t xml:space="preserve">ideological and practical changes from </w:t>
      </w:r>
      <w:r>
        <w:rPr>
          <w:rFonts w:cs="Calibri"/>
          <w:sz w:val="24"/>
        </w:rPr>
        <w:t xml:space="preserve">the </w:t>
      </w:r>
      <w:r w:rsidR="004823DE">
        <w:rPr>
          <w:rFonts w:cs="Calibri"/>
          <w:sz w:val="24"/>
        </w:rPr>
        <w:t>previous government</w:t>
      </w:r>
      <w:r>
        <w:rPr>
          <w:rFonts w:cs="Calibri"/>
          <w:sz w:val="24"/>
        </w:rPr>
        <w:t>,</w:t>
      </w:r>
      <w:r w:rsidR="004823DE">
        <w:rPr>
          <w:rFonts w:cs="Calibri"/>
          <w:sz w:val="24"/>
        </w:rPr>
        <w:t xml:space="preserve"> a</w:t>
      </w:r>
      <w:r w:rsidR="007B02BC">
        <w:rPr>
          <w:rFonts w:cs="Calibri"/>
          <w:sz w:val="24"/>
        </w:rPr>
        <w:t>long with the concern over the perceived declining educational standards using international measures and the continuing attainment gap between disadvantaged (FSM) students and all others</w:t>
      </w:r>
      <w:r>
        <w:rPr>
          <w:rFonts w:cs="Calibri"/>
          <w:sz w:val="24"/>
        </w:rPr>
        <w:t>, culminating</w:t>
      </w:r>
      <w:r w:rsidR="007B02BC">
        <w:rPr>
          <w:rFonts w:cs="Calibri"/>
          <w:sz w:val="24"/>
        </w:rPr>
        <w:t xml:space="preserve"> </w:t>
      </w:r>
      <w:r w:rsidR="004823DE">
        <w:rPr>
          <w:rFonts w:cs="Calibri"/>
          <w:sz w:val="24"/>
        </w:rPr>
        <w:t>with the White Paper categorically stating the policy solution arena and the legitimate policy solutions of the Coalition government.</w:t>
      </w:r>
    </w:p>
    <w:p w14:paraId="7543A2BF" w14:textId="54E5F813" w:rsidR="00B54F29" w:rsidRPr="00FF0DAA" w:rsidRDefault="00B54F29" w:rsidP="00531995">
      <w:pPr>
        <w:pStyle w:val="Heading3"/>
      </w:pPr>
      <w:bookmarkStart w:id="79" w:name="_Toc452316363"/>
      <w:r w:rsidRPr="00FF0DAA">
        <w:t>4.</w:t>
      </w:r>
      <w:r w:rsidR="00396F91">
        <w:t>2.</w:t>
      </w:r>
      <w:r>
        <w:t>5</w:t>
      </w:r>
      <w:r w:rsidRPr="00FF0DAA">
        <w:t xml:space="preserve"> Adjectives/ Adverbs/ Nouns/</w:t>
      </w:r>
      <w:r w:rsidR="00820C05">
        <w:t xml:space="preserve"> </w:t>
      </w:r>
      <w:r w:rsidRPr="00FF0DAA">
        <w:t>Verbal Processes</w:t>
      </w:r>
      <w:bookmarkEnd w:id="79"/>
    </w:p>
    <w:p w14:paraId="3EC75DF1" w14:textId="516A572D" w:rsidR="00B54F29" w:rsidRDefault="00B54F29" w:rsidP="000A222C">
      <w:pPr>
        <w:tabs>
          <w:tab w:val="left" w:pos="8647"/>
        </w:tabs>
        <w:spacing w:after="0" w:line="360" w:lineRule="auto"/>
        <w:rPr>
          <w:rFonts w:cs="Calibri"/>
          <w:sz w:val="24"/>
        </w:rPr>
      </w:pPr>
      <w:r w:rsidRPr="00FF0DAA">
        <w:rPr>
          <w:rFonts w:cs="Calibri"/>
          <w:sz w:val="24"/>
        </w:rPr>
        <w:t>The texts contain a large number of “loaded, dramatic, and stereotypical adjectives, adverbs and nouns” (</w:t>
      </w:r>
      <w:r w:rsidR="009A28B3">
        <w:rPr>
          <w:rFonts w:cs="Calibri"/>
          <w:sz w:val="24"/>
        </w:rPr>
        <w:t>Hyatt</w:t>
      </w:r>
      <w:r w:rsidR="0067725E">
        <w:rPr>
          <w:rFonts w:cs="Calibri"/>
          <w:sz w:val="24"/>
        </w:rPr>
        <w:t>,</w:t>
      </w:r>
      <w:r w:rsidR="009A28B3">
        <w:rPr>
          <w:rFonts w:cs="Calibri"/>
          <w:sz w:val="24"/>
        </w:rPr>
        <w:t xml:space="preserve"> 2010</w:t>
      </w:r>
      <w:r w:rsidR="0067725E">
        <w:rPr>
          <w:rFonts w:cs="Calibri"/>
          <w:sz w:val="24"/>
        </w:rPr>
        <w:t>,</w:t>
      </w:r>
      <w:r w:rsidR="009A28B3">
        <w:rPr>
          <w:rFonts w:cs="Calibri"/>
          <w:sz w:val="24"/>
        </w:rPr>
        <w:t xml:space="preserve"> p.2</w:t>
      </w:r>
      <w:r w:rsidRPr="00FF0DAA">
        <w:rPr>
          <w:rFonts w:cs="Calibri"/>
          <w:sz w:val="24"/>
        </w:rPr>
        <w:t>) which serve to reinforce</w:t>
      </w:r>
      <w:r w:rsidR="00550969">
        <w:rPr>
          <w:rFonts w:cs="Calibri"/>
          <w:sz w:val="24"/>
        </w:rPr>
        <w:t>:</w:t>
      </w:r>
      <w:r w:rsidRPr="00FF0DAA">
        <w:rPr>
          <w:rFonts w:cs="Calibri"/>
          <w:sz w:val="24"/>
        </w:rPr>
        <w:t xml:space="preserve"> the “truth” of the situation</w:t>
      </w:r>
      <w:r w:rsidR="00550969">
        <w:rPr>
          <w:rFonts w:cs="Calibri"/>
          <w:sz w:val="24"/>
        </w:rPr>
        <w:t xml:space="preserve">; the </w:t>
      </w:r>
      <w:r w:rsidRPr="00FF0DAA">
        <w:rPr>
          <w:rFonts w:cs="Calibri"/>
          <w:sz w:val="24"/>
        </w:rPr>
        <w:t>authors</w:t>
      </w:r>
      <w:r w:rsidR="0067725E">
        <w:rPr>
          <w:rFonts w:cs="Calibri"/>
          <w:sz w:val="24"/>
        </w:rPr>
        <w:t>’</w:t>
      </w:r>
      <w:r w:rsidR="00396F91">
        <w:rPr>
          <w:rFonts w:cs="Calibri"/>
          <w:sz w:val="24"/>
        </w:rPr>
        <w:t xml:space="preserve"> knowledge</w:t>
      </w:r>
      <w:r w:rsidR="0067725E">
        <w:rPr>
          <w:rFonts w:cs="Calibri"/>
          <w:sz w:val="24"/>
        </w:rPr>
        <w:t>,</w:t>
      </w:r>
      <w:r w:rsidR="00550969">
        <w:rPr>
          <w:rFonts w:cs="Calibri"/>
          <w:sz w:val="24"/>
        </w:rPr>
        <w:t xml:space="preserve"> and </w:t>
      </w:r>
      <w:r w:rsidRPr="00FF0DAA">
        <w:rPr>
          <w:rFonts w:cs="Calibri"/>
          <w:sz w:val="24"/>
        </w:rPr>
        <w:t>solutions to the problems</w:t>
      </w:r>
      <w:r w:rsidR="00C31737">
        <w:rPr>
          <w:rFonts w:cs="Calibri"/>
          <w:sz w:val="24"/>
        </w:rPr>
        <w:t xml:space="preserve"> (</w:t>
      </w:r>
      <w:r w:rsidR="0067725E">
        <w:rPr>
          <w:rFonts w:cs="Calibri"/>
          <w:sz w:val="24"/>
        </w:rPr>
        <w:t>A</w:t>
      </w:r>
      <w:r w:rsidR="00C31737">
        <w:rPr>
          <w:rFonts w:cs="Calibri"/>
          <w:sz w:val="24"/>
        </w:rPr>
        <w:t>rena 3)</w:t>
      </w:r>
      <w:r w:rsidRPr="00FF0DAA">
        <w:rPr>
          <w:rFonts w:cs="Calibri"/>
          <w:sz w:val="24"/>
        </w:rPr>
        <w:t>. Fairclough (2003) refers to this as the TINA (there is no alternative</w:t>
      </w:r>
      <w:r w:rsidR="0067725E">
        <w:rPr>
          <w:rFonts w:cs="Calibri"/>
          <w:sz w:val="24"/>
        </w:rPr>
        <w:t>)</w:t>
      </w:r>
      <w:r w:rsidR="0067725E" w:rsidRPr="0067725E">
        <w:rPr>
          <w:rFonts w:cs="Calibri"/>
          <w:sz w:val="24"/>
        </w:rPr>
        <w:t xml:space="preserve"> </w:t>
      </w:r>
      <w:r w:rsidR="0067725E" w:rsidRPr="00FF0DAA">
        <w:rPr>
          <w:rFonts w:cs="Calibri"/>
          <w:sz w:val="24"/>
        </w:rPr>
        <w:t>discourse</w:t>
      </w:r>
      <w:r w:rsidR="0067725E">
        <w:rPr>
          <w:rFonts w:cs="Calibri"/>
          <w:sz w:val="24"/>
        </w:rPr>
        <w:t>,</w:t>
      </w:r>
      <w:r w:rsidRPr="00FF0DAA">
        <w:rPr>
          <w:rFonts w:cs="Calibri"/>
          <w:sz w:val="24"/>
        </w:rPr>
        <w:t xml:space="preserve"> a common </w:t>
      </w:r>
      <w:r w:rsidR="0067725E" w:rsidRPr="00FF0DAA">
        <w:rPr>
          <w:rFonts w:cs="Calibri"/>
          <w:sz w:val="24"/>
        </w:rPr>
        <w:t>neoliberal</w:t>
      </w:r>
      <w:r w:rsidR="0067725E">
        <w:rPr>
          <w:rFonts w:cs="Calibri"/>
          <w:sz w:val="24"/>
        </w:rPr>
        <w:t xml:space="preserve"> theme</w:t>
      </w:r>
      <w:r w:rsidRPr="00FF0DAA">
        <w:rPr>
          <w:rFonts w:cs="Calibri"/>
          <w:sz w:val="24"/>
        </w:rPr>
        <w:t>. The PM/DPM foreword begins in the first paragraph with the phrase “The truth is”. This is stated as irrefutable and sets the tone</w:t>
      </w:r>
      <w:r w:rsidR="00C31737">
        <w:rPr>
          <w:rFonts w:cs="Calibri"/>
          <w:sz w:val="24"/>
        </w:rPr>
        <w:t>.</w:t>
      </w:r>
      <w:r w:rsidRPr="00FF0DAA">
        <w:rPr>
          <w:rFonts w:cs="Calibri"/>
          <w:sz w:val="24"/>
        </w:rPr>
        <w:t xml:space="preserve"> This is followed by </w:t>
      </w:r>
      <w:r w:rsidR="00471722">
        <w:rPr>
          <w:rFonts w:cs="Calibri"/>
          <w:sz w:val="24"/>
        </w:rPr>
        <w:t xml:space="preserve">generalised </w:t>
      </w:r>
      <w:r w:rsidRPr="00FF0DAA">
        <w:rPr>
          <w:rFonts w:cs="Calibri"/>
          <w:sz w:val="24"/>
        </w:rPr>
        <w:t>statements such as: “The only way”, “There is no question” and “no choice”</w:t>
      </w:r>
      <w:r w:rsidR="004823DE">
        <w:rPr>
          <w:rFonts w:cs="Calibri"/>
          <w:sz w:val="24"/>
        </w:rPr>
        <w:t xml:space="preserve"> (p.3)</w:t>
      </w:r>
      <w:r w:rsidRPr="00FF0DAA">
        <w:rPr>
          <w:rFonts w:cs="Calibri"/>
          <w:sz w:val="24"/>
        </w:rPr>
        <w:t>, which again leave the reader reassured that everyone agree</w:t>
      </w:r>
      <w:r w:rsidR="00022A57">
        <w:rPr>
          <w:rFonts w:cs="Calibri"/>
          <w:sz w:val="24"/>
        </w:rPr>
        <w:t>s</w:t>
      </w:r>
      <w:r w:rsidRPr="00FF0DAA">
        <w:rPr>
          <w:rFonts w:cs="Calibri"/>
          <w:sz w:val="24"/>
        </w:rPr>
        <w:t xml:space="preserve"> with</w:t>
      </w:r>
      <w:r w:rsidR="00471722">
        <w:rPr>
          <w:rFonts w:cs="Calibri"/>
          <w:sz w:val="24"/>
        </w:rPr>
        <w:t xml:space="preserve"> these suggestions</w:t>
      </w:r>
      <w:r w:rsidRPr="00FF0DAA">
        <w:rPr>
          <w:rFonts w:cs="Calibri"/>
          <w:sz w:val="24"/>
        </w:rPr>
        <w:t xml:space="preserve">. “For far too long we have tolerated the moral outrage of an accepted correlation between wealth and achievement at school; the soft bigotry of low expectations” (p.4). No </w:t>
      </w:r>
      <w:r w:rsidR="001C3EB4">
        <w:rPr>
          <w:rFonts w:cs="Calibri"/>
          <w:sz w:val="24"/>
        </w:rPr>
        <w:t xml:space="preserve">supporting </w:t>
      </w:r>
      <w:r w:rsidRPr="00FF0DAA">
        <w:rPr>
          <w:rFonts w:cs="Calibri"/>
          <w:sz w:val="24"/>
        </w:rPr>
        <w:t>evidence is provided</w:t>
      </w:r>
      <w:r w:rsidR="00471722">
        <w:rPr>
          <w:rFonts w:cs="Calibri"/>
          <w:sz w:val="24"/>
        </w:rPr>
        <w:t>,</w:t>
      </w:r>
      <w:r w:rsidRPr="00FF0DAA">
        <w:rPr>
          <w:rFonts w:cs="Calibri"/>
          <w:sz w:val="24"/>
        </w:rPr>
        <w:t xml:space="preserve"> nor are the terms expanded or the underlying concepts explored. </w:t>
      </w:r>
      <w:r w:rsidR="00C31737">
        <w:rPr>
          <w:rFonts w:cs="Calibri"/>
          <w:sz w:val="24"/>
        </w:rPr>
        <w:t>T</w:t>
      </w:r>
      <w:r w:rsidRPr="00FF0DAA">
        <w:rPr>
          <w:rFonts w:cs="Calibri"/>
          <w:sz w:val="24"/>
        </w:rPr>
        <w:t>his statement focus</w:t>
      </w:r>
      <w:r w:rsidR="00C31737">
        <w:rPr>
          <w:rFonts w:cs="Calibri"/>
          <w:sz w:val="24"/>
        </w:rPr>
        <w:t>es</w:t>
      </w:r>
      <w:r w:rsidRPr="00FF0DAA">
        <w:rPr>
          <w:rFonts w:cs="Calibri"/>
          <w:sz w:val="24"/>
        </w:rPr>
        <w:t xml:space="preserve"> the debate on </w:t>
      </w:r>
      <w:r w:rsidR="00C31737">
        <w:rPr>
          <w:rFonts w:cs="Calibri"/>
          <w:sz w:val="24"/>
        </w:rPr>
        <w:t>s</w:t>
      </w:r>
      <w:r w:rsidRPr="00FF0DAA">
        <w:rPr>
          <w:rFonts w:cs="Calibri"/>
          <w:sz w:val="24"/>
        </w:rPr>
        <w:t xml:space="preserve">ocial </w:t>
      </w:r>
      <w:r>
        <w:rPr>
          <w:rFonts w:cs="Calibri"/>
          <w:sz w:val="24"/>
        </w:rPr>
        <w:t>c</w:t>
      </w:r>
      <w:r w:rsidRPr="00FF0DAA">
        <w:rPr>
          <w:rFonts w:cs="Calibri"/>
          <w:sz w:val="24"/>
        </w:rPr>
        <w:t>lass using FS</w:t>
      </w:r>
      <w:r w:rsidR="00C31737">
        <w:rPr>
          <w:rFonts w:cs="Calibri"/>
          <w:sz w:val="24"/>
        </w:rPr>
        <w:t>M</w:t>
      </w:r>
      <w:r w:rsidR="00471722">
        <w:rPr>
          <w:rFonts w:cs="Calibri"/>
          <w:sz w:val="24"/>
        </w:rPr>
        <w:t xml:space="preserve"> as a measure</w:t>
      </w:r>
      <w:r w:rsidRPr="00FF0DAA">
        <w:rPr>
          <w:rFonts w:cs="Calibri"/>
          <w:sz w:val="24"/>
        </w:rPr>
        <w:t xml:space="preserve">. </w:t>
      </w:r>
      <w:r w:rsidR="00C31737">
        <w:rPr>
          <w:rFonts w:cs="Calibri"/>
          <w:sz w:val="24"/>
        </w:rPr>
        <w:t>L</w:t>
      </w:r>
      <w:r w:rsidR="004823DE">
        <w:rPr>
          <w:rFonts w:cs="Calibri"/>
          <w:sz w:val="24"/>
        </w:rPr>
        <w:t>inking to my third research question</w:t>
      </w:r>
      <w:r w:rsidR="00C31737">
        <w:rPr>
          <w:rFonts w:cs="Calibri"/>
          <w:sz w:val="24"/>
        </w:rPr>
        <w:t>,</w:t>
      </w:r>
      <w:r w:rsidR="004823DE">
        <w:rPr>
          <w:rFonts w:cs="Calibri"/>
          <w:sz w:val="24"/>
        </w:rPr>
        <w:t xml:space="preserve"> </w:t>
      </w:r>
      <w:r w:rsidRPr="00FF0DAA">
        <w:rPr>
          <w:rFonts w:cs="Calibri"/>
          <w:sz w:val="24"/>
        </w:rPr>
        <w:t xml:space="preserve">the </w:t>
      </w:r>
      <w:r w:rsidR="00C31737">
        <w:rPr>
          <w:rFonts w:cs="Calibri"/>
          <w:sz w:val="24"/>
        </w:rPr>
        <w:t>implication</w:t>
      </w:r>
      <w:r w:rsidRPr="00FF0DAA">
        <w:rPr>
          <w:rFonts w:cs="Calibri"/>
          <w:sz w:val="24"/>
        </w:rPr>
        <w:t xml:space="preserve"> is that social class is </w:t>
      </w:r>
      <w:r w:rsidR="00C31737">
        <w:rPr>
          <w:rFonts w:cs="Calibri"/>
          <w:sz w:val="24"/>
        </w:rPr>
        <w:t>a site of educational inequality and</w:t>
      </w:r>
      <w:r w:rsidR="00C31737" w:rsidRPr="00FF0DAA">
        <w:rPr>
          <w:rFonts w:cs="Calibri"/>
          <w:sz w:val="24"/>
        </w:rPr>
        <w:t xml:space="preserve"> this policy </w:t>
      </w:r>
      <w:r w:rsidR="00C31737">
        <w:rPr>
          <w:rFonts w:cs="Calibri"/>
          <w:sz w:val="24"/>
        </w:rPr>
        <w:t>solve</w:t>
      </w:r>
      <w:r w:rsidR="00022A57">
        <w:rPr>
          <w:rFonts w:cs="Calibri"/>
          <w:sz w:val="24"/>
        </w:rPr>
        <w:t>s</w:t>
      </w:r>
      <w:r w:rsidR="00C31737">
        <w:rPr>
          <w:rFonts w:cs="Calibri"/>
          <w:sz w:val="24"/>
        </w:rPr>
        <w:t xml:space="preserve"> the identified problem</w:t>
      </w:r>
      <w:r w:rsidR="001C3EB4">
        <w:rPr>
          <w:rFonts w:cs="Calibri"/>
          <w:sz w:val="24"/>
        </w:rPr>
        <w:t>. T</w:t>
      </w:r>
      <w:r w:rsidR="00C31737">
        <w:rPr>
          <w:rFonts w:cs="Calibri"/>
          <w:sz w:val="24"/>
        </w:rPr>
        <w:t>he text makes no reference to ethnicity or gender</w:t>
      </w:r>
      <w:r w:rsidR="00471722">
        <w:rPr>
          <w:rFonts w:cs="Calibri"/>
          <w:sz w:val="24"/>
        </w:rPr>
        <w:t>, therefore</w:t>
      </w:r>
      <w:r w:rsidR="00C31737">
        <w:rPr>
          <w:rFonts w:cs="Calibri"/>
          <w:sz w:val="24"/>
        </w:rPr>
        <w:t xml:space="preserve"> </w:t>
      </w:r>
      <w:r w:rsidR="001C3EB4">
        <w:rPr>
          <w:rFonts w:cs="Calibri"/>
          <w:sz w:val="24"/>
        </w:rPr>
        <w:t>impl</w:t>
      </w:r>
      <w:r w:rsidR="00471722">
        <w:rPr>
          <w:rFonts w:cs="Calibri"/>
          <w:sz w:val="24"/>
        </w:rPr>
        <w:t>ying</w:t>
      </w:r>
      <w:r w:rsidR="00C31737">
        <w:rPr>
          <w:rFonts w:cs="Calibri"/>
          <w:sz w:val="24"/>
        </w:rPr>
        <w:t xml:space="preserve"> that these areas are not problem</w:t>
      </w:r>
      <w:r w:rsidR="00471722">
        <w:rPr>
          <w:rFonts w:cs="Calibri"/>
          <w:sz w:val="24"/>
        </w:rPr>
        <w:t>atic</w:t>
      </w:r>
      <w:r w:rsidR="00C31737">
        <w:rPr>
          <w:rFonts w:cs="Calibri"/>
          <w:sz w:val="24"/>
        </w:rPr>
        <w:t xml:space="preserve">. </w:t>
      </w:r>
      <w:r w:rsidRPr="00FF0DAA">
        <w:rPr>
          <w:rFonts w:cs="Calibri"/>
          <w:sz w:val="24"/>
        </w:rPr>
        <w:t xml:space="preserve"> </w:t>
      </w:r>
    </w:p>
    <w:p w14:paraId="7B4396DD" w14:textId="77777777" w:rsidR="00FC30CA" w:rsidRPr="00FF0DAA" w:rsidRDefault="00FC30CA" w:rsidP="000A222C">
      <w:pPr>
        <w:tabs>
          <w:tab w:val="left" w:pos="8647"/>
        </w:tabs>
        <w:spacing w:after="0" w:line="360" w:lineRule="auto"/>
        <w:rPr>
          <w:rFonts w:cs="Calibri"/>
          <w:sz w:val="24"/>
        </w:rPr>
      </w:pPr>
    </w:p>
    <w:p w14:paraId="016BB767" w14:textId="39D04944" w:rsidR="00B54F29" w:rsidRPr="00FF0DAA" w:rsidRDefault="00B54F29" w:rsidP="00B54F29">
      <w:pPr>
        <w:spacing w:line="360" w:lineRule="auto"/>
        <w:rPr>
          <w:rFonts w:cs="Calibri"/>
          <w:sz w:val="24"/>
        </w:rPr>
      </w:pPr>
      <w:r w:rsidRPr="00FF0DAA">
        <w:rPr>
          <w:rFonts w:cs="Calibri"/>
          <w:sz w:val="24"/>
        </w:rPr>
        <w:t>There are many examples in this section of contention</w:t>
      </w:r>
      <w:r w:rsidR="00FC30CA">
        <w:rPr>
          <w:rFonts w:cs="Calibri"/>
          <w:sz w:val="24"/>
        </w:rPr>
        <w:t>s</w:t>
      </w:r>
      <w:r w:rsidRPr="00FF0DAA">
        <w:rPr>
          <w:rFonts w:cs="Calibri"/>
          <w:sz w:val="24"/>
        </w:rPr>
        <w:t xml:space="preserve"> being stated as incontrovertible fact</w:t>
      </w:r>
      <w:r w:rsidR="00FC30CA">
        <w:rPr>
          <w:rFonts w:cs="Calibri"/>
          <w:sz w:val="24"/>
        </w:rPr>
        <w:t>s</w:t>
      </w:r>
      <w:r w:rsidRPr="00FF0DAA">
        <w:rPr>
          <w:rFonts w:cs="Calibri"/>
          <w:sz w:val="24"/>
        </w:rPr>
        <w:t xml:space="preserve">. </w:t>
      </w:r>
      <w:r w:rsidR="00C227AF">
        <w:rPr>
          <w:rFonts w:cs="Calibri"/>
          <w:sz w:val="24"/>
        </w:rPr>
        <w:t xml:space="preserve">In </w:t>
      </w:r>
      <w:r w:rsidR="001A1191">
        <w:rPr>
          <w:rFonts w:cs="Calibri"/>
          <w:sz w:val="24"/>
        </w:rPr>
        <w:t>the PM/DPM foreword</w:t>
      </w:r>
      <w:r w:rsidR="00C227AF">
        <w:rPr>
          <w:rFonts w:cs="Calibri"/>
          <w:sz w:val="24"/>
        </w:rPr>
        <w:t>, for example:</w:t>
      </w:r>
      <w:r w:rsidR="001A1191">
        <w:rPr>
          <w:rFonts w:cs="Calibri"/>
          <w:sz w:val="24"/>
        </w:rPr>
        <w:t xml:space="preserve"> </w:t>
      </w:r>
      <w:r w:rsidRPr="00FF0DAA">
        <w:rPr>
          <w:rFonts w:cs="Calibri"/>
          <w:sz w:val="24"/>
        </w:rPr>
        <w:t xml:space="preserve">“The only way we can catch up, and have the world-class schools our children deserve, is by learning the lessons of other countries’ </w:t>
      </w:r>
      <w:r w:rsidRPr="00FF0DAA">
        <w:rPr>
          <w:rFonts w:cs="Calibri"/>
          <w:sz w:val="24"/>
        </w:rPr>
        <w:lastRenderedPageBreak/>
        <w:t xml:space="preserve">success” (p.3). This is not the only way to catch up, </w:t>
      </w:r>
      <w:r w:rsidR="00FE6260">
        <w:rPr>
          <w:rFonts w:cs="Calibri"/>
          <w:sz w:val="24"/>
        </w:rPr>
        <w:t xml:space="preserve">and it </w:t>
      </w:r>
      <w:r w:rsidRPr="00FF0DAA">
        <w:rPr>
          <w:rFonts w:cs="Calibri"/>
          <w:sz w:val="24"/>
        </w:rPr>
        <w:t>assum</w:t>
      </w:r>
      <w:r w:rsidR="00FE6260">
        <w:rPr>
          <w:rFonts w:cs="Calibri"/>
          <w:sz w:val="24"/>
        </w:rPr>
        <w:t>es</w:t>
      </w:r>
      <w:r w:rsidRPr="00FF0DAA">
        <w:rPr>
          <w:rFonts w:cs="Calibri"/>
          <w:sz w:val="24"/>
        </w:rPr>
        <w:t xml:space="preserve"> that reader</w:t>
      </w:r>
      <w:r w:rsidR="008E7A97">
        <w:rPr>
          <w:rFonts w:cs="Calibri"/>
          <w:sz w:val="24"/>
        </w:rPr>
        <w:t>s</w:t>
      </w:r>
      <w:r w:rsidRPr="00FF0DAA">
        <w:rPr>
          <w:rFonts w:cs="Calibri"/>
          <w:sz w:val="24"/>
        </w:rPr>
        <w:t xml:space="preserve"> accept </w:t>
      </w:r>
      <w:r w:rsidR="009F69F6">
        <w:rPr>
          <w:rFonts w:cs="Calibri"/>
          <w:sz w:val="24"/>
        </w:rPr>
        <w:t xml:space="preserve">that the </w:t>
      </w:r>
      <w:r w:rsidRPr="00FF0DAA">
        <w:rPr>
          <w:rFonts w:cs="Calibri"/>
          <w:sz w:val="24"/>
        </w:rPr>
        <w:t xml:space="preserve">OECD PISA statistics used within the text provide </w:t>
      </w:r>
      <w:r w:rsidR="009F69F6">
        <w:rPr>
          <w:rFonts w:cs="Calibri"/>
          <w:sz w:val="24"/>
        </w:rPr>
        <w:t xml:space="preserve">acceptable </w:t>
      </w:r>
      <w:r w:rsidRPr="00FF0DAA">
        <w:rPr>
          <w:rFonts w:cs="Calibri"/>
          <w:sz w:val="24"/>
        </w:rPr>
        <w:t xml:space="preserve">evidence that the country is </w:t>
      </w:r>
      <w:r w:rsidR="009F62C6">
        <w:rPr>
          <w:rFonts w:cs="Calibri"/>
          <w:sz w:val="24"/>
        </w:rPr>
        <w:t>‘</w:t>
      </w:r>
      <w:r w:rsidR="009A28B3">
        <w:rPr>
          <w:rFonts w:cs="Calibri"/>
          <w:sz w:val="24"/>
        </w:rPr>
        <w:t>”</w:t>
      </w:r>
      <w:r w:rsidRPr="00FF0DAA">
        <w:rPr>
          <w:rFonts w:cs="Calibri"/>
          <w:sz w:val="24"/>
        </w:rPr>
        <w:t>falling behind</w:t>
      </w:r>
      <w:r w:rsidR="009A28B3">
        <w:rPr>
          <w:rFonts w:cs="Calibri"/>
          <w:sz w:val="24"/>
        </w:rPr>
        <w:t>”</w:t>
      </w:r>
      <w:r w:rsidR="008E7A97">
        <w:rPr>
          <w:rFonts w:cs="Calibri"/>
          <w:sz w:val="24"/>
        </w:rPr>
        <w:t>. N</w:t>
      </w:r>
      <w:r w:rsidRPr="00FF0DAA">
        <w:rPr>
          <w:rFonts w:cs="Calibri"/>
          <w:sz w:val="24"/>
        </w:rPr>
        <w:t>o room for alternative debate is provided.</w:t>
      </w:r>
      <w:r w:rsidR="009A28B3">
        <w:rPr>
          <w:rFonts w:cs="Calibri"/>
          <w:sz w:val="24"/>
        </w:rPr>
        <w:t xml:space="preserve"> Using </w:t>
      </w:r>
      <w:r w:rsidR="00DF24E7">
        <w:rPr>
          <w:rFonts w:cs="Calibri"/>
          <w:sz w:val="24"/>
        </w:rPr>
        <w:t xml:space="preserve">PA </w:t>
      </w:r>
      <w:r w:rsidR="009A28B3">
        <w:rPr>
          <w:rFonts w:cs="Calibri"/>
          <w:sz w:val="24"/>
        </w:rPr>
        <w:t>arena</w:t>
      </w:r>
      <w:r w:rsidR="00AA6E2A">
        <w:rPr>
          <w:rFonts w:cs="Calibri"/>
          <w:sz w:val="24"/>
        </w:rPr>
        <w:t>s</w:t>
      </w:r>
      <w:r w:rsidR="009A28B3">
        <w:rPr>
          <w:rFonts w:cs="Calibri"/>
          <w:sz w:val="24"/>
        </w:rPr>
        <w:t xml:space="preserve"> 1 and 3, the identification of the problem is taken in a certain direction</w:t>
      </w:r>
      <w:r w:rsidR="009F69F6">
        <w:rPr>
          <w:rFonts w:cs="Calibri"/>
          <w:sz w:val="24"/>
        </w:rPr>
        <w:t>,</w:t>
      </w:r>
      <w:r w:rsidR="009A28B3">
        <w:rPr>
          <w:rFonts w:cs="Calibri"/>
          <w:sz w:val="24"/>
        </w:rPr>
        <w:t xml:space="preserve"> which leads </w:t>
      </w:r>
      <w:r w:rsidR="009F69F6">
        <w:rPr>
          <w:rFonts w:cs="Calibri"/>
          <w:sz w:val="24"/>
        </w:rPr>
        <w:t xml:space="preserve">only </w:t>
      </w:r>
      <w:r w:rsidR="009A28B3">
        <w:rPr>
          <w:rFonts w:cs="Calibri"/>
          <w:sz w:val="24"/>
        </w:rPr>
        <w:t>to the stated solutions.</w:t>
      </w:r>
    </w:p>
    <w:p w14:paraId="4E12CC83" w14:textId="4E044506" w:rsidR="00B54F29" w:rsidRPr="00FF0DAA" w:rsidRDefault="00B54F29" w:rsidP="001C3EB4">
      <w:pPr>
        <w:tabs>
          <w:tab w:val="left" w:pos="8364"/>
        </w:tabs>
        <w:spacing w:line="360" w:lineRule="auto"/>
        <w:rPr>
          <w:rFonts w:cs="Calibri"/>
          <w:sz w:val="24"/>
        </w:rPr>
      </w:pPr>
      <w:r w:rsidRPr="00FF0DAA">
        <w:rPr>
          <w:rFonts w:cs="Calibri"/>
          <w:sz w:val="24"/>
        </w:rPr>
        <w:t>The text continues with loaded statements</w:t>
      </w:r>
      <w:r w:rsidR="009F69F6">
        <w:rPr>
          <w:rFonts w:cs="Calibri"/>
          <w:sz w:val="24"/>
        </w:rPr>
        <w:t xml:space="preserve">, for example: </w:t>
      </w:r>
      <w:r w:rsidRPr="00FF0DAA">
        <w:rPr>
          <w:rFonts w:cs="Calibri"/>
          <w:sz w:val="24"/>
        </w:rPr>
        <w:t>“All schools… will see a massive reduction in the bureaucracy foisted on them in recent years”</w:t>
      </w:r>
      <w:r w:rsidR="001A1191">
        <w:rPr>
          <w:rFonts w:cs="Calibri"/>
          <w:sz w:val="24"/>
        </w:rPr>
        <w:t xml:space="preserve"> (p.4)</w:t>
      </w:r>
      <w:r w:rsidRPr="00FF0DAA">
        <w:rPr>
          <w:rFonts w:cs="Calibri"/>
          <w:sz w:val="24"/>
        </w:rPr>
        <w:t xml:space="preserve">. The use of the adjective “massive” implies that schools will not just see a </w:t>
      </w:r>
      <w:r w:rsidR="008E7A97">
        <w:rPr>
          <w:rFonts w:cs="Calibri"/>
          <w:sz w:val="24"/>
        </w:rPr>
        <w:t>‘</w:t>
      </w:r>
      <w:r w:rsidRPr="00FF0DAA">
        <w:rPr>
          <w:rFonts w:cs="Calibri"/>
          <w:sz w:val="24"/>
        </w:rPr>
        <w:t>small</w:t>
      </w:r>
      <w:r w:rsidR="008E7A97">
        <w:rPr>
          <w:rFonts w:cs="Calibri"/>
          <w:sz w:val="24"/>
        </w:rPr>
        <w:t>’</w:t>
      </w:r>
      <w:r w:rsidRPr="00FF0DAA">
        <w:rPr>
          <w:rFonts w:cs="Calibri"/>
          <w:sz w:val="24"/>
        </w:rPr>
        <w:t xml:space="preserve"> reduction but an exceptionally large one. Furthermore, the use of the past participle, “foisted”, </w:t>
      </w:r>
      <w:r>
        <w:rPr>
          <w:rFonts w:cs="Calibri"/>
          <w:sz w:val="24"/>
        </w:rPr>
        <w:t>i</w:t>
      </w:r>
      <w:r w:rsidRPr="00FF0DAA">
        <w:rPr>
          <w:rFonts w:cs="Calibri"/>
          <w:sz w:val="24"/>
        </w:rPr>
        <w:t xml:space="preserve">nfers that </w:t>
      </w:r>
      <w:r w:rsidR="008E7A97">
        <w:rPr>
          <w:rFonts w:cs="Calibri"/>
          <w:sz w:val="24"/>
        </w:rPr>
        <w:t xml:space="preserve">previous </w:t>
      </w:r>
      <w:r w:rsidRPr="00FF0DAA">
        <w:rPr>
          <w:rFonts w:cs="Calibri"/>
          <w:sz w:val="24"/>
        </w:rPr>
        <w:t>work</w:t>
      </w:r>
      <w:r w:rsidR="001C3EB4">
        <w:rPr>
          <w:rFonts w:cs="Calibri"/>
          <w:sz w:val="24"/>
        </w:rPr>
        <w:t xml:space="preserve"> schools </w:t>
      </w:r>
      <w:r w:rsidR="009F69F6">
        <w:rPr>
          <w:rFonts w:cs="Calibri"/>
          <w:sz w:val="24"/>
        </w:rPr>
        <w:t xml:space="preserve">did </w:t>
      </w:r>
      <w:r w:rsidRPr="00FF0DAA">
        <w:rPr>
          <w:rFonts w:cs="Calibri"/>
          <w:sz w:val="24"/>
        </w:rPr>
        <w:t xml:space="preserve">was unjustifiable and </w:t>
      </w:r>
      <w:r w:rsidR="009F69F6">
        <w:rPr>
          <w:rFonts w:cs="Calibri"/>
          <w:sz w:val="24"/>
        </w:rPr>
        <w:t>‘</w:t>
      </w:r>
      <w:r w:rsidRPr="00FF0DAA">
        <w:rPr>
          <w:rFonts w:cs="Calibri"/>
          <w:sz w:val="24"/>
        </w:rPr>
        <w:t>forced</w:t>
      </w:r>
      <w:r w:rsidR="009F69F6">
        <w:rPr>
          <w:rFonts w:cs="Calibri"/>
          <w:sz w:val="24"/>
        </w:rPr>
        <w:t>’</w:t>
      </w:r>
      <w:r w:rsidRPr="00FF0DAA">
        <w:rPr>
          <w:rFonts w:cs="Calibri"/>
          <w:sz w:val="24"/>
        </w:rPr>
        <w:t xml:space="preserve"> upon them. This foreword closes with the statement: “Reforms on this scale are absolutely essential if our children are to get the education they deserve”</w:t>
      </w:r>
      <w:r w:rsidR="009F62C6">
        <w:rPr>
          <w:rFonts w:cs="Calibri"/>
          <w:sz w:val="24"/>
        </w:rPr>
        <w:t xml:space="preserve">, implying </w:t>
      </w:r>
      <w:r w:rsidRPr="00FF0DAA">
        <w:rPr>
          <w:rFonts w:cs="Calibri"/>
          <w:sz w:val="24"/>
        </w:rPr>
        <w:t xml:space="preserve">that children did not </w:t>
      </w:r>
      <w:r w:rsidR="001C3EB4">
        <w:rPr>
          <w:rFonts w:cs="Calibri"/>
          <w:sz w:val="24"/>
        </w:rPr>
        <w:t>previously receive an appropriate</w:t>
      </w:r>
      <w:r w:rsidRPr="00FF0DAA">
        <w:rPr>
          <w:rFonts w:cs="Calibri"/>
          <w:sz w:val="24"/>
        </w:rPr>
        <w:t xml:space="preserve"> education.</w:t>
      </w:r>
    </w:p>
    <w:p w14:paraId="423C90B9" w14:textId="1E33DDBB" w:rsidR="00B54F29" w:rsidRPr="00FF0DAA" w:rsidRDefault="00B54F29" w:rsidP="0053704A">
      <w:pPr>
        <w:tabs>
          <w:tab w:val="left" w:pos="8505"/>
          <w:tab w:val="left" w:pos="8647"/>
        </w:tabs>
        <w:spacing w:line="360" w:lineRule="auto"/>
        <w:rPr>
          <w:rFonts w:cs="Calibri"/>
          <w:sz w:val="24"/>
        </w:rPr>
      </w:pPr>
      <w:r w:rsidRPr="00FF0DAA">
        <w:rPr>
          <w:rFonts w:cs="Calibri"/>
          <w:sz w:val="24"/>
        </w:rPr>
        <w:t>The range of word classes</w:t>
      </w:r>
      <w:r w:rsidR="001A039C">
        <w:rPr>
          <w:rFonts w:cs="Calibri"/>
          <w:sz w:val="24"/>
        </w:rPr>
        <w:t xml:space="preserve"> (nouns, verbs and adjectives)</w:t>
      </w:r>
      <w:r>
        <w:rPr>
          <w:rFonts w:cs="Calibri"/>
          <w:sz w:val="24"/>
        </w:rPr>
        <w:t xml:space="preserve"> </w:t>
      </w:r>
      <w:r w:rsidRPr="00FF0DAA">
        <w:rPr>
          <w:rFonts w:cs="Calibri"/>
          <w:sz w:val="24"/>
        </w:rPr>
        <w:t xml:space="preserve">is different within </w:t>
      </w:r>
      <w:r w:rsidR="001C3EB4">
        <w:rPr>
          <w:rFonts w:cs="Calibri"/>
          <w:sz w:val="24"/>
        </w:rPr>
        <w:t>Gove</w:t>
      </w:r>
      <w:r w:rsidR="001A039C">
        <w:rPr>
          <w:rFonts w:cs="Calibri"/>
          <w:sz w:val="24"/>
        </w:rPr>
        <w:t>’</w:t>
      </w:r>
      <w:r w:rsidR="001A1191">
        <w:rPr>
          <w:rFonts w:cs="Calibri"/>
          <w:sz w:val="24"/>
        </w:rPr>
        <w:t>s</w:t>
      </w:r>
      <w:r w:rsidRPr="00FF0DAA">
        <w:rPr>
          <w:rFonts w:cs="Calibri"/>
          <w:sz w:val="24"/>
        </w:rPr>
        <w:t xml:space="preserve"> foreword.</w:t>
      </w:r>
      <w:r w:rsidR="001C3EB4">
        <w:rPr>
          <w:rFonts w:cs="Calibri"/>
          <w:sz w:val="24"/>
        </w:rPr>
        <w:t xml:space="preserve"> L</w:t>
      </w:r>
      <w:r w:rsidRPr="00FF0DAA">
        <w:rPr>
          <w:rFonts w:cs="Calibri"/>
          <w:sz w:val="24"/>
        </w:rPr>
        <w:t>oaded</w:t>
      </w:r>
      <w:r w:rsidR="001A1191">
        <w:rPr>
          <w:rFonts w:cs="Calibri"/>
          <w:sz w:val="24"/>
        </w:rPr>
        <w:t xml:space="preserve"> </w:t>
      </w:r>
      <w:r w:rsidRPr="00FF0DAA">
        <w:rPr>
          <w:rFonts w:cs="Calibri"/>
          <w:sz w:val="24"/>
        </w:rPr>
        <w:t xml:space="preserve">language </w:t>
      </w:r>
      <w:r w:rsidR="001C3EB4">
        <w:rPr>
          <w:rFonts w:cs="Calibri"/>
          <w:sz w:val="24"/>
        </w:rPr>
        <w:t xml:space="preserve">is used </w:t>
      </w:r>
      <w:r w:rsidRPr="00FF0DAA">
        <w:rPr>
          <w:rFonts w:cs="Calibri"/>
          <w:sz w:val="24"/>
        </w:rPr>
        <w:t xml:space="preserve">to </w:t>
      </w:r>
      <w:r w:rsidR="001C3EB4">
        <w:rPr>
          <w:rFonts w:cs="Calibri"/>
          <w:sz w:val="24"/>
        </w:rPr>
        <w:t>support</w:t>
      </w:r>
      <w:r w:rsidRPr="00FF0DAA">
        <w:rPr>
          <w:rFonts w:cs="Calibri"/>
          <w:sz w:val="24"/>
        </w:rPr>
        <w:t xml:space="preserve"> the </w:t>
      </w:r>
      <w:r w:rsidR="008237A5">
        <w:rPr>
          <w:rFonts w:cs="Calibri"/>
          <w:sz w:val="24"/>
        </w:rPr>
        <w:t xml:space="preserve">constructed </w:t>
      </w:r>
      <w:r w:rsidRPr="00FF0DAA">
        <w:rPr>
          <w:rFonts w:cs="Calibri"/>
          <w:sz w:val="24"/>
        </w:rPr>
        <w:t xml:space="preserve">story and historical narrative. He creates a </w:t>
      </w:r>
      <w:r w:rsidR="009F69F6">
        <w:rPr>
          <w:rFonts w:cs="Calibri"/>
          <w:sz w:val="24"/>
        </w:rPr>
        <w:t>‘</w:t>
      </w:r>
      <w:r w:rsidRPr="00FF0DAA">
        <w:rPr>
          <w:rFonts w:cs="Calibri"/>
          <w:sz w:val="24"/>
        </w:rPr>
        <w:t>potted history</w:t>
      </w:r>
      <w:r w:rsidR="009F69F6">
        <w:rPr>
          <w:rFonts w:cs="Calibri"/>
          <w:sz w:val="24"/>
        </w:rPr>
        <w:t>’</w:t>
      </w:r>
      <w:r w:rsidRPr="00FF0DAA">
        <w:rPr>
          <w:rFonts w:cs="Calibri"/>
          <w:sz w:val="24"/>
        </w:rPr>
        <w:t xml:space="preserve"> from some unspecified time whe</w:t>
      </w:r>
      <w:r w:rsidR="009F62C6">
        <w:rPr>
          <w:rFonts w:cs="Calibri"/>
          <w:sz w:val="24"/>
        </w:rPr>
        <w:t>n</w:t>
      </w:r>
      <w:r w:rsidRPr="00FF0DAA">
        <w:rPr>
          <w:rFonts w:cs="Calibri"/>
          <w:sz w:val="24"/>
        </w:rPr>
        <w:t xml:space="preserve"> only social class impacted on future life chances</w:t>
      </w:r>
      <w:r w:rsidR="009F62C6">
        <w:rPr>
          <w:rFonts w:cs="Calibri"/>
          <w:sz w:val="24"/>
        </w:rPr>
        <w:t>, shifting</w:t>
      </w:r>
      <w:r w:rsidRPr="00FF0DAA">
        <w:rPr>
          <w:rFonts w:cs="Calibri"/>
          <w:sz w:val="24"/>
        </w:rPr>
        <w:t xml:space="preserve"> to a future situation where all can be “authors of our own life stories” (p.6). </w:t>
      </w:r>
      <w:r w:rsidR="00AA6DAD">
        <w:rPr>
          <w:rFonts w:cs="Calibri"/>
          <w:sz w:val="24"/>
        </w:rPr>
        <w:t>H</w:t>
      </w:r>
      <w:r w:rsidRPr="00FF0DAA">
        <w:rPr>
          <w:rFonts w:cs="Calibri"/>
          <w:sz w:val="24"/>
        </w:rPr>
        <w:t>e then states that social mobility is in decline</w:t>
      </w:r>
      <w:r w:rsidR="009F69F6">
        <w:rPr>
          <w:rFonts w:cs="Calibri"/>
          <w:sz w:val="24"/>
        </w:rPr>
        <w:t>,</w:t>
      </w:r>
      <w:r w:rsidRPr="00FF0DAA">
        <w:rPr>
          <w:rFonts w:cs="Calibri"/>
          <w:sz w:val="24"/>
        </w:rPr>
        <w:t xml:space="preserve"> </w:t>
      </w:r>
      <w:r w:rsidR="008E7A97">
        <w:rPr>
          <w:rFonts w:cs="Calibri"/>
          <w:sz w:val="24"/>
        </w:rPr>
        <w:t>using</w:t>
      </w:r>
      <w:r w:rsidRPr="00FF0DAA">
        <w:rPr>
          <w:rFonts w:cs="Calibri"/>
          <w:sz w:val="24"/>
        </w:rPr>
        <w:t xml:space="preserve"> figures to argue that FSM children are disadvantaged by the current educational system “just 40 </w:t>
      </w:r>
      <w:r w:rsidR="009F62C6">
        <w:rPr>
          <w:rFonts w:cs="Calibri"/>
          <w:sz w:val="24"/>
        </w:rPr>
        <w:t>[</w:t>
      </w:r>
      <w:r w:rsidR="008237A5">
        <w:rPr>
          <w:rFonts w:cs="Calibri"/>
          <w:sz w:val="24"/>
        </w:rPr>
        <w:t xml:space="preserve">FSM </w:t>
      </w:r>
      <w:r w:rsidR="009F62C6">
        <w:rPr>
          <w:rFonts w:cs="Calibri"/>
          <w:sz w:val="24"/>
        </w:rPr>
        <w:t>children</w:t>
      </w:r>
      <w:r w:rsidR="008237A5">
        <w:rPr>
          <w:rFonts w:cs="Calibri"/>
          <w:sz w:val="24"/>
        </w:rPr>
        <w:t xml:space="preserve"> </w:t>
      </w:r>
      <w:r w:rsidR="009F62C6">
        <w:rPr>
          <w:rFonts w:cs="Calibri"/>
          <w:sz w:val="24"/>
        </w:rPr>
        <w:t>KH]</w:t>
      </w:r>
      <w:r w:rsidR="009F62C6" w:rsidRPr="00FF0DAA">
        <w:rPr>
          <w:rFonts w:cs="Calibri"/>
          <w:sz w:val="24"/>
        </w:rPr>
        <w:t xml:space="preserve"> </w:t>
      </w:r>
      <w:r w:rsidRPr="00FF0DAA">
        <w:rPr>
          <w:rFonts w:cs="Calibri"/>
          <w:sz w:val="24"/>
        </w:rPr>
        <w:t>of those 80,000 made it to Oxbridge”</w:t>
      </w:r>
      <w:r w:rsidR="009F62C6">
        <w:rPr>
          <w:rFonts w:cs="Calibri"/>
          <w:sz w:val="24"/>
        </w:rPr>
        <w:t>.</w:t>
      </w:r>
      <w:r w:rsidRPr="00FF0DAA">
        <w:rPr>
          <w:rFonts w:cs="Calibri"/>
          <w:sz w:val="24"/>
        </w:rPr>
        <w:t xml:space="preserve"> Th</w:t>
      </w:r>
      <w:r w:rsidR="009F69F6">
        <w:rPr>
          <w:rFonts w:cs="Calibri"/>
          <w:sz w:val="24"/>
        </w:rPr>
        <w:t>is</w:t>
      </w:r>
      <w:r w:rsidRPr="00FF0DAA">
        <w:rPr>
          <w:rFonts w:cs="Calibri"/>
          <w:sz w:val="24"/>
        </w:rPr>
        <w:t xml:space="preserve"> loaded language</w:t>
      </w:r>
      <w:r w:rsidR="009F62C6">
        <w:rPr>
          <w:rFonts w:cs="Calibri"/>
          <w:sz w:val="24"/>
        </w:rPr>
        <w:t>,</w:t>
      </w:r>
      <w:r w:rsidRPr="00FF0DAA">
        <w:rPr>
          <w:rFonts w:cs="Calibri"/>
          <w:sz w:val="24"/>
        </w:rPr>
        <w:t xml:space="preserve"> without explanation, evidence or question</w:t>
      </w:r>
      <w:r w:rsidR="009F69F6">
        <w:rPr>
          <w:rFonts w:cs="Calibri"/>
          <w:sz w:val="24"/>
        </w:rPr>
        <w:t>,</w:t>
      </w:r>
      <w:r w:rsidRPr="00FF0DAA">
        <w:rPr>
          <w:rFonts w:cs="Calibri"/>
          <w:sz w:val="24"/>
        </w:rPr>
        <w:t xml:space="preserve"> continues</w:t>
      </w:r>
      <w:r w:rsidR="009F69F6">
        <w:rPr>
          <w:rFonts w:cs="Calibri"/>
          <w:sz w:val="24"/>
        </w:rPr>
        <w:t>:</w:t>
      </w:r>
      <w:r w:rsidR="00AA6E2A">
        <w:rPr>
          <w:rFonts w:cs="Calibri"/>
          <w:sz w:val="24"/>
        </w:rPr>
        <w:t xml:space="preserve"> </w:t>
      </w:r>
      <w:r w:rsidRPr="00FF0DAA">
        <w:rPr>
          <w:rFonts w:cs="Calibri"/>
          <w:sz w:val="24"/>
        </w:rPr>
        <w:t xml:space="preserve">“this injustice has inspired a grim fatalism” (p.7). Such lexis </w:t>
      </w:r>
      <w:r w:rsidR="00B42AA7" w:rsidRPr="00FF0DAA">
        <w:rPr>
          <w:rFonts w:cs="Calibri"/>
          <w:sz w:val="24"/>
        </w:rPr>
        <w:t>choices serve</w:t>
      </w:r>
      <w:r w:rsidRPr="00FF0DAA">
        <w:rPr>
          <w:rFonts w:cs="Calibri"/>
          <w:sz w:val="24"/>
        </w:rPr>
        <w:t xml:space="preserve"> to </w:t>
      </w:r>
      <w:r w:rsidR="00B42AA7">
        <w:rPr>
          <w:rFonts w:cs="Calibri"/>
          <w:sz w:val="24"/>
        </w:rPr>
        <w:t>r</w:t>
      </w:r>
      <w:r w:rsidRPr="00FF0DAA">
        <w:rPr>
          <w:rFonts w:cs="Calibri"/>
          <w:sz w:val="24"/>
        </w:rPr>
        <w:t xml:space="preserve">einforce the implications that the previous </w:t>
      </w:r>
      <w:r w:rsidR="001A039C">
        <w:rPr>
          <w:rFonts w:cs="Calibri"/>
          <w:sz w:val="24"/>
        </w:rPr>
        <w:t>g</w:t>
      </w:r>
      <w:r w:rsidRPr="00FF0DAA">
        <w:rPr>
          <w:rFonts w:cs="Calibri"/>
          <w:sz w:val="24"/>
        </w:rPr>
        <w:t>overnment presided over a declin</w:t>
      </w:r>
      <w:r w:rsidR="008237A5">
        <w:rPr>
          <w:rFonts w:cs="Calibri"/>
          <w:sz w:val="24"/>
        </w:rPr>
        <w:t>e</w:t>
      </w:r>
      <w:r w:rsidR="001A1191">
        <w:rPr>
          <w:rFonts w:cs="Calibri"/>
          <w:sz w:val="24"/>
        </w:rPr>
        <w:t xml:space="preserve"> </w:t>
      </w:r>
      <w:r w:rsidR="008237A5">
        <w:rPr>
          <w:rFonts w:cs="Calibri"/>
          <w:sz w:val="24"/>
        </w:rPr>
        <w:t xml:space="preserve">in </w:t>
      </w:r>
      <w:r w:rsidR="001A1191">
        <w:rPr>
          <w:rFonts w:cs="Calibri"/>
          <w:sz w:val="24"/>
        </w:rPr>
        <w:t>social mobility</w:t>
      </w:r>
      <w:r w:rsidRPr="00FF0DAA">
        <w:rPr>
          <w:rFonts w:cs="Calibri"/>
          <w:sz w:val="24"/>
        </w:rPr>
        <w:t>. Again, the focus is on social class as the area of concern</w:t>
      </w:r>
      <w:r w:rsidR="009F69F6">
        <w:rPr>
          <w:rFonts w:cs="Calibri"/>
          <w:sz w:val="24"/>
        </w:rPr>
        <w:t>,</w:t>
      </w:r>
      <w:r w:rsidRPr="00FF0DAA">
        <w:rPr>
          <w:rFonts w:cs="Calibri"/>
          <w:sz w:val="24"/>
        </w:rPr>
        <w:t xml:space="preserve"> </w:t>
      </w:r>
      <w:r w:rsidR="001A1191">
        <w:rPr>
          <w:rFonts w:cs="Calibri"/>
          <w:sz w:val="24"/>
        </w:rPr>
        <w:t>link</w:t>
      </w:r>
      <w:r w:rsidR="008237A5">
        <w:rPr>
          <w:rFonts w:cs="Calibri"/>
          <w:sz w:val="24"/>
        </w:rPr>
        <w:t>ing</w:t>
      </w:r>
      <w:r w:rsidR="001A1191">
        <w:rPr>
          <w:rFonts w:cs="Calibri"/>
          <w:sz w:val="24"/>
        </w:rPr>
        <w:t xml:space="preserve"> to my third research question</w:t>
      </w:r>
      <w:r w:rsidRPr="00FF0DAA">
        <w:rPr>
          <w:rFonts w:cs="Calibri"/>
          <w:sz w:val="24"/>
        </w:rPr>
        <w:t>.</w:t>
      </w:r>
      <w:r w:rsidR="001A1191">
        <w:rPr>
          <w:rFonts w:cs="Calibri"/>
          <w:sz w:val="24"/>
        </w:rPr>
        <w:t xml:space="preserve"> </w:t>
      </w:r>
      <w:r w:rsidR="008E7A97">
        <w:rPr>
          <w:rFonts w:cs="Calibri"/>
          <w:sz w:val="24"/>
        </w:rPr>
        <w:t>U</w:t>
      </w:r>
      <w:r w:rsidR="00D97BE3">
        <w:rPr>
          <w:rFonts w:cs="Calibri"/>
          <w:sz w:val="24"/>
        </w:rPr>
        <w:t>sing Scheurich’s identification of an education problem</w:t>
      </w:r>
      <w:r w:rsidR="000C50A4">
        <w:rPr>
          <w:rFonts w:cs="Calibri"/>
          <w:sz w:val="24"/>
        </w:rPr>
        <w:t>,</w:t>
      </w:r>
      <w:r w:rsidR="00D97BE3">
        <w:rPr>
          <w:rFonts w:cs="Calibri"/>
          <w:sz w:val="24"/>
        </w:rPr>
        <w:t xml:space="preserve"> </w:t>
      </w:r>
      <w:r w:rsidR="000C50A4">
        <w:rPr>
          <w:rFonts w:cs="Calibri"/>
          <w:sz w:val="24"/>
        </w:rPr>
        <w:t>it</w:t>
      </w:r>
      <w:r w:rsidR="00D97BE3">
        <w:rPr>
          <w:rFonts w:cs="Calibri"/>
          <w:sz w:val="24"/>
        </w:rPr>
        <w:t xml:space="preserve"> is </w:t>
      </w:r>
      <w:r w:rsidR="008E7A97">
        <w:rPr>
          <w:rFonts w:cs="Calibri"/>
          <w:sz w:val="24"/>
        </w:rPr>
        <w:t xml:space="preserve">a </w:t>
      </w:r>
      <w:r w:rsidR="00D97BE3">
        <w:rPr>
          <w:rFonts w:cs="Calibri"/>
          <w:sz w:val="24"/>
        </w:rPr>
        <w:t xml:space="preserve">surprising </w:t>
      </w:r>
      <w:r w:rsidR="008E7A97">
        <w:rPr>
          <w:rFonts w:cs="Calibri"/>
          <w:sz w:val="24"/>
        </w:rPr>
        <w:t xml:space="preserve">stance </w:t>
      </w:r>
      <w:r w:rsidR="00D97BE3">
        <w:rPr>
          <w:rFonts w:cs="Calibri"/>
          <w:sz w:val="24"/>
        </w:rPr>
        <w:t>for a right</w:t>
      </w:r>
      <w:r w:rsidR="000C50A4">
        <w:rPr>
          <w:rFonts w:cs="Calibri"/>
          <w:sz w:val="24"/>
        </w:rPr>
        <w:t>-</w:t>
      </w:r>
      <w:r w:rsidR="00D97BE3">
        <w:rPr>
          <w:rFonts w:cs="Calibri"/>
          <w:sz w:val="24"/>
        </w:rPr>
        <w:t xml:space="preserve">wing government to be using the underachievement of working class children </w:t>
      </w:r>
      <w:r w:rsidR="000C50A4">
        <w:rPr>
          <w:rFonts w:cs="Calibri"/>
          <w:sz w:val="24"/>
        </w:rPr>
        <w:t>to</w:t>
      </w:r>
      <w:r w:rsidR="00D97BE3">
        <w:rPr>
          <w:rFonts w:cs="Calibri"/>
          <w:sz w:val="24"/>
        </w:rPr>
        <w:t xml:space="preserve"> criticis</w:t>
      </w:r>
      <w:r w:rsidR="000C50A4">
        <w:rPr>
          <w:rFonts w:cs="Calibri"/>
          <w:sz w:val="24"/>
        </w:rPr>
        <w:t>e</w:t>
      </w:r>
      <w:r w:rsidR="00D97BE3">
        <w:rPr>
          <w:rFonts w:cs="Calibri"/>
          <w:sz w:val="24"/>
        </w:rPr>
        <w:t xml:space="preserve"> of a previous Labour administration. </w:t>
      </w:r>
      <w:r w:rsidR="008E7A97">
        <w:rPr>
          <w:rFonts w:cs="Calibri"/>
          <w:sz w:val="24"/>
        </w:rPr>
        <w:t>T</w:t>
      </w:r>
      <w:r w:rsidR="00D97BE3">
        <w:rPr>
          <w:rFonts w:cs="Calibri"/>
          <w:sz w:val="24"/>
        </w:rPr>
        <w:t xml:space="preserve">his can be seen to add strength to the </w:t>
      </w:r>
      <w:r w:rsidR="008E7A97">
        <w:rPr>
          <w:rFonts w:cs="Calibri"/>
          <w:sz w:val="24"/>
        </w:rPr>
        <w:t>stated policy solution</w:t>
      </w:r>
      <w:r w:rsidR="000C50A4">
        <w:rPr>
          <w:rFonts w:cs="Calibri"/>
          <w:sz w:val="24"/>
        </w:rPr>
        <w:t>, since it appears that</w:t>
      </w:r>
      <w:r w:rsidR="00D97BE3">
        <w:rPr>
          <w:rFonts w:cs="Calibri"/>
          <w:sz w:val="24"/>
        </w:rPr>
        <w:t xml:space="preserve"> the government </w:t>
      </w:r>
      <w:r w:rsidR="000C50A4">
        <w:rPr>
          <w:rFonts w:cs="Calibri"/>
          <w:sz w:val="24"/>
        </w:rPr>
        <w:t xml:space="preserve">is </w:t>
      </w:r>
      <w:r w:rsidR="006B5880">
        <w:rPr>
          <w:rFonts w:cs="Calibri"/>
          <w:sz w:val="24"/>
        </w:rPr>
        <w:t>plac</w:t>
      </w:r>
      <w:r w:rsidR="000C50A4">
        <w:rPr>
          <w:rFonts w:cs="Calibri"/>
          <w:sz w:val="24"/>
        </w:rPr>
        <w:t>ing</w:t>
      </w:r>
      <w:r w:rsidR="006B5880">
        <w:rPr>
          <w:rFonts w:cs="Calibri"/>
          <w:sz w:val="24"/>
        </w:rPr>
        <w:t xml:space="preserve"> itself </w:t>
      </w:r>
      <w:r w:rsidR="00D97BE3">
        <w:rPr>
          <w:rFonts w:cs="Calibri"/>
          <w:sz w:val="24"/>
        </w:rPr>
        <w:t xml:space="preserve">above </w:t>
      </w:r>
      <w:r w:rsidR="009C51D9">
        <w:rPr>
          <w:rFonts w:cs="Calibri"/>
          <w:sz w:val="24"/>
        </w:rPr>
        <w:t xml:space="preserve">party </w:t>
      </w:r>
      <w:r w:rsidR="000C50A4">
        <w:rPr>
          <w:rFonts w:cs="Calibri"/>
          <w:sz w:val="24"/>
        </w:rPr>
        <w:t xml:space="preserve">political </w:t>
      </w:r>
      <w:r w:rsidR="00AA6DAD">
        <w:rPr>
          <w:rFonts w:cs="Calibri"/>
          <w:sz w:val="24"/>
        </w:rPr>
        <w:t>ideological</w:t>
      </w:r>
      <w:r w:rsidR="00D97BE3">
        <w:rPr>
          <w:rFonts w:cs="Calibri"/>
          <w:sz w:val="24"/>
        </w:rPr>
        <w:t xml:space="preserve"> arguments</w:t>
      </w:r>
      <w:r w:rsidR="009C51D9">
        <w:rPr>
          <w:rFonts w:cs="Calibri"/>
          <w:sz w:val="24"/>
        </w:rPr>
        <w:t xml:space="preserve"> in </w:t>
      </w:r>
      <w:r w:rsidR="000C50A4">
        <w:rPr>
          <w:rFonts w:cs="Calibri"/>
          <w:sz w:val="24"/>
        </w:rPr>
        <w:t xml:space="preserve">agreeing that </w:t>
      </w:r>
      <w:r w:rsidR="009C51D9">
        <w:rPr>
          <w:rFonts w:cs="Calibri"/>
          <w:sz w:val="24"/>
        </w:rPr>
        <w:t>working class underachievement</w:t>
      </w:r>
      <w:r w:rsidR="000C50A4">
        <w:rPr>
          <w:rFonts w:cs="Calibri"/>
          <w:sz w:val="24"/>
        </w:rPr>
        <w:t xml:space="preserve"> is a problem</w:t>
      </w:r>
      <w:r w:rsidR="00D97BE3">
        <w:rPr>
          <w:rFonts w:cs="Calibri"/>
          <w:sz w:val="24"/>
        </w:rPr>
        <w:t xml:space="preserve">, keeping the focus on the </w:t>
      </w:r>
      <w:r w:rsidR="008E7A97">
        <w:rPr>
          <w:rFonts w:cs="Calibri"/>
          <w:sz w:val="24"/>
        </w:rPr>
        <w:t>‘</w:t>
      </w:r>
      <w:r w:rsidR="00D97BE3">
        <w:rPr>
          <w:rFonts w:cs="Calibri"/>
          <w:sz w:val="24"/>
        </w:rPr>
        <w:t>best</w:t>
      </w:r>
      <w:r w:rsidR="008E7A97">
        <w:rPr>
          <w:rFonts w:cs="Calibri"/>
          <w:sz w:val="24"/>
        </w:rPr>
        <w:t>’</w:t>
      </w:r>
      <w:r w:rsidR="00D97BE3">
        <w:rPr>
          <w:rFonts w:cs="Calibri"/>
          <w:sz w:val="24"/>
        </w:rPr>
        <w:t xml:space="preserve"> solutions for increasing working class educational achievement.</w:t>
      </w:r>
      <w:r w:rsidR="008237A5">
        <w:rPr>
          <w:rFonts w:cs="Calibri"/>
          <w:sz w:val="24"/>
        </w:rPr>
        <w:t xml:space="preserve"> Skrla and Scheurich (2004) claim that US politics is facing an historic moment where both major political parties are committed to high </w:t>
      </w:r>
      <w:r w:rsidR="008237A5">
        <w:rPr>
          <w:rFonts w:cs="Calibri"/>
          <w:sz w:val="24"/>
        </w:rPr>
        <w:lastRenderedPageBreak/>
        <w:t>academic performance by all social groups (p.16). With the Coalition government adopting a number of US educational strategies</w:t>
      </w:r>
      <w:r w:rsidR="00A34F9A">
        <w:rPr>
          <w:rFonts w:cs="Calibri"/>
          <w:sz w:val="24"/>
        </w:rPr>
        <w:t>,</w:t>
      </w:r>
      <w:r w:rsidR="008237A5">
        <w:rPr>
          <w:rFonts w:cs="Calibri"/>
          <w:sz w:val="24"/>
        </w:rPr>
        <w:t xml:space="preserve"> this equality </w:t>
      </w:r>
      <w:r w:rsidR="008E7A97">
        <w:rPr>
          <w:rFonts w:cs="Calibri"/>
          <w:sz w:val="24"/>
        </w:rPr>
        <w:t>focus</w:t>
      </w:r>
      <w:r w:rsidR="008237A5">
        <w:rPr>
          <w:rFonts w:cs="Calibri"/>
          <w:sz w:val="24"/>
        </w:rPr>
        <w:t xml:space="preserve"> may be a</w:t>
      </w:r>
      <w:r w:rsidR="00AA6E2A">
        <w:rPr>
          <w:rFonts w:cs="Calibri"/>
          <w:sz w:val="24"/>
        </w:rPr>
        <w:t>n</w:t>
      </w:r>
      <w:r w:rsidR="008237A5">
        <w:rPr>
          <w:rFonts w:cs="Calibri"/>
          <w:sz w:val="24"/>
        </w:rPr>
        <w:t xml:space="preserve"> example of policy </w:t>
      </w:r>
      <w:r w:rsidR="008237A5" w:rsidRPr="00716150">
        <w:rPr>
          <w:rFonts w:cs="Calibri"/>
          <w:sz w:val="24"/>
        </w:rPr>
        <w:t>borrowing</w:t>
      </w:r>
      <w:r w:rsidR="00716150" w:rsidRPr="00716150">
        <w:rPr>
          <w:rFonts w:cs="Calibri"/>
          <w:sz w:val="24"/>
        </w:rPr>
        <w:t xml:space="preserve"> (Lingard</w:t>
      </w:r>
      <w:r w:rsidR="00A34F9A">
        <w:rPr>
          <w:rFonts w:cs="Calibri"/>
          <w:sz w:val="24"/>
        </w:rPr>
        <w:t xml:space="preserve"> et al., </w:t>
      </w:r>
      <w:r w:rsidR="00716150" w:rsidRPr="00716150">
        <w:rPr>
          <w:rFonts w:cs="Calibri"/>
          <w:sz w:val="24"/>
        </w:rPr>
        <w:t>2014).</w:t>
      </w:r>
    </w:p>
    <w:p w14:paraId="2888E42C" w14:textId="109B1BB1" w:rsidR="00B54F29" w:rsidRPr="00FF0DAA" w:rsidRDefault="00B54F29" w:rsidP="00D97BE3">
      <w:pPr>
        <w:tabs>
          <w:tab w:val="left" w:pos="8505"/>
        </w:tabs>
        <w:spacing w:line="360" w:lineRule="auto"/>
        <w:rPr>
          <w:rFonts w:cs="Calibri"/>
          <w:sz w:val="24"/>
        </w:rPr>
      </w:pPr>
      <w:r w:rsidRPr="00FF0DAA">
        <w:rPr>
          <w:rFonts w:cs="Calibri"/>
          <w:sz w:val="24"/>
        </w:rPr>
        <w:t xml:space="preserve">The section finishes with a dramatic utterance: “And that is why there is a fierce urgency to our plans for reform” (p.7).  The verbal </w:t>
      </w:r>
      <w:r w:rsidR="001A039C">
        <w:rPr>
          <w:rFonts w:cs="Calibri"/>
          <w:sz w:val="24"/>
        </w:rPr>
        <w:t xml:space="preserve">communication </w:t>
      </w:r>
      <w:r w:rsidR="00E05129" w:rsidRPr="00FF0DAA">
        <w:rPr>
          <w:rFonts w:cs="Calibri"/>
          <w:sz w:val="24"/>
        </w:rPr>
        <w:t xml:space="preserve">processes </w:t>
      </w:r>
      <w:r w:rsidRPr="00FF0DAA">
        <w:rPr>
          <w:rFonts w:cs="Calibri"/>
          <w:sz w:val="24"/>
        </w:rPr>
        <w:t xml:space="preserve">are different </w:t>
      </w:r>
      <w:r w:rsidR="00A309C5">
        <w:rPr>
          <w:rFonts w:cs="Calibri"/>
          <w:sz w:val="24"/>
        </w:rPr>
        <w:t>in</w:t>
      </w:r>
      <w:r w:rsidR="001A039C">
        <w:rPr>
          <w:rFonts w:cs="Calibri"/>
          <w:sz w:val="24"/>
        </w:rPr>
        <w:t xml:space="preserve"> each of </w:t>
      </w:r>
      <w:r w:rsidRPr="00FF0DAA">
        <w:rPr>
          <w:rFonts w:cs="Calibri"/>
          <w:sz w:val="24"/>
        </w:rPr>
        <w:t>the two forewords</w:t>
      </w:r>
      <w:r w:rsidR="00E05129">
        <w:rPr>
          <w:rFonts w:cs="Calibri"/>
          <w:sz w:val="24"/>
        </w:rPr>
        <w:t>,</w:t>
      </w:r>
      <w:r w:rsidRPr="00FF0DAA">
        <w:rPr>
          <w:rFonts w:cs="Calibri"/>
          <w:sz w:val="24"/>
        </w:rPr>
        <w:t xml:space="preserve"> possibly to highlight the different roles these politicians have in designing, implementing and overseeing the policy. The PM/ DPM agree to the overall direction of the policy but </w:t>
      </w:r>
      <w:r w:rsidR="007F67E6">
        <w:rPr>
          <w:rFonts w:cs="Calibri"/>
          <w:sz w:val="24"/>
        </w:rPr>
        <w:t>Gove</w:t>
      </w:r>
      <w:r w:rsidRPr="00FF0DAA">
        <w:rPr>
          <w:rFonts w:cs="Calibri"/>
          <w:sz w:val="24"/>
        </w:rPr>
        <w:t xml:space="preserve"> has to inspire, persuade and hold to account the teaching profession </w:t>
      </w:r>
      <w:r w:rsidR="00A309C5">
        <w:rPr>
          <w:rFonts w:cs="Calibri"/>
          <w:sz w:val="24"/>
        </w:rPr>
        <w:t>for its</w:t>
      </w:r>
      <w:r w:rsidRPr="00FF0DAA">
        <w:rPr>
          <w:rFonts w:cs="Calibri"/>
          <w:sz w:val="24"/>
        </w:rPr>
        <w:t xml:space="preserve"> deliver</w:t>
      </w:r>
      <w:r w:rsidR="00A309C5">
        <w:rPr>
          <w:rFonts w:cs="Calibri"/>
          <w:sz w:val="24"/>
        </w:rPr>
        <w:t>y</w:t>
      </w:r>
      <w:r w:rsidRPr="00FF0DAA">
        <w:rPr>
          <w:rFonts w:cs="Calibri"/>
          <w:sz w:val="24"/>
        </w:rPr>
        <w:t>.</w:t>
      </w:r>
    </w:p>
    <w:p w14:paraId="26A63318" w14:textId="3EB4960F" w:rsidR="00B54F29" w:rsidRDefault="003F37B7" w:rsidP="00531995">
      <w:pPr>
        <w:spacing w:after="120" w:line="360" w:lineRule="auto"/>
        <w:rPr>
          <w:rFonts w:cs="Calibri"/>
          <w:sz w:val="24"/>
        </w:rPr>
      </w:pPr>
      <w:r>
        <w:rPr>
          <w:rFonts w:cs="Calibri"/>
          <w:sz w:val="24"/>
        </w:rPr>
        <w:t>P</w:t>
      </w:r>
      <w:r w:rsidR="00B54F29" w:rsidRPr="00FF0DAA">
        <w:rPr>
          <w:rFonts w:cs="Calibri"/>
          <w:sz w:val="24"/>
        </w:rPr>
        <w:t>ersuasion is evident within the White Paper speech. The list of “loaded, dramatic, and stereotypical adjectives, adverbs and nouns” (</w:t>
      </w:r>
      <w:r w:rsidR="00D97BE3">
        <w:rPr>
          <w:rFonts w:cs="Calibri"/>
          <w:sz w:val="24"/>
        </w:rPr>
        <w:t xml:space="preserve">Hyatt, 2010, </w:t>
      </w:r>
      <w:r w:rsidR="00B54F29" w:rsidRPr="00FF0DAA">
        <w:rPr>
          <w:rFonts w:cs="Calibri"/>
          <w:sz w:val="24"/>
        </w:rPr>
        <w:t>p.2</w:t>
      </w:r>
      <w:r w:rsidR="00574231">
        <w:rPr>
          <w:rFonts w:cs="Calibri"/>
          <w:sz w:val="24"/>
        </w:rPr>
        <w:t>)</w:t>
      </w:r>
      <w:r w:rsidR="00B54F29" w:rsidRPr="00FF0DAA">
        <w:rPr>
          <w:rFonts w:cs="Calibri"/>
          <w:sz w:val="24"/>
        </w:rPr>
        <w:t xml:space="preserve"> is much greater than in the </w:t>
      </w:r>
      <w:r w:rsidR="00D97BE3">
        <w:rPr>
          <w:rFonts w:cs="Calibri"/>
          <w:sz w:val="24"/>
        </w:rPr>
        <w:t xml:space="preserve">two </w:t>
      </w:r>
      <w:r w:rsidR="00B54F29" w:rsidRPr="00FF0DAA">
        <w:rPr>
          <w:rFonts w:cs="Calibri"/>
          <w:sz w:val="24"/>
        </w:rPr>
        <w:t>foreword</w:t>
      </w:r>
      <w:r w:rsidR="00D97BE3">
        <w:rPr>
          <w:rFonts w:cs="Calibri"/>
          <w:sz w:val="24"/>
        </w:rPr>
        <w:t>s</w:t>
      </w:r>
      <w:r w:rsidR="007F67E6">
        <w:rPr>
          <w:rFonts w:cs="Calibri"/>
          <w:sz w:val="24"/>
        </w:rPr>
        <w:t>, f</w:t>
      </w:r>
      <w:r w:rsidR="00B54F29" w:rsidRPr="00FF0DAA">
        <w:rPr>
          <w:rFonts w:cs="Calibri"/>
          <w:sz w:val="24"/>
        </w:rPr>
        <w:t xml:space="preserve">or example, when praising schools as “great schools” with “superb teachers” </w:t>
      </w:r>
      <w:r>
        <w:rPr>
          <w:rFonts w:cs="Calibri"/>
          <w:sz w:val="24"/>
        </w:rPr>
        <w:t>(</w:t>
      </w:r>
      <w:r w:rsidR="00D97BE3">
        <w:rPr>
          <w:rFonts w:cs="Calibri"/>
          <w:sz w:val="24"/>
        </w:rPr>
        <w:t>p.1</w:t>
      </w:r>
      <w:r>
        <w:rPr>
          <w:rFonts w:cs="Calibri"/>
          <w:sz w:val="24"/>
        </w:rPr>
        <w:t>)</w:t>
      </w:r>
      <w:r w:rsidR="00B54F29" w:rsidRPr="00FF0DAA">
        <w:rPr>
          <w:rFonts w:cs="Calibri"/>
          <w:sz w:val="24"/>
        </w:rPr>
        <w:t xml:space="preserve">. </w:t>
      </w:r>
      <w:r w:rsidR="007F67E6">
        <w:rPr>
          <w:rFonts w:cs="Calibri"/>
          <w:sz w:val="24"/>
        </w:rPr>
        <w:t>I</w:t>
      </w:r>
      <w:r w:rsidR="00B54F29" w:rsidRPr="00FF0DAA">
        <w:rPr>
          <w:rFonts w:cs="Calibri"/>
          <w:sz w:val="24"/>
        </w:rPr>
        <w:t>n contrast, schools have also “slipped behind other nations” and the “gulf…has grown wider”, resulting in an “unhappy trend”.  In reference to previous National Curriculum requirements, Gove states</w:t>
      </w:r>
      <w:r w:rsidR="00B54F29">
        <w:rPr>
          <w:rFonts w:cs="Calibri"/>
          <w:sz w:val="24"/>
        </w:rPr>
        <w:t>:</w:t>
      </w:r>
      <w:r w:rsidR="00B54F29" w:rsidRPr="00FF0DAA">
        <w:rPr>
          <w:rFonts w:cs="Calibri"/>
          <w:sz w:val="24"/>
        </w:rPr>
        <w:t xml:space="preserve"> </w:t>
      </w:r>
    </w:p>
    <w:p w14:paraId="5102E1A8" w14:textId="7EB9B364" w:rsidR="00B54F29" w:rsidRDefault="006243EE" w:rsidP="00531995">
      <w:pPr>
        <w:spacing w:after="240" w:line="240" w:lineRule="auto"/>
        <w:ind w:left="720"/>
        <w:rPr>
          <w:rFonts w:cs="Calibri"/>
          <w:sz w:val="24"/>
        </w:rPr>
      </w:pPr>
      <w:r>
        <w:rPr>
          <w:rFonts w:cs="Calibri"/>
          <w:sz w:val="24"/>
        </w:rPr>
        <w:t>…</w:t>
      </w:r>
      <w:r w:rsidR="00B54F29" w:rsidRPr="00FF0DAA">
        <w:rPr>
          <w:rFonts w:cs="Calibri"/>
          <w:sz w:val="24"/>
        </w:rPr>
        <w:t>we will slim down a curriculum that has become overloaded, over-prescriptive and over-bureaucratic by</w:t>
      </w:r>
      <w:r w:rsidR="00AA6E2A">
        <w:rPr>
          <w:rFonts w:cs="Calibri"/>
          <w:sz w:val="24"/>
        </w:rPr>
        <w:t>…</w:t>
      </w:r>
      <w:r w:rsidR="00B54F29" w:rsidRPr="00FF0DAA">
        <w:rPr>
          <w:rFonts w:cs="Calibri"/>
          <w:sz w:val="24"/>
        </w:rPr>
        <w:t xml:space="preserve">specifying the core knowledge in strategic subjects that every child should know (p.2). </w:t>
      </w:r>
    </w:p>
    <w:p w14:paraId="7697BDDF" w14:textId="43C20212" w:rsidR="00B54F29" w:rsidRPr="00FF0DAA" w:rsidRDefault="00B54F29" w:rsidP="00531995">
      <w:pPr>
        <w:spacing w:after="240" w:line="360" w:lineRule="auto"/>
        <w:rPr>
          <w:rFonts w:cs="Calibri"/>
          <w:sz w:val="24"/>
        </w:rPr>
      </w:pPr>
      <w:r w:rsidRPr="00FF0DAA">
        <w:rPr>
          <w:rFonts w:cs="Calibri"/>
          <w:sz w:val="24"/>
        </w:rPr>
        <w:t xml:space="preserve">The verbal process of repeating a word three times is familiar in political rhetoric. </w:t>
      </w:r>
      <w:r w:rsidR="007F67E6">
        <w:rPr>
          <w:rFonts w:cs="Calibri"/>
          <w:sz w:val="24"/>
        </w:rPr>
        <w:t>A</w:t>
      </w:r>
      <w:r w:rsidRPr="00FF0DAA">
        <w:rPr>
          <w:rFonts w:cs="Calibri"/>
          <w:sz w:val="24"/>
        </w:rPr>
        <w:t xml:space="preserve"> range of selective lexis</w:t>
      </w:r>
      <w:r w:rsidR="006243EE">
        <w:rPr>
          <w:rFonts w:cs="Calibri"/>
          <w:sz w:val="24"/>
        </w:rPr>
        <w:t xml:space="preserve"> are used to</w:t>
      </w:r>
      <w:r w:rsidRPr="00FF0DAA">
        <w:rPr>
          <w:rFonts w:cs="Calibri"/>
          <w:sz w:val="24"/>
        </w:rPr>
        <w:t xml:space="preserve"> outwardly imply the speed of reform intend</w:t>
      </w:r>
      <w:r w:rsidR="007F67E6">
        <w:rPr>
          <w:rFonts w:cs="Calibri"/>
          <w:sz w:val="24"/>
        </w:rPr>
        <w:t>ed</w:t>
      </w:r>
      <w:r w:rsidRPr="00FF0DAA">
        <w:rPr>
          <w:rFonts w:cs="Calibri"/>
          <w:sz w:val="24"/>
        </w:rPr>
        <w:t xml:space="preserve"> to </w:t>
      </w:r>
      <w:r w:rsidR="007F67E6">
        <w:rPr>
          <w:rFonts w:cs="Calibri"/>
          <w:sz w:val="24"/>
        </w:rPr>
        <w:t xml:space="preserve">be </w:t>
      </w:r>
      <w:r w:rsidRPr="00FF0DAA">
        <w:rPr>
          <w:rFonts w:cs="Calibri"/>
          <w:sz w:val="24"/>
        </w:rPr>
        <w:t>undertake</w:t>
      </w:r>
      <w:r w:rsidR="00B91B92">
        <w:rPr>
          <w:rFonts w:cs="Calibri"/>
          <w:sz w:val="24"/>
        </w:rPr>
        <w:t>n</w:t>
      </w:r>
      <w:r w:rsidR="006243EE">
        <w:rPr>
          <w:rFonts w:cs="Calibri"/>
          <w:sz w:val="24"/>
        </w:rPr>
        <w:t>,</w:t>
      </w:r>
      <w:r w:rsidRPr="00FF0DAA">
        <w:rPr>
          <w:rFonts w:cs="Calibri"/>
          <w:sz w:val="24"/>
        </w:rPr>
        <w:t xml:space="preserve"> includ</w:t>
      </w:r>
      <w:r w:rsidR="007F67E6">
        <w:rPr>
          <w:rFonts w:cs="Calibri"/>
          <w:sz w:val="24"/>
        </w:rPr>
        <w:t>ing</w:t>
      </w:r>
      <w:r w:rsidRPr="00FF0DAA">
        <w:rPr>
          <w:rFonts w:cs="Calibri"/>
          <w:sz w:val="24"/>
        </w:rPr>
        <w:t xml:space="preserve"> inscribed evaluation (overt author judgement) and evoked evaluation (judgements </w:t>
      </w:r>
      <w:r w:rsidR="006243EE">
        <w:rPr>
          <w:rFonts w:cs="Calibri"/>
          <w:sz w:val="24"/>
        </w:rPr>
        <w:t xml:space="preserve">the reader is led </w:t>
      </w:r>
      <w:r w:rsidRPr="00FF0DAA">
        <w:rPr>
          <w:rFonts w:cs="Calibri"/>
          <w:sz w:val="24"/>
        </w:rPr>
        <w:t>to mak</w:t>
      </w:r>
      <w:r w:rsidR="006243EE">
        <w:rPr>
          <w:rFonts w:cs="Calibri"/>
          <w:sz w:val="24"/>
        </w:rPr>
        <w:t>ing</w:t>
      </w:r>
      <w:r w:rsidRPr="00FF0DAA">
        <w:rPr>
          <w:rFonts w:cs="Calibri"/>
          <w:sz w:val="24"/>
        </w:rPr>
        <w:t xml:space="preserve"> themselves) (Martin</w:t>
      </w:r>
      <w:r w:rsidR="006243EE">
        <w:rPr>
          <w:rFonts w:cs="Calibri"/>
          <w:sz w:val="24"/>
        </w:rPr>
        <w:t>,</w:t>
      </w:r>
      <w:r w:rsidRPr="00FF0DAA">
        <w:rPr>
          <w:rFonts w:cs="Calibri"/>
          <w:sz w:val="24"/>
        </w:rPr>
        <w:t xml:space="preserve"> 2000). This is evidenced </w:t>
      </w:r>
      <w:r w:rsidR="007F67E6">
        <w:rPr>
          <w:rFonts w:cs="Calibri"/>
          <w:sz w:val="24"/>
        </w:rPr>
        <w:t>via</w:t>
      </w:r>
      <w:r w:rsidRPr="00FF0DAA">
        <w:rPr>
          <w:rFonts w:cs="Calibri"/>
          <w:sz w:val="24"/>
        </w:rPr>
        <w:t>:</w:t>
      </w:r>
      <w:r>
        <w:rPr>
          <w:rFonts w:cs="Calibri"/>
          <w:sz w:val="24"/>
        </w:rPr>
        <w:t xml:space="preserve"> </w:t>
      </w:r>
      <w:r w:rsidRPr="00FF0DAA">
        <w:rPr>
          <w:rFonts w:cs="Calibri"/>
          <w:sz w:val="24"/>
        </w:rPr>
        <w:t xml:space="preserve">“urgent”, “accelerating”, “rigorous”, </w:t>
      </w:r>
      <w:r w:rsidR="0053704A">
        <w:rPr>
          <w:rFonts w:cs="Calibri"/>
          <w:sz w:val="24"/>
        </w:rPr>
        <w:t xml:space="preserve">and </w:t>
      </w:r>
      <w:r w:rsidRPr="00FF0DAA">
        <w:rPr>
          <w:rFonts w:cs="Calibri"/>
          <w:sz w:val="24"/>
        </w:rPr>
        <w:t>“ambitious”</w:t>
      </w:r>
      <w:r w:rsidR="00C83921">
        <w:rPr>
          <w:rFonts w:cs="Calibri"/>
          <w:sz w:val="24"/>
        </w:rPr>
        <w:t>.</w:t>
      </w:r>
      <w:r w:rsidRPr="00FF0DAA">
        <w:rPr>
          <w:rFonts w:cs="Calibri"/>
          <w:sz w:val="24"/>
        </w:rPr>
        <w:t xml:space="preserve"> </w:t>
      </w:r>
      <w:r w:rsidR="007F67E6">
        <w:rPr>
          <w:rFonts w:cs="Calibri"/>
          <w:sz w:val="24"/>
        </w:rPr>
        <w:t>T</w:t>
      </w:r>
      <w:r w:rsidRPr="00FF0DAA">
        <w:rPr>
          <w:rFonts w:cs="Calibri"/>
          <w:sz w:val="24"/>
        </w:rPr>
        <w:t xml:space="preserve">he White Paper “affirms the importance of teaching at the heart of our mission to make opportunity more equal” (p.2). Gove’s moral outrage at inequalities </w:t>
      </w:r>
      <w:r w:rsidR="00C83921">
        <w:rPr>
          <w:rFonts w:cs="Calibri"/>
          <w:sz w:val="24"/>
        </w:rPr>
        <w:t xml:space="preserve">is clear to the reader, </w:t>
      </w:r>
      <w:r w:rsidR="007F67E6">
        <w:rPr>
          <w:rFonts w:cs="Calibri"/>
          <w:sz w:val="24"/>
        </w:rPr>
        <w:t>with</w:t>
      </w:r>
      <w:r w:rsidRPr="00FF0DAA">
        <w:rPr>
          <w:rFonts w:cs="Calibri"/>
          <w:sz w:val="24"/>
        </w:rPr>
        <w:t xml:space="preserve"> the ideas behind the policy presented as common sense </w:t>
      </w:r>
      <w:r w:rsidR="007F67E6">
        <w:rPr>
          <w:rFonts w:cs="Calibri"/>
          <w:sz w:val="24"/>
        </w:rPr>
        <w:t>solutions to</w:t>
      </w:r>
      <w:r w:rsidRPr="00FF0DAA">
        <w:rPr>
          <w:rFonts w:cs="Calibri"/>
          <w:sz w:val="24"/>
        </w:rPr>
        <w:t xml:space="preserve"> the stated</w:t>
      </w:r>
      <w:r w:rsidR="003F37B7">
        <w:rPr>
          <w:rFonts w:cs="Calibri"/>
          <w:sz w:val="24"/>
        </w:rPr>
        <w:t xml:space="preserve"> </w:t>
      </w:r>
      <w:r w:rsidRPr="00FF0DAA">
        <w:rPr>
          <w:rFonts w:cs="Calibri"/>
          <w:sz w:val="24"/>
        </w:rPr>
        <w:t>problems</w:t>
      </w:r>
      <w:r w:rsidR="007F67E6">
        <w:rPr>
          <w:rFonts w:cs="Calibri"/>
          <w:sz w:val="24"/>
        </w:rPr>
        <w:t xml:space="preserve"> (</w:t>
      </w:r>
      <w:r w:rsidR="006243EE">
        <w:rPr>
          <w:rFonts w:cs="Calibri"/>
          <w:sz w:val="24"/>
        </w:rPr>
        <w:t>A</w:t>
      </w:r>
      <w:r w:rsidR="007F67E6">
        <w:rPr>
          <w:rFonts w:cs="Calibri"/>
          <w:sz w:val="24"/>
        </w:rPr>
        <w:t>rena 3)</w:t>
      </w:r>
      <w:r w:rsidRPr="00FF0DAA">
        <w:rPr>
          <w:rFonts w:cs="Calibri"/>
          <w:sz w:val="24"/>
        </w:rPr>
        <w:t>.</w:t>
      </w:r>
    </w:p>
    <w:p w14:paraId="365C1E08" w14:textId="04D64855" w:rsidR="00B54F29" w:rsidRPr="00FF0DAA" w:rsidRDefault="00B54F29" w:rsidP="00B54F29">
      <w:pPr>
        <w:spacing w:line="360" w:lineRule="auto"/>
        <w:rPr>
          <w:rFonts w:cs="Calibri"/>
          <w:sz w:val="24"/>
        </w:rPr>
      </w:pPr>
      <w:r w:rsidRPr="00FF0DAA">
        <w:rPr>
          <w:rFonts w:cs="Calibri"/>
          <w:sz w:val="24"/>
        </w:rPr>
        <w:t>The Addendum, as a factual elaboration of an area of policy, uses a much a less prescribed and intensified range of specific word class</w:t>
      </w:r>
      <w:r w:rsidR="003F37B7">
        <w:rPr>
          <w:rFonts w:cs="Calibri"/>
          <w:sz w:val="24"/>
        </w:rPr>
        <w:t>es</w:t>
      </w:r>
      <w:r w:rsidR="0022299C">
        <w:rPr>
          <w:rFonts w:cs="Calibri"/>
          <w:sz w:val="24"/>
        </w:rPr>
        <w:t>, f</w:t>
      </w:r>
      <w:r w:rsidRPr="00FF0DAA">
        <w:rPr>
          <w:rFonts w:cs="Calibri"/>
          <w:sz w:val="24"/>
        </w:rPr>
        <w:t xml:space="preserve">or example, “broad range”, “promotes that aspiration” and “rigorous GCSEs” (p.2) </w:t>
      </w:r>
      <w:r w:rsidR="007F67E6">
        <w:rPr>
          <w:rFonts w:cs="Calibri"/>
          <w:sz w:val="24"/>
        </w:rPr>
        <w:t>E</w:t>
      </w:r>
      <w:r w:rsidRPr="00FF0DAA">
        <w:rPr>
          <w:rFonts w:cs="Calibri"/>
          <w:sz w:val="24"/>
        </w:rPr>
        <w:t>ven here, such connotation</w:t>
      </w:r>
      <w:r w:rsidR="00E11B9D">
        <w:rPr>
          <w:rFonts w:cs="Calibri"/>
          <w:sz w:val="24"/>
        </w:rPr>
        <w:t>s</w:t>
      </w:r>
      <w:r w:rsidRPr="00FF0DAA">
        <w:rPr>
          <w:rFonts w:cs="Calibri"/>
          <w:sz w:val="24"/>
        </w:rPr>
        <w:t xml:space="preserve"> lead the reader to an </w:t>
      </w:r>
      <w:r w:rsidRPr="00FF0DAA">
        <w:rPr>
          <w:rFonts w:cs="Calibri"/>
          <w:sz w:val="24"/>
        </w:rPr>
        <w:lastRenderedPageBreak/>
        <w:t>evoked evaluation</w:t>
      </w:r>
      <w:r w:rsidR="00E11B9D">
        <w:rPr>
          <w:rFonts w:cs="Calibri"/>
          <w:sz w:val="24"/>
        </w:rPr>
        <w:t>,</w:t>
      </w:r>
      <w:r w:rsidR="00CD7946">
        <w:rPr>
          <w:rFonts w:cs="Calibri"/>
          <w:sz w:val="24"/>
        </w:rPr>
        <w:t xml:space="preserve"> as this choice of vocabulary within a technical, factual list of qualifications is loaded and judgemental.</w:t>
      </w:r>
    </w:p>
    <w:p w14:paraId="06F8E2DD" w14:textId="7A912284" w:rsidR="00B54F29" w:rsidRPr="00FF0DAA" w:rsidRDefault="00B54F29" w:rsidP="00531995">
      <w:pPr>
        <w:pStyle w:val="Heading3"/>
      </w:pPr>
      <w:bookmarkStart w:id="80" w:name="_Toc452316364"/>
      <w:r w:rsidRPr="00FF0DAA">
        <w:t>4.</w:t>
      </w:r>
      <w:r w:rsidR="00F5758D">
        <w:t>2.</w:t>
      </w:r>
      <w:r>
        <w:t>6</w:t>
      </w:r>
      <w:r w:rsidRPr="00FF0DAA">
        <w:t xml:space="preserve"> Metaphor – literal and grammatical</w:t>
      </w:r>
      <w:bookmarkEnd w:id="80"/>
    </w:p>
    <w:p w14:paraId="1523F67B" w14:textId="6E8D2D30" w:rsidR="00B54F29" w:rsidRDefault="00B54F29" w:rsidP="000A222C">
      <w:pPr>
        <w:spacing w:after="0" w:line="360" w:lineRule="auto"/>
        <w:rPr>
          <w:rFonts w:cs="Calibri"/>
          <w:sz w:val="24"/>
        </w:rPr>
      </w:pPr>
      <w:r w:rsidRPr="00FF0DAA">
        <w:rPr>
          <w:rFonts w:cs="Calibri"/>
          <w:sz w:val="24"/>
        </w:rPr>
        <w:t xml:space="preserve">The texts include a range of </w:t>
      </w:r>
      <w:r w:rsidR="00254277" w:rsidRPr="00FF0DAA">
        <w:rPr>
          <w:rFonts w:cs="Calibri"/>
          <w:sz w:val="24"/>
        </w:rPr>
        <w:t xml:space="preserve">literal and grammatical </w:t>
      </w:r>
      <w:r w:rsidRPr="00FF0DAA">
        <w:rPr>
          <w:rFonts w:cs="Calibri"/>
          <w:sz w:val="24"/>
        </w:rPr>
        <w:t xml:space="preserve">metaphors. </w:t>
      </w:r>
      <w:r w:rsidR="00163465" w:rsidRPr="00FF0DAA">
        <w:rPr>
          <w:rFonts w:cs="Calibri"/>
          <w:sz w:val="24"/>
        </w:rPr>
        <w:t>The literal metaphor creates association or resemblance between two items</w:t>
      </w:r>
      <w:r w:rsidR="00254277">
        <w:rPr>
          <w:rFonts w:cs="Calibri"/>
          <w:sz w:val="24"/>
        </w:rPr>
        <w:t>, w</w:t>
      </w:r>
      <w:r w:rsidR="00163465" w:rsidRPr="00FF0DAA">
        <w:rPr>
          <w:rFonts w:cs="Calibri"/>
          <w:sz w:val="24"/>
        </w:rPr>
        <w:t>hereas the grammatical metaphor, through the conversion of a verb into a noun, has the effect of increasing the lexical field as well as frequently changing a sentence from the active to the passive voice, allowing for generalisation and depersonalisation.</w:t>
      </w:r>
      <w:r w:rsidR="00574231">
        <w:rPr>
          <w:rFonts w:cs="Calibri"/>
          <w:sz w:val="24"/>
        </w:rPr>
        <w:t xml:space="preserve"> </w:t>
      </w:r>
      <w:r w:rsidRPr="00FF0DAA">
        <w:rPr>
          <w:rFonts w:cs="Calibri"/>
          <w:sz w:val="24"/>
        </w:rPr>
        <w:t xml:space="preserve">Hyatt (2010) comments that the “metaphor is more than just a literary device – it plays a fundamental part in the way people represent social reality” (p.3). </w:t>
      </w:r>
    </w:p>
    <w:p w14:paraId="1B3BFD18" w14:textId="77777777" w:rsidR="00254277" w:rsidRPr="00FF0DAA" w:rsidRDefault="00254277" w:rsidP="000A222C">
      <w:pPr>
        <w:spacing w:after="0" w:line="360" w:lineRule="auto"/>
        <w:rPr>
          <w:rFonts w:cs="Calibri"/>
          <w:sz w:val="24"/>
        </w:rPr>
      </w:pPr>
    </w:p>
    <w:p w14:paraId="3D02BBE2" w14:textId="04C0E41E" w:rsidR="00197C2A" w:rsidRDefault="00B54F29" w:rsidP="00B54F29">
      <w:pPr>
        <w:spacing w:line="360" w:lineRule="auto"/>
        <w:rPr>
          <w:rFonts w:cs="Calibri"/>
          <w:sz w:val="24"/>
        </w:rPr>
      </w:pPr>
      <w:r w:rsidRPr="00FF0DAA">
        <w:rPr>
          <w:rFonts w:cs="Calibri"/>
          <w:sz w:val="24"/>
        </w:rPr>
        <w:t>The foreword by the PM/ DPM starts with literal metaphors</w:t>
      </w:r>
      <w:r w:rsidR="00163465">
        <w:rPr>
          <w:rFonts w:cs="Calibri"/>
          <w:sz w:val="24"/>
        </w:rPr>
        <w:t>, such as:</w:t>
      </w:r>
      <w:r w:rsidRPr="00FF0DAA">
        <w:rPr>
          <w:rFonts w:cs="Calibri"/>
          <w:sz w:val="24"/>
        </w:rPr>
        <w:t xml:space="preserve"> “so much of the education debate in this country is backward looking: have standards fallen? Have exams got easier?” (p.3) and concludes with “We have no choice but to be this radical if our ambition is to be world-class” (p.4). </w:t>
      </w:r>
      <w:r w:rsidR="00F5758D">
        <w:rPr>
          <w:rFonts w:cs="Calibri"/>
          <w:sz w:val="24"/>
        </w:rPr>
        <w:t>W</w:t>
      </w:r>
      <w:r w:rsidRPr="00FF0DAA">
        <w:rPr>
          <w:rFonts w:cs="Calibri"/>
          <w:sz w:val="24"/>
        </w:rPr>
        <w:t>hile there are many literal metaphors within this text</w:t>
      </w:r>
      <w:r w:rsidR="00C661FB">
        <w:rPr>
          <w:rFonts w:cs="Calibri"/>
          <w:sz w:val="24"/>
        </w:rPr>
        <w:t>,</w:t>
      </w:r>
      <w:r w:rsidRPr="00FF0DAA">
        <w:rPr>
          <w:rFonts w:cs="Calibri"/>
          <w:sz w:val="24"/>
        </w:rPr>
        <w:t xml:space="preserve"> there are few examples of grammatical metaphor. In contrast, the foreword</w:t>
      </w:r>
      <w:r w:rsidR="00163465">
        <w:rPr>
          <w:rFonts w:cs="Calibri"/>
          <w:sz w:val="24"/>
        </w:rPr>
        <w:t xml:space="preserve"> </w:t>
      </w:r>
      <w:r w:rsidRPr="00FF0DAA">
        <w:rPr>
          <w:rFonts w:cs="Calibri"/>
          <w:sz w:val="24"/>
        </w:rPr>
        <w:t xml:space="preserve">by </w:t>
      </w:r>
      <w:r w:rsidR="00F5758D">
        <w:rPr>
          <w:rFonts w:cs="Calibri"/>
          <w:sz w:val="24"/>
        </w:rPr>
        <w:t>Gove</w:t>
      </w:r>
      <w:r w:rsidRPr="00FF0DAA">
        <w:rPr>
          <w:rFonts w:cs="Calibri"/>
          <w:sz w:val="24"/>
        </w:rPr>
        <w:t xml:space="preserve"> use</w:t>
      </w:r>
      <w:r w:rsidR="00F5758D">
        <w:rPr>
          <w:rFonts w:cs="Calibri"/>
          <w:sz w:val="24"/>
        </w:rPr>
        <w:t>s</w:t>
      </w:r>
      <w:r w:rsidRPr="00FF0DAA">
        <w:rPr>
          <w:rFonts w:cs="Calibri"/>
          <w:sz w:val="24"/>
        </w:rPr>
        <w:t xml:space="preserve"> grammatical metaphor as a device to allow for generalisation and to remove individual</w:t>
      </w:r>
      <w:r w:rsidR="00F5758D">
        <w:rPr>
          <w:rFonts w:cs="Calibri"/>
          <w:sz w:val="24"/>
        </w:rPr>
        <w:t>s</w:t>
      </w:r>
      <w:r w:rsidRPr="00FF0DAA">
        <w:rPr>
          <w:rFonts w:cs="Calibri"/>
          <w:sz w:val="24"/>
        </w:rPr>
        <w:t xml:space="preserve"> from statement</w:t>
      </w:r>
      <w:r w:rsidR="00357C51">
        <w:rPr>
          <w:rFonts w:cs="Calibri"/>
          <w:sz w:val="24"/>
        </w:rPr>
        <w:t>s</w:t>
      </w:r>
      <w:r w:rsidR="00C661FB">
        <w:rPr>
          <w:rFonts w:cs="Calibri"/>
          <w:sz w:val="24"/>
        </w:rPr>
        <w:t>, f</w:t>
      </w:r>
      <w:r w:rsidRPr="00FF0DAA">
        <w:rPr>
          <w:rFonts w:cs="Calibri"/>
          <w:sz w:val="24"/>
        </w:rPr>
        <w:t>or example</w:t>
      </w:r>
      <w:r w:rsidR="00C661FB">
        <w:rPr>
          <w:rFonts w:cs="Calibri"/>
          <w:sz w:val="24"/>
        </w:rPr>
        <w:t>:</w:t>
      </w:r>
      <w:r w:rsidRPr="00FF0DAA">
        <w:rPr>
          <w:rFonts w:cs="Calibri"/>
          <w:sz w:val="24"/>
        </w:rPr>
        <w:t xml:space="preserve"> “But education provides a route to liberation from these imposed constraints</w:t>
      </w:r>
      <w:r w:rsidR="00C661FB">
        <w:rPr>
          <w:rFonts w:cs="Calibri"/>
          <w:sz w:val="24"/>
        </w:rPr>
        <w:t>”</w:t>
      </w:r>
      <w:r w:rsidRPr="00FF0DAA">
        <w:rPr>
          <w:rFonts w:cs="Calibri"/>
          <w:sz w:val="24"/>
        </w:rPr>
        <w:t xml:space="preserve"> (p.6). </w:t>
      </w:r>
      <w:r w:rsidR="00357C51">
        <w:rPr>
          <w:rFonts w:cs="Calibri"/>
          <w:sz w:val="24"/>
        </w:rPr>
        <w:t>T</w:t>
      </w:r>
      <w:r w:rsidRPr="00FF0DAA">
        <w:rPr>
          <w:rFonts w:cs="Calibri"/>
          <w:sz w:val="24"/>
        </w:rPr>
        <w:t xml:space="preserve">he text allows for more vivid description than by congruent or literal means. Fairclough (2003) comments that such nominalisation </w:t>
      </w:r>
      <w:r w:rsidR="001A039C">
        <w:rPr>
          <w:rFonts w:cs="Calibri"/>
          <w:sz w:val="24"/>
        </w:rPr>
        <w:t>(</w:t>
      </w:r>
      <w:r w:rsidR="00C661FB">
        <w:rPr>
          <w:rFonts w:cs="Calibri"/>
          <w:sz w:val="24"/>
        </w:rPr>
        <w:t xml:space="preserve">the </w:t>
      </w:r>
      <w:r w:rsidR="001A039C">
        <w:rPr>
          <w:rFonts w:cs="Calibri"/>
          <w:sz w:val="24"/>
        </w:rPr>
        <w:t xml:space="preserve">device of turning a verb into a noun) </w:t>
      </w:r>
      <w:r w:rsidRPr="00FF0DAA">
        <w:rPr>
          <w:rFonts w:cs="Calibri"/>
          <w:sz w:val="24"/>
        </w:rPr>
        <w:t xml:space="preserve">can hide agency and responsibility. </w:t>
      </w:r>
    </w:p>
    <w:p w14:paraId="1FB37705" w14:textId="40A56FA6" w:rsidR="00B54F29" w:rsidRPr="00FF0DAA" w:rsidRDefault="00B54F29" w:rsidP="00357C51">
      <w:pPr>
        <w:tabs>
          <w:tab w:val="left" w:pos="8505"/>
          <w:tab w:val="left" w:pos="8789"/>
        </w:tabs>
        <w:spacing w:line="360" w:lineRule="auto"/>
        <w:rPr>
          <w:rFonts w:cs="Calibri"/>
          <w:sz w:val="24"/>
        </w:rPr>
      </w:pPr>
      <w:r w:rsidRPr="00FF0DAA">
        <w:rPr>
          <w:rFonts w:cs="Calibri"/>
          <w:sz w:val="24"/>
        </w:rPr>
        <w:t>Th</w:t>
      </w:r>
      <w:r w:rsidR="00357C51">
        <w:rPr>
          <w:rFonts w:cs="Calibri"/>
          <w:sz w:val="24"/>
        </w:rPr>
        <w:t>is</w:t>
      </w:r>
      <w:r w:rsidRPr="00FF0DAA">
        <w:rPr>
          <w:rFonts w:cs="Calibri"/>
          <w:sz w:val="24"/>
        </w:rPr>
        <w:t xml:space="preserve"> device serves to disguise the fact that the Conservatives </w:t>
      </w:r>
      <w:r w:rsidR="00C661FB">
        <w:rPr>
          <w:rFonts w:cs="Calibri"/>
          <w:sz w:val="24"/>
        </w:rPr>
        <w:t xml:space="preserve">were </w:t>
      </w:r>
      <w:r w:rsidRPr="00FF0DAA">
        <w:rPr>
          <w:rFonts w:cs="Calibri"/>
          <w:sz w:val="24"/>
        </w:rPr>
        <w:t>in power for much of the time span referred to within the texts</w:t>
      </w:r>
      <w:r w:rsidR="00197C2A">
        <w:rPr>
          <w:rFonts w:cs="Calibri"/>
          <w:sz w:val="24"/>
        </w:rPr>
        <w:t xml:space="preserve"> and therefore </w:t>
      </w:r>
      <w:r w:rsidR="00357C51">
        <w:rPr>
          <w:rFonts w:cs="Calibri"/>
          <w:sz w:val="24"/>
        </w:rPr>
        <w:t>their</w:t>
      </w:r>
      <w:r w:rsidR="00197C2A">
        <w:rPr>
          <w:rFonts w:cs="Calibri"/>
          <w:sz w:val="24"/>
        </w:rPr>
        <w:t xml:space="preserve"> policies did not prevent the situation or provide solutions.</w:t>
      </w:r>
      <w:r w:rsidRPr="00FF0DAA">
        <w:rPr>
          <w:rFonts w:cs="Calibri"/>
          <w:sz w:val="24"/>
        </w:rPr>
        <w:t xml:space="preserve"> </w:t>
      </w:r>
      <w:r w:rsidR="00197C2A">
        <w:rPr>
          <w:rFonts w:cs="Calibri"/>
          <w:sz w:val="24"/>
        </w:rPr>
        <w:t>The tex</w:t>
      </w:r>
      <w:r w:rsidR="00357C51">
        <w:rPr>
          <w:rFonts w:cs="Calibri"/>
          <w:sz w:val="24"/>
        </w:rPr>
        <w:t>t obscures</w:t>
      </w:r>
      <w:r w:rsidRPr="00FF0DAA">
        <w:rPr>
          <w:rFonts w:cs="Calibri"/>
          <w:sz w:val="24"/>
        </w:rPr>
        <w:t xml:space="preserve"> </w:t>
      </w:r>
      <w:r w:rsidR="00357C51">
        <w:rPr>
          <w:rFonts w:cs="Calibri"/>
          <w:sz w:val="24"/>
        </w:rPr>
        <w:t xml:space="preserve">the debate </w:t>
      </w:r>
      <w:r w:rsidR="00C661FB">
        <w:rPr>
          <w:rFonts w:cs="Calibri"/>
          <w:sz w:val="24"/>
        </w:rPr>
        <w:t xml:space="preserve">about </w:t>
      </w:r>
      <w:r w:rsidR="00357C51">
        <w:rPr>
          <w:rFonts w:cs="Calibri"/>
          <w:sz w:val="24"/>
        </w:rPr>
        <w:t xml:space="preserve">continued inequalities created through private education, a sector supported by the </w:t>
      </w:r>
      <w:r w:rsidRPr="00FF0DAA">
        <w:rPr>
          <w:rFonts w:cs="Calibri"/>
          <w:sz w:val="24"/>
        </w:rPr>
        <w:t>Conservative</w:t>
      </w:r>
      <w:r w:rsidR="00357C51">
        <w:rPr>
          <w:rFonts w:cs="Calibri"/>
          <w:sz w:val="24"/>
        </w:rPr>
        <w:t>s</w:t>
      </w:r>
      <w:r w:rsidR="00C661FB">
        <w:rPr>
          <w:rFonts w:cs="Calibri"/>
          <w:sz w:val="24"/>
        </w:rPr>
        <w:t>, f</w:t>
      </w:r>
      <w:r w:rsidRPr="00FF0DAA">
        <w:rPr>
          <w:rFonts w:cs="Calibri"/>
          <w:sz w:val="24"/>
        </w:rPr>
        <w:t>or example, the references to the numbers of children who go to Oxbridge from key private schools such as Winchester</w:t>
      </w:r>
      <w:r w:rsidR="00F7328A">
        <w:rPr>
          <w:rFonts w:cs="Calibri"/>
          <w:sz w:val="24"/>
        </w:rPr>
        <w:t>.</w:t>
      </w:r>
      <w:r w:rsidR="00197C2A">
        <w:rPr>
          <w:rFonts w:cs="Calibri"/>
          <w:sz w:val="24"/>
        </w:rPr>
        <w:t xml:space="preserve"> </w:t>
      </w:r>
      <w:r w:rsidR="00357C51">
        <w:rPr>
          <w:rFonts w:cs="Calibri"/>
          <w:sz w:val="24"/>
        </w:rPr>
        <w:t>I</w:t>
      </w:r>
      <w:r w:rsidR="00197C2A">
        <w:rPr>
          <w:rFonts w:cs="Calibri"/>
          <w:sz w:val="24"/>
        </w:rPr>
        <w:t>n relation to my third research question</w:t>
      </w:r>
      <w:r w:rsidR="00C661FB">
        <w:rPr>
          <w:rFonts w:cs="Calibri"/>
          <w:sz w:val="24"/>
        </w:rPr>
        <w:t>,</w:t>
      </w:r>
      <w:r w:rsidR="00197C2A">
        <w:rPr>
          <w:rFonts w:cs="Calibri"/>
          <w:sz w:val="24"/>
        </w:rPr>
        <w:t xml:space="preserve"> the debate is not being framed in terms of the inequalities created by the existence of independent schools</w:t>
      </w:r>
      <w:r w:rsidR="00C661FB">
        <w:rPr>
          <w:rFonts w:cs="Calibri"/>
          <w:sz w:val="24"/>
        </w:rPr>
        <w:t>,</w:t>
      </w:r>
      <w:r w:rsidR="00197C2A">
        <w:rPr>
          <w:rFonts w:cs="Calibri"/>
          <w:sz w:val="24"/>
        </w:rPr>
        <w:t xml:space="preserve"> </w:t>
      </w:r>
      <w:r w:rsidR="00C661FB">
        <w:rPr>
          <w:rFonts w:cs="Calibri"/>
          <w:sz w:val="24"/>
        </w:rPr>
        <w:t>rather</w:t>
      </w:r>
      <w:r w:rsidR="00197C2A">
        <w:rPr>
          <w:rFonts w:cs="Calibri"/>
          <w:sz w:val="24"/>
        </w:rPr>
        <w:t xml:space="preserve"> the failures of </w:t>
      </w:r>
      <w:r w:rsidR="0094795E">
        <w:rPr>
          <w:rFonts w:cs="Calibri"/>
          <w:sz w:val="24"/>
        </w:rPr>
        <w:t xml:space="preserve">some </w:t>
      </w:r>
      <w:r w:rsidR="00197C2A">
        <w:rPr>
          <w:rFonts w:cs="Calibri"/>
          <w:sz w:val="24"/>
        </w:rPr>
        <w:t>state schools to allow all to achieve</w:t>
      </w:r>
      <w:r w:rsidR="00357C51">
        <w:rPr>
          <w:rFonts w:cs="Calibri"/>
          <w:sz w:val="24"/>
        </w:rPr>
        <w:t xml:space="preserve"> (</w:t>
      </w:r>
      <w:r w:rsidR="00C661FB">
        <w:rPr>
          <w:rFonts w:cs="Calibri"/>
          <w:sz w:val="24"/>
        </w:rPr>
        <w:t>A</w:t>
      </w:r>
      <w:r w:rsidR="00357C51">
        <w:rPr>
          <w:rFonts w:cs="Calibri"/>
          <w:sz w:val="24"/>
        </w:rPr>
        <w:t xml:space="preserve">rena </w:t>
      </w:r>
      <w:r w:rsidR="0094795E">
        <w:rPr>
          <w:rFonts w:cs="Calibri"/>
          <w:sz w:val="24"/>
        </w:rPr>
        <w:t>2</w:t>
      </w:r>
      <w:r w:rsidR="00357C51">
        <w:rPr>
          <w:rFonts w:cs="Calibri"/>
          <w:sz w:val="24"/>
        </w:rPr>
        <w:t>)</w:t>
      </w:r>
      <w:r w:rsidR="00197C2A">
        <w:rPr>
          <w:rFonts w:cs="Calibri"/>
          <w:sz w:val="24"/>
        </w:rPr>
        <w:t>.</w:t>
      </w:r>
    </w:p>
    <w:p w14:paraId="42E9C658" w14:textId="00B42AEE" w:rsidR="00B54F29" w:rsidRPr="008823DD" w:rsidRDefault="00357C51" w:rsidP="00B54F29">
      <w:pPr>
        <w:spacing w:line="360" w:lineRule="auto"/>
        <w:rPr>
          <w:rFonts w:cs="Calibri"/>
          <w:sz w:val="24"/>
        </w:rPr>
      </w:pPr>
      <w:r>
        <w:rPr>
          <w:rFonts w:cs="Calibri"/>
          <w:sz w:val="24"/>
        </w:rPr>
        <w:lastRenderedPageBreak/>
        <w:t>Gove’s</w:t>
      </w:r>
      <w:r w:rsidR="00EC475E">
        <w:rPr>
          <w:rFonts w:cs="Calibri"/>
          <w:sz w:val="24"/>
        </w:rPr>
        <w:t xml:space="preserve"> foreword </w:t>
      </w:r>
      <w:r w:rsidR="00B54F29" w:rsidRPr="008823DD">
        <w:rPr>
          <w:rFonts w:cs="Calibri"/>
          <w:sz w:val="24"/>
        </w:rPr>
        <w:t>uses a number of metaphors</w:t>
      </w:r>
      <w:r w:rsidR="00EC475E">
        <w:rPr>
          <w:rFonts w:cs="Calibri"/>
          <w:sz w:val="24"/>
        </w:rPr>
        <w:t xml:space="preserve"> </w:t>
      </w:r>
      <w:r w:rsidR="00B54F29" w:rsidRPr="008823DD">
        <w:rPr>
          <w:rFonts w:cs="Calibri"/>
          <w:sz w:val="24"/>
        </w:rPr>
        <w:t xml:space="preserve">to convey the idea that historically there has been a problem of restricted social mobility </w:t>
      </w:r>
      <w:r w:rsidR="00C22DB1">
        <w:rPr>
          <w:rFonts w:cs="Calibri"/>
          <w:sz w:val="24"/>
        </w:rPr>
        <w:t>and ambition. T</w:t>
      </w:r>
      <w:r w:rsidR="00B54F29" w:rsidRPr="008823DD">
        <w:rPr>
          <w:rFonts w:cs="Calibri"/>
          <w:sz w:val="24"/>
        </w:rPr>
        <w:t xml:space="preserve">he text contains </w:t>
      </w:r>
      <w:r w:rsidR="00163465">
        <w:rPr>
          <w:rFonts w:cs="Calibri"/>
          <w:sz w:val="24"/>
        </w:rPr>
        <w:t xml:space="preserve">a </w:t>
      </w:r>
      <w:r w:rsidR="00B54F29" w:rsidRPr="008823DD">
        <w:rPr>
          <w:rFonts w:cs="Calibri"/>
          <w:sz w:val="24"/>
        </w:rPr>
        <w:t>lexis of liberation from oppression</w:t>
      </w:r>
      <w:r w:rsidR="00C661FB">
        <w:rPr>
          <w:rFonts w:cs="Calibri"/>
          <w:sz w:val="24"/>
        </w:rPr>
        <w:t>,</w:t>
      </w:r>
      <w:r w:rsidR="00B54F29" w:rsidRPr="008823DD">
        <w:rPr>
          <w:rFonts w:cs="Calibri"/>
          <w:sz w:val="24"/>
        </w:rPr>
        <w:t xml:space="preserve"> leading to a lexis of democracy</w:t>
      </w:r>
      <w:r w:rsidR="00163465">
        <w:rPr>
          <w:rFonts w:cs="Calibri"/>
          <w:sz w:val="24"/>
        </w:rPr>
        <w:t>:</w:t>
      </w:r>
      <w:r w:rsidR="00B54F29" w:rsidRPr="008823DD">
        <w:rPr>
          <w:rFonts w:cs="Calibri"/>
          <w:sz w:val="24"/>
        </w:rPr>
        <w:t xml:space="preserve"> “They</w:t>
      </w:r>
      <w:r w:rsidR="00EC475E">
        <w:rPr>
          <w:rFonts w:cs="Calibri"/>
          <w:sz w:val="24"/>
        </w:rPr>
        <w:t xml:space="preserve"> [other countries KH]</w:t>
      </w:r>
      <w:r w:rsidR="00B54F29" w:rsidRPr="008823DD">
        <w:rPr>
          <w:rFonts w:cs="Calibri"/>
          <w:sz w:val="24"/>
        </w:rPr>
        <w:t xml:space="preserve"> have made opportunity more equal, democratised access to knowledge and placed an uncompromising emphasis on higher standards all at the same time” (p.7). Gove sets up two specific opposing lexical fields using metaphors to create a gap between two </w:t>
      </w:r>
      <w:r w:rsidR="00EC475E">
        <w:rPr>
          <w:rFonts w:cs="Calibri"/>
          <w:sz w:val="24"/>
        </w:rPr>
        <w:t>historical junctures</w:t>
      </w:r>
      <w:r w:rsidR="00B54F29" w:rsidRPr="008823DD">
        <w:rPr>
          <w:rFonts w:cs="Calibri"/>
          <w:sz w:val="24"/>
        </w:rPr>
        <w:t xml:space="preserve"> </w:t>
      </w:r>
      <w:r w:rsidR="001A039C">
        <w:rPr>
          <w:rFonts w:cs="Calibri"/>
          <w:sz w:val="24"/>
        </w:rPr>
        <w:t xml:space="preserve">in </w:t>
      </w:r>
      <w:r w:rsidR="00B54F29" w:rsidRPr="008823DD">
        <w:rPr>
          <w:rFonts w:cs="Calibri"/>
          <w:sz w:val="24"/>
        </w:rPr>
        <w:t>the past</w:t>
      </w:r>
      <w:r w:rsidR="00163465">
        <w:rPr>
          <w:rFonts w:cs="Calibri"/>
          <w:sz w:val="24"/>
        </w:rPr>
        <w:t>,</w:t>
      </w:r>
      <w:r w:rsidR="00B54F29" w:rsidRPr="008823DD">
        <w:rPr>
          <w:rFonts w:cs="Calibri"/>
          <w:sz w:val="24"/>
        </w:rPr>
        <w:t xml:space="preserve"> in which opportunities were </w:t>
      </w:r>
      <w:r w:rsidR="00EC475E">
        <w:rPr>
          <w:rFonts w:cs="Calibri"/>
          <w:sz w:val="24"/>
        </w:rPr>
        <w:t>“</w:t>
      </w:r>
      <w:r w:rsidR="00B54F29" w:rsidRPr="008823DD">
        <w:rPr>
          <w:rFonts w:cs="Calibri"/>
          <w:sz w:val="24"/>
        </w:rPr>
        <w:t>restricted</w:t>
      </w:r>
      <w:r w:rsidR="00EC475E">
        <w:rPr>
          <w:rFonts w:cs="Calibri"/>
          <w:sz w:val="24"/>
        </w:rPr>
        <w:t>”</w:t>
      </w:r>
      <w:r w:rsidR="00B54F29" w:rsidRPr="008823DD">
        <w:rPr>
          <w:rFonts w:cs="Calibri"/>
          <w:sz w:val="24"/>
        </w:rPr>
        <w:t xml:space="preserve">, and the future, in which achievement </w:t>
      </w:r>
      <w:r w:rsidR="00022A57">
        <w:rPr>
          <w:rFonts w:cs="Calibri"/>
          <w:sz w:val="24"/>
        </w:rPr>
        <w:t>is</w:t>
      </w:r>
      <w:r w:rsidR="00B54F29" w:rsidRPr="008823DD">
        <w:rPr>
          <w:rFonts w:cs="Calibri"/>
          <w:sz w:val="24"/>
        </w:rPr>
        <w:t xml:space="preserve"> </w:t>
      </w:r>
      <w:r w:rsidR="00EC475E">
        <w:rPr>
          <w:rFonts w:cs="Calibri"/>
          <w:sz w:val="24"/>
        </w:rPr>
        <w:t>“</w:t>
      </w:r>
      <w:r w:rsidR="00B54F29" w:rsidRPr="008823DD">
        <w:rPr>
          <w:rFonts w:cs="Calibri"/>
          <w:sz w:val="24"/>
        </w:rPr>
        <w:t>democratic</w:t>
      </w:r>
      <w:r w:rsidR="00EC475E">
        <w:rPr>
          <w:rFonts w:cs="Calibri"/>
          <w:sz w:val="24"/>
        </w:rPr>
        <w:t>”</w:t>
      </w:r>
      <w:r w:rsidR="00B54F29" w:rsidRPr="008823DD">
        <w:rPr>
          <w:rFonts w:cs="Calibri"/>
          <w:sz w:val="24"/>
        </w:rPr>
        <w:t>. He also uses metaphors to convey the essence of needing to act now</w:t>
      </w:r>
      <w:r w:rsidR="00943461">
        <w:rPr>
          <w:rFonts w:cs="Calibri"/>
          <w:sz w:val="24"/>
        </w:rPr>
        <w:t>, as exemplified by the statement:</w:t>
      </w:r>
      <w:r w:rsidR="00B54F29" w:rsidRPr="008823DD">
        <w:rPr>
          <w:rFonts w:cs="Calibri"/>
          <w:sz w:val="24"/>
        </w:rPr>
        <w:t xml:space="preserve"> “And that is why there is a fierce urgency to our plans for reform” (p.7).</w:t>
      </w:r>
    </w:p>
    <w:p w14:paraId="1D6AFB68" w14:textId="106F0735" w:rsidR="00B54F29" w:rsidRPr="00E97361" w:rsidRDefault="00E420A6" w:rsidP="00BA5CC7">
      <w:pPr>
        <w:tabs>
          <w:tab w:val="left" w:pos="8505"/>
        </w:tabs>
        <w:spacing w:line="360" w:lineRule="auto"/>
        <w:rPr>
          <w:rFonts w:cs="Calibri"/>
          <w:sz w:val="24"/>
        </w:rPr>
      </w:pPr>
      <w:r>
        <w:rPr>
          <w:rFonts w:cs="Calibri"/>
          <w:sz w:val="24"/>
        </w:rPr>
        <w:t xml:space="preserve">The </w:t>
      </w:r>
      <w:r w:rsidR="00BA5CC7">
        <w:rPr>
          <w:rFonts w:cs="Calibri"/>
          <w:sz w:val="24"/>
        </w:rPr>
        <w:t>EBac</w:t>
      </w:r>
      <w:r>
        <w:rPr>
          <w:rFonts w:cs="Calibri"/>
          <w:sz w:val="24"/>
        </w:rPr>
        <w:t xml:space="preserve"> s</w:t>
      </w:r>
      <w:r w:rsidR="00B54F29" w:rsidRPr="008823DD">
        <w:rPr>
          <w:rFonts w:cs="Calibri"/>
          <w:sz w:val="24"/>
        </w:rPr>
        <w:t>ection</w:t>
      </w:r>
      <w:r w:rsidR="00C661FB" w:rsidRPr="00C661FB">
        <w:rPr>
          <w:rFonts w:cs="Calibri"/>
          <w:sz w:val="24"/>
        </w:rPr>
        <w:t xml:space="preserve"> </w:t>
      </w:r>
      <w:r w:rsidR="00C661FB">
        <w:rPr>
          <w:rFonts w:cs="Calibri"/>
          <w:sz w:val="24"/>
        </w:rPr>
        <w:t>of the White Paper</w:t>
      </w:r>
      <w:r>
        <w:rPr>
          <w:rFonts w:cs="Calibri"/>
          <w:sz w:val="24"/>
        </w:rPr>
        <w:t>,</w:t>
      </w:r>
      <w:r w:rsidR="00B54F29" w:rsidRPr="008823DD">
        <w:rPr>
          <w:rFonts w:cs="Calibri"/>
          <w:sz w:val="24"/>
        </w:rPr>
        <w:t xml:space="preserve"> 4.20</w:t>
      </w:r>
      <w:r w:rsidR="00923265">
        <w:rPr>
          <w:rFonts w:cs="Calibri"/>
          <w:sz w:val="24"/>
        </w:rPr>
        <w:t>,</w:t>
      </w:r>
      <w:r>
        <w:rPr>
          <w:rFonts w:cs="Calibri"/>
          <w:sz w:val="24"/>
        </w:rPr>
        <w:t xml:space="preserve"> </w:t>
      </w:r>
      <w:r w:rsidR="00B54F29" w:rsidRPr="008823DD">
        <w:rPr>
          <w:rFonts w:cs="Calibri"/>
          <w:sz w:val="24"/>
        </w:rPr>
        <w:t xml:space="preserve">contains repetitive metaphors such as “a broad and rounded range of academic subjects” (p.44). The concept of </w:t>
      </w:r>
      <w:r w:rsidR="00923265">
        <w:rPr>
          <w:rFonts w:cs="Calibri"/>
          <w:sz w:val="24"/>
        </w:rPr>
        <w:t>“</w:t>
      </w:r>
      <w:r w:rsidR="00B54F29" w:rsidRPr="008823DD">
        <w:rPr>
          <w:rFonts w:cs="Calibri"/>
          <w:sz w:val="24"/>
        </w:rPr>
        <w:t>broad</w:t>
      </w:r>
      <w:r w:rsidR="00923265">
        <w:rPr>
          <w:rFonts w:cs="Calibri"/>
          <w:sz w:val="24"/>
        </w:rPr>
        <w:t>”</w:t>
      </w:r>
      <w:r w:rsidR="00B54F29" w:rsidRPr="008823DD">
        <w:rPr>
          <w:rFonts w:cs="Calibri"/>
          <w:sz w:val="24"/>
        </w:rPr>
        <w:t xml:space="preserve"> is referred to six times within this section, </w:t>
      </w:r>
      <w:r w:rsidR="00923265">
        <w:rPr>
          <w:rFonts w:cs="Calibri"/>
          <w:sz w:val="24"/>
        </w:rPr>
        <w:t>“</w:t>
      </w:r>
      <w:r w:rsidR="00B54F29" w:rsidRPr="008823DD">
        <w:rPr>
          <w:rFonts w:cs="Calibri"/>
          <w:sz w:val="24"/>
        </w:rPr>
        <w:t>rounded</w:t>
      </w:r>
      <w:r w:rsidR="00923265">
        <w:rPr>
          <w:rFonts w:cs="Calibri"/>
          <w:sz w:val="24"/>
        </w:rPr>
        <w:t>”</w:t>
      </w:r>
      <w:r w:rsidR="00B54F29" w:rsidRPr="008823DD">
        <w:rPr>
          <w:rFonts w:cs="Calibri"/>
          <w:sz w:val="24"/>
        </w:rPr>
        <w:t xml:space="preserve"> four times and </w:t>
      </w:r>
      <w:r w:rsidR="00923265">
        <w:rPr>
          <w:rFonts w:cs="Calibri"/>
          <w:sz w:val="24"/>
        </w:rPr>
        <w:t>“</w:t>
      </w:r>
      <w:r w:rsidR="00B54F29" w:rsidRPr="008823DD">
        <w:rPr>
          <w:rFonts w:cs="Calibri"/>
          <w:sz w:val="24"/>
        </w:rPr>
        <w:t>academic</w:t>
      </w:r>
      <w:r w:rsidR="00923265">
        <w:rPr>
          <w:rFonts w:cs="Calibri"/>
          <w:sz w:val="24"/>
        </w:rPr>
        <w:t>”</w:t>
      </w:r>
      <w:r w:rsidR="00B54F29" w:rsidRPr="008823DD">
        <w:rPr>
          <w:rFonts w:cs="Calibri"/>
          <w:sz w:val="24"/>
        </w:rPr>
        <w:t xml:space="preserve"> six times. </w:t>
      </w:r>
      <w:r w:rsidR="00C22DB1">
        <w:rPr>
          <w:rFonts w:cs="Calibri"/>
          <w:sz w:val="24"/>
        </w:rPr>
        <w:t>A</w:t>
      </w:r>
      <w:r w:rsidR="00B54F29" w:rsidRPr="008823DD">
        <w:rPr>
          <w:rFonts w:cs="Calibri"/>
          <w:sz w:val="24"/>
        </w:rPr>
        <w:t xml:space="preserve"> repetitive device highlight</w:t>
      </w:r>
      <w:r w:rsidR="00C22DB1">
        <w:rPr>
          <w:rFonts w:cs="Calibri"/>
          <w:sz w:val="24"/>
        </w:rPr>
        <w:t>s</w:t>
      </w:r>
      <w:r w:rsidR="00B54F29" w:rsidRPr="008823DD">
        <w:rPr>
          <w:rFonts w:cs="Calibri"/>
          <w:sz w:val="24"/>
        </w:rPr>
        <w:t xml:space="preserve"> the importance of these concepts</w:t>
      </w:r>
      <w:r w:rsidR="00C22DB1">
        <w:rPr>
          <w:rFonts w:cs="Calibri"/>
          <w:sz w:val="24"/>
        </w:rPr>
        <w:t xml:space="preserve">, foregrounding them in the text. </w:t>
      </w:r>
    </w:p>
    <w:p w14:paraId="2C3B8BAA" w14:textId="0D83FEE2" w:rsidR="00B54F29" w:rsidRDefault="00B54F29" w:rsidP="00C22DB1">
      <w:pPr>
        <w:tabs>
          <w:tab w:val="left" w:pos="8647"/>
        </w:tabs>
        <w:spacing w:line="360" w:lineRule="auto"/>
        <w:rPr>
          <w:rFonts w:cs="Calibri"/>
          <w:sz w:val="24"/>
        </w:rPr>
      </w:pPr>
      <w:r w:rsidRPr="00E97361">
        <w:rPr>
          <w:rFonts w:cs="Calibri"/>
          <w:sz w:val="24"/>
        </w:rPr>
        <w:t xml:space="preserve">The White Paper speech reflects the tone and language </w:t>
      </w:r>
      <w:r w:rsidR="00C22DB1">
        <w:rPr>
          <w:rFonts w:cs="Calibri"/>
          <w:sz w:val="24"/>
        </w:rPr>
        <w:t>of Gove</w:t>
      </w:r>
      <w:r w:rsidR="00923265">
        <w:rPr>
          <w:rFonts w:cs="Calibri"/>
          <w:sz w:val="24"/>
        </w:rPr>
        <w:t>’</w:t>
      </w:r>
      <w:r w:rsidR="00EB7661">
        <w:rPr>
          <w:rFonts w:cs="Calibri"/>
          <w:sz w:val="24"/>
        </w:rPr>
        <w:t xml:space="preserve">s </w:t>
      </w:r>
      <w:r w:rsidRPr="00E97361">
        <w:rPr>
          <w:rFonts w:cs="Calibri"/>
          <w:sz w:val="24"/>
        </w:rPr>
        <w:t>foreword</w:t>
      </w:r>
      <w:r w:rsidR="00943461">
        <w:rPr>
          <w:rFonts w:cs="Calibri"/>
          <w:sz w:val="24"/>
        </w:rPr>
        <w:t>,</w:t>
      </w:r>
      <w:r w:rsidRPr="00E97361">
        <w:rPr>
          <w:rFonts w:cs="Calibri"/>
          <w:sz w:val="24"/>
        </w:rPr>
        <w:t xml:space="preserve"> using metaphor to depersonalise and disassociate the </w:t>
      </w:r>
      <w:r w:rsidR="00BA5CC7">
        <w:rPr>
          <w:rFonts w:cs="Calibri"/>
          <w:sz w:val="24"/>
        </w:rPr>
        <w:t xml:space="preserve">identified </w:t>
      </w:r>
      <w:r w:rsidRPr="00E97361">
        <w:rPr>
          <w:rFonts w:cs="Calibri"/>
          <w:sz w:val="24"/>
        </w:rPr>
        <w:t>problem from previous Conservative administrations. For example, “we will slim down a curriculum that has become overloaded, over-prescriptive and over-bureaucratic” (p.2). This is stated without</w:t>
      </w:r>
      <w:r w:rsidR="00C22DB1">
        <w:rPr>
          <w:rFonts w:cs="Calibri"/>
          <w:sz w:val="24"/>
        </w:rPr>
        <w:t xml:space="preserve"> </w:t>
      </w:r>
      <w:r w:rsidRPr="00E97361">
        <w:rPr>
          <w:rFonts w:cs="Calibri"/>
          <w:sz w:val="24"/>
        </w:rPr>
        <w:t xml:space="preserve">reference to the fact that </w:t>
      </w:r>
      <w:r w:rsidR="00C83921">
        <w:rPr>
          <w:rFonts w:cs="Calibri"/>
          <w:sz w:val="24"/>
        </w:rPr>
        <w:t>the</w:t>
      </w:r>
      <w:r w:rsidRPr="00E97361">
        <w:rPr>
          <w:rFonts w:cs="Calibri"/>
          <w:sz w:val="24"/>
        </w:rPr>
        <w:t xml:space="preserve"> Conservative administration in 1988 designed and introduced the National Curriculum</w:t>
      </w:r>
      <w:r w:rsidR="00F23346">
        <w:rPr>
          <w:rFonts w:cs="Calibri"/>
          <w:sz w:val="24"/>
        </w:rPr>
        <w:t xml:space="preserve"> to which the text refers</w:t>
      </w:r>
      <w:r w:rsidRPr="00E97361">
        <w:rPr>
          <w:rFonts w:cs="Calibri"/>
          <w:sz w:val="24"/>
        </w:rPr>
        <w:t xml:space="preserve">. The speech finishes with a metaphor which would appear to be more in keeping with Labour </w:t>
      </w:r>
      <w:r w:rsidR="00F23346">
        <w:rPr>
          <w:rFonts w:cs="Calibri"/>
          <w:sz w:val="24"/>
        </w:rPr>
        <w:t xml:space="preserve">than </w:t>
      </w:r>
      <w:r w:rsidR="00BA5CC7">
        <w:rPr>
          <w:rFonts w:cs="Calibri"/>
          <w:sz w:val="24"/>
        </w:rPr>
        <w:t xml:space="preserve">Conservative education policy </w:t>
      </w:r>
      <w:r w:rsidRPr="00E97361">
        <w:rPr>
          <w:rFonts w:cs="Calibri"/>
          <w:sz w:val="24"/>
        </w:rPr>
        <w:t>“to make opportunity more equal” (p.2).</w:t>
      </w:r>
      <w:r w:rsidR="00BA5CC7">
        <w:rPr>
          <w:rFonts w:cs="Calibri"/>
          <w:sz w:val="24"/>
        </w:rPr>
        <w:t xml:space="preserve"> </w:t>
      </w:r>
    </w:p>
    <w:p w14:paraId="7389E8AD" w14:textId="2464DDCA" w:rsidR="00BA5CC7" w:rsidRDefault="00BA5CC7" w:rsidP="00B54F29">
      <w:pPr>
        <w:spacing w:line="360" w:lineRule="auto"/>
        <w:rPr>
          <w:rFonts w:cs="Calibri"/>
          <w:sz w:val="24"/>
        </w:rPr>
      </w:pPr>
      <w:r>
        <w:rPr>
          <w:rFonts w:cs="Calibri"/>
          <w:sz w:val="24"/>
        </w:rPr>
        <w:t>In relation to my third research question</w:t>
      </w:r>
      <w:r w:rsidR="00C661FB">
        <w:rPr>
          <w:rFonts w:cs="Calibri"/>
          <w:sz w:val="24"/>
        </w:rPr>
        <w:t>,</w:t>
      </w:r>
      <w:r>
        <w:rPr>
          <w:rFonts w:cs="Calibri"/>
          <w:sz w:val="24"/>
        </w:rPr>
        <w:t xml:space="preserve"> the White Paper presents a surface image </w:t>
      </w:r>
      <w:r w:rsidR="00C661FB">
        <w:rPr>
          <w:rFonts w:cs="Calibri"/>
          <w:sz w:val="24"/>
        </w:rPr>
        <w:t xml:space="preserve">that </w:t>
      </w:r>
      <w:r>
        <w:rPr>
          <w:rFonts w:cs="Calibri"/>
          <w:sz w:val="24"/>
        </w:rPr>
        <w:t xml:space="preserve">the EBac </w:t>
      </w:r>
      <w:r w:rsidR="00C661FB">
        <w:rPr>
          <w:rFonts w:cs="Calibri"/>
          <w:sz w:val="24"/>
        </w:rPr>
        <w:t xml:space="preserve">will </w:t>
      </w:r>
      <w:r>
        <w:rPr>
          <w:rFonts w:cs="Calibri"/>
          <w:sz w:val="24"/>
        </w:rPr>
        <w:t>reduc</w:t>
      </w:r>
      <w:r w:rsidR="00C661FB">
        <w:rPr>
          <w:rFonts w:cs="Calibri"/>
          <w:sz w:val="24"/>
        </w:rPr>
        <w:t>e</w:t>
      </w:r>
      <w:r>
        <w:rPr>
          <w:rFonts w:cs="Calibri"/>
          <w:sz w:val="24"/>
        </w:rPr>
        <w:t xml:space="preserve"> inequalities by providing all children with access to the same subjects and qualifications up to age 16. There is</w:t>
      </w:r>
      <w:r w:rsidR="00C22DB1">
        <w:rPr>
          <w:rFonts w:cs="Calibri"/>
          <w:sz w:val="24"/>
        </w:rPr>
        <w:t>,</w:t>
      </w:r>
      <w:r>
        <w:rPr>
          <w:rFonts w:cs="Calibri"/>
          <w:sz w:val="24"/>
        </w:rPr>
        <w:t xml:space="preserve"> however, no discussion of</w:t>
      </w:r>
      <w:r w:rsidR="009D0595">
        <w:rPr>
          <w:rFonts w:cs="Calibri"/>
          <w:sz w:val="24"/>
        </w:rPr>
        <w:t xml:space="preserve"> the impact and influence of</w:t>
      </w:r>
      <w:r>
        <w:rPr>
          <w:rFonts w:cs="Calibri"/>
          <w:sz w:val="24"/>
        </w:rPr>
        <w:t xml:space="preserve"> underlying issues </w:t>
      </w:r>
      <w:r w:rsidR="001267ED">
        <w:rPr>
          <w:rFonts w:cs="Calibri"/>
          <w:sz w:val="24"/>
        </w:rPr>
        <w:t xml:space="preserve">such as </w:t>
      </w:r>
      <w:r>
        <w:rPr>
          <w:rFonts w:cs="Calibri"/>
          <w:sz w:val="24"/>
        </w:rPr>
        <w:t xml:space="preserve">social class, gender and ethnicity </w:t>
      </w:r>
      <w:r w:rsidR="009D0595">
        <w:rPr>
          <w:rFonts w:cs="Calibri"/>
          <w:sz w:val="24"/>
        </w:rPr>
        <w:t>on</w:t>
      </w:r>
      <w:r>
        <w:rPr>
          <w:rFonts w:cs="Calibri"/>
          <w:sz w:val="24"/>
        </w:rPr>
        <w:t xml:space="preserve"> subject choice and achievement within </w:t>
      </w:r>
      <w:r w:rsidR="00AA7E24">
        <w:rPr>
          <w:rFonts w:cs="Calibri"/>
          <w:sz w:val="24"/>
        </w:rPr>
        <w:t>and between schools</w:t>
      </w:r>
      <w:r>
        <w:rPr>
          <w:rFonts w:cs="Calibri"/>
          <w:sz w:val="24"/>
        </w:rPr>
        <w:t>.</w:t>
      </w:r>
    </w:p>
    <w:p w14:paraId="156AD6E2" w14:textId="77777777" w:rsidR="00820C05" w:rsidRDefault="00820C05" w:rsidP="00B54F29">
      <w:pPr>
        <w:spacing w:line="360" w:lineRule="auto"/>
        <w:rPr>
          <w:rFonts w:cs="Calibri"/>
          <w:sz w:val="24"/>
        </w:rPr>
      </w:pPr>
    </w:p>
    <w:p w14:paraId="488C6229" w14:textId="77777777" w:rsidR="00820C05" w:rsidRPr="00E97361" w:rsidRDefault="00820C05" w:rsidP="00B54F29">
      <w:pPr>
        <w:spacing w:line="360" w:lineRule="auto"/>
        <w:rPr>
          <w:rFonts w:cs="Calibri"/>
          <w:b/>
          <w:sz w:val="24"/>
        </w:rPr>
      </w:pPr>
    </w:p>
    <w:p w14:paraId="0369CC28" w14:textId="66ECB168" w:rsidR="00B54F29" w:rsidRPr="00E97361" w:rsidRDefault="00B54F29" w:rsidP="00531995">
      <w:pPr>
        <w:pStyle w:val="Heading3"/>
      </w:pPr>
      <w:bookmarkStart w:id="81" w:name="_Toc452316365"/>
      <w:r w:rsidRPr="00E97361">
        <w:lastRenderedPageBreak/>
        <w:t>4.</w:t>
      </w:r>
      <w:r w:rsidR="001A0AD9">
        <w:t>2.7</w:t>
      </w:r>
      <w:r w:rsidRPr="00E97361">
        <w:t xml:space="preserve"> Presupposition/ Implication</w:t>
      </w:r>
      <w:bookmarkEnd w:id="81"/>
    </w:p>
    <w:p w14:paraId="0CC9D461" w14:textId="4E764365" w:rsidR="00B54F29" w:rsidRPr="00E97361" w:rsidRDefault="00B54F29" w:rsidP="00A076A1">
      <w:pPr>
        <w:tabs>
          <w:tab w:val="left" w:pos="8505"/>
        </w:tabs>
        <w:spacing w:line="360" w:lineRule="auto"/>
        <w:rPr>
          <w:rFonts w:cs="Calibri"/>
          <w:sz w:val="24"/>
        </w:rPr>
      </w:pPr>
      <w:r w:rsidRPr="00E97361">
        <w:rPr>
          <w:rFonts w:cs="Calibri"/>
          <w:sz w:val="24"/>
        </w:rPr>
        <w:t>Representing constructions as convincing realities occurs throughout all th</w:t>
      </w:r>
      <w:r w:rsidR="00F23346">
        <w:rPr>
          <w:rFonts w:cs="Calibri"/>
          <w:sz w:val="24"/>
        </w:rPr>
        <w:t>re</w:t>
      </w:r>
      <w:r w:rsidRPr="00E97361">
        <w:rPr>
          <w:rFonts w:cs="Calibri"/>
          <w:sz w:val="24"/>
        </w:rPr>
        <w:t>e texts in terms of using a range of linguistic devices to present beliefs as truth. Within the PM/DPM foreword, the argument is prefaced by the statement “but what really matters is how we’re doing compared with our international competitors” (p.3).</w:t>
      </w:r>
      <w:r w:rsidR="001A0AD9">
        <w:rPr>
          <w:rFonts w:cs="Calibri"/>
          <w:sz w:val="24"/>
        </w:rPr>
        <w:t xml:space="preserve"> </w:t>
      </w:r>
      <w:r w:rsidRPr="00E97361">
        <w:rPr>
          <w:rFonts w:cs="Calibri"/>
          <w:sz w:val="24"/>
        </w:rPr>
        <w:t>The use of a non-hedged adverb creates the impression that a contention is a “fact”</w:t>
      </w:r>
      <w:r w:rsidR="000D3955">
        <w:rPr>
          <w:rFonts w:cs="Calibri"/>
          <w:sz w:val="24"/>
        </w:rPr>
        <w:t>;</w:t>
      </w:r>
      <w:r w:rsidRPr="00E97361">
        <w:rPr>
          <w:rFonts w:cs="Calibri"/>
          <w:sz w:val="24"/>
        </w:rPr>
        <w:t xml:space="preserve"> </w:t>
      </w:r>
      <w:r w:rsidR="00923265">
        <w:rPr>
          <w:rFonts w:cs="Calibri"/>
          <w:sz w:val="24"/>
        </w:rPr>
        <w:t>“t</w:t>
      </w:r>
      <w:r w:rsidRPr="00E97361">
        <w:rPr>
          <w:rFonts w:cs="Calibri"/>
          <w:sz w:val="24"/>
        </w:rPr>
        <w:t>he truth is, at the moment we are standing still while others race past” (p.3). In this case, the use of a change</w:t>
      </w:r>
      <w:r w:rsidR="000D3955">
        <w:rPr>
          <w:rFonts w:cs="Calibri"/>
          <w:sz w:val="24"/>
        </w:rPr>
        <w:t>-</w:t>
      </w:r>
      <w:r w:rsidRPr="00E97361">
        <w:rPr>
          <w:rFonts w:cs="Calibri"/>
          <w:sz w:val="24"/>
        </w:rPr>
        <w:t>of</w:t>
      </w:r>
      <w:r w:rsidR="000D3955">
        <w:rPr>
          <w:rFonts w:cs="Calibri"/>
          <w:sz w:val="24"/>
        </w:rPr>
        <w:t>-</w:t>
      </w:r>
      <w:r w:rsidRPr="00E97361">
        <w:rPr>
          <w:rFonts w:cs="Calibri"/>
          <w:sz w:val="24"/>
        </w:rPr>
        <w:t>state verb</w:t>
      </w:r>
      <w:r w:rsidR="00F23346">
        <w:rPr>
          <w:rFonts w:cs="Calibri"/>
          <w:sz w:val="24"/>
        </w:rPr>
        <w:t xml:space="preserve"> </w:t>
      </w:r>
      <w:r w:rsidRPr="00E97361">
        <w:rPr>
          <w:rFonts w:cs="Calibri"/>
          <w:sz w:val="24"/>
        </w:rPr>
        <w:t xml:space="preserve">highlights the suggested gap between English education and an unspecified ‘other’. The rest of the </w:t>
      </w:r>
      <w:r w:rsidR="00A076A1">
        <w:rPr>
          <w:rFonts w:cs="Calibri"/>
          <w:sz w:val="24"/>
        </w:rPr>
        <w:t xml:space="preserve">PM/DPM </w:t>
      </w:r>
      <w:r w:rsidRPr="00E97361">
        <w:rPr>
          <w:rFonts w:cs="Calibri"/>
          <w:sz w:val="24"/>
        </w:rPr>
        <w:t xml:space="preserve">foreword is built around explaining how the White </w:t>
      </w:r>
      <w:r w:rsidR="00F23346">
        <w:rPr>
          <w:rFonts w:cs="Calibri"/>
          <w:sz w:val="24"/>
        </w:rPr>
        <w:t>P</w:t>
      </w:r>
      <w:r w:rsidRPr="00E97361">
        <w:rPr>
          <w:rFonts w:cs="Calibri"/>
          <w:sz w:val="24"/>
        </w:rPr>
        <w:t>aper address</w:t>
      </w:r>
      <w:r w:rsidR="00940A6D">
        <w:rPr>
          <w:rFonts w:cs="Calibri"/>
          <w:sz w:val="24"/>
        </w:rPr>
        <w:t>es</w:t>
      </w:r>
      <w:r w:rsidRPr="00E97361">
        <w:rPr>
          <w:rFonts w:cs="Calibri"/>
          <w:sz w:val="24"/>
        </w:rPr>
        <w:t xml:space="preserve"> this </w:t>
      </w:r>
      <w:r w:rsidR="00A076A1">
        <w:rPr>
          <w:rFonts w:cs="Calibri"/>
          <w:sz w:val="24"/>
        </w:rPr>
        <w:t>articulated</w:t>
      </w:r>
      <w:r w:rsidRPr="00E97361">
        <w:rPr>
          <w:rFonts w:cs="Calibri"/>
          <w:sz w:val="24"/>
        </w:rPr>
        <w:t xml:space="preserve"> concern. </w:t>
      </w:r>
      <w:r w:rsidR="00A076A1">
        <w:rPr>
          <w:rFonts w:cs="Calibri"/>
          <w:sz w:val="24"/>
        </w:rPr>
        <w:t xml:space="preserve">The text goes onto state </w:t>
      </w:r>
      <w:r w:rsidRPr="00E97361">
        <w:rPr>
          <w:rFonts w:cs="Calibri"/>
          <w:sz w:val="24"/>
        </w:rPr>
        <w:t>“</w:t>
      </w:r>
      <w:r w:rsidR="00F06EFB">
        <w:rPr>
          <w:rFonts w:cs="Calibri"/>
          <w:sz w:val="24"/>
        </w:rPr>
        <w:t>a</w:t>
      </w:r>
      <w:r w:rsidRPr="00E97361">
        <w:rPr>
          <w:rFonts w:cs="Calibri"/>
          <w:sz w:val="24"/>
        </w:rPr>
        <w:t xml:space="preserve">s the best education systems have shown, this power shift to the front line needs to be accompanied by a streamlined and effective accountability system” (p.4). </w:t>
      </w:r>
      <w:r w:rsidR="000D3955">
        <w:rPr>
          <w:rFonts w:cs="Calibri"/>
          <w:sz w:val="24"/>
        </w:rPr>
        <w:t>There is no</w:t>
      </w:r>
      <w:r w:rsidRPr="00E97361">
        <w:rPr>
          <w:rFonts w:cs="Calibri"/>
          <w:sz w:val="24"/>
        </w:rPr>
        <w:t xml:space="preserve"> elaboration of which education systems are deemed to be the best, by who</w:t>
      </w:r>
      <w:r w:rsidR="00F23346">
        <w:rPr>
          <w:rFonts w:cs="Calibri"/>
          <w:sz w:val="24"/>
        </w:rPr>
        <w:t>m</w:t>
      </w:r>
      <w:r w:rsidRPr="00E97361">
        <w:rPr>
          <w:rFonts w:cs="Calibri"/>
          <w:sz w:val="24"/>
        </w:rPr>
        <w:t xml:space="preserve"> or using what measure</w:t>
      </w:r>
      <w:r w:rsidR="000D3955">
        <w:rPr>
          <w:rFonts w:cs="Calibri"/>
          <w:sz w:val="24"/>
        </w:rPr>
        <w:t>s</w:t>
      </w:r>
      <w:r w:rsidRPr="00E97361">
        <w:rPr>
          <w:rFonts w:cs="Calibri"/>
          <w:sz w:val="24"/>
        </w:rPr>
        <w:t xml:space="preserve">. The implication is that there </w:t>
      </w:r>
      <w:r w:rsidR="00F23346">
        <w:rPr>
          <w:rFonts w:cs="Calibri"/>
          <w:sz w:val="24"/>
        </w:rPr>
        <w:t xml:space="preserve">existed in the past </w:t>
      </w:r>
      <w:r w:rsidRPr="00E97361">
        <w:rPr>
          <w:rFonts w:cs="Calibri"/>
          <w:sz w:val="24"/>
        </w:rPr>
        <w:t>a</w:t>
      </w:r>
      <w:r w:rsidR="000A222C">
        <w:rPr>
          <w:rFonts w:cs="Calibri"/>
          <w:sz w:val="24"/>
        </w:rPr>
        <w:t>n</w:t>
      </w:r>
      <w:r w:rsidRPr="00E97361">
        <w:rPr>
          <w:rFonts w:cs="Calibri"/>
          <w:sz w:val="24"/>
        </w:rPr>
        <w:t xml:space="preserve"> ineffective accountability system </w:t>
      </w:r>
      <w:r w:rsidR="000A222C">
        <w:rPr>
          <w:rFonts w:cs="Calibri"/>
          <w:sz w:val="24"/>
        </w:rPr>
        <w:t>which</w:t>
      </w:r>
      <w:r w:rsidRPr="00E97361">
        <w:rPr>
          <w:rFonts w:cs="Calibri"/>
          <w:sz w:val="24"/>
        </w:rPr>
        <w:t xml:space="preserve"> disempowered</w:t>
      </w:r>
      <w:r w:rsidR="000A222C">
        <w:rPr>
          <w:rFonts w:cs="Calibri"/>
          <w:sz w:val="24"/>
        </w:rPr>
        <w:t xml:space="preserve"> teachers</w:t>
      </w:r>
      <w:r w:rsidRPr="00E97361">
        <w:rPr>
          <w:rFonts w:cs="Calibri"/>
          <w:sz w:val="24"/>
        </w:rPr>
        <w:t xml:space="preserve">. </w:t>
      </w:r>
      <w:r w:rsidR="00A076A1">
        <w:rPr>
          <w:rFonts w:cs="Calibri"/>
          <w:sz w:val="24"/>
        </w:rPr>
        <w:t>Again</w:t>
      </w:r>
      <w:r w:rsidR="000D3955">
        <w:rPr>
          <w:rFonts w:cs="Calibri"/>
          <w:sz w:val="24"/>
        </w:rPr>
        <w:t>,</w:t>
      </w:r>
      <w:r w:rsidR="00A076A1">
        <w:rPr>
          <w:rFonts w:cs="Calibri"/>
          <w:sz w:val="24"/>
        </w:rPr>
        <w:t xml:space="preserve"> no reference is made to the fact that much of this accountability system was put in place by Conservative governments. </w:t>
      </w:r>
      <w:r w:rsidRPr="00E97361">
        <w:rPr>
          <w:rFonts w:cs="Calibri"/>
          <w:sz w:val="24"/>
        </w:rPr>
        <w:t xml:space="preserve">The presupposition </w:t>
      </w:r>
      <w:r w:rsidR="00F23346">
        <w:rPr>
          <w:rFonts w:cs="Calibri"/>
          <w:sz w:val="24"/>
        </w:rPr>
        <w:t xml:space="preserve">promoted </w:t>
      </w:r>
      <w:r w:rsidRPr="00E97361">
        <w:rPr>
          <w:rFonts w:cs="Calibri"/>
          <w:sz w:val="24"/>
        </w:rPr>
        <w:t xml:space="preserve">is that these concerns </w:t>
      </w:r>
      <w:r w:rsidR="00022A57">
        <w:rPr>
          <w:rFonts w:cs="Calibri"/>
          <w:sz w:val="24"/>
        </w:rPr>
        <w:t>are</w:t>
      </w:r>
      <w:r w:rsidRPr="00E97361">
        <w:rPr>
          <w:rFonts w:cs="Calibri"/>
          <w:sz w:val="24"/>
        </w:rPr>
        <w:t xml:space="preserve"> addressed</w:t>
      </w:r>
      <w:r w:rsidR="00F23346">
        <w:rPr>
          <w:rFonts w:cs="Calibri"/>
          <w:sz w:val="24"/>
        </w:rPr>
        <w:t xml:space="preserve"> </w:t>
      </w:r>
      <w:r w:rsidR="00022A57">
        <w:rPr>
          <w:rFonts w:cs="Calibri"/>
          <w:sz w:val="24"/>
        </w:rPr>
        <w:t>by the</w:t>
      </w:r>
      <w:r w:rsidR="00F23346">
        <w:rPr>
          <w:rFonts w:cs="Calibri"/>
          <w:sz w:val="24"/>
        </w:rPr>
        <w:t xml:space="preserve"> policy reform</w:t>
      </w:r>
      <w:r w:rsidR="001B6C23">
        <w:rPr>
          <w:rFonts w:cs="Calibri"/>
          <w:sz w:val="24"/>
        </w:rPr>
        <w:t xml:space="preserve"> (</w:t>
      </w:r>
      <w:r w:rsidR="000D3955">
        <w:rPr>
          <w:rFonts w:cs="Calibri"/>
          <w:sz w:val="24"/>
        </w:rPr>
        <w:t>A</w:t>
      </w:r>
      <w:r w:rsidR="001B6C23">
        <w:rPr>
          <w:rFonts w:cs="Calibri"/>
          <w:sz w:val="24"/>
        </w:rPr>
        <w:t>rena 3).</w:t>
      </w:r>
      <w:r w:rsidRPr="00E97361">
        <w:rPr>
          <w:rFonts w:cs="Calibri"/>
          <w:sz w:val="24"/>
        </w:rPr>
        <w:t xml:space="preserve"> </w:t>
      </w:r>
    </w:p>
    <w:p w14:paraId="35E54968" w14:textId="2B764534" w:rsidR="00B54F29" w:rsidRPr="00E97361" w:rsidRDefault="00B54F29" w:rsidP="00B54F29">
      <w:pPr>
        <w:spacing w:line="360" w:lineRule="auto"/>
        <w:rPr>
          <w:rFonts w:cs="Calibri"/>
          <w:sz w:val="24"/>
        </w:rPr>
      </w:pPr>
      <w:r w:rsidRPr="00E97361">
        <w:rPr>
          <w:rFonts w:cs="Calibri"/>
          <w:sz w:val="24"/>
        </w:rPr>
        <w:t xml:space="preserve">The </w:t>
      </w:r>
      <w:r w:rsidR="00A076A1">
        <w:rPr>
          <w:rFonts w:cs="Calibri"/>
          <w:sz w:val="24"/>
        </w:rPr>
        <w:t xml:space="preserve">PM/DPM foreword </w:t>
      </w:r>
      <w:r w:rsidRPr="00E97361">
        <w:rPr>
          <w:rFonts w:cs="Calibri"/>
          <w:sz w:val="24"/>
        </w:rPr>
        <w:t>concludes with an incontrovertible statement stating that huge change is about to happen: “Reforms on this scale are absolutely essential if our children are to get the education they deserve” (p.5). “Absolutely essential” is not a phrase to be argued with</w:t>
      </w:r>
      <w:r w:rsidR="000D3955">
        <w:rPr>
          <w:rFonts w:cs="Calibri"/>
          <w:sz w:val="24"/>
        </w:rPr>
        <w:t xml:space="preserve">, </w:t>
      </w:r>
      <w:r w:rsidRPr="00E97361">
        <w:rPr>
          <w:rFonts w:cs="Calibri"/>
          <w:sz w:val="24"/>
        </w:rPr>
        <w:t>particularly when linked to denying children a proper education.</w:t>
      </w:r>
    </w:p>
    <w:p w14:paraId="383DEF27" w14:textId="4031485B" w:rsidR="00B54F29" w:rsidRDefault="00B54F29" w:rsidP="00940A6D">
      <w:pPr>
        <w:tabs>
          <w:tab w:val="left" w:pos="8222"/>
          <w:tab w:val="left" w:pos="8364"/>
        </w:tabs>
        <w:spacing w:line="360" w:lineRule="auto"/>
        <w:rPr>
          <w:rFonts w:cs="Calibri"/>
          <w:sz w:val="24"/>
        </w:rPr>
      </w:pPr>
      <w:r w:rsidRPr="00E97361">
        <w:rPr>
          <w:rFonts w:cs="Calibri"/>
          <w:sz w:val="24"/>
        </w:rPr>
        <w:t xml:space="preserve">The foreword by </w:t>
      </w:r>
      <w:r w:rsidR="00940A6D">
        <w:rPr>
          <w:rFonts w:cs="Calibri"/>
          <w:sz w:val="24"/>
        </w:rPr>
        <w:t>Gove</w:t>
      </w:r>
      <w:r w:rsidRPr="00E97361">
        <w:rPr>
          <w:rFonts w:cs="Calibri"/>
          <w:sz w:val="24"/>
        </w:rPr>
        <w:t xml:space="preserve"> contains </w:t>
      </w:r>
      <w:r w:rsidR="00940A6D">
        <w:rPr>
          <w:rFonts w:cs="Calibri"/>
          <w:sz w:val="24"/>
        </w:rPr>
        <w:t>greater</w:t>
      </w:r>
      <w:r w:rsidRPr="00E97361">
        <w:rPr>
          <w:rFonts w:cs="Calibri"/>
          <w:sz w:val="24"/>
        </w:rPr>
        <w:t xml:space="preserve"> presupposition and implication due to the narrative style of portraying a historical account leading to his </w:t>
      </w:r>
      <w:r w:rsidR="00940A6D">
        <w:rPr>
          <w:rFonts w:cs="Calibri"/>
          <w:sz w:val="24"/>
        </w:rPr>
        <w:t xml:space="preserve">future </w:t>
      </w:r>
      <w:r w:rsidRPr="00E97361">
        <w:rPr>
          <w:rFonts w:cs="Calibri"/>
          <w:sz w:val="24"/>
        </w:rPr>
        <w:t>propos</w:t>
      </w:r>
      <w:r w:rsidR="00940A6D">
        <w:rPr>
          <w:rFonts w:cs="Calibri"/>
          <w:sz w:val="24"/>
        </w:rPr>
        <w:t>als</w:t>
      </w:r>
      <w:r w:rsidR="000D3955">
        <w:rPr>
          <w:rFonts w:cs="Calibri"/>
          <w:sz w:val="24"/>
        </w:rPr>
        <w:t xml:space="preserve">, for example: </w:t>
      </w:r>
      <w:r w:rsidRPr="00E97361">
        <w:rPr>
          <w:rFonts w:cs="Calibri"/>
          <w:sz w:val="24"/>
        </w:rPr>
        <w:t>“</w:t>
      </w:r>
      <w:r w:rsidR="00A076A1">
        <w:rPr>
          <w:rFonts w:cs="Calibri"/>
          <w:sz w:val="24"/>
        </w:rPr>
        <w:t>w</w:t>
      </w:r>
      <w:r w:rsidRPr="00E97361">
        <w:rPr>
          <w:rFonts w:cs="Calibri"/>
          <w:sz w:val="24"/>
        </w:rPr>
        <w:t>ealth governed access to cultural riches. Horizons were narrow, hopes limited, happiness a matter of time and chance” (p.6). Again, the use of factive verbs and adjectives suggest that these statements are a reflection of truth</w:t>
      </w:r>
      <w:r w:rsidR="005F3C53">
        <w:rPr>
          <w:rFonts w:cs="Calibri"/>
          <w:sz w:val="24"/>
        </w:rPr>
        <w:t>,</w:t>
      </w:r>
      <w:r w:rsidRPr="00E97361">
        <w:rPr>
          <w:rFonts w:cs="Calibri"/>
          <w:sz w:val="24"/>
        </w:rPr>
        <w:t xml:space="preserve"> not presuppositions. </w:t>
      </w:r>
      <w:r w:rsidR="00A076A1">
        <w:rPr>
          <w:rFonts w:cs="Calibri"/>
          <w:sz w:val="24"/>
        </w:rPr>
        <w:t>The text</w:t>
      </w:r>
      <w:r w:rsidR="00940A6D">
        <w:rPr>
          <w:rFonts w:cs="Calibri"/>
          <w:sz w:val="24"/>
        </w:rPr>
        <w:t xml:space="preserve"> </w:t>
      </w:r>
      <w:r w:rsidR="00A076A1">
        <w:rPr>
          <w:rFonts w:cs="Calibri"/>
          <w:sz w:val="24"/>
        </w:rPr>
        <w:t>state</w:t>
      </w:r>
      <w:r w:rsidR="00940A6D">
        <w:rPr>
          <w:rFonts w:cs="Calibri"/>
          <w:sz w:val="24"/>
        </w:rPr>
        <w:t>s</w:t>
      </w:r>
      <w:r w:rsidR="00A076A1">
        <w:rPr>
          <w:rFonts w:cs="Calibri"/>
          <w:sz w:val="24"/>
        </w:rPr>
        <w:t xml:space="preserve"> that </w:t>
      </w:r>
      <w:r w:rsidRPr="00E97361">
        <w:rPr>
          <w:rFonts w:cs="Calibri"/>
          <w:sz w:val="24"/>
        </w:rPr>
        <w:t>“</w:t>
      </w:r>
      <w:r w:rsidR="00A076A1">
        <w:rPr>
          <w:rFonts w:cs="Calibri"/>
          <w:sz w:val="24"/>
        </w:rPr>
        <w:t>t</w:t>
      </w:r>
      <w:r w:rsidRPr="00E97361">
        <w:rPr>
          <w:rFonts w:cs="Calibri"/>
          <w:sz w:val="24"/>
        </w:rPr>
        <w:t xml:space="preserve">his injustice has inspired a grim fatalism in some, who believe that deprivation must be destiny. But for this Government the scale of this tragedy demands action. Urgent, focused, radical action” (p.7). The clear implications, using </w:t>
      </w:r>
      <w:r w:rsidR="00B42AA7">
        <w:rPr>
          <w:rFonts w:cs="Calibri"/>
          <w:sz w:val="24"/>
        </w:rPr>
        <w:t>change</w:t>
      </w:r>
      <w:r w:rsidR="005F3C53">
        <w:rPr>
          <w:rFonts w:cs="Calibri"/>
          <w:sz w:val="24"/>
        </w:rPr>
        <w:t>-</w:t>
      </w:r>
      <w:r w:rsidR="00B42AA7">
        <w:rPr>
          <w:rFonts w:cs="Calibri"/>
          <w:sz w:val="24"/>
        </w:rPr>
        <w:t>of</w:t>
      </w:r>
      <w:r w:rsidR="005F3C53">
        <w:rPr>
          <w:rFonts w:cs="Calibri"/>
          <w:sz w:val="24"/>
        </w:rPr>
        <w:t>-</w:t>
      </w:r>
      <w:r w:rsidR="00B42AA7">
        <w:rPr>
          <w:rFonts w:cs="Calibri"/>
          <w:sz w:val="24"/>
        </w:rPr>
        <w:t>state verbs, are that</w:t>
      </w:r>
      <w:r w:rsidRPr="00E97361">
        <w:rPr>
          <w:rFonts w:cs="Calibri"/>
          <w:sz w:val="24"/>
        </w:rPr>
        <w:t xml:space="preserve">: there is an injustice; the previous </w:t>
      </w:r>
      <w:r w:rsidR="00923265">
        <w:rPr>
          <w:rFonts w:cs="Calibri"/>
          <w:sz w:val="24"/>
        </w:rPr>
        <w:t>g</w:t>
      </w:r>
      <w:r w:rsidRPr="00E97361">
        <w:rPr>
          <w:rFonts w:cs="Calibri"/>
          <w:sz w:val="24"/>
        </w:rPr>
        <w:t xml:space="preserve">overnment did not take appropriate action; the problem is very big; and that the </w:t>
      </w:r>
      <w:r w:rsidRPr="00E97361">
        <w:rPr>
          <w:rFonts w:cs="Calibri"/>
          <w:sz w:val="24"/>
        </w:rPr>
        <w:lastRenderedPageBreak/>
        <w:t>scale of reforms must be large</w:t>
      </w:r>
      <w:r w:rsidR="005F3C53">
        <w:rPr>
          <w:rFonts w:cs="Calibri"/>
          <w:sz w:val="24"/>
        </w:rPr>
        <w:t>-</w:t>
      </w:r>
      <w:r w:rsidRPr="00E97361">
        <w:rPr>
          <w:rFonts w:cs="Calibri"/>
          <w:sz w:val="24"/>
        </w:rPr>
        <w:t>scale and immediate. The key presupposition of the text and White Paper proposals is that other countries have addressed these issues</w:t>
      </w:r>
      <w:r w:rsidR="005F3C53">
        <w:rPr>
          <w:rFonts w:cs="Calibri"/>
          <w:sz w:val="24"/>
        </w:rPr>
        <w:t>, so</w:t>
      </w:r>
      <w:r w:rsidRPr="00E97361">
        <w:rPr>
          <w:rFonts w:cs="Calibri"/>
          <w:sz w:val="24"/>
        </w:rPr>
        <w:t xml:space="preserve"> England must </w:t>
      </w:r>
      <w:r w:rsidR="00940A6D">
        <w:rPr>
          <w:rFonts w:cs="Calibri"/>
          <w:sz w:val="24"/>
        </w:rPr>
        <w:t xml:space="preserve">now </w:t>
      </w:r>
      <w:r w:rsidRPr="00E97361">
        <w:rPr>
          <w:rFonts w:cs="Calibri"/>
          <w:sz w:val="24"/>
        </w:rPr>
        <w:t xml:space="preserve">adopt the same measures: “It outlines a direction of travel on the curriculum and qualifications which allows us to learn from, and outpace, the world’s best” (p.7). Again, the use of a factive verb presents this assumption and hope as a statement of certainty. The intention is not that </w:t>
      </w:r>
      <w:r w:rsidR="00F06EFB">
        <w:rPr>
          <w:rFonts w:cs="Calibri"/>
          <w:sz w:val="24"/>
        </w:rPr>
        <w:t>England</w:t>
      </w:r>
      <w:r w:rsidRPr="00E97361">
        <w:rPr>
          <w:rFonts w:cs="Calibri"/>
          <w:sz w:val="24"/>
        </w:rPr>
        <w:t xml:space="preserve"> catch</w:t>
      </w:r>
      <w:r w:rsidR="00F06EFB">
        <w:rPr>
          <w:rFonts w:cs="Calibri"/>
          <w:sz w:val="24"/>
        </w:rPr>
        <w:t>es</w:t>
      </w:r>
      <w:r w:rsidRPr="00E97361">
        <w:rPr>
          <w:rFonts w:cs="Calibri"/>
          <w:sz w:val="24"/>
        </w:rPr>
        <w:t xml:space="preserve"> up with those currently ahead in international league tables, but overtake</w:t>
      </w:r>
      <w:r w:rsidR="00F06EFB">
        <w:rPr>
          <w:rFonts w:cs="Calibri"/>
          <w:sz w:val="24"/>
        </w:rPr>
        <w:t>s</w:t>
      </w:r>
      <w:r w:rsidRPr="00E97361">
        <w:rPr>
          <w:rFonts w:cs="Calibri"/>
          <w:sz w:val="24"/>
        </w:rPr>
        <w:t xml:space="preserve"> them.</w:t>
      </w:r>
    </w:p>
    <w:p w14:paraId="7278F535" w14:textId="3F1FD1E2" w:rsidR="00A076A1" w:rsidRPr="00E97361" w:rsidRDefault="00F06EFB" w:rsidP="00940A6D">
      <w:pPr>
        <w:tabs>
          <w:tab w:val="left" w:pos="8505"/>
        </w:tabs>
        <w:spacing w:line="360" w:lineRule="auto"/>
        <w:rPr>
          <w:rFonts w:cs="Calibri"/>
          <w:sz w:val="24"/>
        </w:rPr>
      </w:pPr>
      <w:r>
        <w:rPr>
          <w:rFonts w:cs="Calibri"/>
          <w:sz w:val="24"/>
        </w:rPr>
        <w:t xml:space="preserve">This linguistic device can be seen to reinforce </w:t>
      </w:r>
      <w:r w:rsidR="00940A6D">
        <w:rPr>
          <w:rFonts w:cs="Calibri"/>
          <w:sz w:val="24"/>
        </w:rPr>
        <w:t xml:space="preserve">Scheurich’s </w:t>
      </w:r>
      <w:r w:rsidR="005F3C53">
        <w:rPr>
          <w:rFonts w:cs="Calibri"/>
          <w:sz w:val="24"/>
        </w:rPr>
        <w:t>third arena,</w:t>
      </w:r>
      <w:r w:rsidR="00940A6D">
        <w:rPr>
          <w:rFonts w:cs="Calibri"/>
          <w:sz w:val="24"/>
        </w:rPr>
        <w:t xml:space="preserve"> </w:t>
      </w:r>
      <w:r>
        <w:rPr>
          <w:rFonts w:cs="Calibri"/>
          <w:sz w:val="24"/>
        </w:rPr>
        <w:t xml:space="preserve">in that policy solutions are legitimated within the text. The desire to compete </w:t>
      </w:r>
      <w:r w:rsidR="00940A6D">
        <w:rPr>
          <w:rFonts w:cs="Calibri"/>
          <w:sz w:val="24"/>
        </w:rPr>
        <w:t xml:space="preserve">internationally </w:t>
      </w:r>
      <w:r>
        <w:rPr>
          <w:rFonts w:cs="Calibri"/>
          <w:sz w:val="24"/>
        </w:rPr>
        <w:t>and improve results in</w:t>
      </w:r>
      <w:r w:rsidR="00940A6D">
        <w:rPr>
          <w:rFonts w:cs="Calibri"/>
          <w:sz w:val="24"/>
        </w:rPr>
        <w:t xml:space="preserve"> the PISA tests</w:t>
      </w:r>
      <w:r>
        <w:rPr>
          <w:rFonts w:cs="Calibri"/>
          <w:sz w:val="24"/>
        </w:rPr>
        <w:t xml:space="preserve"> can be seen as </w:t>
      </w:r>
      <w:r w:rsidR="005F3C53">
        <w:rPr>
          <w:rFonts w:cs="Calibri"/>
          <w:sz w:val="24"/>
        </w:rPr>
        <w:t>an</w:t>
      </w:r>
      <w:r>
        <w:rPr>
          <w:rFonts w:cs="Calibri"/>
          <w:sz w:val="24"/>
        </w:rPr>
        <w:t xml:space="preserve"> explanation for why the EBac policy was introduced as part of the wider policy framework.</w:t>
      </w:r>
      <w:r w:rsidR="00940A6D">
        <w:rPr>
          <w:rFonts w:cs="Calibri"/>
          <w:sz w:val="24"/>
        </w:rPr>
        <w:t xml:space="preserve"> </w:t>
      </w:r>
      <w:r w:rsidR="005F3C53">
        <w:rPr>
          <w:rFonts w:cs="Calibri"/>
          <w:sz w:val="24"/>
        </w:rPr>
        <w:t xml:space="preserve">Concern over </w:t>
      </w:r>
      <w:r w:rsidR="00940A6D">
        <w:rPr>
          <w:rFonts w:cs="Calibri"/>
          <w:sz w:val="24"/>
        </w:rPr>
        <w:t>Brit</w:t>
      </w:r>
      <w:r w:rsidR="00DC4662">
        <w:rPr>
          <w:rFonts w:cs="Calibri"/>
          <w:sz w:val="24"/>
        </w:rPr>
        <w:t>ain</w:t>
      </w:r>
      <w:r w:rsidR="005F3C53">
        <w:rPr>
          <w:rFonts w:cs="Calibri"/>
          <w:sz w:val="24"/>
        </w:rPr>
        <w:t>’s position</w:t>
      </w:r>
      <w:r w:rsidR="00DC4662">
        <w:rPr>
          <w:rFonts w:cs="Calibri"/>
          <w:sz w:val="24"/>
        </w:rPr>
        <w:t xml:space="preserve"> in</w:t>
      </w:r>
      <w:r w:rsidR="00940A6D">
        <w:rPr>
          <w:rFonts w:cs="Calibri"/>
          <w:sz w:val="24"/>
        </w:rPr>
        <w:t xml:space="preserve"> international comparisons</w:t>
      </w:r>
      <w:r w:rsidR="005F3C53">
        <w:rPr>
          <w:rFonts w:cs="Calibri"/>
          <w:sz w:val="24"/>
        </w:rPr>
        <w:t xml:space="preserve"> and global networks</w:t>
      </w:r>
      <w:r w:rsidR="00940A6D">
        <w:rPr>
          <w:rFonts w:cs="Calibri"/>
          <w:sz w:val="24"/>
        </w:rPr>
        <w:t xml:space="preserve"> </w:t>
      </w:r>
      <w:r w:rsidR="00DC4662">
        <w:rPr>
          <w:rFonts w:cs="Calibri"/>
          <w:sz w:val="24"/>
        </w:rPr>
        <w:t>ha</w:t>
      </w:r>
      <w:r w:rsidR="005F3C53">
        <w:rPr>
          <w:rFonts w:cs="Calibri"/>
          <w:sz w:val="24"/>
        </w:rPr>
        <w:t>s</w:t>
      </w:r>
      <w:r w:rsidR="00DC4662">
        <w:rPr>
          <w:rFonts w:cs="Calibri"/>
          <w:sz w:val="24"/>
        </w:rPr>
        <w:t xml:space="preserve"> create</w:t>
      </w:r>
      <w:r w:rsidR="005F3C53">
        <w:rPr>
          <w:rFonts w:cs="Calibri"/>
          <w:sz w:val="24"/>
        </w:rPr>
        <w:t>d</w:t>
      </w:r>
      <w:r w:rsidR="00DC4662">
        <w:rPr>
          <w:rFonts w:cs="Calibri"/>
          <w:sz w:val="24"/>
        </w:rPr>
        <w:t xml:space="preserve"> a policy solution that requires English pupils to have a greater focus on Mathematics and </w:t>
      </w:r>
      <w:r w:rsidR="005F3C53">
        <w:rPr>
          <w:rFonts w:cs="Calibri"/>
          <w:sz w:val="24"/>
        </w:rPr>
        <w:t>s</w:t>
      </w:r>
      <w:r w:rsidR="00DC4662">
        <w:rPr>
          <w:rFonts w:cs="Calibri"/>
          <w:sz w:val="24"/>
        </w:rPr>
        <w:t>cience</w:t>
      </w:r>
      <w:r w:rsidR="005F3C53">
        <w:rPr>
          <w:rFonts w:cs="Calibri"/>
          <w:sz w:val="24"/>
        </w:rPr>
        <w:t>s</w:t>
      </w:r>
      <w:r w:rsidR="00DC4662">
        <w:rPr>
          <w:rFonts w:cs="Calibri"/>
          <w:sz w:val="24"/>
        </w:rPr>
        <w:t xml:space="preserve"> to improve performance on these tests</w:t>
      </w:r>
      <w:r w:rsidR="007A687D">
        <w:rPr>
          <w:rFonts w:cs="Calibri"/>
          <w:sz w:val="24"/>
        </w:rPr>
        <w:t xml:space="preserve">. </w:t>
      </w:r>
      <w:r w:rsidR="005F3C53">
        <w:rPr>
          <w:rFonts w:cs="Calibri"/>
          <w:sz w:val="24"/>
        </w:rPr>
        <w:t>This is a</w:t>
      </w:r>
      <w:r w:rsidR="007A687D">
        <w:rPr>
          <w:rFonts w:cs="Calibri"/>
          <w:sz w:val="24"/>
        </w:rPr>
        <w:t xml:space="preserve"> network of testing and surveillance which</w:t>
      </w:r>
      <w:r w:rsidR="005F3C53">
        <w:rPr>
          <w:rFonts w:cs="Calibri"/>
          <w:sz w:val="24"/>
        </w:rPr>
        <w:t>,</w:t>
      </w:r>
      <w:r w:rsidR="007A687D">
        <w:rPr>
          <w:rFonts w:cs="Calibri"/>
          <w:sz w:val="24"/>
        </w:rPr>
        <w:t xml:space="preserve"> as described by Lingard et al</w:t>
      </w:r>
      <w:r w:rsidR="005F3C53">
        <w:rPr>
          <w:rFonts w:cs="Calibri"/>
          <w:sz w:val="24"/>
        </w:rPr>
        <w:t>.</w:t>
      </w:r>
      <w:r w:rsidR="007A687D">
        <w:rPr>
          <w:rFonts w:cs="Calibri"/>
          <w:sz w:val="24"/>
        </w:rPr>
        <w:t xml:space="preserve"> (2013)</w:t>
      </w:r>
      <w:r w:rsidR="005F3C53">
        <w:rPr>
          <w:rFonts w:cs="Calibri"/>
          <w:sz w:val="24"/>
        </w:rPr>
        <w:t>,</w:t>
      </w:r>
      <w:r w:rsidR="007A687D">
        <w:rPr>
          <w:rFonts w:cs="Calibri"/>
          <w:sz w:val="24"/>
        </w:rPr>
        <w:t xml:space="preserve"> acts as a form of “global panopticism”</w:t>
      </w:r>
      <w:r w:rsidR="00C8515A">
        <w:rPr>
          <w:rFonts w:cs="Calibri"/>
          <w:sz w:val="24"/>
        </w:rPr>
        <w:t xml:space="preserve"> (p.539)</w:t>
      </w:r>
      <w:r w:rsidR="00DC4662">
        <w:rPr>
          <w:rFonts w:cs="Calibri"/>
          <w:sz w:val="24"/>
        </w:rPr>
        <w:t>.</w:t>
      </w:r>
    </w:p>
    <w:p w14:paraId="7FB0FD97" w14:textId="3636B56F" w:rsidR="00B44AF2" w:rsidRPr="00E97361" w:rsidRDefault="00B54F29" w:rsidP="00531995">
      <w:pPr>
        <w:pStyle w:val="Heading3"/>
      </w:pPr>
      <w:bookmarkStart w:id="82" w:name="_Toc452316366"/>
      <w:r w:rsidRPr="00E97361">
        <w:t>4.</w:t>
      </w:r>
      <w:r w:rsidR="00940A6D">
        <w:t>2.</w:t>
      </w:r>
      <w:r>
        <w:t>8</w:t>
      </w:r>
      <w:r w:rsidRPr="00E97361">
        <w:t xml:space="preserve"> Medium</w:t>
      </w:r>
      <w:bookmarkEnd w:id="82"/>
      <w:r w:rsidRPr="00E97361">
        <w:t xml:space="preserve"> </w:t>
      </w:r>
    </w:p>
    <w:p w14:paraId="679FCEB1" w14:textId="4EF1DFEF" w:rsidR="00B54F29" w:rsidRPr="00923265" w:rsidRDefault="00B44AF2" w:rsidP="00B44AF2">
      <w:pPr>
        <w:pStyle w:val="ListParagraph"/>
        <w:spacing w:line="360" w:lineRule="auto"/>
        <w:ind w:left="0"/>
        <w:rPr>
          <w:sz w:val="24"/>
          <w:szCs w:val="24"/>
        </w:rPr>
      </w:pPr>
      <w:r w:rsidRPr="00923265">
        <w:rPr>
          <w:sz w:val="24"/>
          <w:szCs w:val="24"/>
        </w:rPr>
        <w:t>All three texts are written in the</w:t>
      </w:r>
      <w:r w:rsidR="00B54F29" w:rsidRPr="00923265">
        <w:rPr>
          <w:sz w:val="24"/>
          <w:szCs w:val="24"/>
        </w:rPr>
        <w:t xml:space="preserve"> mediums of persuasive policy. The </w:t>
      </w:r>
      <w:r w:rsidRPr="00923265">
        <w:rPr>
          <w:sz w:val="24"/>
          <w:szCs w:val="24"/>
        </w:rPr>
        <w:t xml:space="preserve">White Paper </w:t>
      </w:r>
      <w:r w:rsidR="00B54F29" w:rsidRPr="00923265">
        <w:rPr>
          <w:sz w:val="24"/>
          <w:szCs w:val="24"/>
        </w:rPr>
        <w:t>speech is political rhetoric that is designed to persuade</w:t>
      </w:r>
      <w:r w:rsidR="005F3C53">
        <w:rPr>
          <w:sz w:val="24"/>
          <w:szCs w:val="24"/>
        </w:rPr>
        <w:t xml:space="preserve"> while</w:t>
      </w:r>
      <w:r w:rsidR="00B54F29" w:rsidRPr="00923265">
        <w:rPr>
          <w:sz w:val="24"/>
          <w:szCs w:val="24"/>
        </w:rPr>
        <w:t xml:space="preserve"> introducing and outlining the policy. </w:t>
      </w:r>
      <w:r w:rsidR="00C73859">
        <w:rPr>
          <w:sz w:val="24"/>
          <w:szCs w:val="24"/>
        </w:rPr>
        <w:t xml:space="preserve">The </w:t>
      </w:r>
      <w:r w:rsidR="003B77F3">
        <w:rPr>
          <w:sz w:val="24"/>
          <w:szCs w:val="24"/>
        </w:rPr>
        <w:t>tone</w:t>
      </w:r>
      <w:r w:rsidR="00B54F29" w:rsidRPr="00923265">
        <w:rPr>
          <w:sz w:val="24"/>
          <w:szCs w:val="24"/>
        </w:rPr>
        <w:t xml:space="preserve"> of </w:t>
      </w:r>
      <w:r w:rsidR="003C3E1E" w:rsidRPr="00923265">
        <w:rPr>
          <w:sz w:val="24"/>
          <w:szCs w:val="24"/>
        </w:rPr>
        <w:t>both</w:t>
      </w:r>
      <w:r w:rsidR="00B54F29" w:rsidRPr="00923265">
        <w:rPr>
          <w:sz w:val="24"/>
          <w:szCs w:val="24"/>
        </w:rPr>
        <w:t xml:space="preserve"> forewords in the White Paper combine a formal business style with an informal, conversational approach. The foreword by the PM/DPM follows the expected schema</w:t>
      </w:r>
      <w:r w:rsidR="005F3C53">
        <w:rPr>
          <w:sz w:val="24"/>
          <w:szCs w:val="24"/>
        </w:rPr>
        <w:t>,</w:t>
      </w:r>
      <w:r w:rsidR="00B54F29" w:rsidRPr="00923265">
        <w:rPr>
          <w:sz w:val="24"/>
          <w:szCs w:val="24"/>
        </w:rPr>
        <w:t xml:space="preserve"> with its standard introduction to a </w:t>
      </w:r>
      <w:r w:rsidR="004A48AF">
        <w:rPr>
          <w:sz w:val="24"/>
          <w:szCs w:val="24"/>
        </w:rPr>
        <w:t>g</w:t>
      </w:r>
      <w:r w:rsidR="00B54F29" w:rsidRPr="00923265">
        <w:rPr>
          <w:sz w:val="24"/>
          <w:szCs w:val="24"/>
        </w:rPr>
        <w:t xml:space="preserve">overnment policy written in a formal yet non-technical style. The arguments put forward are stated to be </w:t>
      </w:r>
      <w:r w:rsidR="005F3C53">
        <w:rPr>
          <w:sz w:val="24"/>
          <w:szCs w:val="24"/>
        </w:rPr>
        <w:t>‘</w:t>
      </w:r>
      <w:r w:rsidR="00B54F29" w:rsidRPr="00923265">
        <w:rPr>
          <w:sz w:val="24"/>
          <w:szCs w:val="24"/>
        </w:rPr>
        <w:t>lessons</w:t>
      </w:r>
      <w:r w:rsidR="005F3C53">
        <w:rPr>
          <w:sz w:val="24"/>
          <w:szCs w:val="24"/>
        </w:rPr>
        <w:t>’</w:t>
      </w:r>
      <w:r w:rsidR="00B54F29" w:rsidRPr="00923265">
        <w:rPr>
          <w:sz w:val="24"/>
          <w:szCs w:val="24"/>
        </w:rPr>
        <w:t xml:space="preserve"> which can be seen as an attempt to use familiar vocabulary for the </w:t>
      </w:r>
      <w:r w:rsidR="003C3E1E" w:rsidRPr="00923265">
        <w:rPr>
          <w:sz w:val="24"/>
          <w:szCs w:val="24"/>
        </w:rPr>
        <w:t xml:space="preserve">education </w:t>
      </w:r>
      <w:r w:rsidR="00B54F29" w:rsidRPr="00923265">
        <w:rPr>
          <w:sz w:val="24"/>
          <w:szCs w:val="24"/>
        </w:rPr>
        <w:t xml:space="preserve">sector and </w:t>
      </w:r>
      <w:r w:rsidR="003C3E1E" w:rsidRPr="00923265">
        <w:rPr>
          <w:sz w:val="24"/>
          <w:szCs w:val="24"/>
        </w:rPr>
        <w:t xml:space="preserve">to provide </w:t>
      </w:r>
      <w:r w:rsidR="00B54F29" w:rsidRPr="00923265">
        <w:rPr>
          <w:sz w:val="24"/>
          <w:szCs w:val="24"/>
        </w:rPr>
        <w:t xml:space="preserve">a structured layout to </w:t>
      </w:r>
      <w:r w:rsidR="003C3E1E" w:rsidRPr="00923265">
        <w:rPr>
          <w:sz w:val="24"/>
          <w:szCs w:val="24"/>
        </w:rPr>
        <w:t>the</w:t>
      </w:r>
      <w:r w:rsidR="00B54F29" w:rsidRPr="00923265">
        <w:rPr>
          <w:sz w:val="24"/>
          <w:szCs w:val="24"/>
        </w:rPr>
        <w:t xml:space="preserve"> list of proposals. The </w:t>
      </w:r>
      <w:r w:rsidR="003C3E1E" w:rsidRPr="00923265">
        <w:rPr>
          <w:sz w:val="24"/>
          <w:szCs w:val="24"/>
        </w:rPr>
        <w:t xml:space="preserve">foreword by the </w:t>
      </w:r>
      <w:r w:rsidR="00B54F29" w:rsidRPr="00923265">
        <w:rPr>
          <w:sz w:val="24"/>
          <w:szCs w:val="24"/>
        </w:rPr>
        <w:t>PM/DPM take</w:t>
      </w:r>
      <w:r w:rsidR="003C3E1E" w:rsidRPr="00923265">
        <w:rPr>
          <w:sz w:val="24"/>
          <w:szCs w:val="24"/>
        </w:rPr>
        <w:t>s</w:t>
      </w:r>
      <w:r w:rsidR="00B54F29" w:rsidRPr="00923265">
        <w:rPr>
          <w:sz w:val="24"/>
          <w:szCs w:val="24"/>
        </w:rPr>
        <w:t xml:space="preserve"> an approach of appearing to praise and support teachers: “there is no question that teaching standards have increased” (p.3). They then briefly outline three “lessons” that the country needs to learn from others</w:t>
      </w:r>
      <w:r w:rsidR="001B6C23">
        <w:rPr>
          <w:sz w:val="24"/>
          <w:szCs w:val="24"/>
        </w:rPr>
        <w:t xml:space="preserve"> </w:t>
      </w:r>
      <w:r w:rsidR="00B54F29" w:rsidRPr="00923265">
        <w:rPr>
          <w:sz w:val="24"/>
          <w:szCs w:val="24"/>
        </w:rPr>
        <w:t>us</w:t>
      </w:r>
      <w:r w:rsidR="001B6C23">
        <w:rPr>
          <w:sz w:val="24"/>
          <w:szCs w:val="24"/>
        </w:rPr>
        <w:t>ing</w:t>
      </w:r>
      <w:r w:rsidR="00B54F29" w:rsidRPr="00923265">
        <w:rPr>
          <w:sz w:val="24"/>
          <w:szCs w:val="24"/>
        </w:rPr>
        <w:t xml:space="preserve"> the persuasive device of the </w:t>
      </w:r>
      <w:r w:rsidR="00BB0B70">
        <w:rPr>
          <w:sz w:val="24"/>
          <w:szCs w:val="24"/>
        </w:rPr>
        <w:t>‘</w:t>
      </w:r>
      <w:r w:rsidR="00B54F29" w:rsidRPr="00923265">
        <w:rPr>
          <w:sz w:val="24"/>
          <w:szCs w:val="24"/>
        </w:rPr>
        <w:t>power of three</w:t>
      </w:r>
      <w:r w:rsidR="00BB0B70">
        <w:rPr>
          <w:sz w:val="24"/>
          <w:szCs w:val="24"/>
        </w:rPr>
        <w:t>’</w:t>
      </w:r>
      <w:r w:rsidR="00B54F29" w:rsidRPr="00923265">
        <w:rPr>
          <w:sz w:val="24"/>
          <w:szCs w:val="24"/>
        </w:rPr>
        <w:t>.</w:t>
      </w:r>
      <w:r w:rsidR="00B76490">
        <w:rPr>
          <w:sz w:val="24"/>
          <w:szCs w:val="24"/>
        </w:rPr>
        <w:t xml:space="preserve"> </w:t>
      </w:r>
      <w:r w:rsidR="00B76490">
        <w:rPr>
          <w:rFonts w:cs="Calibri"/>
          <w:sz w:val="24"/>
        </w:rPr>
        <w:t>These lessons form the basis of the policy solutions emerging from the constituted policy problems (</w:t>
      </w:r>
      <w:r w:rsidR="004F58FC">
        <w:rPr>
          <w:rFonts w:cs="Calibri"/>
          <w:sz w:val="24"/>
        </w:rPr>
        <w:t>A</w:t>
      </w:r>
      <w:r w:rsidR="00B76490">
        <w:rPr>
          <w:rFonts w:cs="Calibri"/>
          <w:sz w:val="24"/>
        </w:rPr>
        <w:t>rena 3).</w:t>
      </w:r>
    </w:p>
    <w:p w14:paraId="78C95BE7" w14:textId="6897BB07" w:rsidR="00B54F29" w:rsidRPr="00E97361" w:rsidRDefault="00B54F29" w:rsidP="00B54F29">
      <w:pPr>
        <w:spacing w:line="360" w:lineRule="auto"/>
        <w:rPr>
          <w:rFonts w:cs="Calibri"/>
          <w:sz w:val="24"/>
        </w:rPr>
      </w:pPr>
      <w:r w:rsidRPr="00E97361">
        <w:rPr>
          <w:rFonts w:cs="Calibri"/>
          <w:sz w:val="24"/>
        </w:rPr>
        <w:t xml:space="preserve">In contrast, the foreword by </w:t>
      </w:r>
      <w:r w:rsidR="00DC4662">
        <w:rPr>
          <w:rFonts w:cs="Calibri"/>
          <w:sz w:val="24"/>
        </w:rPr>
        <w:t>Gove</w:t>
      </w:r>
      <w:r w:rsidR="003C3E1E">
        <w:rPr>
          <w:rFonts w:cs="Calibri"/>
          <w:sz w:val="24"/>
        </w:rPr>
        <w:t xml:space="preserve"> </w:t>
      </w:r>
      <w:r w:rsidRPr="00E97361">
        <w:rPr>
          <w:rFonts w:cs="Calibri"/>
          <w:sz w:val="24"/>
        </w:rPr>
        <w:t xml:space="preserve">reads as a story with a set narrative over time to outline where the problems have come from; the key issues of the day which he feels illuminate the </w:t>
      </w:r>
      <w:r w:rsidRPr="00E97361">
        <w:rPr>
          <w:rFonts w:cs="Calibri"/>
          <w:sz w:val="24"/>
        </w:rPr>
        <w:lastRenderedPageBreak/>
        <w:t>current problems us</w:t>
      </w:r>
      <w:r w:rsidR="00DC4662">
        <w:rPr>
          <w:rFonts w:cs="Calibri"/>
          <w:sz w:val="24"/>
        </w:rPr>
        <w:t>ing</w:t>
      </w:r>
      <w:r w:rsidRPr="00E97361">
        <w:rPr>
          <w:rFonts w:cs="Calibri"/>
          <w:sz w:val="24"/>
        </w:rPr>
        <w:t xml:space="preserve"> a range of facts and figures, ultimately leading to the stated solutions. As a piece of persuasive writing, </w:t>
      </w:r>
      <w:r w:rsidR="004F58FC">
        <w:rPr>
          <w:rFonts w:cs="Calibri"/>
          <w:sz w:val="24"/>
        </w:rPr>
        <w:t>it also</w:t>
      </w:r>
      <w:r w:rsidRPr="00E97361">
        <w:rPr>
          <w:rFonts w:cs="Calibri"/>
          <w:sz w:val="24"/>
        </w:rPr>
        <w:t xml:space="preserve"> uses the </w:t>
      </w:r>
      <w:r w:rsidR="004F58FC">
        <w:rPr>
          <w:rFonts w:cs="Calibri"/>
          <w:sz w:val="24"/>
        </w:rPr>
        <w:t>‘</w:t>
      </w:r>
      <w:r w:rsidRPr="00E97361">
        <w:rPr>
          <w:rFonts w:cs="Calibri"/>
          <w:sz w:val="24"/>
        </w:rPr>
        <w:t>power of three</w:t>
      </w:r>
      <w:r w:rsidR="004F58FC">
        <w:rPr>
          <w:rFonts w:cs="Calibri"/>
          <w:sz w:val="24"/>
        </w:rPr>
        <w:t>’</w:t>
      </w:r>
      <w:r w:rsidRPr="00E97361">
        <w:rPr>
          <w:rFonts w:cs="Calibri"/>
          <w:sz w:val="24"/>
        </w:rPr>
        <w:t xml:space="preserve"> to reinforce the direction and purpose of </w:t>
      </w:r>
      <w:r w:rsidR="003C3E1E">
        <w:rPr>
          <w:rFonts w:cs="Calibri"/>
          <w:sz w:val="24"/>
        </w:rPr>
        <w:t>the</w:t>
      </w:r>
      <w:r w:rsidRPr="00E97361">
        <w:rPr>
          <w:rFonts w:cs="Calibri"/>
          <w:sz w:val="24"/>
        </w:rPr>
        <w:t xml:space="preserve"> speech, maximising rhetoric</w:t>
      </w:r>
      <w:r w:rsidR="00DC4662">
        <w:rPr>
          <w:rFonts w:cs="Calibri"/>
          <w:sz w:val="24"/>
        </w:rPr>
        <w:t>.</w:t>
      </w:r>
      <w:r w:rsidRPr="00E97361">
        <w:rPr>
          <w:rFonts w:cs="Calibri"/>
          <w:sz w:val="24"/>
        </w:rPr>
        <w:t xml:space="preserve"> “Horizons were narrow, hopes limited, happiness a matter of time and chance” (p.6). </w:t>
      </w:r>
    </w:p>
    <w:p w14:paraId="5FD79391" w14:textId="29D01304" w:rsidR="00B54F29" w:rsidRPr="00E97361" w:rsidRDefault="003C3E1E" w:rsidP="00B54F29">
      <w:pPr>
        <w:spacing w:line="360" w:lineRule="auto"/>
        <w:rPr>
          <w:rFonts w:cs="Calibri"/>
          <w:sz w:val="24"/>
        </w:rPr>
      </w:pPr>
      <w:r>
        <w:rPr>
          <w:rFonts w:cs="Calibri"/>
          <w:sz w:val="24"/>
        </w:rPr>
        <w:t>The EBac s</w:t>
      </w:r>
      <w:r w:rsidR="00B54F29" w:rsidRPr="00E97361">
        <w:rPr>
          <w:rFonts w:cs="Calibri"/>
          <w:sz w:val="24"/>
        </w:rPr>
        <w:t xml:space="preserve">ection </w:t>
      </w:r>
      <w:r>
        <w:rPr>
          <w:rFonts w:cs="Calibri"/>
          <w:sz w:val="24"/>
        </w:rPr>
        <w:t>(</w:t>
      </w:r>
      <w:r w:rsidR="00B54F29" w:rsidRPr="00E97361">
        <w:rPr>
          <w:rFonts w:cs="Calibri"/>
          <w:sz w:val="24"/>
        </w:rPr>
        <w:t>4.20</w:t>
      </w:r>
      <w:r>
        <w:rPr>
          <w:rFonts w:cs="Calibri"/>
          <w:sz w:val="24"/>
        </w:rPr>
        <w:t>)</w:t>
      </w:r>
      <w:r w:rsidR="00B54F29" w:rsidRPr="00E97361">
        <w:rPr>
          <w:rFonts w:cs="Calibri"/>
          <w:sz w:val="24"/>
        </w:rPr>
        <w:t xml:space="preserve"> moves back into a more formal academic style</w:t>
      </w:r>
      <w:r w:rsidR="004F58FC">
        <w:rPr>
          <w:rFonts w:cs="Calibri"/>
          <w:sz w:val="24"/>
        </w:rPr>
        <w:t>,</w:t>
      </w:r>
      <w:r w:rsidR="00B54F29" w:rsidRPr="00E97361">
        <w:rPr>
          <w:rFonts w:cs="Calibri"/>
          <w:sz w:val="24"/>
        </w:rPr>
        <w:t xml:space="preserve"> continuing to present </w:t>
      </w:r>
      <w:r w:rsidR="00DC4662">
        <w:rPr>
          <w:rFonts w:cs="Calibri"/>
          <w:sz w:val="24"/>
        </w:rPr>
        <w:t>opinion</w:t>
      </w:r>
      <w:r w:rsidR="00B54F29" w:rsidRPr="00E97361">
        <w:rPr>
          <w:rFonts w:cs="Calibri"/>
          <w:sz w:val="24"/>
        </w:rPr>
        <w:t xml:space="preserve"> as statements of fact</w:t>
      </w:r>
      <w:r w:rsidR="004F58FC">
        <w:rPr>
          <w:rFonts w:cs="Calibri"/>
          <w:sz w:val="24"/>
        </w:rPr>
        <w:t>;</w:t>
      </w:r>
      <w:r w:rsidR="00B54F29" w:rsidRPr="00E97361">
        <w:rPr>
          <w:rFonts w:cs="Calibri"/>
          <w:sz w:val="24"/>
        </w:rPr>
        <w:t xml:space="preserve"> “this basic suite of academic qualifications” (p.44)</w:t>
      </w:r>
      <w:r>
        <w:rPr>
          <w:rFonts w:cs="Calibri"/>
          <w:sz w:val="24"/>
        </w:rPr>
        <w:t xml:space="preserve">. </w:t>
      </w:r>
      <w:r w:rsidR="00B54F29" w:rsidRPr="00E97361">
        <w:rPr>
          <w:rFonts w:cs="Calibri"/>
          <w:sz w:val="24"/>
        </w:rPr>
        <w:t>Persuasive language and grammatical devices continue to be purposefully</w:t>
      </w:r>
      <w:r w:rsidR="004F58FC">
        <w:rPr>
          <w:rFonts w:cs="Calibri"/>
          <w:sz w:val="24"/>
        </w:rPr>
        <w:t xml:space="preserve"> used</w:t>
      </w:r>
      <w:r w:rsidR="00B54F29" w:rsidRPr="00E97361">
        <w:rPr>
          <w:rFonts w:cs="Calibri"/>
          <w:sz w:val="24"/>
        </w:rPr>
        <w:t>: “pupils will of course be able to achieve vocational qualifications alongside the English Baccalaureate” (p.45).</w:t>
      </w:r>
      <w:r>
        <w:rPr>
          <w:rFonts w:cs="Calibri"/>
          <w:sz w:val="24"/>
        </w:rPr>
        <w:t xml:space="preserve"> This does not present information about the reduction in vocational qualifications </w:t>
      </w:r>
      <w:r w:rsidR="00DC4662">
        <w:rPr>
          <w:rFonts w:cs="Calibri"/>
          <w:sz w:val="24"/>
        </w:rPr>
        <w:t xml:space="preserve">and related performance points </w:t>
      </w:r>
      <w:r>
        <w:rPr>
          <w:rFonts w:cs="Calibri"/>
          <w:sz w:val="24"/>
        </w:rPr>
        <w:t xml:space="preserve">or the fact that if additional time is required for children to be successful at EBac subjects then the number of other subjects that they can </w:t>
      </w:r>
      <w:r w:rsidR="001D565B">
        <w:rPr>
          <w:rFonts w:cs="Calibri"/>
          <w:sz w:val="24"/>
        </w:rPr>
        <w:t>study</w:t>
      </w:r>
      <w:r>
        <w:rPr>
          <w:rFonts w:cs="Calibri"/>
          <w:sz w:val="24"/>
        </w:rPr>
        <w:t xml:space="preserve"> </w:t>
      </w:r>
      <w:r w:rsidR="00022A57">
        <w:rPr>
          <w:rFonts w:cs="Calibri"/>
          <w:sz w:val="24"/>
        </w:rPr>
        <w:t>is</w:t>
      </w:r>
      <w:r>
        <w:rPr>
          <w:rFonts w:cs="Calibri"/>
          <w:sz w:val="24"/>
        </w:rPr>
        <w:t xml:space="preserve"> reduced.</w:t>
      </w:r>
    </w:p>
    <w:p w14:paraId="30269CD3" w14:textId="362964D5" w:rsidR="004F58FC" w:rsidRPr="003A47A6" w:rsidRDefault="00B54F29" w:rsidP="00B54F29">
      <w:pPr>
        <w:pStyle w:val="ListParagraph"/>
        <w:spacing w:line="360" w:lineRule="auto"/>
        <w:ind w:left="0"/>
        <w:rPr>
          <w:sz w:val="24"/>
        </w:rPr>
      </w:pPr>
      <w:r w:rsidRPr="00E97361">
        <w:rPr>
          <w:rFonts w:cs="Calibri"/>
          <w:sz w:val="24"/>
        </w:rPr>
        <w:t>The Addendum is written as an information sheet using</w:t>
      </w:r>
      <w:r w:rsidR="004F58FC">
        <w:rPr>
          <w:rFonts w:cs="Calibri"/>
          <w:sz w:val="24"/>
        </w:rPr>
        <w:t xml:space="preserve"> a</w:t>
      </w:r>
      <w:r w:rsidRPr="00E97361">
        <w:rPr>
          <w:rFonts w:cs="Calibri"/>
          <w:sz w:val="24"/>
        </w:rPr>
        <w:t xml:space="preserve"> “frequently asked questions” (FAQs)</w:t>
      </w:r>
      <w:r w:rsidR="00AA7E24">
        <w:rPr>
          <w:rFonts w:cs="Calibri"/>
          <w:sz w:val="24"/>
        </w:rPr>
        <w:t xml:space="preserve"> structure</w:t>
      </w:r>
      <w:r w:rsidRPr="00E97361">
        <w:rPr>
          <w:rFonts w:cs="Calibri"/>
          <w:sz w:val="24"/>
        </w:rPr>
        <w:t xml:space="preserve">. In contrast, the White Paper speech is a clear persuasive speech designed to articulate the </w:t>
      </w:r>
      <w:r w:rsidR="004A48AF">
        <w:rPr>
          <w:rFonts w:cs="Calibri"/>
          <w:sz w:val="24"/>
        </w:rPr>
        <w:t>g</w:t>
      </w:r>
      <w:r w:rsidRPr="00E97361">
        <w:rPr>
          <w:rFonts w:cs="Calibri"/>
          <w:sz w:val="24"/>
        </w:rPr>
        <w:t xml:space="preserve">overnment’s position and to persuade </w:t>
      </w:r>
      <w:r w:rsidR="004F58FC">
        <w:rPr>
          <w:rFonts w:cs="Calibri"/>
          <w:sz w:val="24"/>
        </w:rPr>
        <w:t xml:space="preserve">readers </w:t>
      </w:r>
      <w:r w:rsidRPr="00E97361">
        <w:rPr>
          <w:rFonts w:cs="Calibri"/>
          <w:sz w:val="24"/>
        </w:rPr>
        <w:t>of the validity of the initial premises, the stated solutions and the</w:t>
      </w:r>
      <w:r w:rsidR="004F58FC">
        <w:rPr>
          <w:rFonts w:cs="Calibri"/>
          <w:sz w:val="24"/>
        </w:rPr>
        <w:t>ir</w:t>
      </w:r>
      <w:r w:rsidRPr="00E97361">
        <w:rPr>
          <w:rFonts w:cs="Calibri"/>
          <w:sz w:val="24"/>
        </w:rPr>
        <w:t xml:space="preserve"> promised impact. </w:t>
      </w:r>
      <w:r w:rsidR="00DC4662">
        <w:rPr>
          <w:rFonts w:cs="Calibri"/>
          <w:sz w:val="24"/>
        </w:rPr>
        <w:t>T</w:t>
      </w:r>
      <w:r w:rsidRPr="00E97361">
        <w:rPr>
          <w:rFonts w:cs="Calibri"/>
          <w:sz w:val="24"/>
        </w:rPr>
        <w:t>he style and tone is different to the policy documents</w:t>
      </w:r>
      <w:r w:rsidR="004F58FC">
        <w:rPr>
          <w:rFonts w:cs="Calibri"/>
          <w:sz w:val="24"/>
        </w:rPr>
        <w:t>,</w:t>
      </w:r>
      <w:r w:rsidRPr="00E97361">
        <w:rPr>
          <w:rFonts w:cs="Calibri"/>
          <w:sz w:val="24"/>
        </w:rPr>
        <w:t xml:space="preserve"> yet incorporates many of the ideas and phrases from the </w:t>
      </w:r>
      <w:r w:rsidR="00AA7E24" w:rsidRPr="00E97361">
        <w:rPr>
          <w:rFonts w:cs="Calibri"/>
          <w:sz w:val="24"/>
        </w:rPr>
        <w:t xml:space="preserve">White Paper </w:t>
      </w:r>
      <w:r w:rsidRPr="00E97361">
        <w:rPr>
          <w:rFonts w:cs="Calibri"/>
          <w:sz w:val="24"/>
        </w:rPr>
        <w:t>foreword</w:t>
      </w:r>
      <w:r w:rsidR="00AE1298">
        <w:rPr>
          <w:rFonts w:cs="Calibri"/>
          <w:sz w:val="24"/>
        </w:rPr>
        <w:t>s</w:t>
      </w:r>
      <w:r w:rsidRPr="00E97361">
        <w:rPr>
          <w:rFonts w:cs="Calibri"/>
          <w:sz w:val="24"/>
        </w:rPr>
        <w:t>. The speech</w:t>
      </w:r>
      <w:r w:rsidR="001B6C23">
        <w:rPr>
          <w:rFonts w:cs="Calibri"/>
          <w:sz w:val="24"/>
        </w:rPr>
        <w:t xml:space="preserve"> </w:t>
      </w:r>
      <w:r w:rsidRPr="00E97361">
        <w:rPr>
          <w:rFonts w:cs="Calibri"/>
          <w:sz w:val="24"/>
        </w:rPr>
        <w:t>consists of many short sentences</w:t>
      </w:r>
      <w:r w:rsidR="004F58FC">
        <w:rPr>
          <w:rFonts w:cs="Calibri"/>
          <w:sz w:val="24"/>
        </w:rPr>
        <w:t xml:space="preserve">, </w:t>
      </w:r>
      <w:r>
        <w:rPr>
          <w:rFonts w:cs="Calibri"/>
          <w:sz w:val="24"/>
        </w:rPr>
        <w:t>reinforc</w:t>
      </w:r>
      <w:r w:rsidR="004F58FC">
        <w:rPr>
          <w:rFonts w:cs="Calibri"/>
          <w:sz w:val="24"/>
        </w:rPr>
        <w:t>ing</w:t>
      </w:r>
      <w:r w:rsidRPr="00E97361">
        <w:rPr>
          <w:rFonts w:cs="Calibri"/>
          <w:sz w:val="24"/>
        </w:rPr>
        <w:t xml:space="preserve"> pace and ensur</w:t>
      </w:r>
      <w:r w:rsidR="004F58FC">
        <w:rPr>
          <w:rFonts w:cs="Calibri"/>
          <w:sz w:val="24"/>
        </w:rPr>
        <w:t>ing</w:t>
      </w:r>
      <w:r w:rsidRPr="00E97361">
        <w:rPr>
          <w:rFonts w:cs="Calibri"/>
          <w:sz w:val="24"/>
        </w:rPr>
        <w:t xml:space="preserve"> brevity to </w:t>
      </w:r>
      <w:r w:rsidR="004A48AF">
        <w:rPr>
          <w:rFonts w:cs="Calibri"/>
          <w:sz w:val="24"/>
        </w:rPr>
        <w:t xml:space="preserve">support audience absorption of </w:t>
      </w:r>
      <w:r w:rsidRPr="00E97361">
        <w:rPr>
          <w:rFonts w:cs="Calibri"/>
          <w:sz w:val="24"/>
        </w:rPr>
        <w:t>an otherwise dense, lengthy and rich</w:t>
      </w:r>
      <w:r>
        <w:rPr>
          <w:rFonts w:cs="Calibri"/>
          <w:sz w:val="24"/>
        </w:rPr>
        <w:t xml:space="preserve"> </w:t>
      </w:r>
      <w:r w:rsidRPr="00E97361">
        <w:rPr>
          <w:rFonts w:cs="Calibri"/>
          <w:sz w:val="24"/>
        </w:rPr>
        <w:t>speech.</w:t>
      </w:r>
    </w:p>
    <w:p w14:paraId="5116D3FE" w14:textId="6F7CBFE5" w:rsidR="00B54F29" w:rsidRPr="00761656" w:rsidRDefault="00B54F29" w:rsidP="00531995">
      <w:pPr>
        <w:pStyle w:val="Heading3"/>
      </w:pPr>
      <w:bookmarkStart w:id="83" w:name="_Toc452316367"/>
      <w:r w:rsidRPr="00761656">
        <w:t>4.</w:t>
      </w:r>
      <w:r w:rsidR="00DC4662">
        <w:t>2.</w:t>
      </w:r>
      <w:r>
        <w:t>9</w:t>
      </w:r>
      <w:r w:rsidRPr="00761656">
        <w:t xml:space="preserve"> Audience</w:t>
      </w:r>
      <w:bookmarkEnd w:id="83"/>
    </w:p>
    <w:p w14:paraId="73CF9D53" w14:textId="710CF95D" w:rsidR="00B54F29" w:rsidRDefault="00B54F29" w:rsidP="000A222C">
      <w:pPr>
        <w:tabs>
          <w:tab w:val="left" w:pos="8364"/>
        </w:tabs>
        <w:spacing w:after="0" w:line="360" w:lineRule="auto"/>
        <w:rPr>
          <w:rFonts w:cs="Calibri"/>
          <w:sz w:val="24"/>
        </w:rPr>
      </w:pPr>
      <w:r w:rsidRPr="00761656">
        <w:rPr>
          <w:rFonts w:cs="Calibri"/>
          <w:sz w:val="24"/>
        </w:rPr>
        <w:t xml:space="preserve">The audience for the White Paper is </w:t>
      </w:r>
      <w:r w:rsidR="004F58FC">
        <w:rPr>
          <w:rFonts w:cs="Calibri"/>
          <w:sz w:val="24"/>
        </w:rPr>
        <w:t>h</w:t>
      </w:r>
      <w:r w:rsidRPr="00761656">
        <w:rPr>
          <w:rFonts w:cs="Calibri"/>
          <w:sz w:val="24"/>
        </w:rPr>
        <w:t>ead</w:t>
      </w:r>
      <w:r w:rsidR="001B6C23">
        <w:rPr>
          <w:rFonts w:cs="Calibri"/>
          <w:sz w:val="24"/>
        </w:rPr>
        <w:t>t</w:t>
      </w:r>
      <w:r w:rsidRPr="00761656">
        <w:rPr>
          <w:rFonts w:cs="Calibri"/>
          <w:sz w:val="24"/>
        </w:rPr>
        <w:t>eachers, L</w:t>
      </w:r>
      <w:r w:rsidR="00DB1719">
        <w:rPr>
          <w:rFonts w:cs="Calibri"/>
          <w:sz w:val="24"/>
        </w:rPr>
        <w:t>A</w:t>
      </w:r>
      <w:r w:rsidRPr="00761656">
        <w:rPr>
          <w:rFonts w:cs="Calibri"/>
          <w:sz w:val="24"/>
        </w:rPr>
        <w:t xml:space="preserve"> </w:t>
      </w:r>
      <w:r w:rsidR="00AE1298">
        <w:rPr>
          <w:rFonts w:cs="Calibri"/>
          <w:sz w:val="24"/>
        </w:rPr>
        <w:t>o</w:t>
      </w:r>
      <w:r w:rsidRPr="00761656">
        <w:rPr>
          <w:rFonts w:cs="Calibri"/>
          <w:sz w:val="24"/>
        </w:rPr>
        <w:t xml:space="preserve">fficers, </w:t>
      </w:r>
      <w:r w:rsidR="004B016C">
        <w:rPr>
          <w:rFonts w:cs="Calibri"/>
          <w:sz w:val="24"/>
        </w:rPr>
        <w:t>academy</w:t>
      </w:r>
      <w:r w:rsidRPr="00761656">
        <w:rPr>
          <w:rFonts w:cs="Calibri"/>
          <w:sz w:val="24"/>
        </w:rPr>
        <w:t xml:space="preserve"> chains, </w:t>
      </w:r>
      <w:r w:rsidR="004F58FC">
        <w:rPr>
          <w:rFonts w:cs="Calibri"/>
          <w:sz w:val="24"/>
        </w:rPr>
        <w:t>e</w:t>
      </w:r>
      <w:r w:rsidRPr="00761656">
        <w:rPr>
          <w:rFonts w:cs="Calibri"/>
          <w:sz w:val="24"/>
        </w:rPr>
        <w:t xml:space="preserve">xamination boards, the </w:t>
      </w:r>
      <w:r w:rsidR="004F58FC">
        <w:rPr>
          <w:rFonts w:cs="Calibri"/>
          <w:sz w:val="24"/>
        </w:rPr>
        <w:t>m</w:t>
      </w:r>
      <w:r w:rsidRPr="00761656">
        <w:rPr>
          <w:rFonts w:cs="Calibri"/>
          <w:sz w:val="24"/>
        </w:rPr>
        <w:t xml:space="preserve">edia, </w:t>
      </w:r>
      <w:r w:rsidR="00AE1298">
        <w:rPr>
          <w:rFonts w:cs="Calibri"/>
          <w:sz w:val="24"/>
        </w:rPr>
        <w:t>e</w:t>
      </w:r>
      <w:r w:rsidRPr="00761656">
        <w:rPr>
          <w:rFonts w:cs="Calibri"/>
          <w:sz w:val="24"/>
        </w:rPr>
        <w:t>ducation professionals,</w:t>
      </w:r>
      <w:r w:rsidR="001B6C23">
        <w:rPr>
          <w:rFonts w:cs="Calibri"/>
          <w:sz w:val="24"/>
        </w:rPr>
        <w:t xml:space="preserve"> </w:t>
      </w:r>
      <w:r w:rsidRPr="00761656">
        <w:rPr>
          <w:rFonts w:cs="Calibri"/>
          <w:sz w:val="24"/>
        </w:rPr>
        <w:t>interest groups</w:t>
      </w:r>
      <w:r w:rsidR="004F58FC">
        <w:rPr>
          <w:rFonts w:cs="Calibri"/>
          <w:sz w:val="24"/>
        </w:rPr>
        <w:t>,</w:t>
      </w:r>
      <w:r w:rsidRPr="00761656">
        <w:rPr>
          <w:rFonts w:cs="Calibri"/>
          <w:sz w:val="24"/>
        </w:rPr>
        <w:t xml:space="preserve"> and the general electorate. In contrast, the Addendum, a technical paper, is aimed at school </w:t>
      </w:r>
      <w:r w:rsidR="004F58FC">
        <w:rPr>
          <w:rFonts w:cs="Calibri"/>
          <w:sz w:val="24"/>
        </w:rPr>
        <w:t xml:space="preserve">and advisory </w:t>
      </w:r>
      <w:r w:rsidRPr="00761656">
        <w:rPr>
          <w:rFonts w:cs="Calibri"/>
          <w:sz w:val="24"/>
        </w:rPr>
        <w:t>audience</w:t>
      </w:r>
      <w:r w:rsidR="006062CE">
        <w:rPr>
          <w:rFonts w:cs="Calibri"/>
          <w:sz w:val="24"/>
        </w:rPr>
        <w:t>s</w:t>
      </w:r>
      <w:r w:rsidRPr="00761656">
        <w:rPr>
          <w:rFonts w:cs="Calibri"/>
          <w:sz w:val="24"/>
        </w:rPr>
        <w:t>. The White Paper speech</w:t>
      </w:r>
      <w:r w:rsidR="004F58FC">
        <w:rPr>
          <w:rFonts w:cs="Calibri"/>
          <w:sz w:val="24"/>
        </w:rPr>
        <w:t>,</w:t>
      </w:r>
      <w:r w:rsidRPr="00761656">
        <w:rPr>
          <w:rFonts w:cs="Calibri"/>
          <w:sz w:val="24"/>
        </w:rPr>
        <w:t xml:space="preserve"> however, </w:t>
      </w:r>
      <w:r w:rsidR="004F58FC">
        <w:rPr>
          <w:rFonts w:cs="Calibri"/>
          <w:sz w:val="24"/>
        </w:rPr>
        <w:t xml:space="preserve">was </w:t>
      </w:r>
      <w:r w:rsidRPr="00761656">
        <w:rPr>
          <w:rFonts w:cs="Calibri"/>
          <w:sz w:val="24"/>
        </w:rPr>
        <w:t>written to be listened to by MPs</w:t>
      </w:r>
      <w:r w:rsidR="004F58FC">
        <w:rPr>
          <w:rFonts w:cs="Calibri"/>
          <w:sz w:val="24"/>
        </w:rPr>
        <w:t xml:space="preserve"> and</w:t>
      </w:r>
      <w:r w:rsidRPr="00761656">
        <w:rPr>
          <w:rFonts w:cs="Calibri"/>
          <w:sz w:val="24"/>
        </w:rPr>
        <w:t xml:space="preserve"> the media </w:t>
      </w:r>
      <w:r w:rsidR="004F58FC">
        <w:rPr>
          <w:rFonts w:cs="Calibri"/>
          <w:sz w:val="24"/>
        </w:rPr>
        <w:t>(</w:t>
      </w:r>
      <w:r w:rsidRPr="00761656">
        <w:rPr>
          <w:rFonts w:cs="Calibri"/>
          <w:sz w:val="24"/>
        </w:rPr>
        <w:t xml:space="preserve">who then reflect the headlines to </w:t>
      </w:r>
      <w:r w:rsidR="004F58FC">
        <w:rPr>
          <w:rFonts w:cs="Calibri"/>
          <w:sz w:val="24"/>
        </w:rPr>
        <w:t>the</w:t>
      </w:r>
      <w:r w:rsidRPr="00761656">
        <w:rPr>
          <w:rFonts w:cs="Calibri"/>
          <w:sz w:val="24"/>
        </w:rPr>
        <w:t xml:space="preserve"> wider </w:t>
      </w:r>
      <w:r w:rsidR="004F58FC">
        <w:rPr>
          <w:rFonts w:cs="Calibri"/>
          <w:sz w:val="24"/>
        </w:rPr>
        <w:t xml:space="preserve">electorate </w:t>
      </w:r>
      <w:r w:rsidRPr="00761656">
        <w:rPr>
          <w:rFonts w:cs="Calibri"/>
          <w:sz w:val="24"/>
        </w:rPr>
        <w:t>via either television</w:t>
      </w:r>
      <w:r w:rsidR="004F58FC">
        <w:rPr>
          <w:rFonts w:cs="Calibri"/>
          <w:sz w:val="24"/>
        </w:rPr>
        <w:t>,</w:t>
      </w:r>
      <w:r w:rsidRPr="00761656">
        <w:rPr>
          <w:rFonts w:cs="Calibri"/>
          <w:sz w:val="24"/>
        </w:rPr>
        <w:t xml:space="preserve"> print </w:t>
      </w:r>
      <w:r w:rsidR="004F58FC">
        <w:rPr>
          <w:rFonts w:cs="Calibri"/>
          <w:sz w:val="24"/>
        </w:rPr>
        <w:t xml:space="preserve">or online </w:t>
      </w:r>
      <w:r w:rsidRPr="00761656">
        <w:rPr>
          <w:rFonts w:cs="Calibri"/>
          <w:sz w:val="24"/>
        </w:rPr>
        <w:t>news</w:t>
      </w:r>
      <w:r w:rsidR="004F58FC">
        <w:rPr>
          <w:rFonts w:cs="Calibri"/>
          <w:sz w:val="24"/>
        </w:rPr>
        <w:t>), as</w:t>
      </w:r>
      <w:r w:rsidRPr="00761656">
        <w:rPr>
          <w:rFonts w:cs="Calibri"/>
          <w:sz w:val="24"/>
        </w:rPr>
        <w:t xml:space="preserve"> well as a text </w:t>
      </w:r>
      <w:r w:rsidR="002957C5">
        <w:rPr>
          <w:rFonts w:cs="Calibri"/>
          <w:sz w:val="24"/>
        </w:rPr>
        <w:t xml:space="preserve">available for </w:t>
      </w:r>
      <w:r w:rsidRPr="00761656">
        <w:rPr>
          <w:rFonts w:cs="Calibri"/>
          <w:sz w:val="24"/>
        </w:rPr>
        <w:t>other interested parties</w:t>
      </w:r>
      <w:r w:rsidR="002957C5">
        <w:rPr>
          <w:rFonts w:cs="Calibri"/>
          <w:sz w:val="24"/>
        </w:rPr>
        <w:t xml:space="preserve"> to read later</w:t>
      </w:r>
      <w:r w:rsidRPr="00761656">
        <w:rPr>
          <w:rFonts w:cs="Calibri"/>
          <w:sz w:val="24"/>
        </w:rPr>
        <w:t xml:space="preserve">. </w:t>
      </w:r>
    </w:p>
    <w:p w14:paraId="15607D25" w14:textId="77777777" w:rsidR="004F58FC" w:rsidRPr="00761656" w:rsidRDefault="004F58FC" w:rsidP="002264B0">
      <w:pPr>
        <w:tabs>
          <w:tab w:val="left" w:pos="8364"/>
        </w:tabs>
        <w:spacing w:after="0" w:line="360" w:lineRule="auto"/>
        <w:rPr>
          <w:rFonts w:cs="Calibri"/>
          <w:sz w:val="24"/>
        </w:rPr>
      </w:pPr>
    </w:p>
    <w:p w14:paraId="0E6851E6" w14:textId="2235CDBB" w:rsidR="00B54F29" w:rsidRPr="00761656" w:rsidRDefault="005B5F6E" w:rsidP="00B54F29">
      <w:pPr>
        <w:spacing w:line="360" w:lineRule="auto"/>
        <w:rPr>
          <w:rFonts w:cs="Calibri"/>
          <w:sz w:val="24"/>
        </w:rPr>
      </w:pPr>
      <w:r>
        <w:rPr>
          <w:rFonts w:cs="Calibri"/>
          <w:sz w:val="24"/>
        </w:rPr>
        <w:t>A</w:t>
      </w:r>
      <w:r w:rsidR="00B54F29" w:rsidRPr="00761656">
        <w:rPr>
          <w:rFonts w:cs="Calibri"/>
          <w:sz w:val="24"/>
        </w:rPr>
        <w:t xml:space="preserve">ffiliations and interests </w:t>
      </w:r>
      <w:r>
        <w:rPr>
          <w:rFonts w:cs="Calibri"/>
          <w:sz w:val="24"/>
        </w:rPr>
        <w:t xml:space="preserve">determine how the audience approach and understand the White Paper. </w:t>
      </w:r>
      <w:r w:rsidR="00B54F29" w:rsidRPr="00761656">
        <w:rPr>
          <w:rFonts w:cs="Calibri"/>
          <w:sz w:val="24"/>
        </w:rPr>
        <w:t xml:space="preserve">The Labour audience </w:t>
      </w:r>
      <w:r w:rsidR="00022A57">
        <w:rPr>
          <w:rFonts w:cs="Calibri"/>
          <w:sz w:val="24"/>
        </w:rPr>
        <w:t>are</w:t>
      </w:r>
      <w:r w:rsidR="00B54F29" w:rsidRPr="00761656">
        <w:rPr>
          <w:rFonts w:cs="Calibri"/>
          <w:sz w:val="24"/>
        </w:rPr>
        <w:t xml:space="preserve"> looking for points of comparison and contrast with previous policies</w:t>
      </w:r>
      <w:r w:rsidR="0063759E">
        <w:rPr>
          <w:rFonts w:cs="Calibri"/>
          <w:sz w:val="24"/>
        </w:rPr>
        <w:t>, as well as objectionable content</w:t>
      </w:r>
      <w:r w:rsidR="00B54F29" w:rsidRPr="00761656">
        <w:rPr>
          <w:rFonts w:cs="Calibri"/>
          <w:sz w:val="24"/>
        </w:rPr>
        <w:t xml:space="preserve">. The </w:t>
      </w:r>
      <w:r w:rsidR="0063759E">
        <w:rPr>
          <w:rFonts w:cs="Calibri"/>
          <w:sz w:val="24"/>
        </w:rPr>
        <w:t>u</w:t>
      </w:r>
      <w:r w:rsidR="00B54F29" w:rsidRPr="00761656">
        <w:rPr>
          <w:rFonts w:cs="Calibri"/>
          <w:sz w:val="24"/>
        </w:rPr>
        <w:t xml:space="preserve">nions, education professionals, teachers and </w:t>
      </w:r>
      <w:r w:rsidR="0063759E">
        <w:rPr>
          <w:rFonts w:cs="Calibri"/>
          <w:sz w:val="24"/>
        </w:rPr>
        <w:lastRenderedPageBreak/>
        <w:t>h</w:t>
      </w:r>
      <w:r w:rsidR="00B54F29" w:rsidRPr="00761656">
        <w:rPr>
          <w:rFonts w:cs="Calibri"/>
          <w:sz w:val="24"/>
        </w:rPr>
        <w:t>ead</w:t>
      </w:r>
      <w:r w:rsidR="00E25969">
        <w:rPr>
          <w:rFonts w:cs="Calibri"/>
          <w:sz w:val="24"/>
        </w:rPr>
        <w:t>t</w:t>
      </w:r>
      <w:r w:rsidR="00B54F29" w:rsidRPr="00761656">
        <w:rPr>
          <w:rFonts w:cs="Calibri"/>
          <w:sz w:val="24"/>
        </w:rPr>
        <w:t>eachers have differing concerns and timescales. The immediate issues centre on the impact on current procedures and routines as well as future impact. A White Paper, whil</w:t>
      </w:r>
      <w:r w:rsidR="0063759E">
        <w:rPr>
          <w:rFonts w:cs="Calibri"/>
          <w:sz w:val="24"/>
        </w:rPr>
        <w:t>st</w:t>
      </w:r>
      <w:r w:rsidR="00B54F29" w:rsidRPr="00761656">
        <w:rPr>
          <w:rFonts w:cs="Calibri"/>
          <w:sz w:val="24"/>
        </w:rPr>
        <w:t xml:space="preserve"> identifying the headline polices, does not provide</w:t>
      </w:r>
      <w:r w:rsidR="00E25969">
        <w:rPr>
          <w:rFonts w:cs="Calibri"/>
          <w:sz w:val="24"/>
        </w:rPr>
        <w:t xml:space="preserve"> </w:t>
      </w:r>
      <w:r w:rsidR="0063759E">
        <w:rPr>
          <w:rFonts w:cs="Calibri"/>
          <w:sz w:val="24"/>
        </w:rPr>
        <w:t xml:space="preserve">the </w:t>
      </w:r>
      <w:r w:rsidR="00B54F29" w:rsidRPr="00761656">
        <w:rPr>
          <w:rFonts w:cs="Calibri"/>
          <w:sz w:val="24"/>
        </w:rPr>
        <w:t>implementation detail need</w:t>
      </w:r>
      <w:r w:rsidR="00E25969">
        <w:rPr>
          <w:rFonts w:cs="Calibri"/>
          <w:sz w:val="24"/>
        </w:rPr>
        <w:t>ed</w:t>
      </w:r>
      <w:r w:rsidR="00B54F29" w:rsidRPr="00761656">
        <w:rPr>
          <w:rFonts w:cs="Calibri"/>
          <w:sz w:val="24"/>
        </w:rPr>
        <w:t xml:space="preserve"> to </w:t>
      </w:r>
      <w:r w:rsidR="0063759E">
        <w:rPr>
          <w:rFonts w:cs="Calibri"/>
          <w:sz w:val="24"/>
        </w:rPr>
        <w:t>e</w:t>
      </w:r>
      <w:r w:rsidR="00B54F29" w:rsidRPr="00761656">
        <w:rPr>
          <w:rFonts w:cs="Calibri"/>
          <w:sz w:val="24"/>
        </w:rPr>
        <w:t xml:space="preserve">ffect change. </w:t>
      </w:r>
      <w:r w:rsidR="00E25969">
        <w:rPr>
          <w:rFonts w:cs="Calibri"/>
          <w:sz w:val="24"/>
        </w:rPr>
        <w:t>T</w:t>
      </w:r>
      <w:r w:rsidR="00B54F29" w:rsidRPr="00761656">
        <w:rPr>
          <w:rFonts w:cs="Calibri"/>
          <w:sz w:val="24"/>
        </w:rPr>
        <w:t>he Addendum is written to provide information and guidance to explain and elaborate on the minimal information in the White Paper.</w:t>
      </w:r>
      <w:r w:rsidR="00E25969">
        <w:rPr>
          <w:rFonts w:cs="Calibri"/>
          <w:sz w:val="24"/>
        </w:rPr>
        <w:t xml:space="preserve"> T</w:t>
      </w:r>
      <w:r w:rsidR="00B54F29" w:rsidRPr="00761656">
        <w:rPr>
          <w:rFonts w:cs="Calibri"/>
          <w:sz w:val="24"/>
        </w:rPr>
        <w:t xml:space="preserve">here is little, if any, room for alternative interpretations of this document.  </w:t>
      </w:r>
    </w:p>
    <w:p w14:paraId="40FEDD48" w14:textId="6EE8306C" w:rsidR="00B54F29" w:rsidRPr="00761656" w:rsidRDefault="00B54F29" w:rsidP="000008C4">
      <w:pPr>
        <w:spacing w:line="360" w:lineRule="auto"/>
        <w:rPr>
          <w:rFonts w:cs="Calibri"/>
          <w:sz w:val="24"/>
        </w:rPr>
      </w:pPr>
      <w:r w:rsidRPr="00761656">
        <w:rPr>
          <w:rFonts w:cs="Calibri"/>
          <w:sz w:val="24"/>
        </w:rPr>
        <w:t>The White Paper speec</w:t>
      </w:r>
      <w:r w:rsidR="00C21885">
        <w:rPr>
          <w:rFonts w:cs="Calibri"/>
          <w:sz w:val="24"/>
        </w:rPr>
        <w:t>h</w:t>
      </w:r>
      <w:r w:rsidRPr="00761656">
        <w:rPr>
          <w:rFonts w:cs="Calibri"/>
          <w:sz w:val="24"/>
        </w:rPr>
        <w:t xml:space="preserve"> is a different text which is more accessible by a wider audience and therefore open to </w:t>
      </w:r>
      <w:r w:rsidR="00AE1298">
        <w:rPr>
          <w:rFonts w:cs="Calibri"/>
          <w:sz w:val="24"/>
        </w:rPr>
        <w:t>greater</w:t>
      </w:r>
      <w:r w:rsidRPr="00761656">
        <w:rPr>
          <w:rFonts w:cs="Calibri"/>
          <w:sz w:val="24"/>
        </w:rPr>
        <w:t xml:space="preserve"> interpretation. For many, this speech </w:t>
      </w:r>
      <w:r w:rsidR="00C21885" w:rsidRPr="002264B0">
        <w:rPr>
          <w:i/>
          <w:sz w:val="24"/>
        </w:rPr>
        <w:t>is</w:t>
      </w:r>
      <w:r w:rsidR="00C21885">
        <w:rPr>
          <w:rFonts w:cs="Calibri"/>
          <w:sz w:val="24"/>
        </w:rPr>
        <w:t xml:space="preserve"> the </w:t>
      </w:r>
      <w:r w:rsidRPr="00761656">
        <w:rPr>
          <w:rFonts w:cs="Calibri"/>
          <w:sz w:val="24"/>
        </w:rPr>
        <w:t>White Paper</w:t>
      </w:r>
      <w:r w:rsidR="0063759E">
        <w:rPr>
          <w:rFonts w:cs="Calibri"/>
          <w:sz w:val="24"/>
        </w:rPr>
        <w:t>,</w:t>
      </w:r>
      <w:r w:rsidRPr="00761656">
        <w:rPr>
          <w:rFonts w:cs="Calibri"/>
          <w:sz w:val="24"/>
        </w:rPr>
        <w:t xml:space="preserve"> as they will not read the full text. </w:t>
      </w:r>
      <w:r w:rsidR="00AE1298">
        <w:rPr>
          <w:rFonts w:cs="Calibri"/>
          <w:sz w:val="24"/>
        </w:rPr>
        <w:t xml:space="preserve">The White Paper </w:t>
      </w:r>
      <w:r w:rsidR="00DF6729">
        <w:rPr>
          <w:rFonts w:cs="Calibri"/>
          <w:sz w:val="24"/>
        </w:rPr>
        <w:t>speech</w:t>
      </w:r>
      <w:r w:rsidRPr="00761656">
        <w:rPr>
          <w:rFonts w:cs="Calibri"/>
          <w:sz w:val="24"/>
        </w:rPr>
        <w:t xml:space="preserve"> </w:t>
      </w:r>
      <w:r w:rsidR="00AE1298">
        <w:rPr>
          <w:rFonts w:cs="Calibri"/>
          <w:sz w:val="24"/>
        </w:rPr>
        <w:t>begins by</w:t>
      </w:r>
      <w:r w:rsidR="00DF6729">
        <w:rPr>
          <w:rFonts w:cs="Calibri"/>
          <w:sz w:val="24"/>
        </w:rPr>
        <w:t xml:space="preserve"> </w:t>
      </w:r>
      <w:r w:rsidRPr="00761656">
        <w:rPr>
          <w:rFonts w:cs="Calibri"/>
          <w:sz w:val="24"/>
        </w:rPr>
        <w:t>praising schools and teachers</w:t>
      </w:r>
      <w:r w:rsidR="00C60F92">
        <w:rPr>
          <w:rFonts w:cs="Calibri"/>
          <w:sz w:val="24"/>
        </w:rPr>
        <w:t xml:space="preserve">, </w:t>
      </w:r>
      <w:r w:rsidRPr="00761656">
        <w:rPr>
          <w:rFonts w:cs="Calibri"/>
          <w:sz w:val="24"/>
        </w:rPr>
        <w:t>position</w:t>
      </w:r>
      <w:r w:rsidR="00C60F92">
        <w:rPr>
          <w:rFonts w:cs="Calibri"/>
          <w:sz w:val="24"/>
        </w:rPr>
        <w:t>ing</w:t>
      </w:r>
      <w:r w:rsidRPr="00761656">
        <w:rPr>
          <w:rFonts w:cs="Calibri"/>
          <w:sz w:val="24"/>
        </w:rPr>
        <w:t xml:space="preserve"> this audience to then receive further information</w:t>
      </w:r>
      <w:r w:rsidR="00C60F92">
        <w:rPr>
          <w:rFonts w:cs="Calibri"/>
          <w:sz w:val="24"/>
        </w:rPr>
        <w:t>,</w:t>
      </w:r>
      <w:r w:rsidRPr="00761656">
        <w:rPr>
          <w:rFonts w:cs="Calibri"/>
          <w:sz w:val="24"/>
        </w:rPr>
        <w:t xml:space="preserve"> which turns out to be various weaknesses that the policy aims to address</w:t>
      </w:r>
      <w:r w:rsidR="00C60788">
        <w:rPr>
          <w:rFonts w:cs="Calibri"/>
          <w:sz w:val="24"/>
        </w:rPr>
        <w:t>.</w:t>
      </w:r>
    </w:p>
    <w:p w14:paraId="0C7BECB3" w14:textId="3B60E263" w:rsidR="00B54F29" w:rsidRPr="00761656" w:rsidRDefault="00B54F29" w:rsidP="00B54F29">
      <w:pPr>
        <w:spacing w:line="360" w:lineRule="auto"/>
        <w:rPr>
          <w:rFonts w:cs="Calibri"/>
          <w:sz w:val="24"/>
        </w:rPr>
      </w:pPr>
      <w:r w:rsidRPr="00761656">
        <w:rPr>
          <w:rFonts w:cs="Calibri"/>
          <w:sz w:val="24"/>
        </w:rPr>
        <w:t>For Coalition MPs</w:t>
      </w:r>
      <w:r w:rsidR="00C60F92">
        <w:rPr>
          <w:rFonts w:cs="Calibri"/>
          <w:sz w:val="24"/>
        </w:rPr>
        <w:t>,</w:t>
      </w:r>
      <w:r w:rsidRPr="00761656">
        <w:rPr>
          <w:rFonts w:cs="Calibri"/>
          <w:sz w:val="24"/>
        </w:rPr>
        <w:t xml:space="preserve"> this </w:t>
      </w:r>
      <w:r w:rsidR="006062CE">
        <w:rPr>
          <w:rFonts w:cs="Calibri"/>
          <w:sz w:val="24"/>
        </w:rPr>
        <w:t>was</w:t>
      </w:r>
      <w:r w:rsidRPr="00761656">
        <w:rPr>
          <w:rFonts w:cs="Calibri"/>
          <w:sz w:val="24"/>
        </w:rPr>
        <w:t xml:space="preserve"> </w:t>
      </w:r>
      <w:r w:rsidR="00C21885">
        <w:rPr>
          <w:rFonts w:cs="Calibri"/>
          <w:sz w:val="24"/>
        </w:rPr>
        <w:t xml:space="preserve">one of </w:t>
      </w:r>
      <w:r w:rsidRPr="00761656">
        <w:rPr>
          <w:rFonts w:cs="Calibri"/>
          <w:sz w:val="24"/>
        </w:rPr>
        <w:t>the first opportunit</w:t>
      </w:r>
      <w:r w:rsidR="00C21885">
        <w:rPr>
          <w:rFonts w:cs="Calibri"/>
          <w:sz w:val="24"/>
        </w:rPr>
        <w:t>ies</w:t>
      </w:r>
      <w:r w:rsidRPr="00761656">
        <w:rPr>
          <w:rFonts w:cs="Calibri"/>
          <w:sz w:val="24"/>
        </w:rPr>
        <w:t xml:space="preserve"> to hear how the beliefs and aspirations of the two parties intertwined into policy. One key difference compared to the White Paper is that Gove is directly critical of the previous Labour </w:t>
      </w:r>
      <w:r w:rsidR="00B053CC">
        <w:rPr>
          <w:rFonts w:cs="Calibri"/>
          <w:sz w:val="24"/>
        </w:rPr>
        <w:t>g</w:t>
      </w:r>
      <w:r w:rsidRPr="00761656">
        <w:rPr>
          <w:rFonts w:cs="Calibri"/>
          <w:sz w:val="24"/>
        </w:rPr>
        <w:t xml:space="preserve">overnment, explicitly naming them </w:t>
      </w:r>
      <w:r w:rsidR="00C60F92">
        <w:rPr>
          <w:rFonts w:cs="Calibri"/>
          <w:sz w:val="24"/>
        </w:rPr>
        <w:t xml:space="preserve">four times </w:t>
      </w:r>
      <w:r w:rsidRPr="00761656">
        <w:rPr>
          <w:rFonts w:cs="Calibri"/>
          <w:sz w:val="24"/>
        </w:rPr>
        <w:t>as the cause of problems</w:t>
      </w:r>
      <w:r w:rsidR="00C60F92">
        <w:rPr>
          <w:rFonts w:cs="Calibri"/>
          <w:sz w:val="24"/>
        </w:rPr>
        <w:t>, f</w:t>
      </w:r>
      <w:r w:rsidRPr="00761656">
        <w:rPr>
          <w:rFonts w:cs="Calibri"/>
          <w:sz w:val="24"/>
        </w:rPr>
        <w:t>or example</w:t>
      </w:r>
      <w:r w:rsidR="00C60F92">
        <w:rPr>
          <w:rFonts w:cs="Calibri"/>
          <w:sz w:val="24"/>
        </w:rPr>
        <w:t>:</w:t>
      </w:r>
      <w:r w:rsidRPr="00761656">
        <w:rPr>
          <w:rFonts w:cs="Calibri"/>
          <w:sz w:val="24"/>
        </w:rPr>
        <w:t xml:space="preserve"> “social mobility went backwards under Labour” (p.1). This device is used with MPs in mind</w:t>
      </w:r>
      <w:r w:rsidR="000008C4">
        <w:rPr>
          <w:rFonts w:cs="Calibri"/>
          <w:sz w:val="24"/>
        </w:rPr>
        <w:t xml:space="preserve">, presenting </w:t>
      </w:r>
      <w:r w:rsidRPr="00761656">
        <w:rPr>
          <w:rFonts w:cs="Calibri"/>
          <w:sz w:val="24"/>
        </w:rPr>
        <w:t>an ideal platform to attack the opposing party in a situation where the Labour politicians</w:t>
      </w:r>
      <w:r w:rsidR="000008C4">
        <w:rPr>
          <w:rFonts w:cs="Calibri"/>
          <w:sz w:val="24"/>
        </w:rPr>
        <w:t xml:space="preserve"> </w:t>
      </w:r>
      <w:r w:rsidR="00C60F92">
        <w:rPr>
          <w:rFonts w:cs="Calibri"/>
          <w:sz w:val="24"/>
        </w:rPr>
        <w:t>will not</w:t>
      </w:r>
      <w:r w:rsidRPr="00761656">
        <w:rPr>
          <w:rFonts w:cs="Calibri"/>
          <w:sz w:val="24"/>
        </w:rPr>
        <w:t xml:space="preserve"> have an immediate right to reply. In terms of political parties moving closer to each other, it is perhaps ironic that a Labour party is accused by a Conservative </w:t>
      </w:r>
      <w:r w:rsidR="00C60F92">
        <w:rPr>
          <w:rFonts w:cs="Calibri"/>
          <w:sz w:val="24"/>
        </w:rPr>
        <w:t>E</w:t>
      </w:r>
      <w:r w:rsidRPr="00761656">
        <w:rPr>
          <w:rFonts w:cs="Calibri"/>
          <w:sz w:val="24"/>
        </w:rPr>
        <w:t xml:space="preserve">ducation </w:t>
      </w:r>
      <w:r w:rsidR="00C60F92">
        <w:rPr>
          <w:rFonts w:cs="Calibri"/>
          <w:sz w:val="24"/>
        </w:rPr>
        <w:t>S</w:t>
      </w:r>
      <w:r w:rsidRPr="00761656">
        <w:rPr>
          <w:rFonts w:cs="Calibri"/>
          <w:sz w:val="24"/>
        </w:rPr>
        <w:t xml:space="preserve">ecretary of reducing social mobility. </w:t>
      </w:r>
      <w:r w:rsidR="00C60F92">
        <w:rPr>
          <w:rFonts w:cs="Calibri"/>
          <w:sz w:val="24"/>
        </w:rPr>
        <w:t>I</w:t>
      </w:r>
      <w:r w:rsidRPr="00761656">
        <w:rPr>
          <w:rFonts w:cs="Calibri"/>
          <w:sz w:val="24"/>
        </w:rPr>
        <w:t>n terms of amalgamating the polices of two previously opposing parties,</w:t>
      </w:r>
      <w:r w:rsidR="00C60F92">
        <w:rPr>
          <w:rFonts w:cs="Calibri"/>
          <w:sz w:val="24"/>
        </w:rPr>
        <w:t xml:space="preserve"> however,</w:t>
      </w:r>
      <w:r w:rsidRPr="00761656">
        <w:rPr>
          <w:rFonts w:cs="Calibri"/>
          <w:sz w:val="24"/>
        </w:rPr>
        <w:t xml:space="preserve"> </w:t>
      </w:r>
      <w:r w:rsidR="00C60F92">
        <w:rPr>
          <w:rFonts w:cs="Calibri"/>
          <w:sz w:val="24"/>
        </w:rPr>
        <w:t xml:space="preserve">it </w:t>
      </w:r>
      <w:r w:rsidRPr="00761656">
        <w:rPr>
          <w:rFonts w:cs="Calibri"/>
          <w:sz w:val="24"/>
        </w:rPr>
        <w:t>show</w:t>
      </w:r>
      <w:r w:rsidR="00C60F92">
        <w:rPr>
          <w:rFonts w:cs="Calibri"/>
          <w:sz w:val="24"/>
        </w:rPr>
        <w:t>s</w:t>
      </w:r>
      <w:r w:rsidRPr="00761656">
        <w:rPr>
          <w:rFonts w:cs="Calibri"/>
          <w:sz w:val="24"/>
        </w:rPr>
        <w:t xml:space="preserve"> the common ground between Conservative and Liberal Democrat ideals and position</w:t>
      </w:r>
      <w:r w:rsidR="00281C9D">
        <w:rPr>
          <w:rFonts w:cs="Calibri"/>
          <w:sz w:val="24"/>
        </w:rPr>
        <w:t>s</w:t>
      </w:r>
      <w:r w:rsidRPr="00761656">
        <w:rPr>
          <w:rFonts w:cs="Calibri"/>
          <w:sz w:val="24"/>
        </w:rPr>
        <w:t xml:space="preserve"> them as being oppos</w:t>
      </w:r>
      <w:r w:rsidR="00281C9D">
        <w:rPr>
          <w:rFonts w:cs="Calibri"/>
          <w:sz w:val="24"/>
        </w:rPr>
        <w:t>ed</w:t>
      </w:r>
      <w:r w:rsidRPr="00761656">
        <w:rPr>
          <w:rFonts w:cs="Calibri"/>
          <w:sz w:val="24"/>
        </w:rPr>
        <w:t xml:space="preserve"> to Labour</w:t>
      </w:r>
      <w:r w:rsidR="00281C9D">
        <w:rPr>
          <w:rFonts w:cs="Calibri"/>
          <w:sz w:val="24"/>
        </w:rPr>
        <w:t>’s</w:t>
      </w:r>
      <w:r w:rsidRPr="00761656">
        <w:rPr>
          <w:rFonts w:cs="Calibri"/>
          <w:sz w:val="24"/>
        </w:rPr>
        <w:t>.</w:t>
      </w:r>
    </w:p>
    <w:p w14:paraId="093444D4" w14:textId="3C97FDE6" w:rsidR="00B54F29" w:rsidRPr="002D54E6" w:rsidRDefault="00B54F29" w:rsidP="00531995">
      <w:pPr>
        <w:pStyle w:val="Heading3"/>
      </w:pPr>
      <w:bookmarkStart w:id="84" w:name="_Toc452316368"/>
      <w:r w:rsidRPr="002D54E6">
        <w:t>4.</w:t>
      </w:r>
      <w:r w:rsidR="004E6C0A">
        <w:t>2.</w:t>
      </w:r>
      <w:r w:rsidRPr="002D54E6">
        <w:t>1</w:t>
      </w:r>
      <w:r>
        <w:t>0</w:t>
      </w:r>
      <w:r w:rsidRPr="002D54E6">
        <w:t xml:space="preserve"> Visual images</w:t>
      </w:r>
      <w:bookmarkEnd w:id="84"/>
    </w:p>
    <w:p w14:paraId="35413C87" w14:textId="4946A2EC" w:rsidR="00B54F29" w:rsidRDefault="00B54F29" w:rsidP="005061F5">
      <w:pPr>
        <w:tabs>
          <w:tab w:val="left" w:pos="8647"/>
        </w:tabs>
        <w:spacing w:after="0" w:line="360" w:lineRule="auto"/>
        <w:rPr>
          <w:rFonts w:cs="Calibri"/>
          <w:sz w:val="24"/>
        </w:rPr>
      </w:pPr>
      <w:r w:rsidRPr="00761656">
        <w:rPr>
          <w:rFonts w:cs="Calibri"/>
          <w:sz w:val="24"/>
        </w:rPr>
        <w:t>The visual images used within the White Paper are standardised head and shoulder pictures of the</w:t>
      </w:r>
      <w:r w:rsidR="000008C4">
        <w:rPr>
          <w:rFonts w:cs="Calibri"/>
          <w:sz w:val="24"/>
        </w:rPr>
        <w:t xml:space="preserve"> politicians</w:t>
      </w:r>
      <w:r w:rsidRPr="00761656">
        <w:rPr>
          <w:rFonts w:cs="Calibri"/>
          <w:sz w:val="24"/>
        </w:rPr>
        <w:t>. In terms of one of the first Coalition White Papers, the fact that the foreword is authored and has pictures of both the P</w:t>
      </w:r>
      <w:r w:rsidR="000008C4">
        <w:rPr>
          <w:rFonts w:cs="Calibri"/>
          <w:sz w:val="24"/>
        </w:rPr>
        <w:t>M</w:t>
      </w:r>
      <w:r w:rsidRPr="00761656">
        <w:rPr>
          <w:rFonts w:cs="Calibri"/>
          <w:sz w:val="24"/>
        </w:rPr>
        <w:t xml:space="preserve"> and D</w:t>
      </w:r>
      <w:r w:rsidR="000008C4">
        <w:rPr>
          <w:rFonts w:cs="Calibri"/>
          <w:sz w:val="24"/>
        </w:rPr>
        <w:t>PM</w:t>
      </w:r>
      <w:r w:rsidRPr="00761656">
        <w:rPr>
          <w:rFonts w:cs="Calibri"/>
          <w:sz w:val="24"/>
        </w:rPr>
        <w:t>, at the same height and size either side of the page (Cameron o</w:t>
      </w:r>
      <w:r w:rsidR="00281C9D">
        <w:rPr>
          <w:rFonts w:cs="Calibri"/>
          <w:sz w:val="24"/>
        </w:rPr>
        <w:t>n</w:t>
      </w:r>
      <w:r w:rsidRPr="00761656">
        <w:rPr>
          <w:rFonts w:cs="Calibri"/>
          <w:sz w:val="24"/>
        </w:rPr>
        <w:t xml:space="preserve"> the left and Clegg on the right) is of historical interest. </w:t>
      </w:r>
      <w:r w:rsidR="00281C9D">
        <w:rPr>
          <w:rFonts w:cs="Calibri"/>
          <w:sz w:val="24"/>
        </w:rPr>
        <w:t>B</w:t>
      </w:r>
      <w:r w:rsidRPr="00761656">
        <w:rPr>
          <w:rFonts w:cs="Calibri"/>
          <w:sz w:val="24"/>
        </w:rPr>
        <w:t>oth signatures are included, though in terms of status, the PM’s signature takes up more space</w:t>
      </w:r>
      <w:r w:rsidR="00281C9D">
        <w:rPr>
          <w:rFonts w:cs="Calibri"/>
          <w:sz w:val="24"/>
        </w:rPr>
        <w:t>,</w:t>
      </w:r>
      <w:r w:rsidRPr="00761656">
        <w:rPr>
          <w:rFonts w:cs="Calibri"/>
          <w:sz w:val="24"/>
        </w:rPr>
        <w:t xml:space="preserve"> both vertically and horizontally. </w:t>
      </w:r>
    </w:p>
    <w:p w14:paraId="1F39F69F" w14:textId="77777777" w:rsidR="00281C9D" w:rsidRPr="00761656" w:rsidRDefault="00281C9D" w:rsidP="005061F5">
      <w:pPr>
        <w:tabs>
          <w:tab w:val="left" w:pos="8647"/>
        </w:tabs>
        <w:spacing w:after="0" w:line="360" w:lineRule="auto"/>
        <w:rPr>
          <w:rFonts w:cs="Calibri"/>
          <w:sz w:val="24"/>
        </w:rPr>
      </w:pPr>
    </w:p>
    <w:p w14:paraId="22BBD3C6" w14:textId="3E5348A9" w:rsidR="00B54F29" w:rsidRPr="00761656" w:rsidRDefault="00B54F29" w:rsidP="00531995">
      <w:pPr>
        <w:pStyle w:val="Heading3"/>
      </w:pPr>
      <w:bookmarkStart w:id="85" w:name="_Toc452316369"/>
      <w:r w:rsidRPr="00761656">
        <w:lastRenderedPageBreak/>
        <w:t>4.</w:t>
      </w:r>
      <w:r w:rsidR="004E6C0A">
        <w:t>2.</w:t>
      </w:r>
      <w:r w:rsidRPr="00761656">
        <w:t>1</w:t>
      </w:r>
      <w:r>
        <w:t>1</w:t>
      </w:r>
      <w:r w:rsidRPr="00761656">
        <w:t xml:space="preserve"> Age, class, disability, gender, race – </w:t>
      </w:r>
      <w:r w:rsidR="00E25000">
        <w:t>e</w:t>
      </w:r>
      <w:r w:rsidRPr="00761656">
        <w:t xml:space="preserve">quity, </w:t>
      </w:r>
      <w:r w:rsidR="00E25000">
        <w:t>e</w:t>
      </w:r>
      <w:r w:rsidRPr="00761656">
        <w:t xml:space="preserve">thnicity </w:t>
      </w:r>
      <w:r w:rsidR="00281C9D">
        <w:t>and</w:t>
      </w:r>
      <w:r w:rsidRPr="00761656">
        <w:t xml:space="preserve"> sexuality issues</w:t>
      </w:r>
      <w:bookmarkEnd w:id="85"/>
    </w:p>
    <w:p w14:paraId="1AB80668" w14:textId="42CAE64C" w:rsidR="00B54F29" w:rsidRDefault="00B053CC" w:rsidP="00531995">
      <w:pPr>
        <w:tabs>
          <w:tab w:val="left" w:pos="8505"/>
          <w:tab w:val="left" w:pos="8647"/>
        </w:tabs>
        <w:spacing w:after="120" w:line="360" w:lineRule="auto"/>
        <w:rPr>
          <w:rFonts w:cs="Calibri"/>
          <w:sz w:val="24"/>
        </w:rPr>
      </w:pPr>
      <w:r>
        <w:rPr>
          <w:rFonts w:cs="Calibri"/>
          <w:sz w:val="24"/>
        </w:rPr>
        <w:t xml:space="preserve">This </w:t>
      </w:r>
      <w:r w:rsidR="004E6C0A">
        <w:rPr>
          <w:rFonts w:cs="Calibri"/>
          <w:sz w:val="24"/>
        </w:rPr>
        <w:t>criterion</w:t>
      </w:r>
      <w:r>
        <w:rPr>
          <w:rFonts w:cs="Calibri"/>
          <w:sz w:val="24"/>
        </w:rPr>
        <w:t xml:space="preserve"> links to my third research question</w:t>
      </w:r>
      <w:r w:rsidR="00281C9D">
        <w:rPr>
          <w:rFonts w:cs="Calibri"/>
          <w:sz w:val="24"/>
        </w:rPr>
        <w:t xml:space="preserve"> on </w:t>
      </w:r>
      <w:r>
        <w:rPr>
          <w:rFonts w:cs="Calibri"/>
          <w:sz w:val="24"/>
        </w:rPr>
        <w:t xml:space="preserve">the implications of the EBac for educational equality. </w:t>
      </w:r>
      <w:r w:rsidR="00B54F29" w:rsidRPr="00761656">
        <w:rPr>
          <w:rFonts w:cs="Calibri"/>
          <w:sz w:val="24"/>
        </w:rPr>
        <w:t xml:space="preserve">The main social </w:t>
      </w:r>
      <w:r w:rsidR="00200EA8">
        <w:rPr>
          <w:rFonts w:cs="Calibri"/>
          <w:sz w:val="24"/>
        </w:rPr>
        <w:t>characteristic</w:t>
      </w:r>
      <w:r w:rsidR="00B54F29" w:rsidRPr="00761656">
        <w:rPr>
          <w:rFonts w:cs="Calibri"/>
          <w:sz w:val="24"/>
        </w:rPr>
        <w:t xml:space="preserve"> referred to within the White Paper and speech is social class. The focus is on ensuring that those on FSM are able to access the same educational success and pursue the same ambitions as those who are wealthier. PM/DPM </w:t>
      </w:r>
      <w:r w:rsidR="004A48AF">
        <w:rPr>
          <w:rFonts w:cs="Calibri"/>
          <w:sz w:val="24"/>
        </w:rPr>
        <w:t>state that</w:t>
      </w:r>
      <w:r w:rsidR="006062CE">
        <w:rPr>
          <w:rFonts w:cs="Calibri"/>
          <w:sz w:val="24"/>
        </w:rPr>
        <w:t xml:space="preserve"> “</w:t>
      </w:r>
      <w:r w:rsidR="00B54F29" w:rsidRPr="00761656">
        <w:rPr>
          <w:rFonts w:cs="Calibri"/>
          <w:sz w:val="24"/>
        </w:rPr>
        <w:t>No country…can afford to allow children from poorer families to fail as a matter of course</w:t>
      </w:r>
      <w:r w:rsidR="006062CE">
        <w:rPr>
          <w:rFonts w:cs="Calibri"/>
          <w:sz w:val="24"/>
        </w:rPr>
        <w:t xml:space="preserve">” </w:t>
      </w:r>
      <w:r w:rsidR="00B54F29" w:rsidRPr="00761656">
        <w:rPr>
          <w:rFonts w:cs="Calibri"/>
          <w:sz w:val="24"/>
        </w:rPr>
        <w:t xml:space="preserve">(p.4). There is no reference to other social groups such as gender or ethnicity, other than that Chinese girls on FSM are singled out as a group who outperform the national average, although no context is given in terms of the number of this cohort as a proportion of FSM.  </w:t>
      </w:r>
      <w:r w:rsidR="004E6C0A">
        <w:rPr>
          <w:rFonts w:cs="Calibri"/>
          <w:sz w:val="24"/>
        </w:rPr>
        <w:t>Gove</w:t>
      </w:r>
      <w:r w:rsidR="00B54F29" w:rsidRPr="00761656">
        <w:rPr>
          <w:rFonts w:cs="Calibri"/>
          <w:sz w:val="24"/>
        </w:rPr>
        <w:t xml:space="preserve"> comments</w:t>
      </w:r>
      <w:r w:rsidR="009470FA" w:rsidRPr="009470FA">
        <w:rPr>
          <w:rFonts w:cs="Calibri"/>
          <w:sz w:val="24"/>
        </w:rPr>
        <w:t xml:space="preserve"> </w:t>
      </w:r>
      <w:r w:rsidR="009470FA">
        <w:rPr>
          <w:rFonts w:cs="Calibri"/>
          <w:sz w:val="24"/>
        </w:rPr>
        <w:t>in his foreword</w:t>
      </w:r>
      <w:r w:rsidR="00B54F29">
        <w:rPr>
          <w:rFonts w:cs="Calibri"/>
          <w:sz w:val="24"/>
        </w:rPr>
        <w:t>:</w:t>
      </w:r>
    </w:p>
    <w:p w14:paraId="20DA9575" w14:textId="1FD8E308" w:rsidR="00B54F29" w:rsidRDefault="00B54F29" w:rsidP="00B54F29">
      <w:pPr>
        <w:spacing w:line="240" w:lineRule="auto"/>
        <w:ind w:left="720"/>
        <w:rPr>
          <w:rFonts w:cs="Calibri"/>
          <w:sz w:val="24"/>
        </w:rPr>
      </w:pPr>
      <w:r w:rsidRPr="00761656">
        <w:rPr>
          <w:rFonts w:cs="Calibri"/>
          <w:sz w:val="24"/>
        </w:rPr>
        <w:t xml:space="preserve">Throughout history, most individuals have been the victims of forces beyond their control. Where you were born, both geographically and in class terms, was overwhelmingly likely to dictate your future. </w:t>
      </w:r>
      <w:r w:rsidR="001904CB">
        <w:rPr>
          <w:rFonts w:cs="Calibri"/>
          <w:sz w:val="24"/>
        </w:rPr>
        <w:t>…</w:t>
      </w:r>
      <w:r w:rsidRPr="00761656">
        <w:rPr>
          <w:rFonts w:cs="Calibri"/>
          <w:sz w:val="24"/>
        </w:rPr>
        <w:t>Opportunities for women outside the home were restricted</w:t>
      </w:r>
      <w:r>
        <w:rPr>
          <w:rFonts w:cs="Calibri"/>
          <w:sz w:val="24"/>
        </w:rPr>
        <w:t xml:space="preserve"> </w:t>
      </w:r>
      <w:r w:rsidRPr="00761656">
        <w:rPr>
          <w:rFonts w:cs="Calibri"/>
          <w:sz w:val="24"/>
        </w:rPr>
        <w:t xml:space="preserve">(p.6). </w:t>
      </w:r>
    </w:p>
    <w:p w14:paraId="7CA45C87" w14:textId="05269570" w:rsidR="00B54F29" w:rsidRPr="00761656" w:rsidRDefault="00B54F29" w:rsidP="00B54F29">
      <w:pPr>
        <w:spacing w:line="360" w:lineRule="auto"/>
        <w:rPr>
          <w:rFonts w:cs="Calibri"/>
          <w:sz w:val="24"/>
        </w:rPr>
      </w:pPr>
      <w:r w:rsidRPr="00761656">
        <w:rPr>
          <w:rFonts w:cs="Calibri"/>
          <w:sz w:val="24"/>
        </w:rPr>
        <w:t>This may be a mythical understanding of history</w:t>
      </w:r>
      <w:r w:rsidR="00281C9D">
        <w:rPr>
          <w:rFonts w:cs="Calibri"/>
          <w:sz w:val="24"/>
        </w:rPr>
        <w:t xml:space="preserve">; </w:t>
      </w:r>
      <w:r w:rsidRPr="00761656">
        <w:rPr>
          <w:rFonts w:cs="Calibri"/>
          <w:sz w:val="24"/>
        </w:rPr>
        <w:t xml:space="preserve">no facts or evidence are presented to support any of these statements. </w:t>
      </w:r>
      <w:r w:rsidR="005061F5">
        <w:rPr>
          <w:rFonts w:cs="Calibri"/>
          <w:sz w:val="24"/>
        </w:rPr>
        <w:t>W</w:t>
      </w:r>
      <w:r w:rsidRPr="00761656">
        <w:rPr>
          <w:rFonts w:cs="Calibri"/>
          <w:sz w:val="24"/>
        </w:rPr>
        <w:t xml:space="preserve">orking class women have always worked outside the home, yet this statement is applied to women of all classes. </w:t>
      </w:r>
    </w:p>
    <w:p w14:paraId="3C25619B" w14:textId="2F1D7903" w:rsidR="00B54F29" w:rsidRPr="00761656" w:rsidRDefault="004E6C0A" w:rsidP="00B053CC">
      <w:pPr>
        <w:tabs>
          <w:tab w:val="left" w:pos="8364"/>
        </w:tabs>
        <w:spacing w:line="360" w:lineRule="auto"/>
        <w:rPr>
          <w:rFonts w:cs="Calibri"/>
          <w:sz w:val="24"/>
        </w:rPr>
      </w:pPr>
      <w:r>
        <w:rPr>
          <w:rFonts w:cs="Calibri"/>
          <w:sz w:val="24"/>
        </w:rPr>
        <w:t xml:space="preserve">Gove </w:t>
      </w:r>
      <w:r w:rsidR="00B54F29" w:rsidRPr="00761656">
        <w:rPr>
          <w:rFonts w:cs="Calibri"/>
          <w:sz w:val="24"/>
        </w:rPr>
        <w:t>makes no mention of gender or ethnicity other than us</w:t>
      </w:r>
      <w:r w:rsidR="00115775">
        <w:rPr>
          <w:rFonts w:cs="Calibri"/>
          <w:sz w:val="24"/>
        </w:rPr>
        <w:t>ing</w:t>
      </w:r>
      <w:r w:rsidR="00B54F29" w:rsidRPr="00761656">
        <w:rPr>
          <w:rFonts w:cs="Calibri"/>
          <w:sz w:val="24"/>
        </w:rPr>
        <w:t xml:space="preserve"> the mode of address “masters” when he states “becoming masters of their own fate”</w:t>
      </w:r>
      <w:r w:rsidR="00B54F29">
        <w:rPr>
          <w:rFonts w:cs="Calibri"/>
          <w:sz w:val="24"/>
        </w:rPr>
        <w:t xml:space="preserve"> </w:t>
      </w:r>
      <w:r w:rsidR="00B54F29" w:rsidRPr="00761656">
        <w:rPr>
          <w:rFonts w:cs="Calibri"/>
          <w:sz w:val="24"/>
        </w:rPr>
        <w:t xml:space="preserve">(p.6). The assumption may be that this term applies both to men and women. Other than this word, all </w:t>
      </w:r>
      <w:r w:rsidR="00B54F29">
        <w:rPr>
          <w:rFonts w:cs="Calibri"/>
          <w:sz w:val="24"/>
        </w:rPr>
        <w:t>students</w:t>
      </w:r>
      <w:r w:rsidR="00B54F29" w:rsidRPr="00761656">
        <w:rPr>
          <w:rFonts w:cs="Calibri"/>
          <w:sz w:val="24"/>
        </w:rPr>
        <w:t xml:space="preserve"> are treated as gender and ethnicity</w:t>
      </w:r>
      <w:r w:rsidR="006B420A">
        <w:rPr>
          <w:rFonts w:cs="Calibri"/>
          <w:sz w:val="24"/>
        </w:rPr>
        <w:t>-</w:t>
      </w:r>
      <w:r w:rsidR="00B54F29" w:rsidRPr="00761656">
        <w:rPr>
          <w:rFonts w:cs="Calibri"/>
          <w:sz w:val="24"/>
        </w:rPr>
        <w:t xml:space="preserve">neutral throughout all texts. </w:t>
      </w:r>
      <w:r>
        <w:rPr>
          <w:rFonts w:cs="Calibri"/>
          <w:sz w:val="24"/>
        </w:rPr>
        <w:t>Gove</w:t>
      </w:r>
      <w:r w:rsidR="00B053CC">
        <w:rPr>
          <w:rFonts w:cs="Calibri"/>
          <w:sz w:val="24"/>
        </w:rPr>
        <w:t xml:space="preserve"> </w:t>
      </w:r>
      <w:r w:rsidR="00B54F29" w:rsidRPr="00761656">
        <w:rPr>
          <w:rFonts w:cs="Calibri"/>
          <w:sz w:val="24"/>
        </w:rPr>
        <w:t>makes a point that would not be out of place in the</w:t>
      </w:r>
      <w:r w:rsidR="009208CE">
        <w:rPr>
          <w:rFonts w:cs="Calibri"/>
          <w:sz w:val="24"/>
        </w:rPr>
        <w:t xml:space="preserve"> work of Bowles and Gintis (1976</w:t>
      </w:r>
      <w:r w:rsidR="00B54F29" w:rsidRPr="00761656">
        <w:rPr>
          <w:rFonts w:cs="Calibri"/>
          <w:sz w:val="24"/>
        </w:rPr>
        <w:t>)</w:t>
      </w:r>
      <w:r w:rsidR="006B420A">
        <w:rPr>
          <w:rFonts w:cs="Calibri"/>
          <w:sz w:val="24"/>
        </w:rPr>
        <w:t>:</w:t>
      </w:r>
      <w:r w:rsidR="00B54F29" w:rsidRPr="00761656">
        <w:rPr>
          <w:rFonts w:cs="Calibri"/>
          <w:sz w:val="24"/>
        </w:rPr>
        <w:t xml:space="preserve"> </w:t>
      </w:r>
    </w:p>
    <w:p w14:paraId="011E434A" w14:textId="36CE6F9A" w:rsidR="00B54F29" w:rsidRPr="00761656" w:rsidRDefault="00B54F29" w:rsidP="00B54F29">
      <w:pPr>
        <w:spacing w:line="240" w:lineRule="auto"/>
        <w:ind w:left="720"/>
        <w:rPr>
          <w:rFonts w:cs="Calibri"/>
          <w:sz w:val="24"/>
        </w:rPr>
      </w:pPr>
      <w:r w:rsidRPr="00761656">
        <w:rPr>
          <w:rFonts w:cs="Calibri"/>
          <w:sz w:val="24"/>
        </w:rPr>
        <w:t xml:space="preserve">Children from poorer homes start behind their wealthier contemporaries when they arrive at school and during their educational journey they fall further and further back. (p.7). </w:t>
      </w:r>
    </w:p>
    <w:p w14:paraId="090AA777" w14:textId="791306B4" w:rsidR="004E6C0A" w:rsidRDefault="00B54F29" w:rsidP="004E6C0A">
      <w:pPr>
        <w:tabs>
          <w:tab w:val="left" w:pos="8647"/>
        </w:tabs>
        <w:spacing w:line="360" w:lineRule="auto"/>
        <w:rPr>
          <w:rFonts w:cs="Calibri"/>
          <w:sz w:val="24"/>
        </w:rPr>
      </w:pPr>
      <w:r w:rsidRPr="00761656">
        <w:rPr>
          <w:rFonts w:cs="Calibri"/>
          <w:sz w:val="24"/>
        </w:rPr>
        <w:t>The argument against the EBac i</w:t>
      </w:r>
      <w:r w:rsidR="005061F5">
        <w:rPr>
          <w:rFonts w:cs="Calibri"/>
          <w:sz w:val="24"/>
        </w:rPr>
        <w:t>s that it exacerbates</w:t>
      </w:r>
      <w:r w:rsidRPr="00761656">
        <w:rPr>
          <w:rFonts w:cs="Calibri"/>
          <w:sz w:val="24"/>
        </w:rPr>
        <w:t xml:space="preserve"> rather than reducing this </w:t>
      </w:r>
      <w:r w:rsidR="005061F5">
        <w:rPr>
          <w:rFonts w:cs="Calibri"/>
          <w:sz w:val="24"/>
        </w:rPr>
        <w:t xml:space="preserve">social </w:t>
      </w:r>
      <w:r w:rsidRPr="00761656">
        <w:rPr>
          <w:rFonts w:cs="Calibri"/>
          <w:sz w:val="24"/>
        </w:rPr>
        <w:t>divi</w:t>
      </w:r>
      <w:r w:rsidR="005061F5">
        <w:rPr>
          <w:rFonts w:cs="Calibri"/>
          <w:sz w:val="24"/>
        </w:rPr>
        <w:t>de</w:t>
      </w:r>
      <w:r w:rsidRPr="00761656">
        <w:rPr>
          <w:rFonts w:cs="Calibri"/>
          <w:sz w:val="24"/>
        </w:rPr>
        <w:t xml:space="preserve">. If alternative routes to </w:t>
      </w:r>
      <w:r w:rsidR="008315ED">
        <w:rPr>
          <w:rFonts w:cs="Calibri"/>
          <w:sz w:val="24"/>
        </w:rPr>
        <w:t xml:space="preserve">and through </w:t>
      </w:r>
      <w:r w:rsidRPr="00761656">
        <w:rPr>
          <w:rFonts w:cs="Calibri"/>
          <w:sz w:val="24"/>
        </w:rPr>
        <w:t>university</w:t>
      </w:r>
      <w:r w:rsidR="006B420A">
        <w:rPr>
          <w:rFonts w:cs="Calibri"/>
          <w:sz w:val="24"/>
        </w:rPr>
        <w:t>,</w:t>
      </w:r>
      <w:r w:rsidRPr="00761656">
        <w:rPr>
          <w:rFonts w:cs="Calibri"/>
          <w:sz w:val="24"/>
        </w:rPr>
        <w:t xml:space="preserve"> such as vocational routes are closed down </w:t>
      </w:r>
      <w:r w:rsidR="008315ED">
        <w:rPr>
          <w:rFonts w:cs="Calibri"/>
          <w:sz w:val="24"/>
        </w:rPr>
        <w:t xml:space="preserve">or reduced </w:t>
      </w:r>
      <w:r w:rsidRPr="00761656">
        <w:rPr>
          <w:rFonts w:cs="Calibri"/>
          <w:sz w:val="24"/>
        </w:rPr>
        <w:t xml:space="preserve">and the only route is a traditional academic one, poorer children </w:t>
      </w:r>
      <w:r w:rsidR="006B420A">
        <w:rPr>
          <w:rFonts w:cs="Calibri"/>
          <w:sz w:val="24"/>
        </w:rPr>
        <w:t xml:space="preserve">with less cultural capital are </w:t>
      </w:r>
      <w:r w:rsidR="00200EA8">
        <w:rPr>
          <w:rFonts w:cs="Calibri"/>
          <w:sz w:val="24"/>
        </w:rPr>
        <w:t>likely to have limited access to HE</w:t>
      </w:r>
      <w:r w:rsidR="00176CD4">
        <w:rPr>
          <w:rFonts w:cs="Calibri"/>
          <w:sz w:val="24"/>
        </w:rPr>
        <w:t xml:space="preserve"> (Hillman</w:t>
      </w:r>
      <w:r w:rsidR="006B420A">
        <w:rPr>
          <w:rFonts w:cs="Calibri"/>
          <w:sz w:val="24"/>
        </w:rPr>
        <w:t>,</w:t>
      </w:r>
      <w:r w:rsidR="0055663F">
        <w:rPr>
          <w:rFonts w:cs="Calibri"/>
          <w:sz w:val="24"/>
        </w:rPr>
        <w:t xml:space="preserve"> </w:t>
      </w:r>
      <w:r w:rsidR="008315ED">
        <w:rPr>
          <w:rFonts w:cs="Calibri"/>
          <w:sz w:val="24"/>
        </w:rPr>
        <w:t>2015)</w:t>
      </w:r>
      <w:r w:rsidR="00200EA8">
        <w:rPr>
          <w:rFonts w:cs="Calibri"/>
          <w:sz w:val="24"/>
        </w:rPr>
        <w:t xml:space="preserve">. </w:t>
      </w:r>
      <w:r w:rsidR="00B053CC">
        <w:rPr>
          <w:rFonts w:cs="Calibri"/>
          <w:sz w:val="24"/>
        </w:rPr>
        <w:t xml:space="preserve">The final element within </w:t>
      </w:r>
      <w:r w:rsidR="00B053CC">
        <w:rPr>
          <w:rFonts w:cs="Calibri"/>
          <w:sz w:val="24"/>
        </w:rPr>
        <w:lastRenderedPageBreak/>
        <w:t>Hyatt’s Critical Literacy Framework is that of reference to other texts, genres, discourses and individuals.</w:t>
      </w:r>
    </w:p>
    <w:p w14:paraId="3102CBF1" w14:textId="78C73294" w:rsidR="00B54F29" w:rsidRPr="004E6C0A" w:rsidRDefault="004E6C0A" w:rsidP="00531995">
      <w:pPr>
        <w:pStyle w:val="Heading3"/>
      </w:pPr>
      <w:bookmarkStart w:id="86" w:name="_Toc452316370"/>
      <w:r>
        <w:t xml:space="preserve">4.2.12 </w:t>
      </w:r>
      <w:r w:rsidR="00B54F29" w:rsidRPr="004E6C0A">
        <w:t>Reference to other texts, genres, discourses and individuals</w:t>
      </w:r>
      <w:bookmarkEnd w:id="86"/>
    </w:p>
    <w:p w14:paraId="57376C72" w14:textId="65C2253E" w:rsidR="005E7A99" w:rsidRDefault="005E7A99" w:rsidP="00787798">
      <w:pPr>
        <w:tabs>
          <w:tab w:val="left" w:pos="8647"/>
        </w:tabs>
        <w:spacing w:after="0" w:line="360" w:lineRule="auto"/>
        <w:rPr>
          <w:rFonts w:cs="Calibri"/>
          <w:sz w:val="24"/>
        </w:rPr>
      </w:pPr>
      <w:r w:rsidRPr="00C2380E">
        <w:rPr>
          <w:rFonts w:cs="Calibri"/>
          <w:sz w:val="24"/>
        </w:rPr>
        <w:t xml:space="preserve">Within the </w:t>
      </w:r>
      <w:r>
        <w:rPr>
          <w:rFonts w:cs="Calibri"/>
          <w:sz w:val="24"/>
        </w:rPr>
        <w:t xml:space="preserve">selection of texts analysed </w:t>
      </w:r>
      <w:r w:rsidR="00C2380E">
        <w:rPr>
          <w:rFonts w:cs="Calibri"/>
          <w:sz w:val="24"/>
        </w:rPr>
        <w:t>are references to t</w:t>
      </w:r>
      <w:r w:rsidR="00B76490">
        <w:rPr>
          <w:rFonts w:cs="Calibri"/>
          <w:sz w:val="24"/>
        </w:rPr>
        <w:t>wo</w:t>
      </w:r>
      <w:r>
        <w:rPr>
          <w:rFonts w:cs="Calibri"/>
          <w:sz w:val="24"/>
        </w:rPr>
        <w:t xml:space="preserve"> other </w:t>
      </w:r>
      <w:r w:rsidR="00D13D6F">
        <w:rPr>
          <w:rFonts w:cs="Calibri"/>
          <w:sz w:val="24"/>
        </w:rPr>
        <w:t>texts and discourses</w:t>
      </w:r>
      <w:r w:rsidR="004A48AF">
        <w:rPr>
          <w:rFonts w:cs="Calibri"/>
          <w:sz w:val="24"/>
        </w:rPr>
        <w:t xml:space="preserve">. The </w:t>
      </w:r>
      <w:r>
        <w:rPr>
          <w:rFonts w:cs="Calibri"/>
          <w:sz w:val="24"/>
        </w:rPr>
        <w:t>first</w:t>
      </w:r>
      <w:r w:rsidR="004A48AF">
        <w:rPr>
          <w:rFonts w:cs="Calibri"/>
          <w:sz w:val="24"/>
        </w:rPr>
        <w:t xml:space="preserve"> reference is</w:t>
      </w:r>
      <w:r>
        <w:rPr>
          <w:rFonts w:cs="Calibri"/>
          <w:sz w:val="24"/>
        </w:rPr>
        <w:t xml:space="preserve"> a quote from Arne Duncan, the US Secretary</w:t>
      </w:r>
      <w:r w:rsidR="00C2380E">
        <w:rPr>
          <w:rFonts w:cs="Calibri"/>
          <w:sz w:val="24"/>
        </w:rPr>
        <w:t xml:space="preserve"> of State for Education which includes a </w:t>
      </w:r>
      <w:r w:rsidR="004A48AF">
        <w:rPr>
          <w:rFonts w:cs="Calibri"/>
          <w:sz w:val="24"/>
        </w:rPr>
        <w:t xml:space="preserve">secondary </w:t>
      </w:r>
      <w:r w:rsidR="00C2380E">
        <w:rPr>
          <w:rFonts w:cs="Calibri"/>
          <w:sz w:val="24"/>
        </w:rPr>
        <w:t>quote from</w:t>
      </w:r>
      <w:r>
        <w:rPr>
          <w:rFonts w:cs="Calibri"/>
          <w:sz w:val="24"/>
        </w:rPr>
        <w:t xml:space="preserve"> </w:t>
      </w:r>
      <w:r w:rsidR="00C2380E">
        <w:rPr>
          <w:rFonts w:cs="Calibri"/>
          <w:sz w:val="24"/>
        </w:rPr>
        <w:t>Wildavsky</w:t>
      </w:r>
      <w:r w:rsidR="004E6C0A">
        <w:rPr>
          <w:rFonts w:cs="Calibri"/>
          <w:sz w:val="24"/>
        </w:rPr>
        <w:t xml:space="preserve"> (2010)</w:t>
      </w:r>
      <w:r w:rsidR="004A48AF">
        <w:rPr>
          <w:rFonts w:cs="Calibri"/>
          <w:sz w:val="24"/>
        </w:rPr>
        <w:t>.</w:t>
      </w:r>
      <w:r>
        <w:rPr>
          <w:rFonts w:cs="Calibri"/>
          <w:sz w:val="24"/>
        </w:rPr>
        <w:t xml:space="preserve"> </w:t>
      </w:r>
      <w:r w:rsidR="004A48AF">
        <w:rPr>
          <w:rFonts w:cs="Calibri"/>
          <w:sz w:val="24"/>
        </w:rPr>
        <w:t xml:space="preserve">The </w:t>
      </w:r>
      <w:r w:rsidR="00C2380E">
        <w:rPr>
          <w:rFonts w:cs="Calibri"/>
          <w:sz w:val="24"/>
        </w:rPr>
        <w:t>second</w:t>
      </w:r>
      <w:r>
        <w:rPr>
          <w:rFonts w:cs="Calibri"/>
          <w:sz w:val="24"/>
        </w:rPr>
        <w:t xml:space="preserve"> reference</w:t>
      </w:r>
      <w:r w:rsidR="00B76490">
        <w:rPr>
          <w:rFonts w:cs="Calibri"/>
          <w:sz w:val="24"/>
        </w:rPr>
        <w:t xml:space="preserve"> </w:t>
      </w:r>
      <w:r w:rsidR="005223A7">
        <w:rPr>
          <w:rFonts w:cs="Calibri"/>
          <w:sz w:val="24"/>
        </w:rPr>
        <w:t xml:space="preserve">is </w:t>
      </w:r>
      <w:r>
        <w:rPr>
          <w:rFonts w:cs="Calibri"/>
          <w:sz w:val="24"/>
        </w:rPr>
        <w:t xml:space="preserve">to the work of Hirsch </w:t>
      </w:r>
      <w:r w:rsidR="004E6C0A">
        <w:rPr>
          <w:rFonts w:cs="Calibri"/>
          <w:sz w:val="24"/>
        </w:rPr>
        <w:t>(199</w:t>
      </w:r>
      <w:r w:rsidR="009208CE">
        <w:rPr>
          <w:rFonts w:cs="Calibri"/>
          <w:sz w:val="24"/>
        </w:rPr>
        <w:t>6</w:t>
      </w:r>
      <w:r w:rsidR="004E6C0A">
        <w:rPr>
          <w:rFonts w:cs="Calibri"/>
          <w:sz w:val="24"/>
        </w:rPr>
        <w:t xml:space="preserve">) </w:t>
      </w:r>
      <w:r w:rsidR="002A4529">
        <w:rPr>
          <w:rFonts w:cs="Calibri"/>
          <w:sz w:val="24"/>
        </w:rPr>
        <w:t>on</w:t>
      </w:r>
      <w:r>
        <w:rPr>
          <w:rFonts w:cs="Calibri"/>
          <w:sz w:val="24"/>
        </w:rPr>
        <w:t xml:space="preserve"> core knowledge. </w:t>
      </w:r>
    </w:p>
    <w:p w14:paraId="7093C75C" w14:textId="77777777" w:rsidR="002A4529" w:rsidRPr="00C2380E" w:rsidRDefault="002A4529" w:rsidP="00787798">
      <w:pPr>
        <w:tabs>
          <w:tab w:val="left" w:pos="8647"/>
        </w:tabs>
        <w:spacing w:after="0" w:line="360" w:lineRule="auto"/>
        <w:rPr>
          <w:rFonts w:cs="Calibri"/>
          <w:sz w:val="24"/>
        </w:rPr>
      </w:pPr>
    </w:p>
    <w:p w14:paraId="41B8A973" w14:textId="6B5867C9" w:rsidR="00B54F29" w:rsidRPr="00761656" w:rsidRDefault="00C2380E" w:rsidP="00FF0EF4">
      <w:pPr>
        <w:tabs>
          <w:tab w:val="left" w:pos="8364"/>
        </w:tabs>
        <w:spacing w:line="360" w:lineRule="auto"/>
        <w:rPr>
          <w:rFonts w:cs="Calibri"/>
          <w:sz w:val="24"/>
        </w:rPr>
      </w:pPr>
      <w:r>
        <w:rPr>
          <w:rFonts w:cs="Calibri"/>
          <w:sz w:val="24"/>
        </w:rPr>
        <w:t xml:space="preserve">The most direct reference to another text </w:t>
      </w:r>
      <w:r w:rsidR="00B54F29" w:rsidRPr="002D54E6">
        <w:rPr>
          <w:rFonts w:cs="Calibri"/>
          <w:sz w:val="24"/>
        </w:rPr>
        <w:t xml:space="preserve">is in the EBac section </w:t>
      </w:r>
      <w:r w:rsidRPr="005223A7">
        <w:rPr>
          <w:rFonts w:cs="Calibri"/>
          <w:sz w:val="24"/>
          <w:szCs w:val="24"/>
        </w:rPr>
        <w:t>4.20 (</w:t>
      </w:r>
      <w:r w:rsidR="00B54F29" w:rsidRPr="005223A7">
        <w:rPr>
          <w:rFonts w:cs="Calibri"/>
          <w:sz w:val="24"/>
          <w:szCs w:val="24"/>
        </w:rPr>
        <w:t>p.45</w:t>
      </w:r>
      <w:r w:rsidRPr="005223A7">
        <w:rPr>
          <w:rStyle w:val="CommentReference"/>
          <w:sz w:val="24"/>
          <w:szCs w:val="24"/>
        </w:rPr>
        <w:t>)</w:t>
      </w:r>
      <w:r w:rsidR="005223A7" w:rsidRPr="005223A7">
        <w:rPr>
          <w:rStyle w:val="CommentReference"/>
          <w:sz w:val="24"/>
          <w:szCs w:val="24"/>
        </w:rPr>
        <w:t xml:space="preserve"> </w:t>
      </w:r>
      <w:r w:rsidRPr="005223A7">
        <w:rPr>
          <w:rStyle w:val="CommentReference"/>
          <w:sz w:val="24"/>
          <w:szCs w:val="24"/>
        </w:rPr>
        <w:t>w</w:t>
      </w:r>
      <w:r w:rsidR="00B54F29" w:rsidRPr="00017061">
        <w:rPr>
          <w:rFonts w:cs="Calibri"/>
          <w:sz w:val="24"/>
          <w:szCs w:val="24"/>
        </w:rPr>
        <w:t>here</w:t>
      </w:r>
      <w:r w:rsidR="00B54F29" w:rsidRPr="00557340">
        <w:rPr>
          <w:rFonts w:cs="Calibri"/>
          <w:sz w:val="24"/>
          <w:szCs w:val="24"/>
        </w:rPr>
        <w:t xml:space="preserve"> a quote</w:t>
      </w:r>
      <w:r w:rsidR="00B54F29" w:rsidRPr="002D54E6">
        <w:rPr>
          <w:rFonts w:cs="Calibri"/>
          <w:sz w:val="24"/>
        </w:rPr>
        <w:t xml:space="preserve"> is </w:t>
      </w:r>
      <w:r>
        <w:rPr>
          <w:rFonts w:cs="Calibri"/>
          <w:sz w:val="24"/>
        </w:rPr>
        <w:t xml:space="preserve">included within the White Paper </w:t>
      </w:r>
      <w:r w:rsidR="00B54F29" w:rsidRPr="002D54E6">
        <w:rPr>
          <w:rFonts w:cs="Calibri"/>
          <w:sz w:val="24"/>
        </w:rPr>
        <w:t xml:space="preserve">from a UNESCO speech by US Secretary </w:t>
      </w:r>
      <w:r w:rsidR="00754893" w:rsidRPr="002D54E6">
        <w:rPr>
          <w:rFonts w:cs="Calibri"/>
          <w:sz w:val="24"/>
        </w:rPr>
        <w:t xml:space="preserve">Duncan </w:t>
      </w:r>
      <w:r w:rsidR="00B54F29" w:rsidRPr="002D54E6">
        <w:rPr>
          <w:rFonts w:cs="Calibri"/>
          <w:sz w:val="24"/>
        </w:rPr>
        <w:t>(2010)</w:t>
      </w:r>
      <w:r w:rsidR="00B76490">
        <w:rPr>
          <w:rFonts w:cs="Calibri"/>
          <w:sz w:val="24"/>
        </w:rPr>
        <w:t xml:space="preserve"> “u</w:t>
      </w:r>
      <w:r w:rsidR="00B54F29" w:rsidRPr="002D54E6">
        <w:rPr>
          <w:rFonts w:cs="Calibri"/>
          <w:sz w:val="24"/>
        </w:rPr>
        <w:t xml:space="preserve">ltimately, education is the great equaliser. It is the one force that can consistently overcome differences in background, culture and privilege” </w:t>
      </w:r>
      <w:r w:rsidR="00B76490">
        <w:rPr>
          <w:rFonts w:cs="Calibri"/>
          <w:sz w:val="24"/>
        </w:rPr>
        <w:t>(</w:t>
      </w:r>
      <w:r>
        <w:rPr>
          <w:rFonts w:cs="Calibri"/>
          <w:sz w:val="24"/>
        </w:rPr>
        <w:t>DfE</w:t>
      </w:r>
      <w:r w:rsidR="00754893">
        <w:rPr>
          <w:rFonts w:cs="Calibri"/>
          <w:sz w:val="24"/>
        </w:rPr>
        <w:t>,</w:t>
      </w:r>
      <w:r>
        <w:rPr>
          <w:rFonts w:cs="Calibri"/>
          <w:sz w:val="24"/>
        </w:rPr>
        <w:t xml:space="preserve"> 2010, p.45).</w:t>
      </w:r>
      <w:r w:rsidR="00FF0EF4">
        <w:rPr>
          <w:rFonts w:cs="Calibri"/>
          <w:sz w:val="24"/>
        </w:rPr>
        <w:t xml:space="preserve"> </w:t>
      </w:r>
      <w:r w:rsidR="00B54F29" w:rsidRPr="00761656">
        <w:rPr>
          <w:rFonts w:cs="Calibri"/>
          <w:sz w:val="24"/>
        </w:rPr>
        <w:t>The Duncan speech is a</w:t>
      </w:r>
      <w:r w:rsidR="004E6C0A">
        <w:rPr>
          <w:rFonts w:cs="Calibri"/>
          <w:sz w:val="24"/>
        </w:rPr>
        <w:t>n</w:t>
      </w:r>
      <w:r w:rsidR="00B54F29" w:rsidRPr="00761656">
        <w:rPr>
          <w:rFonts w:cs="Calibri"/>
          <w:sz w:val="24"/>
        </w:rPr>
        <w:t xml:space="preserve"> important text for the Coalition </w:t>
      </w:r>
      <w:r w:rsidR="00754893">
        <w:rPr>
          <w:rFonts w:cs="Calibri"/>
          <w:sz w:val="24"/>
        </w:rPr>
        <w:t xml:space="preserve">in terms of </w:t>
      </w:r>
      <w:r w:rsidR="00B54F29" w:rsidRPr="00761656">
        <w:rPr>
          <w:rFonts w:cs="Calibri"/>
          <w:sz w:val="24"/>
        </w:rPr>
        <w:t xml:space="preserve">educational thinking and for the format of the White Paper. This is demonstrated in the fact that much of the language </w:t>
      </w:r>
      <w:r>
        <w:rPr>
          <w:rFonts w:cs="Calibri"/>
          <w:sz w:val="24"/>
        </w:rPr>
        <w:t xml:space="preserve">used in the White Paper </w:t>
      </w:r>
      <w:r w:rsidR="00B54F29" w:rsidRPr="00761656">
        <w:rPr>
          <w:rFonts w:cs="Calibri"/>
          <w:sz w:val="24"/>
        </w:rPr>
        <w:t>is the same</w:t>
      </w:r>
      <w:r>
        <w:rPr>
          <w:rFonts w:cs="Calibri"/>
          <w:sz w:val="24"/>
        </w:rPr>
        <w:t xml:space="preserve"> as the language used in US education documents</w:t>
      </w:r>
      <w:r w:rsidR="00B54F29" w:rsidRPr="00761656">
        <w:rPr>
          <w:rFonts w:cs="Calibri"/>
          <w:sz w:val="24"/>
        </w:rPr>
        <w:t>. For example, Duncan’s speech closes with the time bound statement: “The urgent need to provide an excellent education for every child is a right that cannot be denied. We can't wait because our children can't wait. The time for change is now” (</w:t>
      </w:r>
      <w:r>
        <w:rPr>
          <w:rFonts w:cs="Calibri"/>
          <w:sz w:val="24"/>
        </w:rPr>
        <w:t>Duncan</w:t>
      </w:r>
      <w:r w:rsidR="0034131C">
        <w:rPr>
          <w:rFonts w:cs="Calibri"/>
          <w:sz w:val="24"/>
        </w:rPr>
        <w:t>,</w:t>
      </w:r>
      <w:r>
        <w:rPr>
          <w:rFonts w:cs="Calibri"/>
          <w:sz w:val="24"/>
        </w:rPr>
        <w:t xml:space="preserve"> </w:t>
      </w:r>
      <w:r w:rsidR="00B54F29" w:rsidRPr="00761656">
        <w:rPr>
          <w:rFonts w:cs="Calibri"/>
          <w:sz w:val="24"/>
        </w:rPr>
        <w:t xml:space="preserve">2010). </w:t>
      </w:r>
      <w:r>
        <w:rPr>
          <w:rFonts w:cs="Calibri"/>
          <w:sz w:val="24"/>
        </w:rPr>
        <w:t xml:space="preserve">This can be compared to the closing paragraph in the White Paper foreword by </w:t>
      </w:r>
      <w:r w:rsidR="0008601C">
        <w:rPr>
          <w:rFonts w:cs="Calibri"/>
          <w:sz w:val="24"/>
        </w:rPr>
        <w:t>Gove</w:t>
      </w:r>
      <w:r>
        <w:rPr>
          <w:rFonts w:cs="Calibri"/>
          <w:sz w:val="24"/>
        </w:rPr>
        <w:t xml:space="preserve"> “nothing matters more in improving education than giving every child access to the best possible teaching…And that is why there is a fierce urgency to our plans for reform” (DfE</w:t>
      </w:r>
      <w:r w:rsidR="0034131C">
        <w:rPr>
          <w:rFonts w:cs="Calibri"/>
          <w:sz w:val="24"/>
        </w:rPr>
        <w:t>,</w:t>
      </w:r>
      <w:r>
        <w:rPr>
          <w:rFonts w:cs="Calibri"/>
          <w:sz w:val="24"/>
        </w:rPr>
        <w:t xml:space="preserve"> 2010, p.7)</w:t>
      </w:r>
      <w:r w:rsidR="006E7CDF">
        <w:rPr>
          <w:rFonts w:cs="Calibri"/>
          <w:sz w:val="24"/>
        </w:rPr>
        <w:t xml:space="preserve">. </w:t>
      </w:r>
      <w:r w:rsidR="00B54F29" w:rsidRPr="00761656">
        <w:rPr>
          <w:rFonts w:cs="Calibri"/>
          <w:sz w:val="24"/>
        </w:rPr>
        <w:t xml:space="preserve">The </w:t>
      </w:r>
      <w:r w:rsidR="00D13D6F">
        <w:rPr>
          <w:rFonts w:cs="Calibri"/>
          <w:sz w:val="24"/>
        </w:rPr>
        <w:t>l</w:t>
      </w:r>
      <w:r w:rsidR="0034131C">
        <w:rPr>
          <w:rFonts w:cs="Calibri"/>
          <w:sz w:val="24"/>
        </w:rPr>
        <w:t>inguistic</w:t>
      </w:r>
      <w:r w:rsidR="00D13D6F">
        <w:rPr>
          <w:rFonts w:cs="Calibri"/>
          <w:sz w:val="24"/>
        </w:rPr>
        <w:t xml:space="preserve"> </w:t>
      </w:r>
      <w:r w:rsidR="0008601C">
        <w:rPr>
          <w:rFonts w:cs="Calibri"/>
          <w:sz w:val="24"/>
        </w:rPr>
        <w:t>and id</w:t>
      </w:r>
      <w:r w:rsidR="0034131C">
        <w:rPr>
          <w:rFonts w:cs="Calibri"/>
          <w:sz w:val="24"/>
        </w:rPr>
        <w:t>eological</w:t>
      </w:r>
      <w:r w:rsidR="0008601C">
        <w:rPr>
          <w:rFonts w:cs="Calibri"/>
          <w:sz w:val="24"/>
        </w:rPr>
        <w:t xml:space="preserve"> </w:t>
      </w:r>
      <w:r w:rsidR="00B54F29" w:rsidRPr="00761656">
        <w:rPr>
          <w:rFonts w:cs="Calibri"/>
          <w:sz w:val="24"/>
        </w:rPr>
        <w:t>similarit</w:t>
      </w:r>
      <w:r w:rsidR="00D13D6F">
        <w:rPr>
          <w:rFonts w:cs="Calibri"/>
          <w:sz w:val="24"/>
        </w:rPr>
        <w:t>y</w:t>
      </w:r>
      <w:r w:rsidR="00B54F29" w:rsidRPr="00761656">
        <w:rPr>
          <w:rFonts w:cs="Calibri"/>
          <w:sz w:val="24"/>
        </w:rPr>
        <w:t xml:space="preserve"> between the two documents is </w:t>
      </w:r>
      <w:r w:rsidR="0034131C">
        <w:rPr>
          <w:rFonts w:cs="Calibri"/>
          <w:sz w:val="24"/>
        </w:rPr>
        <w:t xml:space="preserve">immediately </w:t>
      </w:r>
      <w:r w:rsidR="00B54F29" w:rsidRPr="00761656">
        <w:rPr>
          <w:rFonts w:cs="Calibri"/>
          <w:sz w:val="24"/>
        </w:rPr>
        <w:t xml:space="preserve">striking.  </w:t>
      </w:r>
    </w:p>
    <w:p w14:paraId="622A5211" w14:textId="50FBF373" w:rsidR="00E8749A" w:rsidRDefault="00130822" w:rsidP="0008601C">
      <w:pPr>
        <w:shd w:val="clear" w:color="auto" w:fill="FFFFFF"/>
        <w:tabs>
          <w:tab w:val="left" w:pos="2410"/>
          <w:tab w:val="left" w:pos="8505"/>
        </w:tabs>
        <w:spacing w:before="210" w:line="360" w:lineRule="auto"/>
        <w:rPr>
          <w:rFonts w:cs="Calibri"/>
          <w:sz w:val="24"/>
        </w:rPr>
      </w:pPr>
      <w:r>
        <w:rPr>
          <w:rFonts w:cs="Calibri"/>
          <w:sz w:val="24"/>
        </w:rPr>
        <w:t xml:space="preserve">A reference to another US discourse within the White Paper (2010) is that of the discourse of Hirsch’s </w:t>
      </w:r>
      <w:r w:rsidR="00D13D6F">
        <w:rPr>
          <w:rFonts w:cs="Calibri"/>
          <w:sz w:val="24"/>
        </w:rPr>
        <w:t>“</w:t>
      </w:r>
      <w:r>
        <w:rPr>
          <w:rFonts w:cs="Calibri"/>
          <w:sz w:val="24"/>
        </w:rPr>
        <w:t>core knowledge</w:t>
      </w:r>
      <w:r w:rsidR="00D13D6F">
        <w:rPr>
          <w:rFonts w:cs="Calibri"/>
          <w:sz w:val="24"/>
        </w:rPr>
        <w:t>”</w:t>
      </w:r>
      <w:r w:rsidR="00755DFA">
        <w:rPr>
          <w:rFonts w:cs="Calibri"/>
          <w:sz w:val="24"/>
        </w:rPr>
        <w:t xml:space="preserve"> (1996</w:t>
      </w:r>
      <w:r>
        <w:rPr>
          <w:rFonts w:cs="Calibri"/>
          <w:sz w:val="24"/>
        </w:rPr>
        <w:t xml:space="preserve">). </w:t>
      </w:r>
      <w:r w:rsidR="00B54F29" w:rsidRPr="00526BA2">
        <w:rPr>
          <w:rFonts w:cs="Calibri"/>
          <w:sz w:val="24"/>
        </w:rPr>
        <w:t>Hirsch</w:t>
      </w:r>
      <w:r>
        <w:rPr>
          <w:rFonts w:cs="Calibri"/>
          <w:sz w:val="24"/>
        </w:rPr>
        <w:t xml:space="preserve">’s work </w:t>
      </w:r>
      <w:r w:rsidR="009D23A5">
        <w:rPr>
          <w:rFonts w:cs="Calibri"/>
          <w:sz w:val="24"/>
        </w:rPr>
        <w:t xml:space="preserve">in the United States </w:t>
      </w:r>
      <w:r>
        <w:rPr>
          <w:rFonts w:cs="Calibri"/>
          <w:sz w:val="24"/>
        </w:rPr>
        <w:t xml:space="preserve">is based on </w:t>
      </w:r>
      <w:r w:rsidR="00B54F29" w:rsidRPr="00526BA2">
        <w:rPr>
          <w:rFonts w:cs="Calibri"/>
          <w:sz w:val="24"/>
        </w:rPr>
        <w:t xml:space="preserve">the same premise stated within the White Paper that the economic and educational gap between the rich and poor is widening. The concept of </w:t>
      </w:r>
      <w:r w:rsidR="00D13D6F">
        <w:rPr>
          <w:rFonts w:cs="Calibri"/>
          <w:sz w:val="24"/>
        </w:rPr>
        <w:t>“</w:t>
      </w:r>
      <w:r w:rsidR="00B54F29" w:rsidRPr="00526BA2">
        <w:rPr>
          <w:rFonts w:cs="Calibri"/>
          <w:sz w:val="24"/>
        </w:rPr>
        <w:t>core knowledge</w:t>
      </w:r>
      <w:r w:rsidR="00D13D6F">
        <w:rPr>
          <w:rFonts w:cs="Calibri"/>
          <w:sz w:val="24"/>
        </w:rPr>
        <w:t>”</w:t>
      </w:r>
      <w:r w:rsidR="00B54F29" w:rsidRPr="00526BA2">
        <w:rPr>
          <w:rFonts w:cs="Calibri"/>
          <w:sz w:val="24"/>
        </w:rPr>
        <w:t xml:space="preserve"> is a strong influence on the Coalition</w:t>
      </w:r>
      <w:r w:rsidR="0034131C">
        <w:rPr>
          <w:rFonts w:cs="Calibri"/>
          <w:sz w:val="24"/>
        </w:rPr>
        <w:t>’s</w:t>
      </w:r>
      <w:r w:rsidR="00B54F29" w:rsidRPr="00526BA2">
        <w:rPr>
          <w:rFonts w:cs="Calibri"/>
          <w:sz w:val="24"/>
        </w:rPr>
        <w:t xml:space="preserve"> education policy. Reference is made in section 4.21 to “this basic suite of academic qualifications” (p.44)</w:t>
      </w:r>
      <w:r w:rsidR="0034131C">
        <w:rPr>
          <w:rFonts w:cs="Calibri"/>
          <w:sz w:val="24"/>
        </w:rPr>
        <w:t>,</w:t>
      </w:r>
      <w:r w:rsidR="00B54F29" w:rsidRPr="00526BA2">
        <w:rPr>
          <w:rFonts w:cs="Calibri"/>
          <w:sz w:val="24"/>
        </w:rPr>
        <w:t xml:space="preserve"> </w:t>
      </w:r>
      <w:r w:rsidR="0034131C">
        <w:rPr>
          <w:rFonts w:cs="Calibri"/>
          <w:sz w:val="24"/>
        </w:rPr>
        <w:t>reinforced in</w:t>
      </w:r>
      <w:r w:rsidR="00B54F29" w:rsidRPr="00526BA2">
        <w:rPr>
          <w:rFonts w:cs="Calibri"/>
          <w:sz w:val="24"/>
        </w:rPr>
        <w:t xml:space="preserve"> the White Paper speech</w:t>
      </w:r>
      <w:r w:rsidR="0034131C">
        <w:rPr>
          <w:rFonts w:cs="Calibri"/>
          <w:sz w:val="24"/>
        </w:rPr>
        <w:t xml:space="preserve"> by</w:t>
      </w:r>
      <w:r w:rsidR="00B54F29" w:rsidRPr="00526BA2">
        <w:rPr>
          <w:rFonts w:cs="Calibri"/>
          <w:sz w:val="24"/>
        </w:rPr>
        <w:t xml:space="preserve"> Gove</w:t>
      </w:r>
      <w:r w:rsidR="0034131C">
        <w:rPr>
          <w:rFonts w:cs="Calibri"/>
          <w:sz w:val="24"/>
        </w:rPr>
        <w:t>’s statement</w:t>
      </w:r>
      <w:r w:rsidR="00B54F29" w:rsidRPr="00526BA2">
        <w:rPr>
          <w:rFonts w:cs="Calibri"/>
          <w:sz w:val="24"/>
        </w:rPr>
        <w:t xml:space="preserve"> </w:t>
      </w:r>
      <w:r w:rsidR="0034131C">
        <w:rPr>
          <w:rFonts w:cs="Calibri"/>
          <w:sz w:val="24"/>
        </w:rPr>
        <w:t>about</w:t>
      </w:r>
      <w:r w:rsidR="00B54F29" w:rsidRPr="00526BA2">
        <w:rPr>
          <w:rFonts w:cs="Calibri"/>
          <w:sz w:val="24"/>
        </w:rPr>
        <w:t xml:space="preserve"> “specifying the core knowledge … that every child should know”</w:t>
      </w:r>
      <w:r w:rsidR="00B76490">
        <w:rPr>
          <w:rFonts w:cs="Calibri"/>
          <w:sz w:val="24"/>
        </w:rPr>
        <w:t xml:space="preserve"> </w:t>
      </w:r>
      <w:r w:rsidR="00B54F29" w:rsidRPr="00526BA2">
        <w:rPr>
          <w:rFonts w:cs="Calibri"/>
          <w:sz w:val="24"/>
        </w:rPr>
        <w:t xml:space="preserve">(p.2). Hirsch states that, “such universal participation by students cannot occur unless they all share a core of </w:t>
      </w:r>
      <w:r w:rsidR="00B54F29" w:rsidRPr="00526BA2">
        <w:rPr>
          <w:rFonts w:cs="Calibri"/>
          <w:sz w:val="24"/>
        </w:rPr>
        <w:lastRenderedPageBreak/>
        <w:t>relevant background knowledge</w:t>
      </w:r>
      <w:r w:rsidR="0008601C">
        <w:rPr>
          <w:rFonts w:cs="Calibri"/>
          <w:sz w:val="24"/>
        </w:rPr>
        <w:t>”</w:t>
      </w:r>
      <w:r w:rsidR="00B54F29" w:rsidRPr="00526BA2">
        <w:rPr>
          <w:rFonts w:cs="Calibri"/>
          <w:sz w:val="24"/>
        </w:rPr>
        <w:t>, (</w:t>
      </w:r>
      <w:r w:rsidR="00755DFA">
        <w:rPr>
          <w:rFonts w:cs="Calibri"/>
          <w:sz w:val="24"/>
        </w:rPr>
        <w:t>1996</w:t>
      </w:r>
      <w:r w:rsidR="009D23A5">
        <w:rPr>
          <w:rFonts w:cs="Calibri"/>
          <w:sz w:val="24"/>
        </w:rPr>
        <w:t xml:space="preserve">, </w:t>
      </w:r>
      <w:r w:rsidR="00B54F29" w:rsidRPr="00526BA2">
        <w:rPr>
          <w:rFonts w:cs="Calibri"/>
          <w:sz w:val="24"/>
        </w:rPr>
        <w:t>p.14). Hir</w:t>
      </w:r>
      <w:r w:rsidR="002F3FF9">
        <w:rPr>
          <w:rFonts w:cs="Calibri"/>
          <w:sz w:val="24"/>
        </w:rPr>
        <w:t>s</w:t>
      </w:r>
      <w:r w:rsidR="00B54F29" w:rsidRPr="00526BA2">
        <w:rPr>
          <w:rFonts w:cs="Calibri"/>
          <w:sz w:val="24"/>
        </w:rPr>
        <w:t>ch’s ideas have resonance with the underlying</w:t>
      </w:r>
      <w:r w:rsidR="00FF0EF4">
        <w:rPr>
          <w:rFonts w:cs="Calibri"/>
          <w:sz w:val="24"/>
        </w:rPr>
        <w:t xml:space="preserve"> EBac</w:t>
      </w:r>
      <w:r w:rsidR="00B54F29" w:rsidRPr="00526BA2">
        <w:rPr>
          <w:rFonts w:cs="Calibri"/>
          <w:sz w:val="24"/>
        </w:rPr>
        <w:t xml:space="preserve"> premise</w:t>
      </w:r>
      <w:r w:rsidR="00FF0EF4">
        <w:rPr>
          <w:rFonts w:cs="Calibri"/>
          <w:sz w:val="24"/>
        </w:rPr>
        <w:t>,</w:t>
      </w:r>
      <w:r w:rsidR="00200EA8">
        <w:rPr>
          <w:rFonts w:cs="Calibri"/>
          <w:sz w:val="24"/>
        </w:rPr>
        <w:t xml:space="preserve"> that b</w:t>
      </w:r>
      <w:r w:rsidR="00B54F29" w:rsidRPr="00526BA2">
        <w:rPr>
          <w:rFonts w:cs="Calibri"/>
          <w:sz w:val="24"/>
        </w:rPr>
        <w:t xml:space="preserve">y encouraging all children to </w:t>
      </w:r>
      <w:r w:rsidR="001D565B">
        <w:rPr>
          <w:rFonts w:cs="Calibri"/>
          <w:sz w:val="24"/>
        </w:rPr>
        <w:t>study</w:t>
      </w:r>
      <w:r w:rsidR="00B54F29" w:rsidRPr="00526BA2">
        <w:rPr>
          <w:rFonts w:cs="Calibri"/>
          <w:sz w:val="24"/>
        </w:rPr>
        <w:t xml:space="preserve"> </w:t>
      </w:r>
      <w:r w:rsidR="00200EA8">
        <w:rPr>
          <w:rFonts w:cs="Calibri"/>
          <w:sz w:val="24"/>
        </w:rPr>
        <w:t>academic</w:t>
      </w:r>
      <w:r w:rsidR="00B54F29" w:rsidRPr="00526BA2">
        <w:rPr>
          <w:rFonts w:cs="Calibri"/>
          <w:sz w:val="24"/>
        </w:rPr>
        <w:t xml:space="preserve"> qualifications at age</w:t>
      </w:r>
      <w:r w:rsidR="0034131C">
        <w:rPr>
          <w:rFonts w:cs="Calibri"/>
          <w:sz w:val="24"/>
        </w:rPr>
        <w:t xml:space="preserve"> 16,</w:t>
      </w:r>
      <w:r w:rsidR="00B54F29" w:rsidRPr="00526BA2">
        <w:rPr>
          <w:rFonts w:cs="Calibri"/>
          <w:sz w:val="24"/>
        </w:rPr>
        <w:t xml:space="preserve"> they </w:t>
      </w:r>
      <w:r w:rsidR="0034131C">
        <w:rPr>
          <w:rFonts w:cs="Calibri"/>
          <w:sz w:val="24"/>
        </w:rPr>
        <w:t xml:space="preserve">will </w:t>
      </w:r>
      <w:r w:rsidR="00B54F29" w:rsidRPr="00526BA2">
        <w:rPr>
          <w:rFonts w:cs="Calibri"/>
          <w:sz w:val="24"/>
        </w:rPr>
        <w:t>hav</w:t>
      </w:r>
      <w:r w:rsidR="0008601C">
        <w:rPr>
          <w:rFonts w:cs="Calibri"/>
          <w:sz w:val="24"/>
        </w:rPr>
        <w:t xml:space="preserve">e </w:t>
      </w:r>
      <w:r w:rsidR="00200EA8">
        <w:rPr>
          <w:rFonts w:cs="Calibri"/>
          <w:sz w:val="24"/>
        </w:rPr>
        <w:t xml:space="preserve">equal </w:t>
      </w:r>
      <w:r w:rsidR="0008601C">
        <w:rPr>
          <w:rFonts w:cs="Calibri"/>
          <w:sz w:val="24"/>
        </w:rPr>
        <w:t xml:space="preserve">access to </w:t>
      </w:r>
      <w:r w:rsidR="00200EA8">
        <w:rPr>
          <w:rFonts w:cs="Calibri"/>
          <w:sz w:val="24"/>
        </w:rPr>
        <w:t xml:space="preserve">core </w:t>
      </w:r>
      <w:r w:rsidR="00B54F29" w:rsidRPr="00526BA2">
        <w:rPr>
          <w:rFonts w:cs="Calibri"/>
          <w:sz w:val="24"/>
        </w:rPr>
        <w:t>knowledge</w:t>
      </w:r>
      <w:r w:rsidR="00200EA8">
        <w:rPr>
          <w:rFonts w:cs="Calibri"/>
          <w:sz w:val="24"/>
        </w:rPr>
        <w:t>,</w:t>
      </w:r>
      <w:r w:rsidR="0008601C">
        <w:rPr>
          <w:rFonts w:cs="Calibri"/>
          <w:sz w:val="24"/>
        </w:rPr>
        <w:t xml:space="preserve"> in turn </w:t>
      </w:r>
      <w:r w:rsidR="00B54F29" w:rsidRPr="00526BA2">
        <w:rPr>
          <w:rFonts w:cs="Calibri"/>
          <w:sz w:val="24"/>
        </w:rPr>
        <w:t>allow</w:t>
      </w:r>
      <w:r w:rsidR="0008601C">
        <w:rPr>
          <w:rFonts w:cs="Calibri"/>
          <w:sz w:val="24"/>
        </w:rPr>
        <w:t>ing</w:t>
      </w:r>
      <w:r w:rsidR="00B54F29" w:rsidRPr="00526BA2">
        <w:rPr>
          <w:rFonts w:cs="Calibri"/>
          <w:sz w:val="24"/>
        </w:rPr>
        <w:t xml:space="preserve"> access to high</w:t>
      </w:r>
      <w:r w:rsidR="0034131C">
        <w:rPr>
          <w:rFonts w:cs="Calibri"/>
          <w:sz w:val="24"/>
        </w:rPr>
        <w:t>-</w:t>
      </w:r>
      <w:r w:rsidR="00B54F29" w:rsidRPr="00526BA2">
        <w:rPr>
          <w:rFonts w:cs="Calibri"/>
          <w:sz w:val="24"/>
        </w:rPr>
        <w:t xml:space="preserve">status educational opportunities and </w:t>
      </w:r>
      <w:r w:rsidR="00B54F29">
        <w:rPr>
          <w:rFonts w:cs="Calibri"/>
          <w:sz w:val="24"/>
        </w:rPr>
        <w:t>u</w:t>
      </w:r>
      <w:r w:rsidR="00B54F29" w:rsidRPr="00526BA2">
        <w:rPr>
          <w:rFonts w:cs="Calibri"/>
          <w:sz w:val="24"/>
        </w:rPr>
        <w:t xml:space="preserve">niversities. </w:t>
      </w:r>
    </w:p>
    <w:p w14:paraId="4681D07D" w14:textId="7CF1DC27" w:rsidR="00A32006" w:rsidRPr="00A32006" w:rsidRDefault="00A32006" w:rsidP="00531995">
      <w:pPr>
        <w:pStyle w:val="Heading3"/>
        <w:rPr>
          <w:lang w:eastAsia="en-GB"/>
        </w:rPr>
      </w:pPr>
      <w:bookmarkStart w:id="87" w:name="_Toc452316371"/>
      <w:r w:rsidRPr="00A32006">
        <w:rPr>
          <w:lang w:eastAsia="en-GB"/>
        </w:rPr>
        <w:t>4.</w:t>
      </w:r>
      <w:r w:rsidR="00F53C40">
        <w:rPr>
          <w:lang w:eastAsia="en-GB"/>
        </w:rPr>
        <w:t>2.</w:t>
      </w:r>
      <w:r w:rsidRPr="00A32006">
        <w:rPr>
          <w:lang w:eastAsia="en-GB"/>
        </w:rPr>
        <w:t>1</w:t>
      </w:r>
      <w:r w:rsidR="003508FD">
        <w:rPr>
          <w:lang w:eastAsia="en-GB"/>
        </w:rPr>
        <w:t>3</w:t>
      </w:r>
      <w:r w:rsidRPr="00A32006">
        <w:rPr>
          <w:lang w:eastAsia="en-GB"/>
        </w:rPr>
        <w:t xml:space="preserve"> Conclusion</w:t>
      </w:r>
      <w:bookmarkEnd w:id="87"/>
    </w:p>
    <w:p w14:paraId="7B2DE9E5" w14:textId="69C3E685" w:rsidR="0034131C" w:rsidRPr="00E415E2" w:rsidRDefault="009D23A5" w:rsidP="003A47A6">
      <w:pPr>
        <w:tabs>
          <w:tab w:val="left" w:pos="2410"/>
          <w:tab w:val="left" w:pos="8789"/>
        </w:tabs>
        <w:spacing w:line="360" w:lineRule="auto"/>
        <w:rPr>
          <w:rFonts w:eastAsia="Times New Roman" w:cs="Calibri"/>
          <w:sz w:val="24"/>
          <w:lang w:eastAsia="en-GB" w:bidi="x-none"/>
        </w:rPr>
      </w:pPr>
      <w:r>
        <w:rPr>
          <w:rFonts w:eastAsia="Times New Roman" w:cs="Calibri"/>
          <w:sz w:val="24"/>
          <w:lang w:eastAsia="en-GB" w:bidi="x-none"/>
        </w:rPr>
        <w:t xml:space="preserve">The use of Hyatt’s Critical Literacy Framework </w:t>
      </w:r>
      <w:r w:rsidR="00F53C40">
        <w:rPr>
          <w:rFonts w:eastAsia="Times New Roman" w:cs="Calibri"/>
          <w:sz w:val="24"/>
          <w:lang w:eastAsia="en-GB" w:bidi="x-none"/>
        </w:rPr>
        <w:t>allowed</w:t>
      </w:r>
      <w:r w:rsidR="00D13D6F">
        <w:rPr>
          <w:rFonts w:eastAsia="Times New Roman" w:cs="Calibri"/>
          <w:sz w:val="24"/>
          <w:lang w:eastAsia="en-GB" w:bidi="x-none"/>
        </w:rPr>
        <w:t xml:space="preserve"> me to</w:t>
      </w:r>
      <w:r>
        <w:rPr>
          <w:rFonts w:eastAsia="Times New Roman" w:cs="Calibri"/>
          <w:sz w:val="24"/>
          <w:lang w:eastAsia="en-GB" w:bidi="x-none"/>
        </w:rPr>
        <w:t xml:space="preserve"> consider a range of literacy devices in operation throughout the </w:t>
      </w:r>
      <w:r w:rsidR="00F53C40">
        <w:rPr>
          <w:rFonts w:eastAsia="Times New Roman" w:cs="Calibri"/>
          <w:sz w:val="24"/>
          <w:lang w:eastAsia="en-GB" w:bidi="x-none"/>
        </w:rPr>
        <w:t>sample</w:t>
      </w:r>
      <w:r>
        <w:rPr>
          <w:rFonts w:eastAsia="Times New Roman" w:cs="Calibri"/>
          <w:sz w:val="24"/>
          <w:lang w:eastAsia="en-GB" w:bidi="x-none"/>
        </w:rPr>
        <w:t xml:space="preserve"> texts</w:t>
      </w:r>
      <w:r w:rsidR="00D13D6F">
        <w:rPr>
          <w:rFonts w:eastAsia="Times New Roman" w:cs="Calibri"/>
          <w:sz w:val="24"/>
          <w:lang w:eastAsia="en-GB" w:bidi="x-none"/>
        </w:rPr>
        <w:t>.</w:t>
      </w:r>
      <w:r>
        <w:rPr>
          <w:rFonts w:eastAsia="Times New Roman" w:cs="Calibri"/>
          <w:sz w:val="24"/>
          <w:lang w:eastAsia="en-GB" w:bidi="x-none"/>
        </w:rPr>
        <w:t xml:space="preserve"> By focusing on the text</w:t>
      </w:r>
      <w:r w:rsidR="00200EA8">
        <w:rPr>
          <w:rFonts w:eastAsia="Times New Roman" w:cs="Calibri"/>
          <w:sz w:val="24"/>
          <w:lang w:eastAsia="en-GB" w:bidi="x-none"/>
        </w:rPr>
        <w:t>s</w:t>
      </w:r>
      <w:r>
        <w:rPr>
          <w:rFonts w:eastAsia="Times New Roman" w:cs="Calibri"/>
          <w:sz w:val="24"/>
          <w:lang w:eastAsia="en-GB" w:bidi="x-none"/>
        </w:rPr>
        <w:t xml:space="preserve"> in this way</w:t>
      </w:r>
      <w:r w:rsidR="0034131C">
        <w:rPr>
          <w:rFonts w:eastAsia="Times New Roman" w:cs="Calibri"/>
          <w:sz w:val="24"/>
          <w:lang w:eastAsia="en-GB" w:bidi="x-none"/>
        </w:rPr>
        <w:t>,</w:t>
      </w:r>
      <w:r>
        <w:rPr>
          <w:rFonts w:eastAsia="Times New Roman" w:cs="Calibri"/>
          <w:sz w:val="24"/>
          <w:lang w:eastAsia="en-GB" w:bidi="x-none"/>
        </w:rPr>
        <w:t xml:space="preserve"> I illuminate a range of issues relating to m</w:t>
      </w:r>
      <w:r w:rsidR="00D13D6F">
        <w:rPr>
          <w:rFonts w:eastAsia="Times New Roman" w:cs="Calibri"/>
          <w:sz w:val="24"/>
          <w:lang w:eastAsia="en-GB" w:bidi="x-none"/>
        </w:rPr>
        <w:t>y</w:t>
      </w:r>
      <w:r>
        <w:rPr>
          <w:rFonts w:eastAsia="Times New Roman" w:cs="Calibri"/>
          <w:sz w:val="24"/>
          <w:lang w:eastAsia="en-GB" w:bidi="x-none"/>
        </w:rPr>
        <w:t xml:space="preserve"> research questions that would otherwise have remained obscure. </w:t>
      </w:r>
      <w:r w:rsidR="002F583A">
        <w:rPr>
          <w:rFonts w:eastAsia="Times New Roman" w:cs="Calibri"/>
          <w:sz w:val="24"/>
          <w:lang w:eastAsia="en-GB" w:bidi="x-none"/>
        </w:rPr>
        <w:t>A</w:t>
      </w:r>
      <w:r w:rsidR="00C70AE3">
        <w:rPr>
          <w:rFonts w:eastAsia="Times New Roman" w:cs="Calibri"/>
          <w:sz w:val="24"/>
          <w:lang w:eastAsia="en-GB" w:bidi="x-none"/>
        </w:rPr>
        <w:t xml:space="preserve">pplying Scheurich’s </w:t>
      </w:r>
      <w:r w:rsidR="00DF24E7">
        <w:rPr>
          <w:rFonts w:eastAsia="Times New Roman" w:cs="Calibri"/>
          <w:sz w:val="24"/>
          <w:lang w:eastAsia="en-GB" w:bidi="x-none"/>
        </w:rPr>
        <w:t xml:space="preserve">PA </w:t>
      </w:r>
      <w:r w:rsidR="00C70AE3">
        <w:rPr>
          <w:rFonts w:eastAsia="Times New Roman" w:cs="Calibri"/>
          <w:sz w:val="24"/>
          <w:lang w:eastAsia="en-GB" w:bidi="x-none"/>
        </w:rPr>
        <w:t>framework</w:t>
      </w:r>
      <w:r w:rsidR="0034131C">
        <w:rPr>
          <w:rFonts w:eastAsia="Times New Roman" w:cs="Calibri"/>
          <w:sz w:val="24"/>
          <w:lang w:eastAsia="en-GB" w:bidi="x-none"/>
        </w:rPr>
        <w:t>,</w:t>
      </w:r>
      <w:r w:rsidR="00C70AE3">
        <w:rPr>
          <w:rFonts w:eastAsia="Times New Roman" w:cs="Calibri"/>
          <w:sz w:val="24"/>
          <w:lang w:eastAsia="en-GB" w:bidi="x-none"/>
        </w:rPr>
        <w:t xml:space="preserve"> I identified </w:t>
      </w:r>
      <w:r w:rsidR="0034131C">
        <w:rPr>
          <w:rFonts w:eastAsia="Times New Roman" w:cs="Calibri"/>
          <w:sz w:val="24"/>
          <w:lang w:eastAsia="en-GB" w:bidi="x-none"/>
        </w:rPr>
        <w:t xml:space="preserve">some </w:t>
      </w:r>
      <w:r w:rsidR="00C70AE3">
        <w:rPr>
          <w:rFonts w:eastAsia="Times New Roman" w:cs="Calibri"/>
          <w:sz w:val="24"/>
          <w:lang w:eastAsia="en-GB" w:bidi="x-none"/>
        </w:rPr>
        <w:t xml:space="preserve">key issues </w:t>
      </w:r>
      <w:r w:rsidR="002A7B2E">
        <w:rPr>
          <w:rFonts w:eastAsia="Times New Roman" w:cs="Calibri"/>
          <w:sz w:val="24"/>
          <w:lang w:eastAsia="en-GB" w:bidi="x-none"/>
        </w:rPr>
        <w:t>and social regularities</w:t>
      </w:r>
      <w:r w:rsidR="00C70AE3">
        <w:rPr>
          <w:rFonts w:eastAsia="Times New Roman" w:cs="Calibri"/>
          <w:sz w:val="24"/>
          <w:lang w:eastAsia="en-GB" w:bidi="x-none"/>
        </w:rPr>
        <w:t xml:space="preserve"> arising from my CDA</w:t>
      </w:r>
      <w:r w:rsidR="00036225">
        <w:rPr>
          <w:rFonts w:eastAsia="Times New Roman" w:cs="Calibri"/>
          <w:sz w:val="24"/>
          <w:lang w:eastAsia="en-GB" w:bidi="x-none"/>
        </w:rPr>
        <w:t>. The policy of the new Coalition government outline</w:t>
      </w:r>
      <w:r w:rsidR="0034131C">
        <w:rPr>
          <w:rFonts w:eastAsia="Times New Roman" w:cs="Calibri"/>
          <w:sz w:val="24"/>
          <w:lang w:eastAsia="en-GB" w:bidi="x-none"/>
        </w:rPr>
        <w:t>d</w:t>
      </w:r>
      <w:r w:rsidR="00EC4CBF">
        <w:rPr>
          <w:rFonts w:eastAsia="Times New Roman" w:cs="Calibri"/>
          <w:sz w:val="24"/>
          <w:lang w:eastAsia="en-GB" w:bidi="x-none"/>
        </w:rPr>
        <w:t xml:space="preserve"> a set of stated educational problems from which uncontentious policy solutions </w:t>
      </w:r>
      <w:r w:rsidR="0034131C">
        <w:rPr>
          <w:rFonts w:eastAsia="Times New Roman" w:cs="Calibri"/>
          <w:sz w:val="24"/>
          <w:lang w:eastAsia="en-GB" w:bidi="x-none"/>
        </w:rPr>
        <w:t>we</w:t>
      </w:r>
      <w:r w:rsidR="00EC4CBF">
        <w:rPr>
          <w:rFonts w:eastAsia="Times New Roman" w:cs="Calibri"/>
          <w:sz w:val="24"/>
          <w:lang w:eastAsia="en-GB" w:bidi="x-none"/>
        </w:rPr>
        <w:t xml:space="preserve">re </w:t>
      </w:r>
      <w:r w:rsidR="00036225">
        <w:rPr>
          <w:rFonts w:eastAsia="Times New Roman" w:cs="Calibri"/>
          <w:sz w:val="24"/>
          <w:lang w:eastAsia="en-GB" w:bidi="x-none"/>
        </w:rPr>
        <w:t xml:space="preserve">presented, </w:t>
      </w:r>
      <w:r w:rsidR="0034131C">
        <w:rPr>
          <w:rFonts w:eastAsia="Times New Roman" w:cs="Calibri"/>
          <w:sz w:val="24"/>
          <w:lang w:eastAsia="en-GB" w:bidi="x-none"/>
        </w:rPr>
        <w:t>using</w:t>
      </w:r>
      <w:r w:rsidR="00036225">
        <w:rPr>
          <w:rFonts w:eastAsia="Times New Roman" w:cs="Calibri"/>
          <w:sz w:val="24"/>
          <w:lang w:eastAsia="en-GB" w:bidi="x-none"/>
        </w:rPr>
        <w:t xml:space="preserve"> the TINA discourse (Fairclough</w:t>
      </w:r>
      <w:r w:rsidR="0034131C">
        <w:rPr>
          <w:rFonts w:eastAsia="Times New Roman" w:cs="Calibri"/>
          <w:sz w:val="24"/>
          <w:lang w:eastAsia="en-GB" w:bidi="x-none"/>
        </w:rPr>
        <w:t>,</w:t>
      </w:r>
      <w:r w:rsidR="00036225">
        <w:rPr>
          <w:rFonts w:eastAsia="Times New Roman" w:cs="Calibri"/>
          <w:sz w:val="24"/>
          <w:lang w:eastAsia="en-GB" w:bidi="x-none"/>
        </w:rPr>
        <w:t xml:space="preserve"> 2003) with the main social division</w:t>
      </w:r>
      <w:r w:rsidR="002F583A">
        <w:rPr>
          <w:rFonts w:eastAsia="Times New Roman" w:cs="Calibri"/>
          <w:sz w:val="24"/>
          <w:lang w:eastAsia="en-GB" w:bidi="x-none"/>
        </w:rPr>
        <w:t xml:space="preserve"> addressed by this policy </w:t>
      </w:r>
      <w:r w:rsidR="0034131C">
        <w:rPr>
          <w:rFonts w:eastAsia="Times New Roman" w:cs="Calibri"/>
          <w:sz w:val="24"/>
          <w:lang w:eastAsia="en-GB" w:bidi="x-none"/>
        </w:rPr>
        <w:t xml:space="preserve">being </w:t>
      </w:r>
      <w:r w:rsidR="00036225">
        <w:rPr>
          <w:rFonts w:eastAsia="Times New Roman" w:cs="Calibri"/>
          <w:sz w:val="24"/>
          <w:lang w:eastAsia="en-GB" w:bidi="x-none"/>
        </w:rPr>
        <w:t xml:space="preserve">that of disadvantage as identified by FSM categorisation. </w:t>
      </w:r>
      <w:r w:rsidR="00C378CA">
        <w:rPr>
          <w:rFonts w:eastAsia="Times New Roman" w:cs="Calibri"/>
          <w:sz w:val="24"/>
          <w:lang w:eastAsia="en-GB" w:bidi="x-none"/>
        </w:rPr>
        <w:t xml:space="preserve">The </w:t>
      </w:r>
      <w:r w:rsidR="002F583A">
        <w:rPr>
          <w:rFonts w:eastAsia="Times New Roman" w:cs="Calibri"/>
          <w:sz w:val="24"/>
          <w:lang w:eastAsia="en-GB" w:bidi="x-none"/>
        </w:rPr>
        <w:t>identified</w:t>
      </w:r>
      <w:r w:rsidR="00C378CA">
        <w:rPr>
          <w:rFonts w:eastAsia="Times New Roman" w:cs="Calibri"/>
          <w:sz w:val="24"/>
          <w:lang w:eastAsia="en-GB" w:bidi="x-none"/>
        </w:rPr>
        <w:t xml:space="preserve"> educational problems include: the nature and range of the curriculum and knowledge offered to children up to </w:t>
      </w:r>
      <w:r w:rsidR="0034131C">
        <w:rPr>
          <w:rFonts w:eastAsia="Times New Roman" w:cs="Calibri"/>
          <w:sz w:val="24"/>
          <w:lang w:eastAsia="en-GB" w:bidi="x-none"/>
        </w:rPr>
        <w:t>16</w:t>
      </w:r>
      <w:r w:rsidR="00C378CA">
        <w:rPr>
          <w:rFonts w:eastAsia="Times New Roman" w:cs="Calibri"/>
          <w:sz w:val="24"/>
          <w:lang w:eastAsia="en-GB" w:bidi="x-none"/>
        </w:rPr>
        <w:t>; the measurement and judgement of individual and school achievement; and w</w:t>
      </w:r>
      <w:r w:rsidR="002F583A">
        <w:rPr>
          <w:rFonts w:eastAsia="Times New Roman" w:cs="Calibri"/>
          <w:sz w:val="24"/>
          <w:lang w:eastAsia="en-GB" w:bidi="x-none"/>
        </w:rPr>
        <w:t xml:space="preserve">hether the curriculum of schools </w:t>
      </w:r>
      <w:r w:rsidR="00C378CA">
        <w:rPr>
          <w:rFonts w:eastAsia="Times New Roman" w:cs="Calibri"/>
          <w:sz w:val="24"/>
          <w:lang w:eastAsia="en-GB" w:bidi="x-none"/>
        </w:rPr>
        <w:t xml:space="preserve">offers equality of opportunity </w:t>
      </w:r>
      <w:r w:rsidR="0034131C">
        <w:rPr>
          <w:rFonts w:eastAsia="Times New Roman" w:cs="Calibri"/>
          <w:sz w:val="24"/>
          <w:lang w:eastAsia="en-GB" w:bidi="x-none"/>
        </w:rPr>
        <w:t>f</w:t>
      </w:r>
      <w:r w:rsidR="00C378CA">
        <w:rPr>
          <w:rFonts w:eastAsia="Times New Roman" w:cs="Calibri"/>
          <w:sz w:val="24"/>
          <w:lang w:eastAsia="en-GB" w:bidi="x-none"/>
        </w:rPr>
        <w:t>o</w:t>
      </w:r>
      <w:r w:rsidR="0034131C">
        <w:rPr>
          <w:rFonts w:eastAsia="Times New Roman" w:cs="Calibri"/>
          <w:sz w:val="24"/>
          <w:lang w:eastAsia="en-GB" w:bidi="x-none"/>
        </w:rPr>
        <w:t>r</w:t>
      </w:r>
      <w:r w:rsidR="00C378CA">
        <w:rPr>
          <w:rFonts w:eastAsia="Times New Roman" w:cs="Calibri"/>
          <w:sz w:val="24"/>
          <w:lang w:eastAsia="en-GB" w:bidi="x-none"/>
        </w:rPr>
        <w:t xml:space="preserve"> all</w:t>
      </w:r>
      <w:r w:rsidR="002F583A">
        <w:rPr>
          <w:rFonts w:eastAsia="Times New Roman" w:cs="Calibri"/>
          <w:sz w:val="24"/>
          <w:lang w:eastAsia="en-GB" w:bidi="x-none"/>
        </w:rPr>
        <w:t>. These problems and social regularities are</w:t>
      </w:r>
      <w:r w:rsidR="0034131C">
        <w:rPr>
          <w:rFonts w:eastAsia="Times New Roman" w:cs="Calibri"/>
          <w:sz w:val="24"/>
          <w:lang w:eastAsia="en-GB" w:bidi="x-none"/>
        </w:rPr>
        <w:t xml:space="preserve"> next</w:t>
      </w:r>
      <w:r w:rsidR="002F583A">
        <w:rPr>
          <w:rFonts w:eastAsia="Times New Roman" w:cs="Calibri"/>
          <w:sz w:val="24"/>
          <w:lang w:eastAsia="en-GB" w:bidi="x-none"/>
        </w:rPr>
        <w:t xml:space="preserve"> explored with school leaders within four different schools via semi</w:t>
      </w:r>
      <w:r w:rsidR="00CB1972">
        <w:rPr>
          <w:rFonts w:eastAsia="Times New Roman" w:cs="Calibri"/>
          <w:sz w:val="24"/>
          <w:lang w:eastAsia="en-GB" w:bidi="x-none"/>
        </w:rPr>
        <w:t>-</w:t>
      </w:r>
      <w:r w:rsidR="002F583A">
        <w:rPr>
          <w:rFonts w:eastAsia="Times New Roman" w:cs="Calibri"/>
          <w:sz w:val="24"/>
          <w:lang w:eastAsia="en-GB" w:bidi="x-none"/>
        </w:rPr>
        <w:t>structured interviews</w:t>
      </w:r>
      <w:r w:rsidR="002351ED">
        <w:rPr>
          <w:rFonts w:eastAsia="Times New Roman" w:cs="Calibri"/>
          <w:sz w:val="24"/>
          <w:lang w:eastAsia="en-GB" w:bidi="x-none"/>
        </w:rPr>
        <w:t>, the analysis of which covers five overarching themes</w:t>
      </w:r>
      <w:r w:rsidR="000A1112">
        <w:rPr>
          <w:rFonts w:eastAsia="Times New Roman" w:cs="Calibri"/>
          <w:sz w:val="24"/>
          <w:lang w:eastAsia="en-GB" w:bidi="x-none"/>
        </w:rPr>
        <w:t xml:space="preserve"> (section 4.3)</w:t>
      </w:r>
      <w:r w:rsidR="002351ED">
        <w:rPr>
          <w:rFonts w:cs="Calibri"/>
          <w:sz w:val="24"/>
        </w:rPr>
        <w:t xml:space="preserve">. </w:t>
      </w:r>
      <w:r w:rsidR="00CA6A24">
        <w:rPr>
          <w:rFonts w:eastAsia="Times New Roman" w:cs="Calibri"/>
          <w:sz w:val="24"/>
          <w:lang w:eastAsia="en-GB" w:bidi="x-none"/>
        </w:rPr>
        <w:t xml:space="preserve"> </w:t>
      </w:r>
      <w:r w:rsidR="006B68A4">
        <w:rPr>
          <w:rFonts w:eastAsia="Times New Roman" w:cs="Calibri"/>
          <w:sz w:val="24"/>
          <w:lang w:eastAsia="en-GB" w:bidi="x-none"/>
        </w:rPr>
        <w:t xml:space="preserve">In order to address my first research question </w:t>
      </w:r>
      <w:r w:rsidR="000D5B17">
        <w:rPr>
          <w:rFonts w:eastAsia="Times New Roman" w:cs="Calibri"/>
          <w:sz w:val="24"/>
          <w:lang w:eastAsia="en-GB" w:bidi="x-none"/>
        </w:rPr>
        <w:t>“</w:t>
      </w:r>
      <w:r w:rsidR="006B68A4">
        <w:rPr>
          <w:rFonts w:eastAsia="Times New Roman" w:cs="Calibri"/>
          <w:sz w:val="24"/>
          <w:lang w:eastAsia="en-GB" w:bidi="x-none"/>
        </w:rPr>
        <w:t>What is the EBac policy and how and why was it introduced as part of a wider policy framework?</w:t>
      </w:r>
      <w:r w:rsidR="000D5B17">
        <w:rPr>
          <w:rFonts w:eastAsia="Times New Roman" w:cs="Calibri"/>
          <w:sz w:val="24"/>
          <w:lang w:eastAsia="en-GB" w:bidi="x-none"/>
        </w:rPr>
        <w:t>”</w:t>
      </w:r>
      <w:r w:rsidR="006B68A4">
        <w:rPr>
          <w:rFonts w:eastAsia="Times New Roman" w:cs="Calibri"/>
          <w:sz w:val="24"/>
          <w:lang w:eastAsia="en-GB" w:bidi="x-none"/>
        </w:rPr>
        <w:t xml:space="preserve"> </w:t>
      </w:r>
      <w:r w:rsidR="00A46BF0">
        <w:rPr>
          <w:rFonts w:eastAsia="Times New Roman" w:cs="Calibri"/>
          <w:sz w:val="24"/>
          <w:lang w:eastAsia="en-GB" w:bidi="x-none"/>
        </w:rPr>
        <w:t xml:space="preserve">I </w:t>
      </w:r>
      <w:r w:rsidR="000D5B17">
        <w:rPr>
          <w:rFonts w:eastAsia="Times New Roman" w:cs="Calibri"/>
          <w:sz w:val="24"/>
          <w:lang w:eastAsia="en-GB" w:bidi="x-none"/>
        </w:rPr>
        <w:t xml:space="preserve">critically </w:t>
      </w:r>
      <w:r w:rsidR="00A46BF0">
        <w:rPr>
          <w:rFonts w:eastAsia="Times New Roman" w:cs="Calibri"/>
          <w:sz w:val="24"/>
          <w:lang w:eastAsia="en-GB" w:bidi="x-none"/>
        </w:rPr>
        <w:t>analysed</w:t>
      </w:r>
      <w:r w:rsidR="006B68A4">
        <w:rPr>
          <w:rFonts w:eastAsia="Times New Roman" w:cs="Calibri"/>
          <w:sz w:val="24"/>
          <w:lang w:eastAsia="en-GB" w:bidi="x-none"/>
        </w:rPr>
        <w:t xml:space="preserve"> </w:t>
      </w:r>
      <w:r w:rsidR="000D1B5C">
        <w:rPr>
          <w:rFonts w:eastAsia="Times New Roman" w:cs="Calibri"/>
          <w:sz w:val="24"/>
          <w:lang w:eastAsia="en-GB" w:bidi="x-none"/>
        </w:rPr>
        <w:t xml:space="preserve">sections of </w:t>
      </w:r>
      <w:r w:rsidR="00072337">
        <w:rPr>
          <w:rFonts w:eastAsia="Times New Roman" w:cs="Calibri"/>
          <w:sz w:val="24"/>
          <w:lang w:eastAsia="en-GB" w:bidi="x-none"/>
        </w:rPr>
        <w:t xml:space="preserve">the </w:t>
      </w:r>
      <w:r w:rsidR="000D1B5C">
        <w:rPr>
          <w:rFonts w:eastAsia="Times New Roman" w:cs="Calibri"/>
          <w:sz w:val="24"/>
          <w:lang w:eastAsia="en-GB" w:bidi="x-none"/>
        </w:rPr>
        <w:t xml:space="preserve">EBac </w:t>
      </w:r>
      <w:r w:rsidR="00072337">
        <w:rPr>
          <w:rFonts w:eastAsia="Times New Roman" w:cs="Calibri"/>
          <w:sz w:val="24"/>
          <w:lang w:eastAsia="en-GB" w:bidi="x-none"/>
        </w:rPr>
        <w:t>policy text</w:t>
      </w:r>
      <w:r w:rsidR="000D5B17">
        <w:rPr>
          <w:rFonts w:eastAsia="Times New Roman" w:cs="Calibri"/>
          <w:sz w:val="24"/>
          <w:lang w:eastAsia="en-GB" w:bidi="x-none"/>
        </w:rPr>
        <w:t>,</w:t>
      </w:r>
      <w:r w:rsidR="00A46BF0">
        <w:rPr>
          <w:rFonts w:eastAsia="Times New Roman" w:cs="Calibri"/>
          <w:sz w:val="24"/>
          <w:lang w:eastAsia="en-GB" w:bidi="x-none"/>
        </w:rPr>
        <w:t xml:space="preserve"> </w:t>
      </w:r>
      <w:r w:rsidR="006B68A4">
        <w:rPr>
          <w:rFonts w:eastAsia="Times New Roman" w:cs="Calibri"/>
          <w:sz w:val="24"/>
          <w:lang w:eastAsia="en-GB" w:bidi="x-none"/>
        </w:rPr>
        <w:t>also address</w:t>
      </w:r>
      <w:r w:rsidR="00A46BF0">
        <w:rPr>
          <w:rFonts w:eastAsia="Times New Roman" w:cs="Calibri"/>
          <w:sz w:val="24"/>
          <w:lang w:eastAsia="en-GB" w:bidi="x-none"/>
        </w:rPr>
        <w:t>ing</w:t>
      </w:r>
      <w:r w:rsidR="006B68A4">
        <w:rPr>
          <w:rFonts w:eastAsia="Times New Roman" w:cs="Calibri"/>
          <w:sz w:val="24"/>
          <w:lang w:eastAsia="en-GB" w:bidi="x-none"/>
        </w:rPr>
        <w:t xml:space="preserve"> </w:t>
      </w:r>
      <w:r w:rsidR="00EA66C9">
        <w:rPr>
          <w:rFonts w:eastAsia="Times New Roman" w:cs="Calibri"/>
          <w:sz w:val="24"/>
          <w:lang w:eastAsia="en-GB" w:bidi="x-none"/>
        </w:rPr>
        <w:t>my third research question</w:t>
      </w:r>
      <w:r w:rsidR="006B68A4">
        <w:rPr>
          <w:rFonts w:eastAsia="Times New Roman" w:cs="Calibri"/>
          <w:sz w:val="24"/>
          <w:lang w:eastAsia="en-GB" w:bidi="x-none"/>
        </w:rPr>
        <w:t>:</w:t>
      </w:r>
      <w:r w:rsidR="002F583A">
        <w:rPr>
          <w:rFonts w:eastAsia="Times New Roman" w:cs="Calibri"/>
          <w:sz w:val="24"/>
          <w:lang w:eastAsia="en-GB" w:bidi="x-none"/>
        </w:rPr>
        <w:t xml:space="preserve"> </w:t>
      </w:r>
      <w:r w:rsidR="000D5B17">
        <w:rPr>
          <w:rFonts w:eastAsia="Times New Roman" w:cs="Calibri"/>
          <w:sz w:val="24"/>
          <w:lang w:eastAsia="en-GB" w:bidi="x-none"/>
        </w:rPr>
        <w:t>“</w:t>
      </w:r>
      <w:r w:rsidR="006B68A4">
        <w:rPr>
          <w:rFonts w:eastAsia="Times New Roman" w:cs="Calibri"/>
          <w:sz w:val="24"/>
          <w:lang w:eastAsia="en-GB" w:bidi="x-none"/>
        </w:rPr>
        <w:t>D</w:t>
      </w:r>
      <w:r w:rsidR="00EA66C9">
        <w:rPr>
          <w:rFonts w:eastAsia="Times New Roman" w:cs="Calibri"/>
          <w:sz w:val="24"/>
          <w:lang w:eastAsia="en-GB" w:bidi="x-none"/>
        </w:rPr>
        <w:t>oes the EBac have implications for educational equality?</w:t>
      </w:r>
      <w:r w:rsidR="000D5B17">
        <w:rPr>
          <w:rFonts w:eastAsia="Times New Roman" w:cs="Calibri"/>
          <w:sz w:val="24"/>
          <w:lang w:eastAsia="en-GB" w:bidi="x-none"/>
        </w:rPr>
        <w:t>”</w:t>
      </w:r>
      <w:r w:rsidR="00787798">
        <w:rPr>
          <w:rFonts w:eastAsia="Times New Roman" w:cs="Calibri"/>
          <w:sz w:val="24"/>
          <w:lang w:eastAsia="en-GB" w:bidi="x-none"/>
        </w:rPr>
        <w:t xml:space="preserve"> </w:t>
      </w:r>
      <w:r w:rsidR="00CA6A24">
        <w:rPr>
          <w:rFonts w:eastAsia="Times New Roman" w:cs="Calibri"/>
          <w:sz w:val="24"/>
          <w:lang w:eastAsia="en-GB" w:bidi="x-none"/>
        </w:rPr>
        <w:t xml:space="preserve">I </w:t>
      </w:r>
      <w:r w:rsidR="000D5B17">
        <w:rPr>
          <w:rFonts w:eastAsia="Times New Roman" w:cs="Calibri"/>
          <w:sz w:val="24"/>
          <w:lang w:eastAsia="en-GB" w:bidi="x-none"/>
        </w:rPr>
        <w:t>go on to</w:t>
      </w:r>
      <w:r w:rsidR="006B68A4">
        <w:rPr>
          <w:rFonts w:eastAsia="Times New Roman" w:cs="Calibri"/>
          <w:sz w:val="24"/>
          <w:lang w:eastAsia="en-GB" w:bidi="x-none"/>
        </w:rPr>
        <w:t xml:space="preserve"> </w:t>
      </w:r>
      <w:r w:rsidR="00EA66C9">
        <w:rPr>
          <w:rFonts w:eastAsia="Times New Roman" w:cs="Calibri"/>
          <w:sz w:val="24"/>
          <w:lang w:eastAsia="en-GB" w:bidi="x-none"/>
        </w:rPr>
        <w:t xml:space="preserve">explore </w:t>
      </w:r>
      <w:r w:rsidR="00A46BF0">
        <w:rPr>
          <w:rFonts w:eastAsia="Times New Roman" w:cs="Calibri"/>
          <w:sz w:val="24"/>
          <w:lang w:eastAsia="en-GB" w:bidi="x-none"/>
        </w:rPr>
        <w:t>th</w:t>
      </w:r>
      <w:r w:rsidR="00CA6A24">
        <w:rPr>
          <w:rFonts w:eastAsia="Times New Roman" w:cs="Calibri"/>
          <w:sz w:val="24"/>
          <w:lang w:eastAsia="en-GB" w:bidi="x-none"/>
        </w:rPr>
        <w:t xml:space="preserve">e latter </w:t>
      </w:r>
      <w:r w:rsidR="00EA66C9">
        <w:rPr>
          <w:rFonts w:eastAsia="Times New Roman" w:cs="Calibri"/>
          <w:sz w:val="24"/>
          <w:lang w:eastAsia="en-GB" w:bidi="x-none"/>
        </w:rPr>
        <w:t xml:space="preserve">question </w:t>
      </w:r>
      <w:r w:rsidR="00A46BF0">
        <w:rPr>
          <w:rFonts w:eastAsia="Times New Roman" w:cs="Calibri"/>
          <w:sz w:val="24"/>
          <w:lang w:eastAsia="en-GB" w:bidi="x-none"/>
        </w:rPr>
        <w:t>via analysis</w:t>
      </w:r>
      <w:r w:rsidR="00EA66C9">
        <w:rPr>
          <w:rFonts w:eastAsia="Times New Roman" w:cs="Calibri"/>
          <w:sz w:val="24"/>
          <w:lang w:eastAsia="en-GB" w:bidi="x-none"/>
        </w:rPr>
        <w:t xml:space="preserve"> of my semi-structured interviews</w:t>
      </w:r>
      <w:r w:rsidR="006B68A4">
        <w:rPr>
          <w:rFonts w:eastAsia="Times New Roman" w:cs="Calibri"/>
          <w:sz w:val="24"/>
          <w:lang w:eastAsia="en-GB" w:bidi="x-none"/>
        </w:rPr>
        <w:t xml:space="preserve">, </w:t>
      </w:r>
      <w:r w:rsidR="00FF0EF4">
        <w:rPr>
          <w:rFonts w:eastAsia="Times New Roman" w:cs="Calibri"/>
          <w:sz w:val="24"/>
          <w:lang w:eastAsia="en-GB" w:bidi="x-none"/>
        </w:rPr>
        <w:t>while</w:t>
      </w:r>
      <w:r w:rsidR="006B68A4">
        <w:rPr>
          <w:rFonts w:eastAsia="Times New Roman" w:cs="Calibri"/>
          <w:sz w:val="24"/>
          <w:lang w:eastAsia="en-GB" w:bidi="x-none"/>
        </w:rPr>
        <w:t xml:space="preserve"> engaging with </w:t>
      </w:r>
      <w:r w:rsidR="000D5B17">
        <w:rPr>
          <w:rFonts w:eastAsia="Times New Roman" w:cs="Calibri"/>
          <w:sz w:val="24"/>
          <w:lang w:eastAsia="en-GB" w:bidi="x-none"/>
        </w:rPr>
        <w:t>R</w:t>
      </w:r>
      <w:r w:rsidR="00EA66C9">
        <w:rPr>
          <w:rFonts w:eastAsia="Times New Roman" w:cs="Calibri"/>
          <w:sz w:val="24"/>
          <w:lang w:eastAsia="en-GB" w:bidi="x-none"/>
        </w:rPr>
        <w:t xml:space="preserve">esearch </w:t>
      </w:r>
      <w:r w:rsidR="000D5B17">
        <w:rPr>
          <w:rFonts w:eastAsia="Times New Roman" w:cs="Calibri"/>
          <w:sz w:val="24"/>
          <w:lang w:eastAsia="en-GB" w:bidi="x-none"/>
        </w:rPr>
        <w:t>Q</w:t>
      </w:r>
      <w:r w:rsidR="00EA66C9">
        <w:rPr>
          <w:rFonts w:eastAsia="Times New Roman" w:cs="Calibri"/>
          <w:sz w:val="24"/>
          <w:lang w:eastAsia="en-GB" w:bidi="x-none"/>
        </w:rPr>
        <w:t>uestion</w:t>
      </w:r>
      <w:r w:rsidR="000D5B17">
        <w:rPr>
          <w:rFonts w:eastAsia="Times New Roman" w:cs="Calibri"/>
          <w:sz w:val="24"/>
          <w:lang w:eastAsia="en-GB" w:bidi="x-none"/>
        </w:rPr>
        <w:t xml:space="preserve"> 2</w:t>
      </w:r>
      <w:r w:rsidR="006B68A4">
        <w:rPr>
          <w:rFonts w:eastAsia="Times New Roman" w:cs="Calibri"/>
          <w:sz w:val="24"/>
          <w:lang w:eastAsia="en-GB" w:bidi="x-none"/>
        </w:rPr>
        <w:t xml:space="preserve">: </w:t>
      </w:r>
      <w:r w:rsidR="000D5B17">
        <w:rPr>
          <w:rFonts w:eastAsia="Times New Roman" w:cs="Calibri"/>
          <w:sz w:val="24"/>
          <w:lang w:eastAsia="en-GB" w:bidi="x-none"/>
        </w:rPr>
        <w:t>“</w:t>
      </w:r>
      <w:r w:rsidR="006B68A4">
        <w:rPr>
          <w:rFonts w:eastAsia="Times New Roman" w:cs="Calibri"/>
          <w:sz w:val="24"/>
          <w:lang w:eastAsia="en-GB" w:bidi="x-none"/>
        </w:rPr>
        <w:t>W</w:t>
      </w:r>
      <w:r w:rsidR="00EA66C9">
        <w:rPr>
          <w:rFonts w:eastAsia="Times New Roman" w:cs="Calibri"/>
          <w:sz w:val="24"/>
          <w:lang w:eastAsia="en-GB" w:bidi="x-none"/>
        </w:rPr>
        <w:t xml:space="preserve">hat are teachers’ perspectives on the </w:t>
      </w:r>
      <w:r w:rsidR="00A32006">
        <w:rPr>
          <w:rFonts w:eastAsia="Times New Roman" w:cs="Calibri"/>
          <w:sz w:val="24"/>
          <w:lang w:eastAsia="en-GB" w:bidi="x-none"/>
        </w:rPr>
        <w:t>constitution</w:t>
      </w:r>
      <w:r w:rsidR="00EA66C9">
        <w:rPr>
          <w:rFonts w:eastAsia="Times New Roman" w:cs="Calibri"/>
          <w:sz w:val="24"/>
          <w:lang w:eastAsia="en-GB" w:bidi="x-none"/>
        </w:rPr>
        <w:t xml:space="preserve"> and implementation of the EBac?</w:t>
      </w:r>
      <w:r w:rsidR="000D5B17">
        <w:rPr>
          <w:rFonts w:eastAsia="Times New Roman" w:cs="Calibri"/>
          <w:sz w:val="24"/>
          <w:lang w:eastAsia="en-GB" w:bidi="x-none"/>
        </w:rPr>
        <w:t>”</w:t>
      </w:r>
      <w:r w:rsidR="00EA66C9">
        <w:rPr>
          <w:rFonts w:eastAsia="Times New Roman" w:cs="Calibri"/>
          <w:sz w:val="24"/>
          <w:lang w:eastAsia="en-GB" w:bidi="x-none"/>
        </w:rPr>
        <w:t xml:space="preserve"> </w:t>
      </w:r>
    </w:p>
    <w:p w14:paraId="329D5468" w14:textId="40C378C5" w:rsidR="00A32006" w:rsidRPr="00A32006" w:rsidRDefault="00A32006" w:rsidP="00531995">
      <w:pPr>
        <w:pStyle w:val="Heading2"/>
      </w:pPr>
      <w:r w:rsidDel="00A32006">
        <w:rPr>
          <w:bCs/>
        </w:rPr>
        <w:t xml:space="preserve"> </w:t>
      </w:r>
      <w:bookmarkStart w:id="88" w:name="_Toc452316372"/>
      <w:r w:rsidRPr="00A32006">
        <w:t>4.</w:t>
      </w:r>
      <w:r w:rsidR="0044611E">
        <w:t>3</w:t>
      </w:r>
      <w:r w:rsidRPr="00A32006">
        <w:t xml:space="preserve"> Semi-structured interview</w:t>
      </w:r>
      <w:r w:rsidR="00350EA4">
        <w:t>s</w:t>
      </w:r>
      <w:bookmarkEnd w:id="88"/>
      <w:r w:rsidRPr="00A32006">
        <w:t xml:space="preserve"> </w:t>
      </w:r>
    </w:p>
    <w:p w14:paraId="4E2C453B" w14:textId="1DE05AC7" w:rsidR="003B5A19" w:rsidRPr="000930A7" w:rsidRDefault="000A1112" w:rsidP="003A47A6">
      <w:pPr>
        <w:tabs>
          <w:tab w:val="left" w:pos="6946"/>
          <w:tab w:val="left" w:pos="8789"/>
        </w:tabs>
        <w:spacing w:line="360" w:lineRule="auto"/>
        <w:rPr>
          <w:sz w:val="24"/>
          <w:szCs w:val="24"/>
        </w:rPr>
      </w:pPr>
      <w:r>
        <w:rPr>
          <w:sz w:val="24"/>
          <w:szCs w:val="24"/>
        </w:rPr>
        <w:t xml:space="preserve">The CDA allowed me to focus on key EBac policy texts, highlighting key policy problems and social regularities. These problems and social regularities were </w:t>
      </w:r>
      <w:r w:rsidR="00CA6A24">
        <w:rPr>
          <w:sz w:val="24"/>
          <w:szCs w:val="24"/>
        </w:rPr>
        <w:t xml:space="preserve">then </w:t>
      </w:r>
      <w:r>
        <w:rPr>
          <w:sz w:val="24"/>
          <w:szCs w:val="24"/>
        </w:rPr>
        <w:t xml:space="preserve">explored from the perspective of </w:t>
      </w:r>
      <w:r w:rsidR="00190DE7">
        <w:rPr>
          <w:sz w:val="24"/>
          <w:szCs w:val="24"/>
        </w:rPr>
        <w:t xml:space="preserve">policy </w:t>
      </w:r>
      <w:r>
        <w:rPr>
          <w:sz w:val="24"/>
          <w:szCs w:val="24"/>
        </w:rPr>
        <w:t xml:space="preserve">implementation </w:t>
      </w:r>
      <w:r w:rsidR="00190DE7">
        <w:rPr>
          <w:sz w:val="24"/>
          <w:szCs w:val="24"/>
        </w:rPr>
        <w:t xml:space="preserve">and practice </w:t>
      </w:r>
      <w:r>
        <w:rPr>
          <w:sz w:val="24"/>
          <w:szCs w:val="24"/>
        </w:rPr>
        <w:t>in four contrasting state secondary schools. Within this section</w:t>
      </w:r>
      <w:r w:rsidR="003B5A19">
        <w:rPr>
          <w:sz w:val="24"/>
          <w:szCs w:val="24"/>
        </w:rPr>
        <w:t>,</w:t>
      </w:r>
      <w:r>
        <w:rPr>
          <w:sz w:val="24"/>
          <w:szCs w:val="24"/>
        </w:rPr>
        <w:t xml:space="preserve"> </w:t>
      </w:r>
      <w:r w:rsidR="00276129">
        <w:rPr>
          <w:sz w:val="24"/>
          <w:szCs w:val="24"/>
        </w:rPr>
        <w:t>I</w:t>
      </w:r>
      <w:r w:rsidR="002F1DA4">
        <w:rPr>
          <w:sz w:val="24"/>
          <w:szCs w:val="24"/>
        </w:rPr>
        <w:t xml:space="preserve"> </w:t>
      </w:r>
      <w:r w:rsidR="00D5396E" w:rsidRPr="000930A7">
        <w:rPr>
          <w:sz w:val="24"/>
          <w:szCs w:val="24"/>
        </w:rPr>
        <w:t xml:space="preserve">introduce the four schools and the </w:t>
      </w:r>
      <w:r w:rsidR="003508FD">
        <w:rPr>
          <w:sz w:val="24"/>
          <w:szCs w:val="24"/>
        </w:rPr>
        <w:t>10</w:t>
      </w:r>
      <w:r w:rsidR="002F1DA4">
        <w:rPr>
          <w:sz w:val="24"/>
          <w:szCs w:val="24"/>
        </w:rPr>
        <w:t xml:space="preserve"> </w:t>
      </w:r>
      <w:r w:rsidR="00D5396E" w:rsidRPr="000930A7">
        <w:rPr>
          <w:sz w:val="24"/>
          <w:szCs w:val="24"/>
        </w:rPr>
        <w:t>school leader</w:t>
      </w:r>
      <w:r w:rsidR="003B5A19">
        <w:rPr>
          <w:sz w:val="24"/>
          <w:szCs w:val="24"/>
        </w:rPr>
        <w:t xml:space="preserve"> </w:t>
      </w:r>
      <w:r w:rsidR="00EB3BA1">
        <w:rPr>
          <w:sz w:val="24"/>
          <w:szCs w:val="24"/>
        </w:rPr>
        <w:lastRenderedPageBreak/>
        <w:t>interviewees</w:t>
      </w:r>
      <w:r w:rsidR="0037311E">
        <w:rPr>
          <w:sz w:val="24"/>
          <w:szCs w:val="24"/>
        </w:rPr>
        <w:t>, drawing out elements which led me to classify each school within a</w:t>
      </w:r>
      <w:r w:rsidR="002351ED">
        <w:rPr>
          <w:sz w:val="24"/>
          <w:szCs w:val="24"/>
        </w:rPr>
        <w:t xml:space="preserve"> </w:t>
      </w:r>
      <w:r>
        <w:rPr>
          <w:sz w:val="24"/>
          <w:szCs w:val="24"/>
        </w:rPr>
        <w:t>fourfold</w:t>
      </w:r>
      <w:r w:rsidR="0037311E">
        <w:rPr>
          <w:sz w:val="24"/>
          <w:szCs w:val="24"/>
        </w:rPr>
        <w:t xml:space="preserve"> EBac typology</w:t>
      </w:r>
      <w:r w:rsidR="00276129">
        <w:rPr>
          <w:sz w:val="24"/>
          <w:szCs w:val="24"/>
        </w:rPr>
        <w:t xml:space="preserve">. </w:t>
      </w:r>
      <w:r w:rsidR="00D5396E" w:rsidRPr="000930A7">
        <w:rPr>
          <w:sz w:val="24"/>
          <w:szCs w:val="24"/>
        </w:rPr>
        <w:t xml:space="preserve">All schools and teacher </w:t>
      </w:r>
      <w:r w:rsidR="00276129">
        <w:rPr>
          <w:sz w:val="24"/>
          <w:szCs w:val="24"/>
        </w:rPr>
        <w:t xml:space="preserve">names </w:t>
      </w:r>
      <w:r w:rsidR="00D5396E" w:rsidRPr="000930A7">
        <w:rPr>
          <w:sz w:val="24"/>
          <w:szCs w:val="24"/>
        </w:rPr>
        <w:t xml:space="preserve">have been anonymised. The interview transcripts were analysed using a thematic approach. I coded my transcripts for </w:t>
      </w:r>
      <w:r w:rsidR="003B5A19">
        <w:rPr>
          <w:sz w:val="24"/>
          <w:szCs w:val="24"/>
        </w:rPr>
        <w:t>31</w:t>
      </w:r>
      <w:r w:rsidR="00D5396E" w:rsidRPr="000930A7">
        <w:rPr>
          <w:sz w:val="24"/>
          <w:szCs w:val="24"/>
        </w:rPr>
        <w:t xml:space="preserve"> codes within five themes</w:t>
      </w:r>
      <w:r w:rsidR="003F4D9F">
        <w:rPr>
          <w:sz w:val="24"/>
          <w:szCs w:val="24"/>
        </w:rPr>
        <w:t xml:space="preserve"> (see </w:t>
      </w:r>
      <w:r w:rsidR="003B5A19">
        <w:rPr>
          <w:sz w:val="24"/>
          <w:szCs w:val="24"/>
        </w:rPr>
        <w:t>S</w:t>
      </w:r>
      <w:r w:rsidR="0026013F">
        <w:rPr>
          <w:sz w:val="24"/>
          <w:szCs w:val="24"/>
        </w:rPr>
        <w:t>ection 3.5.10</w:t>
      </w:r>
      <w:r w:rsidR="003F4D9F">
        <w:rPr>
          <w:sz w:val="24"/>
          <w:szCs w:val="24"/>
        </w:rPr>
        <w:t>)</w:t>
      </w:r>
      <w:r w:rsidR="00D5396E" w:rsidRPr="000930A7">
        <w:rPr>
          <w:sz w:val="24"/>
          <w:szCs w:val="24"/>
        </w:rPr>
        <w:t xml:space="preserve">. The themes were: </w:t>
      </w:r>
      <w:r w:rsidR="00CA6A24">
        <w:rPr>
          <w:sz w:val="24"/>
          <w:szCs w:val="24"/>
        </w:rPr>
        <w:t xml:space="preserve">the </w:t>
      </w:r>
      <w:r w:rsidR="00D5396E" w:rsidRPr="000930A7">
        <w:rPr>
          <w:sz w:val="24"/>
          <w:szCs w:val="24"/>
        </w:rPr>
        <w:t>nature of knowledge, differentiation and hierarchy; choice and resistance; control and accountability</w:t>
      </w:r>
      <w:r w:rsidR="003B5A19">
        <w:rPr>
          <w:sz w:val="24"/>
          <w:szCs w:val="24"/>
        </w:rPr>
        <w:t>,</w:t>
      </w:r>
      <w:r w:rsidR="00D5396E" w:rsidRPr="000930A7">
        <w:rPr>
          <w:sz w:val="24"/>
          <w:szCs w:val="24"/>
        </w:rPr>
        <w:t xml:space="preserve"> and equality. I critically discuss the five themes</w:t>
      </w:r>
      <w:r w:rsidR="002F1DA4">
        <w:rPr>
          <w:sz w:val="24"/>
          <w:szCs w:val="24"/>
        </w:rPr>
        <w:t xml:space="preserve"> </w:t>
      </w:r>
      <w:r w:rsidR="00CA6A24">
        <w:rPr>
          <w:sz w:val="24"/>
          <w:szCs w:val="24"/>
        </w:rPr>
        <w:t xml:space="preserve">in this section, </w:t>
      </w:r>
      <w:r w:rsidR="002F1DA4">
        <w:rPr>
          <w:sz w:val="24"/>
          <w:szCs w:val="24"/>
        </w:rPr>
        <w:t xml:space="preserve">making links to </w:t>
      </w:r>
      <w:r w:rsidR="00CA6A24">
        <w:rPr>
          <w:sz w:val="24"/>
          <w:szCs w:val="24"/>
        </w:rPr>
        <w:t xml:space="preserve">the </w:t>
      </w:r>
      <w:r w:rsidR="002F1DA4">
        <w:rPr>
          <w:sz w:val="24"/>
          <w:szCs w:val="24"/>
        </w:rPr>
        <w:t>research questions</w:t>
      </w:r>
      <w:r w:rsidR="002351ED">
        <w:rPr>
          <w:sz w:val="24"/>
          <w:szCs w:val="24"/>
        </w:rPr>
        <w:t xml:space="preserve">, </w:t>
      </w:r>
      <w:r w:rsidR="00CA6A24">
        <w:rPr>
          <w:sz w:val="24"/>
          <w:szCs w:val="24"/>
        </w:rPr>
        <w:t>the</w:t>
      </w:r>
      <w:r w:rsidR="002351ED">
        <w:rPr>
          <w:sz w:val="24"/>
          <w:szCs w:val="24"/>
        </w:rPr>
        <w:t xml:space="preserve"> CDA</w:t>
      </w:r>
      <w:r w:rsidR="002F1DA4">
        <w:rPr>
          <w:sz w:val="24"/>
          <w:szCs w:val="24"/>
        </w:rPr>
        <w:t xml:space="preserve"> and key literature</w:t>
      </w:r>
      <w:r w:rsidR="00D5396E" w:rsidRPr="000930A7">
        <w:rPr>
          <w:sz w:val="24"/>
          <w:szCs w:val="24"/>
        </w:rPr>
        <w:t xml:space="preserve">. </w:t>
      </w:r>
      <w:r w:rsidR="001A3BC6">
        <w:rPr>
          <w:sz w:val="24"/>
          <w:szCs w:val="24"/>
        </w:rPr>
        <w:t>T</w:t>
      </w:r>
      <w:r w:rsidR="000D1B5C">
        <w:rPr>
          <w:sz w:val="24"/>
          <w:szCs w:val="24"/>
        </w:rPr>
        <w:t xml:space="preserve">he notion of </w:t>
      </w:r>
      <w:r w:rsidR="001A3BC6">
        <w:rPr>
          <w:sz w:val="24"/>
          <w:szCs w:val="24"/>
        </w:rPr>
        <w:t>‘</w:t>
      </w:r>
      <w:r w:rsidR="000D1B5C">
        <w:rPr>
          <w:sz w:val="24"/>
          <w:szCs w:val="24"/>
        </w:rPr>
        <w:t>ability</w:t>
      </w:r>
      <w:r w:rsidR="001A3BC6">
        <w:rPr>
          <w:sz w:val="24"/>
          <w:szCs w:val="24"/>
        </w:rPr>
        <w:t>’ became apparent as an issue throughout my interviews</w:t>
      </w:r>
      <w:r w:rsidR="00CA6A24">
        <w:rPr>
          <w:sz w:val="24"/>
          <w:szCs w:val="24"/>
        </w:rPr>
        <w:t xml:space="preserve"> and</w:t>
      </w:r>
      <w:r w:rsidR="001A3BC6">
        <w:rPr>
          <w:sz w:val="24"/>
          <w:szCs w:val="24"/>
        </w:rPr>
        <w:t xml:space="preserve"> this concept is explored and discussed</w:t>
      </w:r>
      <w:r w:rsidR="000D1B5C">
        <w:rPr>
          <w:sz w:val="24"/>
          <w:szCs w:val="24"/>
        </w:rPr>
        <w:t>.</w:t>
      </w:r>
      <w:r w:rsidR="00D5396E" w:rsidRPr="000930A7">
        <w:rPr>
          <w:sz w:val="24"/>
          <w:szCs w:val="24"/>
        </w:rPr>
        <w:t xml:space="preserve"> </w:t>
      </w:r>
      <w:r w:rsidR="002F1DA4">
        <w:rPr>
          <w:sz w:val="24"/>
          <w:szCs w:val="24"/>
        </w:rPr>
        <w:t xml:space="preserve">In the conclusion I review the analysis of the interview data before moving onto the discussion of my findings in </w:t>
      </w:r>
      <w:r w:rsidR="003B5A19">
        <w:rPr>
          <w:sz w:val="24"/>
          <w:szCs w:val="24"/>
        </w:rPr>
        <w:t>C</w:t>
      </w:r>
      <w:r w:rsidR="002F1DA4">
        <w:rPr>
          <w:sz w:val="24"/>
          <w:szCs w:val="24"/>
        </w:rPr>
        <w:t>hapter 5.</w:t>
      </w:r>
    </w:p>
    <w:p w14:paraId="61756088" w14:textId="4BA955BE" w:rsidR="00D5396E" w:rsidRPr="000930A7" w:rsidRDefault="00EF348C" w:rsidP="00531995">
      <w:pPr>
        <w:pStyle w:val="Heading3"/>
      </w:pPr>
      <w:bookmarkStart w:id="89" w:name="_Toc452316373"/>
      <w:r>
        <w:t>4.</w:t>
      </w:r>
      <w:r w:rsidR="0037311E">
        <w:t>3.1</w:t>
      </w:r>
      <w:r w:rsidR="00D5396E" w:rsidRPr="000930A7">
        <w:t xml:space="preserve"> S</w:t>
      </w:r>
      <w:r w:rsidR="0083259A">
        <w:t>chools</w:t>
      </w:r>
      <w:bookmarkEnd w:id="89"/>
      <w:r w:rsidR="00D5396E" w:rsidRPr="000930A7">
        <w:tab/>
      </w:r>
    </w:p>
    <w:p w14:paraId="65699F55" w14:textId="0B48E052" w:rsidR="00A23EDF" w:rsidRDefault="00D5396E" w:rsidP="00787798">
      <w:pPr>
        <w:spacing w:after="0" w:line="360" w:lineRule="auto"/>
        <w:rPr>
          <w:sz w:val="24"/>
          <w:szCs w:val="24"/>
        </w:rPr>
      </w:pPr>
      <w:r w:rsidRPr="000930A7">
        <w:rPr>
          <w:sz w:val="24"/>
          <w:szCs w:val="24"/>
        </w:rPr>
        <w:t xml:space="preserve">My interviews took place in four </w:t>
      </w:r>
      <w:r w:rsidR="00F05072" w:rsidRPr="000930A7">
        <w:rPr>
          <w:sz w:val="24"/>
          <w:szCs w:val="24"/>
        </w:rPr>
        <w:t>schools</w:t>
      </w:r>
      <w:r w:rsidR="00F05072">
        <w:rPr>
          <w:sz w:val="24"/>
          <w:szCs w:val="24"/>
        </w:rPr>
        <w:t>;</w:t>
      </w:r>
      <w:r w:rsidR="00DC418E">
        <w:rPr>
          <w:sz w:val="24"/>
          <w:szCs w:val="24"/>
        </w:rPr>
        <w:t xml:space="preserve"> </w:t>
      </w:r>
      <w:r w:rsidR="002F1DA4">
        <w:rPr>
          <w:sz w:val="24"/>
          <w:szCs w:val="24"/>
        </w:rPr>
        <w:t xml:space="preserve">Bluefield, Yellowfield, </w:t>
      </w:r>
      <w:r w:rsidR="00EE7778">
        <w:rPr>
          <w:sz w:val="24"/>
          <w:szCs w:val="24"/>
        </w:rPr>
        <w:t>Purplefield</w:t>
      </w:r>
      <w:r w:rsidR="002F1DA4">
        <w:rPr>
          <w:sz w:val="24"/>
          <w:szCs w:val="24"/>
        </w:rPr>
        <w:t xml:space="preserve"> and </w:t>
      </w:r>
      <w:r w:rsidR="00EE7778">
        <w:rPr>
          <w:sz w:val="24"/>
          <w:szCs w:val="24"/>
        </w:rPr>
        <w:t>Redfield</w:t>
      </w:r>
      <w:r w:rsidR="00DC418E">
        <w:rPr>
          <w:sz w:val="24"/>
          <w:szCs w:val="24"/>
        </w:rPr>
        <w:t>, located</w:t>
      </w:r>
      <w:r w:rsidRPr="000930A7">
        <w:rPr>
          <w:sz w:val="24"/>
          <w:szCs w:val="24"/>
        </w:rPr>
        <w:t xml:space="preserve"> within one L</w:t>
      </w:r>
      <w:r w:rsidR="0057516E">
        <w:rPr>
          <w:sz w:val="24"/>
          <w:szCs w:val="24"/>
        </w:rPr>
        <w:t>A</w:t>
      </w:r>
      <w:r w:rsidRPr="000930A7">
        <w:rPr>
          <w:sz w:val="24"/>
          <w:szCs w:val="24"/>
        </w:rPr>
        <w:t xml:space="preserve"> </w:t>
      </w:r>
      <w:r w:rsidR="00EE7778">
        <w:rPr>
          <w:sz w:val="24"/>
          <w:szCs w:val="24"/>
        </w:rPr>
        <w:t xml:space="preserve">area </w:t>
      </w:r>
      <w:r w:rsidRPr="000930A7">
        <w:rPr>
          <w:sz w:val="24"/>
          <w:szCs w:val="24"/>
        </w:rPr>
        <w:t xml:space="preserve">in England </w:t>
      </w:r>
      <w:r w:rsidR="003B5A19">
        <w:rPr>
          <w:sz w:val="24"/>
          <w:szCs w:val="24"/>
        </w:rPr>
        <w:t xml:space="preserve">between </w:t>
      </w:r>
      <w:r w:rsidR="002F1DA4">
        <w:rPr>
          <w:sz w:val="24"/>
          <w:szCs w:val="24"/>
        </w:rPr>
        <w:t>April</w:t>
      </w:r>
      <w:r w:rsidR="003B5A19">
        <w:rPr>
          <w:sz w:val="24"/>
          <w:szCs w:val="24"/>
        </w:rPr>
        <w:t>-</w:t>
      </w:r>
      <w:r w:rsidR="002F1DA4">
        <w:rPr>
          <w:sz w:val="24"/>
          <w:szCs w:val="24"/>
        </w:rPr>
        <w:t>July</w:t>
      </w:r>
      <w:r w:rsidR="00DC418E">
        <w:rPr>
          <w:sz w:val="24"/>
          <w:szCs w:val="24"/>
        </w:rPr>
        <w:t xml:space="preserve"> </w:t>
      </w:r>
      <w:r w:rsidRPr="000930A7">
        <w:rPr>
          <w:sz w:val="24"/>
          <w:szCs w:val="24"/>
        </w:rPr>
        <w:t>2013</w:t>
      </w:r>
      <w:r w:rsidR="00F44AA2">
        <w:rPr>
          <w:sz w:val="24"/>
          <w:szCs w:val="24"/>
        </w:rPr>
        <w:t xml:space="preserve"> (see </w:t>
      </w:r>
      <w:r w:rsidR="003B5A19">
        <w:rPr>
          <w:sz w:val="24"/>
          <w:szCs w:val="24"/>
        </w:rPr>
        <w:t>S</w:t>
      </w:r>
      <w:r w:rsidR="0026013F">
        <w:rPr>
          <w:sz w:val="24"/>
          <w:szCs w:val="24"/>
        </w:rPr>
        <w:t>ection 3.5.8</w:t>
      </w:r>
      <w:r w:rsidR="00F44AA2">
        <w:rPr>
          <w:sz w:val="24"/>
          <w:szCs w:val="24"/>
        </w:rPr>
        <w:t xml:space="preserve"> for sample </w:t>
      </w:r>
      <w:r w:rsidR="0083259A">
        <w:rPr>
          <w:sz w:val="24"/>
          <w:szCs w:val="24"/>
        </w:rPr>
        <w:t>section</w:t>
      </w:r>
      <w:r w:rsidR="00F44AA2">
        <w:rPr>
          <w:sz w:val="24"/>
          <w:szCs w:val="24"/>
        </w:rPr>
        <w:t>).</w:t>
      </w:r>
    </w:p>
    <w:p w14:paraId="3A319145" w14:textId="77777777" w:rsidR="00B6050F" w:rsidRDefault="00B6050F" w:rsidP="00787798">
      <w:pPr>
        <w:spacing w:after="0" w:line="360" w:lineRule="auto"/>
        <w:rPr>
          <w:sz w:val="24"/>
          <w:szCs w:val="24"/>
        </w:rPr>
      </w:pPr>
    </w:p>
    <w:p w14:paraId="743A3FF7" w14:textId="7A4649C2" w:rsidR="00FF29E1" w:rsidRDefault="006212AE" w:rsidP="00A23EDF">
      <w:pPr>
        <w:spacing w:after="0" w:line="240" w:lineRule="auto"/>
        <w:rPr>
          <w:b/>
          <w:color w:val="000000" w:themeColor="text1"/>
          <w:sz w:val="24"/>
          <w:szCs w:val="24"/>
        </w:rPr>
      </w:pPr>
      <w:bookmarkStart w:id="90" w:name="_Toc450170430"/>
      <w:r w:rsidRPr="00531995">
        <w:rPr>
          <w:b/>
          <w:color w:val="000000" w:themeColor="text1"/>
          <w:sz w:val="24"/>
          <w:szCs w:val="24"/>
        </w:rPr>
        <w:t xml:space="preserve">Table </w:t>
      </w:r>
      <w:r w:rsidRPr="00531995">
        <w:rPr>
          <w:b/>
          <w:color w:val="000000" w:themeColor="text1"/>
          <w:sz w:val="24"/>
          <w:szCs w:val="24"/>
        </w:rPr>
        <w:fldChar w:fldCharType="begin"/>
      </w:r>
      <w:r w:rsidRPr="00531995">
        <w:rPr>
          <w:b/>
          <w:color w:val="000000" w:themeColor="text1"/>
          <w:sz w:val="24"/>
          <w:szCs w:val="24"/>
        </w:rPr>
        <w:instrText xml:space="preserve"> SEQ Table \* ARABIC </w:instrText>
      </w:r>
      <w:r w:rsidRPr="00531995">
        <w:rPr>
          <w:b/>
          <w:color w:val="000000" w:themeColor="text1"/>
          <w:sz w:val="24"/>
          <w:szCs w:val="24"/>
        </w:rPr>
        <w:fldChar w:fldCharType="separate"/>
      </w:r>
      <w:r w:rsidR="00ED3AF0">
        <w:rPr>
          <w:b/>
          <w:noProof/>
          <w:color w:val="000000" w:themeColor="text1"/>
          <w:sz w:val="24"/>
          <w:szCs w:val="24"/>
        </w:rPr>
        <w:t>2</w:t>
      </w:r>
      <w:r w:rsidRPr="00531995">
        <w:rPr>
          <w:b/>
          <w:color w:val="000000" w:themeColor="text1"/>
          <w:sz w:val="24"/>
          <w:szCs w:val="24"/>
        </w:rPr>
        <w:fldChar w:fldCharType="end"/>
      </w:r>
      <w:r w:rsidRPr="00531995">
        <w:rPr>
          <w:b/>
          <w:color w:val="000000" w:themeColor="text1"/>
          <w:sz w:val="24"/>
          <w:szCs w:val="24"/>
        </w:rPr>
        <w:t xml:space="preserve"> - Overview of schools and school leaders</w:t>
      </w:r>
      <w:bookmarkEnd w:id="90"/>
    </w:p>
    <w:p w14:paraId="75888265" w14:textId="77777777" w:rsidR="00A23EDF" w:rsidRPr="00A23EDF" w:rsidRDefault="00A23EDF" w:rsidP="00A23EDF">
      <w:pPr>
        <w:spacing w:after="0" w:line="240" w:lineRule="auto"/>
        <w:rPr>
          <w:b/>
          <w:i/>
          <w:iCs/>
          <w:color w:val="000000" w:themeColor="text1"/>
          <w:sz w:val="24"/>
          <w:szCs w:val="24"/>
        </w:rPr>
      </w:pPr>
    </w:p>
    <w:p w14:paraId="7AC99EDA" w14:textId="1FF70990" w:rsidR="00190DE7" w:rsidRPr="00531995" w:rsidRDefault="00190DE7" w:rsidP="0023017A">
      <w:pPr>
        <w:spacing w:line="240" w:lineRule="auto"/>
        <w:rPr>
          <w:i/>
          <w:sz w:val="24"/>
          <w:szCs w:val="24"/>
        </w:rPr>
      </w:pPr>
      <w:r w:rsidRPr="00531995">
        <w:rPr>
          <w:i/>
          <w:sz w:val="24"/>
          <w:szCs w:val="24"/>
        </w:rPr>
        <w:t>Table introduc</w:t>
      </w:r>
      <w:r w:rsidR="006212AE">
        <w:rPr>
          <w:i/>
          <w:sz w:val="24"/>
          <w:szCs w:val="24"/>
        </w:rPr>
        <w:t xml:space="preserve">ing the </w:t>
      </w:r>
      <w:r w:rsidRPr="00531995">
        <w:rPr>
          <w:i/>
          <w:sz w:val="24"/>
          <w:szCs w:val="24"/>
        </w:rPr>
        <w:t xml:space="preserve">four sample schools and </w:t>
      </w:r>
      <w:r w:rsidR="006212AE">
        <w:rPr>
          <w:i/>
          <w:sz w:val="24"/>
          <w:szCs w:val="24"/>
        </w:rPr>
        <w:t>10</w:t>
      </w:r>
      <w:r w:rsidRPr="00531995">
        <w:rPr>
          <w:i/>
          <w:sz w:val="24"/>
          <w:szCs w:val="24"/>
        </w:rPr>
        <w:t xml:space="preserve"> school leaders and their roles within each school</w:t>
      </w:r>
      <w:r w:rsidR="006212AE">
        <w:rPr>
          <w:i/>
          <w:sz w:val="24"/>
          <w:szCs w:val="24"/>
        </w:rPr>
        <w:t>:</w:t>
      </w:r>
    </w:p>
    <w:tbl>
      <w:tblPr>
        <w:tblStyle w:val="TableGrid"/>
        <w:tblW w:w="9039" w:type="dxa"/>
        <w:tblLayout w:type="fixed"/>
        <w:tblLook w:val="04A0" w:firstRow="1" w:lastRow="0" w:firstColumn="1" w:lastColumn="0" w:noHBand="0" w:noVBand="1"/>
      </w:tblPr>
      <w:tblGrid>
        <w:gridCol w:w="1384"/>
        <w:gridCol w:w="1559"/>
        <w:gridCol w:w="1701"/>
        <w:gridCol w:w="1277"/>
        <w:gridCol w:w="1559"/>
        <w:gridCol w:w="1559"/>
      </w:tblGrid>
      <w:tr w:rsidR="00190DE7" w14:paraId="6B39C8CE" w14:textId="1C292062" w:rsidTr="00190DE7">
        <w:trPr>
          <w:trHeight w:val="928"/>
        </w:trPr>
        <w:tc>
          <w:tcPr>
            <w:tcW w:w="1384" w:type="dxa"/>
          </w:tcPr>
          <w:p w14:paraId="7CD298FE" w14:textId="09CC4D56" w:rsidR="00190DE7" w:rsidRPr="0083259A" w:rsidRDefault="00190DE7" w:rsidP="0083259A">
            <w:pPr>
              <w:spacing w:line="240" w:lineRule="auto"/>
              <w:rPr>
                <w:b/>
                <w:sz w:val="24"/>
                <w:szCs w:val="24"/>
              </w:rPr>
            </w:pPr>
            <w:r w:rsidRPr="0083259A">
              <w:rPr>
                <w:b/>
                <w:sz w:val="24"/>
                <w:szCs w:val="24"/>
              </w:rPr>
              <w:t>School</w:t>
            </w:r>
          </w:p>
        </w:tc>
        <w:tc>
          <w:tcPr>
            <w:tcW w:w="1559" w:type="dxa"/>
          </w:tcPr>
          <w:p w14:paraId="36443898" w14:textId="1A510FB2" w:rsidR="00190DE7" w:rsidRPr="0083259A" w:rsidRDefault="00190DE7" w:rsidP="00F05072">
            <w:pPr>
              <w:spacing w:line="240" w:lineRule="auto"/>
              <w:rPr>
                <w:b/>
                <w:sz w:val="24"/>
                <w:szCs w:val="24"/>
              </w:rPr>
            </w:pPr>
            <w:r>
              <w:rPr>
                <w:b/>
                <w:sz w:val="24"/>
                <w:szCs w:val="24"/>
              </w:rPr>
              <w:t>Sample d</w:t>
            </w:r>
            <w:r w:rsidRPr="0083259A">
              <w:rPr>
                <w:b/>
                <w:sz w:val="24"/>
                <w:szCs w:val="24"/>
              </w:rPr>
              <w:t>esignation</w:t>
            </w:r>
          </w:p>
        </w:tc>
        <w:tc>
          <w:tcPr>
            <w:tcW w:w="1701" w:type="dxa"/>
          </w:tcPr>
          <w:p w14:paraId="533E120D" w14:textId="7B8E53F6" w:rsidR="00190DE7" w:rsidRPr="0083259A" w:rsidRDefault="00190DE7" w:rsidP="0083259A">
            <w:pPr>
              <w:spacing w:line="240" w:lineRule="auto"/>
              <w:rPr>
                <w:b/>
                <w:sz w:val="24"/>
                <w:szCs w:val="24"/>
              </w:rPr>
            </w:pPr>
            <w:r>
              <w:rPr>
                <w:b/>
                <w:sz w:val="24"/>
                <w:szCs w:val="24"/>
              </w:rPr>
              <w:t>Student characteristics</w:t>
            </w:r>
            <w:r w:rsidR="00474933">
              <w:rPr>
                <w:rStyle w:val="FootnoteReference"/>
                <w:b/>
                <w:sz w:val="24"/>
                <w:szCs w:val="24"/>
              </w:rPr>
              <w:footnoteReference w:id="36"/>
            </w:r>
          </w:p>
        </w:tc>
        <w:tc>
          <w:tcPr>
            <w:tcW w:w="1277" w:type="dxa"/>
          </w:tcPr>
          <w:p w14:paraId="7DACB5B6" w14:textId="7D23D0E4" w:rsidR="00190DE7" w:rsidRPr="0083259A" w:rsidRDefault="00190DE7" w:rsidP="0083259A">
            <w:pPr>
              <w:spacing w:line="240" w:lineRule="auto"/>
              <w:rPr>
                <w:b/>
                <w:sz w:val="24"/>
                <w:szCs w:val="24"/>
              </w:rPr>
            </w:pPr>
            <w:r w:rsidRPr="0083259A">
              <w:rPr>
                <w:b/>
                <w:sz w:val="24"/>
                <w:szCs w:val="24"/>
              </w:rPr>
              <w:t>Deput</w:t>
            </w:r>
            <w:r w:rsidR="008F20E8">
              <w:rPr>
                <w:b/>
                <w:sz w:val="24"/>
                <w:szCs w:val="24"/>
              </w:rPr>
              <w:t>y</w:t>
            </w:r>
            <w:r>
              <w:rPr>
                <w:b/>
                <w:sz w:val="24"/>
                <w:szCs w:val="24"/>
              </w:rPr>
              <w:t xml:space="preserve"> (DH)</w:t>
            </w:r>
          </w:p>
        </w:tc>
        <w:tc>
          <w:tcPr>
            <w:tcW w:w="1559" w:type="dxa"/>
          </w:tcPr>
          <w:p w14:paraId="24DFC92D" w14:textId="6077EFDB" w:rsidR="00190DE7" w:rsidRDefault="00190DE7" w:rsidP="0083259A">
            <w:pPr>
              <w:spacing w:line="240" w:lineRule="auto"/>
              <w:rPr>
                <w:b/>
                <w:sz w:val="24"/>
                <w:szCs w:val="24"/>
              </w:rPr>
            </w:pPr>
            <w:r w:rsidRPr="0083259A">
              <w:rPr>
                <w:b/>
                <w:sz w:val="24"/>
                <w:szCs w:val="24"/>
              </w:rPr>
              <w:t xml:space="preserve">Head of Department </w:t>
            </w:r>
            <w:r w:rsidR="00861C33">
              <w:rPr>
                <w:b/>
                <w:sz w:val="24"/>
                <w:szCs w:val="24"/>
              </w:rPr>
              <w:t xml:space="preserve"> </w:t>
            </w:r>
            <w:r w:rsidRPr="0083259A">
              <w:rPr>
                <w:b/>
                <w:sz w:val="24"/>
                <w:szCs w:val="24"/>
              </w:rPr>
              <w:t>EBa</w:t>
            </w:r>
            <w:r>
              <w:rPr>
                <w:b/>
                <w:sz w:val="24"/>
                <w:szCs w:val="24"/>
              </w:rPr>
              <w:t>c</w:t>
            </w:r>
          </w:p>
          <w:p w14:paraId="65C3F509" w14:textId="38357FD1" w:rsidR="007B30F4" w:rsidRPr="0083259A" w:rsidRDefault="007B30F4" w:rsidP="0083259A">
            <w:pPr>
              <w:spacing w:line="240" w:lineRule="auto"/>
              <w:rPr>
                <w:b/>
                <w:sz w:val="24"/>
                <w:szCs w:val="24"/>
              </w:rPr>
            </w:pPr>
            <w:r>
              <w:rPr>
                <w:b/>
                <w:sz w:val="24"/>
                <w:szCs w:val="24"/>
              </w:rPr>
              <w:t>(HoD/EBac)</w:t>
            </w:r>
          </w:p>
        </w:tc>
        <w:tc>
          <w:tcPr>
            <w:tcW w:w="1559" w:type="dxa"/>
          </w:tcPr>
          <w:p w14:paraId="77753ECD" w14:textId="3C02F46D" w:rsidR="00190DE7" w:rsidRDefault="00190DE7" w:rsidP="0083259A">
            <w:pPr>
              <w:spacing w:line="240" w:lineRule="auto"/>
              <w:rPr>
                <w:b/>
                <w:sz w:val="24"/>
                <w:szCs w:val="24"/>
              </w:rPr>
            </w:pPr>
            <w:r w:rsidRPr="0083259A">
              <w:rPr>
                <w:b/>
                <w:sz w:val="24"/>
                <w:szCs w:val="24"/>
              </w:rPr>
              <w:t>Head of Department</w:t>
            </w:r>
            <w:r w:rsidR="00861C33">
              <w:rPr>
                <w:b/>
                <w:sz w:val="24"/>
                <w:szCs w:val="24"/>
              </w:rPr>
              <w:t xml:space="preserve"> </w:t>
            </w:r>
            <w:r w:rsidRPr="0083259A">
              <w:rPr>
                <w:b/>
                <w:sz w:val="24"/>
                <w:szCs w:val="24"/>
              </w:rPr>
              <w:t>non-EBac</w:t>
            </w:r>
          </w:p>
          <w:p w14:paraId="299C4618" w14:textId="67F7426B" w:rsidR="007B30F4" w:rsidRPr="0083259A" w:rsidRDefault="007B30F4" w:rsidP="0083259A">
            <w:pPr>
              <w:spacing w:line="240" w:lineRule="auto"/>
              <w:rPr>
                <w:b/>
                <w:sz w:val="24"/>
                <w:szCs w:val="24"/>
              </w:rPr>
            </w:pPr>
            <w:r>
              <w:rPr>
                <w:b/>
                <w:sz w:val="24"/>
                <w:szCs w:val="24"/>
              </w:rPr>
              <w:t>(HoD/non-EBac)</w:t>
            </w:r>
          </w:p>
        </w:tc>
      </w:tr>
      <w:tr w:rsidR="00190DE7" w14:paraId="067E9C3D" w14:textId="5D82293B" w:rsidTr="00190DE7">
        <w:tc>
          <w:tcPr>
            <w:tcW w:w="1384" w:type="dxa"/>
          </w:tcPr>
          <w:p w14:paraId="22D9689F" w14:textId="2F02A834" w:rsidR="00190DE7" w:rsidRDefault="00190DE7" w:rsidP="0083259A">
            <w:pPr>
              <w:spacing w:line="240" w:lineRule="auto"/>
              <w:rPr>
                <w:sz w:val="24"/>
                <w:szCs w:val="24"/>
              </w:rPr>
            </w:pPr>
            <w:r>
              <w:rPr>
                <w:sz w:val="24"/>
                <w:szCs w:val="24"/>
              </w:rPr>
              <w:t>Bluefield</w:t>
            </w:r>
          </w:p>
        </w:tc>
        <w:tc>
          <w:tcPr>
            <w:tcW w:w="1559" w:type="dxa"/>
          </w:tcPr>
          <w:p w14:paraId="098F50E4" w14:textId="03BFA360" w:rsidR="00190DE7" w:rsidRDefault="00190DE7" w:rsidP="0083259A">
            <w:pPr>
              <w:spacing w:line="240" w:lineRule="auto"/>
              <w:rPr>
                <w:sz w:val="24"/>
                <w:szCs w:val="24"/>
              </w:rPr>
            </w:pPr>
            <w:r>
              <w:rPr>
                <w:sz w:val="24"/>
                <w:szCs w:val="24"/>
              </w:rPr>
              <w:t>High</w:t>
            </w:r>
            <w:r w:rsidR="003B5A19">
              <w:rPr>
                <w:sz w:val="24"/>
                <w:szCs w:val="24"/>
              </w:rPr>
              <w:t>-</w:t>
            </w:r>
            <w:r>
              <w:rPr>
                <w:sz w:val="24"/>
                <w:szCs w:val="24"/>
              </w:rPr>
              <w:t>performing academy</w:t>
            </w:r>
          </w:p>
        </w:tc>
        <w:tc>
          <w:tcPr>
            <w:tcW w:w="1701" w:type="dxa"/>
          </w:tcPr>
          <w:p w14:paraId="3F2C9FD9" w14:textId="63FA1D9B" w:rsidR="00190DE7" w:rsidRDefault="00190DE7" w:rsidP="0083259A">
            <w:pPr>
              <w:spacing w:line="240" w:lineRule="auto"/>
              <w:rPr>
                <w:sz w:val="24"/>
                <w:szCs w:val="24"/>
              </w:rPr>
            </w:pPr>
            <w:r>
              <w:rPr>
                <w:sz w:val="24"/>
                <w:szCs w:val="24"/>
              </w:rPr>
              <w:t xml:space="preserve">Low FSM, EAL </w:t>
            </w:r>
            <w:r w:rsidR="00474933">
              <w:rPr>
                <w:rStyle w:val="FootnoteReference"/>
                <w:sz w:val="24"/>
                <w:szCs w:val="24"/>
              </w:rPr>
              <w:footnoteReference w:id="37"/>
            </w:r>
            <w:r>
              <w:rPr>
                <w:sz w:val="24"/>
                <w:szCs w:val="24"/>
              </w:rPr>
              <w:t>and SEND</w:t>
            </w:r>
          </w:p>
        </w:tc>
        <w:tc>
          <w:tcPr>
            <w:tcW w:w="1277" w:type="dxa"/>
          </w:tcPr>
          <w:p w14:paraId="6E69E65C" w14:textId="0F4758F6" w:rsidR="00190DE7" w:rsidRDefault="00190DE7" w:rsidP="0083259A">
            <w:pPr>
              <w:spacing w:line="240" w:lineRule="auto"/>
              <w:rPr>
                <w:sz w:val="24"/>
                <w:szCs w:val="24"/>
              </w:rPr>
            </w:pPr>
            <w:r>
              <w:rPr>
                <w:sz w:val="24"/>
                <w:szCs w:val="24"/>
              </w:rPr>
              <w:t>Simon</w:t>
            </w:r>
          </w:p>
        </w:tc>
        <w:tc>
          <w:tcPr>
            <w:tcW w:w="1559" w:type="dxa"/>
          </w:tcPr>
          <w:p w14:paraId="6FB75440" w14:textId="61E02E94" w:rsidR="00190DE7" w:rsidRDefault="00190DE7" w:rsidP="0037311E">
            <w:pPr>
              <w:spacing w:line="240" w:lineRule="auto"/>
              <w:rPr>
                <w:sz w:val="24"/>
                <w:szCs w:val="24"/>
              </w:rPr>
            </w:pPr>
            <w:r>
              <w:rPr>
                <w:sz w:val="24"/>
                <w:szCs w:val="24"/>
              </w:rPr>
              <w:t xml:space="preserve">Pam </w:t>
            </w:r>
          </w:p>
        </w:tc>
        <w:tc>
          <w:tcPr>
            <w:tcW w:w="1559" w:type="dxa"/>
          </w:tcPr>
          <w:p w14:paraId="67280CC4" w14:textId="2BE2A4E3" w:rsidR="00190DE7" w:rsidRDefault="00190DE7" w:rsidP="0083259A">
            <w:pPr>
              <w:spacing w:line="240" w:lineRule="auto"/>
              <w:rPr>
                <w:sz w:val="24"/>
                <w:szCs w:val="24"/>
              </w:rPr>
            </w:pPr>
            <w:r>
              <w:rPr>
                <w:sz w:val="24"/>
                <w:szCs w:val="24"/>
              </w:rPr>
              <w:t>NA</w:t>
            </w:r>
          </w:p>
        </w:tc>
      </w:tr>
      <w:tr w:rsidR="00190DE7" w14:paraId="4EF80ED1" w14:textId="4511C8F7" w:rsidTr="00190DE7">
        <w:tc>
          <w:tcPr>
            <w:tcW w:w="1384" w:type="dxa"/>
          </w:tcPr>
          <w:p w14:paraId="423C8C41" w14:textId="30DC62A5" w:rsidR="00190DE7" w:rsidRDefault="00190DE7" w:rsidP="0083259A">
            <w:pPr>
              <w:spacing w:line="240" w:lineRule="auto"/>
              <w:rPr>
                <w:sz w:val="24"/>
                <w:szCs w:val="24"/>
              </w:rPr>
            </w:pPr>
            <w:r>
              <w:rPr>
                <w:sz w:val="24"/>
                <w:szCs w:val="24"/>
              </w:rPr>
              <w:t>Yellowfield</w:t>
            </w:r>
          </w:p>
        </w:tc>
        <w:tc>
          <w:tcPr>
            <w:tcW w:w="1559" w:type="dxa"/>
          </w:tcPr>
          <w:p w14:paraId="27DD6704" w14:textId="69EB4748" w:rsidR="00190DE7" w:rsidRDefault="00190DE7" w:rsidP="0083259A">
            <w:pPr>
              <w:spacing w:line="240" w:lineRule="auto"/>
              <w:rPr>
                <w:sz w:val="24"/>
                <w:szCs w:val="24"/>
              </w:rPr>
            </w:pPr>
            <w:r>
              <w:rPr>
                <w:sz w:val="24"/>
                <w:szCs w:val="24"/>
              </w:rPr>
              <w:t>Low</w:t>
            </w:r>
            <w:r w:rsidR="003B5A19">
              <w:rPr>
                <w:sz w:val="24"/>
                <w:szCs w:val="24"/>
              </w:rPr>
              <w:t>-</w:t>
            </w:r>
            <w:r>
              <w:rPr>
                <w:sz w:val="24"/>
                <w:szCs w:val="24"/>
              </w:rPr>
              <w:t>performing non-academy</w:t>
            </w:r>
          </w:p>
        </w:tc>
        <w:tc>
          <w:tcPr>
            <w:tcW w:w="1701" w:type="dxa"/>
          </w:tcPr>
          <w:p w14:paraId="606C72E6" w14:textId="25CB4673" w:rsidR="00190DE7" w:rsidRDefault="00A4102E" w:rsidP="0083259A">
            <w:pPr>
              <w:spacing w:line="240" w:lineRule="auto"/>
              <w:rPr>
                <w:sz w:val="24"/>
                <w:szCs w:val="24"/>
              </w:rPr>
            </w:pPr>
            <w:r>
              <w:rPr>
                <w:sz w:val="24"/>
                <w:szCs w:val="24"/>
              </w:rPr>
              <w:t>High FSM, EAL and SEND</w:t>
            </w:r>
          </w:p>
        </w:tc>
        <w:tc>
          <w:tcPr>
            <w:tcW w:w="1277" w:type="dxa"/>
          </w:tcPr>
          <w:p w14:paraId="06D42D1B" w14:textId="2DFD1070" w:rsidR="00190DE7" w:rsidRDefault="00190DE7" w:rsidP="0083259A">
            <w:pPr>
              <w:spacing w:line="240" w:lineRule="auto"/>
              <w:rPr>
                <w:sz w:val="24"/>
                <w:szCs w:val="24"/>
              </w:rPr>
            </w:pPr>
            <w:r>
              <w:rPr>
                <w:sz w:val="24"/>
                <w:szCs w:val="24"/>
              </w:rPr>
              <w:t>Susan</w:t>
            </w:r>
          </w:p>
        </w:tc>
        <w:tc>
          <w:tcPr>
            <w:tcW w:w="1559" w:type="dxa"/>
          </w:tcPr>
          <w:p w14:paraId="14D31B49" w14:textId="0D8B8369" w:rsidR="00190DE7" w:rsidRDefault="00190DE7" w:rsidP="0037311E">
            <w:pPr>
              <w:spacing w:line="240" w:lineRule="auto"/>
              <w:rPr>
                <w:sz w:val="24"/>
                <w:szCs w:val="24"/>
              </w:rPr>
            </w:pPr>
            <w:r>
              <w:rPr>
                <w:sz w:val="24"/>
                <w:szCs w:val="24"/>
              </w:rPr>
              <w:t xml:space="preserve">Jill </w:t>
            </w:r>
          </w:p>
        </w:tc>
        <w:tc>
          <w:tcPr>
            <w:tcW w:w="1559" w:type="dxa"/>
          </w:tcPr>
          <w:p w14:paraId="01CA7506" w14:textId="3431B7FD" w:rsidR="00190DE7" w:rsidRDefault="00190DE7" w:rsidP="0083259A">
            <w:pPr>
              <w:spacing w:line="240" w:lineRule="auto"/>
              <w:rPr>
                <w:sz w:val="24"/>
                <w:szCs w:val="24"/>
              </w:rPr>
            </w:pPr>
            <w:r>
              <w:rPr>
                <w:sz w:val="24"/>
                <w:szCs w:val="24"/>
              </w:rPr>
              <w:t>NA</w:t>
            </w:r>
          </w:p>
        </w:tc>
      </w:tr>
      <w:tr w:rsidR="00190DE7" w14:paraId="1F7C977D" w14:textId="7416E174" w:rsidTr="00190DE7">
        <w:tc>
          <w:tcPr>
            <w:tcW w:w="1384" w:type="dxa"/>
          </w:tcPr>
          <w:p w14:paraId="1D5D4524" w14:textId="3200F009" w:rsidR="00190DE7" w:rsidRDefault="00190DE7" w:rsidP="0083259A">
            <w:pPr>
              <w:spacing w:line="240" w:lineRule="auto"/>
              <w:rPr>
                <w:sz w:val="24"/>
                <w:szCs w:val="24"/>
              </w:rPr>
            </w:pPr>
            <w:r>
              <w:rPr>
                <w:sz w:val="24"/>
                <w:szCs w:val="24"/>
              </w:rPr>
              <w:lastRenderedPageBreak/>
              <w:t>Purplefield</w:t>
            </w:r>
          </w:p>
        </w:tc>
        <w:tc>
          <w:tcPr>
            <w:tcW w:w="1559" w:type="dxa"/>
          </w:tcPr>
          <w:p w14:paraId="1E323F10" w14:textId="6461F024" w:rsidR="00190DE7" w:rsidRDefault="00190DE7" w:rsidP="0083259A">
            <w:pPr>
              <w:spacing w:line="240" w:lineRule="auto"/>
              <w:rPr>
                <w:sz w:val="24"/>
                <w:szCs w:val="24"/>
              </w:rPr>
            </w:pPr>
            <w:r>
              <w:rPr>
                <w:sz w:val="24"/>
                <w:szCs w:val="24"/>
              </w:rPr>
              <w:t>Rapidly improving academy</w:t>
            </w:r>
          </w:p>
        </w:tc>
        <w:tc>
          <w:tcPr>
            <w:tcW w:w="1701" w:type="dxa"/>
          </w:tcPr>
          <w:p w14:paraId="58A13552" w14:textId="3619A9E9" w:rsidR="00190DE7" w:rsidRDefault="00CF30ED" w:rsidP="0083259A">
            <w:pPr>
              <w:spacing w:line="240" w:lineRule="auto"/>
              <w:rPr>
                <w:sz w:val="24"/>
                <w:szCs w:val="24"/>
              </w:rPr>
            </w:pPr>
            <w:r>
              <w:rPr>
                <w:sz w:val="24"/>
                <w:szCs w:val="24"/>
              </w:rPr>
              <w:t>High FSM, EAL and SEND</w:t>
            </w:r>
          </w:p>
        </w:tc>
        <w:tc>
          <w:tcPr>
            <w:tcW w:w="1277" w:type="dxa"/>
          </w:tcPr>
          <w:p w14:paraId="7BC7B9FC" w14:textId="3B80D612" w:rsidR="00190DE7" w:rsidRDefault="00190DE7" w:rsidP="0083259A">
            <w:pPr>
              <w:spacing w:line="240" w:lineRule="auto"/>
              <w:rPr>
                <w:sz w:val="24"/>
                <w:szCs w:val="24"/>
              </w:rPr>
            </w:pPr>
            <w:r>
              <w:rPr>
                <w:sz w:val="24"/>
                <w:szCs w:val="24"/>
              </w:rPr>
              <w:t>Jane</w:t>
            </w:r>
          </w:p>
        </w:tc>
        <w:tc>
          <w:tcPr>
            <w:tcW w:w="1559" w:type="dxa"/>
          </w:tcPr>
          <w:p w14:paraId="3836E591" w14:textId="6B6B31DD" w:rsidR="00190DE7" w:rsidRDefault="00190DE7" w:rsidP="0037311E">
            <w:pPr>
              <w:spacing w:line="240" w:lineRule="auto"/>
              <w:rPr>
                <w:sz w:val="24"/>
                <w:szCs w:val="24"/>
              </w:rPr>
            </w:pPr>
            <w:r>
              <w:rPr>
                <w:sz w:val="24"/>
                <w:szCs w:val="24"/>
              </w:rPr>
              <w:t xml:space="preserve">Richard </w:t>
            </w:r>
          </w:p>
        </w:tc>
        <w:tc>
          <w:tcPr>
            <w:tcW w:w="1559" w:type="dxa"/>
          </w:tcPr>
          <w:p w14:paraId="2D11D09B" w14:textId="0A80D575" w:rsidR="00190DE7" w:rsidRDefault="00190DE7" w:rsidP="0037311E">
            <w:pPr>
              <w:spacing w:line="240" w:lineRule="auto"/>
              <w:rPr>
                <w:sz w:val="24"/>
                <w:szCs w:val="24"/>
              </w:rPr>
            </w:pPr>
            <w:r>
              <w:rPr>
                <w:sz w:val="24"/>
                <w:szCs w:val="24"/>
              </w:rPr>
              <w:t xml:space="preserve">Debbie </w:t>
            </w:r>
          </w:p>
        </w:tc>
      </w:tr>
      <w:tr w:rsidR="00190DE7" w14:paraId="781F0D39" w14:textId="5F02D8E4" w:rsidTr="00190DE7">
        <w:tc>
          <w:tcPr>
            <w:tcW w:w="1384" w:type="dxa"/>
          </w:tcPr>
          <w:p w14:paraId="491C396A" w14:textId="5A4B3898" w:rsidR="00190DE7" w:rsidRDefault="00190DE7" w:rsidP="0083259A">
            <w:pPr>
              <w:spacing w:line="240" w:lineRule="auto"/>
              <w:rPr>
                <w:sz w:val="24"/>
                <w:szCs w:val="24"/>
              </w:rPr>
            </w:pPr>
            <w:r>
              <w:rPr>
                <w:sz w:val="24"/>
                <w:szCs w:val="24"/>
              </w:rPr>
              <w:t>Redfield</w:t>
            </w:r>
          </w:p>
        </w:tc>
        <w:tc>
          <w:tcPr>
            <w:tcW w:w="1559" w:type="dxa"/>
          </w:tcPr>
          <w:p w14:paraId="5AD37099" w14:textId="1C4688B2" w:rsidR="00190DE7" w:rsidRDefault="00190DE7" w:rsidP="0083259A">
            <w:pPr>
              <w:spacing w:line="240" w:lineRule="auto"/>
              <w:rPr>
                <w:sz w:val="24"/>
                <w:szCs w:val="24"/>
              </w:rPr>
            </w:pPr>
            <w:r>
              <w:rPr>
                <w:sz w:val="24"/>
                <w:szCs w:val="24"/>
              </w:rPr>
              <w:t>Rapidly improving non-academy</w:t>
            </w:r>
          </w:p>
        </w:tc>
        <w:tc>
          <w:tcPr>
            <w:tcW w:w="1701" w:type="dxa"/>
          </w:tcPr>
          <w:p w14:paraId="17CD4621" w14:textId="77777777" w:rsidR="00190DE7" w:rsidRDefault="00BB73B9" w:rsidP="0083259A">
            <w:pPr>
              <w:spacing w:line="240" w:lineRule="auto"/>
              <w:rPr>
                <w:sz w:val="24"/>
                <w:szCs w:val="24"/>
              </w:rPr>
            </w:pPr>
            <w:r>
              <w:rPr>
                <w:sz w:val="24"/>
                <w:szCs w:val="24"/>
              </w:rPr>
              <w:t>Low FSM, EAL</w:t>
            </w:r>
          </w:p>
          <w:p w14:paraId="587654C2" w14:textId="0583920B" w:rsidR="00BB73B9" w:rsidRDefault="00BB73B9" w:rsidP="0083259A">
            <w:pPr>
              <w:spacing w:line="240" w:lineRule="auto"/>
              <w:rPr>
                <w:sz w:val="24"/>
                <w:szCs w:val="24"/>
              </w:rPr>
            </w:pPr>
            <w:r>
              <w:rPr>
                <w:sz w:val="24"/>
                <w:szCs w:val="24"/>
              </w:rPr>
              <w:t>High SEND</w:t>
            </w:r>
          </w:p>
        </w:tc>
        <w:tc>
          <w:tcPr>
            <w:tcW w:w="1277" w:type="dxa"/>
          </w:tcPr>
          <w:p w14:paraId="402E1DD9" w14:textId="3B878140" w:rsidR="00190DE7" w:rsidRDefault="00190DE7" w:rsidP="0083259A">
            <w:pPr>
              <w:spacing w:line="240" w:lineRule="auto"/>
              <w:rPr>
                <w:sz w:val="24"/>
                <w:szCs w:val="24"/>
              </w:rPr>
            </w:pPr>
            <w:r>
              <w:rPr>
                <w:sz w:val="24"/>
                <w:szCs w:val="24"/>
              </w:rPr>
              <w:t>Angela</w:t>
            </w:r>
          </w:p>
        </w:tc>
        <w:tc>
          <w:tcPr>
            <w:tcW w:w="1559" w:type="dxa"/>
          </w:tcPr>
          <w:p w14:paraId="443BD863" w14:textId="5FF3F1E1" w:rsidR="00190DE7" w:rsidRDefault="00190DE7" w:rsidP="0083259A">
            <w:pPr>
              <w:spacing w:line="240" w:lineRule="auto"/>
              <w:rPr>
                <w:sz w:val="24"/>
                <w:szCs w:val="24"/>
              </w:rPr>
            </w:pPr>
            <w:r>
              <w:rPr>
                <w:sz w:val="24"/>
                <w:szCs w:val="24"/>
              </w:rPr>
              <w:t xml:space="preserve">Annie </w:t>
            </w:r>
          </w:p>
        </w:tc>
        <w:tc>
          <w:tcPr>
            <w:tcW w:w="1559" w:type="dxa"/>
          </w:tcPr>
          <w:p w14:paraId="46E91D8A" w14:textId="759A818E" w:rsidR="00190DE7" w:rsidRDefault="00190DE7" w:rsidP="0037311E">
            <w:pPr>
              <w:spacing w:line="240" w:lineRule="auto"/>
              <w:rPr>
                <w:sz w:val="24"/>
                <w:szCs w:val="24"/>
              </w:rPr>
            </w:pPr>
            <w:r>
              <w:rPr>
                <w:sz w:val="24"/>
                <w:szCs w:val="24"/>
              </w:rPr>
              <w:t xml:space="preserve">Deborah </w:t>
            </w:r>
          </w:p>
        </w:tc>
      </w:tr>
    </w:tbl>
    <w:p w14:paraId="03CDB874" w14:textId="39081111" w:rsidR="00F05072" w:rsidRPr="00F05072" w:rsidRDefault="00F05072" w:rsidP="00F05072">
      <w:pPr>
        <w:spacing w:line="360" w:lineRule="auto"/>
        <w:rPr>
          <w:sz w:val="24"/>
          <w:szCs w:val="24"/>
        </w:rPr>
      </w:pPr>
    </w:p>
    <w:p w14:paraId="4EC19E19" w14:textId="124DD5F7" w:rsidR="00F05072" w:rsidRDefault="0083259A" w:rsidP="00D5396E">
      <w:pPr>
        <w:spacing w:line="360" w:lineRule="auto"/>
        <w:rPr>
          <w:sz w:val="24"/>
          <w:szCs w:val="24"/>
        </w:rPr>
      </w:pPr>
      <w:r>
        <w:rPr>
          <w:sz w:val="24"/>
          <w:szCs w:val="24"/>
        </w:rPr>
        <w:t xml:space="preserve">I provide a brief introduction to </w:t>
      </w:r>
      <w:r w:rsidR="00CA6A24">
        <w:rPr>
          <w:sz w:val="24"/>
          <w:szCs w:val="24"/>
        </w:rPr>
        <w:t>each</w:t>
      </w:r>
      <w:r>
        <w:rPr>
          <w:sz w:val="24"/>
          <w:szCs w:val="24"/>
        </w:rPr>
        <w:t xml:space="preserve"> school outlining the designation </w:t>
      </w:r>
      <w:r w:rsidR="00F05072">
        <w:rPr>
          <w:sz w:val="24"/>
          <w:szCs w:val="24"/>
        </w:rPr>
        <w:t xml:space="preserve">achieved from my sampling frame (see </w:t>
      </w:r>
      <w:r w:rsidR="003B5A19">
        <w:rPr>
          <w:sz w:val="24"/>
          <w:szCs w:val="24"/>
        </w:rPr>
        <w:t>S</w:t>
      </w:r>
      <w:r w:rsidR="00F05072">
        <w:rPr>
          <w:sz w:val="24"/>
          <w:szCs w:val="24"/>
        </w:rPr>
        <w:t>ection 3.</w:t>
      </w:r>
      <w:r w:rsidR="0026013F">
        <w:rPr>
          <w:sz w:val="24"/>
          <w:szCs w:val="24"/>
        </w:rPr>
        <w:t>5.8</w:t>
      </w:r>
      <w:r w:rsidR="00F05072">
        <w:rPr>
          <w:sz w:val="24"/>
          <w:szCs w:val="24"/>
        </w:rPr>
        <w:t xml:space="preserve">) followed by a summary of my analysis of the data relating to </w:t>
      </w:r>
      <w:r w:rsidR="00CA6A24">
        <w:rPr>
          <w:sz w:val="24"/>
          <w:szCs w:val="24"/>
        </w:rPr>
        <w:t>the</w:t>
      </w:r>
      <w:r w:rsidR="00F05072">
        <w:rPr>
          <w:sz w:val="24"/>
          <w:szCs w:val="24"/>
        </w:rPr>
        <w:t xml:space="preserve"> research questions. Each school is the</w:t>
      </w:r>
      <w:r w:rsidR="00DB6D22">
        <w:rPr>
          <w:sz w:val="24"/>
          <w:szCs w:val="24"/>
        </w:rPr>
        <w:t>n</w:t>
      </w:r>
      <w:r w:rsidR="00F05072">
        <w:rPr>
          <w:sz w:val="24"/>
          <w:szCs w:val="24"/>
        </w:rPr>
        <w:t xml:space="preserve"> classified into </w:t>
      </w:r>
      <w:r w:rsidR="0042155E">
        <w:rPr>
          <w:sz w:val="24"/>
          <w:szCs w:val="24"/>
        </w:rPr>
        <w:t xml:space="preserve">one of four </w:t>
      </w:r>
      <w:r w:rsidR="00F05072">
        <w:rPr>
          <w:sz w:val="24"/>
          <w:szCs w:val="24"/>
        </w:rPr>
        <w:t>EBac typolog</w:t>
      </w:r>
      <w:r w:rsidR="0042155E">
        <w:rPr>
          <w:sz w:val="24"/>
          <w:szCs w:val="24"/>
        </w:rPr>
        <w:t>ies</w:t>
      </w:r>
      <w:r w:rsidR="00F05072">
        <w:rPr>
          <w:sz w:val="24"/>
          <w:szCs w:val="24"/>
        </w:rPr>
        <w:t xml:space="preserve"> reflecting the attitude towards the EBac as identified from the data</w:t>
      </w:r>
      <w:r w:rsidR="00A46BF0">
        <w:rPr>
          <w:sz w:val="24"/>
          <w:szCs w:val="24"/>
        </w:rPr>
        <w:t>; accept</w:t>
      </w:r>
      <w:r w:rsidR="00882EB9">
        <w:rPr>
          <w:sz w:val="24"/>
          <w:szCs w:val="24"/>
        </w:rPr>
        <w:t>ance</w:t>
      </w:r>
      <w:r w:rsidR="00A46BF0">
        <w:rPr>
          <w:sz w:val="24"/>
          <w:szCs w:val="24"/>
        </w:rPr>
        <w:t>, resist</w:t>
      </w:r>
      <w:r w:rsidR="00882EB9">
        <w:rPr>
          <w:sz w:val="24"/>
          <w:szCs w:val="24"/>
        </w:rPr>
        <w:t>ance</w:t>
      </w:r>
      <w:r w:rsidR="00A46BF0">
        <w:rPr>
          <w:sz w:val="24"/>
          <w:szCs w:val="24"/>
        </w:rPr>
        <w:t>, compl</w:t>
      </w:r>
      <w:r w:rsidR="00C941AC">
        <w:rPr>
          <w:sz w:val="24"/>
          <w:szCs w:val="24"/>
        </w:rPr>
        <w:t>i</w:t>
      </w:r>
      <w:r w:rsidR="00882EB9">
        <w:rPr>
          <w:sz w:val="24"/>
          <w:szCs w:val="24"/>
        </w:rPr>
        <w:t>ance</w:t>
      </w:r>
      <w:r w:rsidR="00A46BF0">
        <w:rPr>
          <w:sz w:val="24"/>
          <w:szCs w:val="24"/>
        </w:rPr>
        <w:t xml:space="preserve"> or </w:t>
      </w:r>
      <w:r w:rsidR="00882EB9">
        <w:rPr>
          <w:sz w:val="24"/>
          <w:szCs w:val="24"/>
        </w:rPr>
        <w:t>confusion</w:t>
      </w:r>
      <w:r w:rsidR="00C941AC">
        <w:rPr>
          <w:sz w:val="24"/>
          <w:szCs w:val="24"/>
        </w:rPr>
        <w:t>.</w:t>
      </w:r>
    </w:p>
    <w:p w14:paraId="34267836" w14:textId="2A3CADF0" w:rsidR="00D5396E" w:rsidRPr="00E8749A" w:rsidRDefault="00EF348C" w:rsidP="00531995">
      <w:pPr>
        <w:pStyle w:val="Heading3"/>
      </w:pPr>
      <w:bookmarkStart w:id="91" w:name="_Toc452316374"/>
      <w:r w:rsidRPr="00E8749A">
        <w:t>4.3.</w:t>
      </w:r>
      <w:r w:rsidR="00CB0157">
        <w:t>2</w:t>
      </w:r>
      <w:r w:rsidRPr="00E8749A">
        <w:t xml:space="preserve"> </w:t>
      </w:r>
      <w:r w:rsidR="00D5396E" w:rsidRPr="00E8749A">
        <w:t>High</w:t>
      </w:r>
      <w:r w:rsidR="003B5A19">
        <w:t>-</w:t>
      </w:r>
      <w:r w:rsidR="00D5396E" w:rsidRPr="00E8749A">
        <w:t xml:space="preserve">performing </w:t>
      </w:r>
      <w:r w:rsidR="004B016C">
        <w:t>academy</w:t>
      </w:r>
      <w:r w:rsidR="00D5396E" w:rsidRPr="00E8749A">
        <w:t xml:space="preserve"> - Bluefield</w:t>
      </w:r>
      <w:bookmarkEnd w:id="91"/>
    </w:p>
    <w:p w14:paraId="42DE870F" w14:textId="6336A8F6" w:rsidR="00D5396E" w:rsidRDefault="00F76880" w:rsidP="00861C33">
      <w:pPr>
        <w:spacing w:after="0" w:line="360" w:lineRule="auto"/>
        <w:rPr>
          <w:sz w:val="24"/>
          <w:szCs w:val="24"/>
        </w:rPr>
      </w:pPr>
      <w:r>
        <w:rPr>
          <w:sz w:val="24"/>
          <w:szCs w:val="24"/>
        </w:rPr>
        <w:t>Bluefield</w:t>
      </w:r>
      <w:r w:rsidR="00D5396E" w:rsidRPr="000930A7">
        <w:rPr>
          <w:sz w:val="24"/>
          <w:szCs w:val="24"/>
        </w:rPr>
        <w:t xml:space="preserve"> is an 11-18 converter </w:t>
      </w:r>
      <w:r w:rsidR="004B016C">
        <w:rPr>
          <w:sz w:val="24"/>
          <w:szCs w:val="24"/>
        </w:rPr>
        <w:t>academy</w:t>
      </w:r>
      <w:r w:rsidR="00D5396E" w:rsidRPr="000930A7">
        <w:rPr>
          <w:sz w:val="24"/>
          <w:szCs w:val="24"/>
        </w:rPr>
        <w:t xml:space="preserve"> with a traditional academic curriculum focused predominantly on GCSE and A level courses</w:t>
      </w:r>
      <w:r w:rsidR="008C5AC6">
        <w:rPr>
          <w:sz w:val="24"/>
          <w:szCs w:val="24"/>
        </w:rPr>
        <w:t xml:space="preserve"> with a </w:t>
      </w:r>
      <w:r w:rsidR="0042155E">
        <w:rPr>
          <w:sz w:val="24"/>
          <w:szCs w:val="24"/>
        </w:rPr>
        <w:t xml:space="preserve">new, </w:t>
      </w:r>
      <w:r w:rsidR="008C5AC6">
        <w:rPr>
          <w:sz w:val="24"/>
          <w:szCs w:val="24"/>
        </w:rPr>
        <w:t>limited</w:t>
      </w:r>
      <w:r w:rsidR="00395D1D">
        <w:rPr>
          <w:sz w:val="24"/>
          <w:szCs w:val="24"/>
        </w:rPr>
        <w:t xml:space="preserve"> </w:t>
      </w:r>
      <w:r w:rsidR="008C5AC6">
        <w:rPr>
          <w:sz w:val="24"/>
          <w:szCs w:val="24"/>
        </w:rPr>
        <w:t xml:space="preserve">vocational </w:t>
      </w:r>
      <w:r w:rsidR="00530079">
        <w:rPr>
          <w:sz w:val="24"/>
          <w:szCs w:val="24"/>
        </w:rPr>
        <w:t>provision</w:t>
      </w:r>
      <w:r w:rsidR="008C5AC6">
        <w:rPr>
          <w:sz w:val="24"/>
          <w:szCs w:val="24"/>
        </w:rPr>
        <w:t xml:space="preserve"> as part of the</w:t>
      </w:r>
      <w:r w:rsidR="0042155E">
        <w:rPr>
          <w:sz w:val="24"/>
          <w:szCs w:val="24"/>
        </w:rPr>
        <w:t xml:space="preserve"> KS4</w:t>
      </w:r>
      <w:r w:rsidR="008C5AC6">
        <w:rPr>
          <w:sz w:val="24"/>
          <w:szCs w:val="24"/>
        </w:rPr>
        <w:t xml:space="preserve"> </w:t>
      </w:r>
      <w:r w:rsidR="00530079">
        <w:rPr>
          <w:sz w:val="24"/>
          <w:szCs w:val="24"/>
        </w:rPr>
        <w:t>programme</w:t>
      </w:r>
      <w:r w:rsidR="008C5AC6">
        <w:rPr>
          <w:sz w:val="24"/>
          <w:szCs w:val="24"/>
        </w:rPr>
        <w:t>.</w:t>
      </w:r>
      <w:r w:rsidR="0090392F">
        <w:rPr>
          <w:sz w:val="24"/>
          <w:szCs w:val="24"/>
        </w:rPr>
        <w:t xml:space="preserve"> </w:t>
      </w:r>
      <w:r w:rsidR="00D5396E" w:rsidRPr="000930A7">
        <w:rPr>
          <w:sz w:val="24"/>
          <w:szCs w:val="24"/>
        </w:rPr>
        <w:t xml:space="preserve">The school </w:t>
      </w:r>
      <w:r w:rsidR="006212AE">
        <w:rPr>
          <w:sz w:val="24"/>
          <w:szCs w:val="24"/>
        </w:rPr>
        <w:t>rates</w:t>
      </w:r>
      <w:r w:rsidR="00D5396E" w:rsidRPr="000930A7">
        <w:rPr>
          <w:sz w:val="24"/>
          <w:szCs w:val="24"/>
        </w:rPr>
        <w:t xml:space="preserve"> highly on </w:t>
      </w:r>
      <w:r w:rsidR="003B5A19">
        <w:rPr>
          <w:sz w:val="24"/>
          <w:szCs w:val="24"/>
        </w:rPr>
        <w:t xml:space="preserve">achievement of five or more </w:t>
      </w:r>
      <w:r w:rsidR="00D5396E" w:rsidRPr="000930A7">
        <w:rPr>
          <w:sz w:val="24"/>
          <w:szCs w:val="24"/>
        </w:rPr>
        <w:t>A*-C</w:t>
      </w:r>
      <w:r w:rsidR="003B5A19">
        <w:rPr>
          <w:sz w:val="24"/>
          <w:szCs w:val="24"/>
        </w:rPr>
        <w:t>’s at GCSE,</w:t>
      </w:r>
      <w:r w:rsidR="00D5396E" w:rsidRPr="000930A7">
        <w:rPr>
          <w:sz w:val="24"/>
          <w:szCs w:val="24"/>
        </w:rPr>
        <w:t xml:space="preserve"> including English and </w:t>
      </w:r>
      <w:r w:rsidR="002B3F7C">
        <w:rPr>
          <w:sz w:val="24"/>
          <w:szCs w:val="24"/>
        </w:rPr>
        <w:t>Mathematics</w:t>
      </w:r>
      <w:r w:rsidR="00D5396E" w:rsidRPr="000930A7">
        <w:rPr>
          <w:sz w:val="24"/>
          <w:szCs w:val="24"/>
        </w:rPr>
        <w:t xml:space="preserve"> measure </w:t>
      </w:r>
      <w:r w:rsidR="00C77F88">
        <w:rPr>
          <w:sz w:val="24"/>
          <w:szCs w:val="24"/>
        </w:rPr>
        <w:t>and</w:t>
      </w:r>
      <w:r w:rsidR="00395D1D">
        <w:rPr>
          <w:sz w:val="24"/>
          <w:szCs w:val="24"/>
        </w:rPr>
        <w:t xml:space="preserve"> </w:t>
      </w:r>
      <w:r w:rsidR="00D5396E" w:rsidRPr="000930A7">
        <w:rPr>
          <w:sz w:val="24"/>
          <w:szCs w:val="24"/>
        </w:rPr>
        <w:t xml:space="preserve">the EBac measure. </w:t>
      </w:r>
      <w:r w:rsidR="00F60DC6" w:rsidRPr="000930A7">
        <w:rPr>
          <w:sz w:val="24"/>
          <w:szCs w:val="24"/>
        </w:rPr>
        <w:t xml:space="preserve">I </w:t>
      </w:r>
      <w:r w:rsidR="00F60DC6">
        <w:rPr>
          <w:sz w:val="24"/>
          <w:szCs w:val="24"/>
        </w:rPr>
        <w:t>interviewed Simon</w:t>
      </w:r>
      <w:r w:rsidR="00F60DC6" w:rsidRPr="000930A7">
        <w:rPr>
          <w:sz w:val="24"/>
          <w:szCs w:val="24"/>
        </w:rPr>
        <w:t xml:space="preserve"> </w:t>
      </w:r>
      <w:r w:rsidR="00F60DC6">
        <w:rPr>
          <w:sz w:val="24"/>
          <w:szCs w:val="24"/>
        </w:rPr>
        <w:t xml:space="preserve">(DH) </w:t>
      </w:r>
      <w:r w:rsidR="00F60DC6" w:rsidRPr="000930A7">
        <w:rPr>
          <w:sz w:val="24"/>
          <w:szCs w:val="24"/>
        </w:rPr>
        <w:t>and</w:t>
      </w:r>
      <w:r w:rsidR="00F60DC6">
        <w:rPr>
          <w:sz w:val="24"/>
          <w:szCs w:val="24"/>
        </w:rPr>
        <w:t xml:space="preserve"> Pam (HoD/EBac)</w:t>
      </w:r>
      <w:r w:rsidR="00F60DC6" w:rsidRPr="000930A7">
        <w:rPr>
          <w:sz w:val="24"/>
          <w:szCs w:val="24"/>
        </w:rPr>
        <w:t xml:space="preserve">. </w:t>
      </w:r>
      <w:r w:rsidR="00882EB9">
        <w:rPr>
          <w:sz w:val="24"/>
          <w:szCs w:val="24"/>
        </w:rPr>
        <w:t xml:space="preserve">Simon stated the school was </w:t>
      </w:r>
      <w:r w:rsidR="00F60DC6">
        <w:rPr>
          <w:sz w:val="24"/>
          <w:szCs w:val="24"/>
        </w:rPr>
        <w:t>“</w:t>
      </w:r>
      <w:r w:rsidR="00D5396E" w:rsidRPr="000930A7">
        <w:rPr>
          <w:sz w:val="24"/>
          <w:szCs w:val="24"/>
        </w:rPr>
        <w:t>heavily oversubscribed</w:t>
      </w:r>
      <w:r w:rsidR="00F60DC6">
        <w:rPr>
          <w:sz w:val="24"/>
          <w:szCs w:val="24"/>
        </w:rPr>
        <w:t>” (p.3</w:t>
      </w:r>
      <w:r w:rsidR="00F87535">
        <w:rPr>
          <w:sz w:val="24"/>
          <w:szCs w:val="24"/>
        </w:rPr>
        <w:t>) and t</w:t>
      </w:r>
      <w:r w:rsidR="00D5396E" w:rsidRPr="000930A7">
        <w:rPr>
          <w:sz w:val="24"/>
          <w:szCs w:val="24"/>
        </w:rPr>
        <w:t xml:space="preserve">he </w:t>
      </w:r>
      <w:r w:rsidR="00F60DC6">
        <w:rPr>
          <w:sz w:val="24"/>
          <w:szCs w:val="24"/>
        </w:rPr>
        <w:t xml:space="preserve">families in the </w:t>
      </w:r>
      <w:r w:rsidR="00D5396E" w:rsidRPr="000930A7">
        <w:rPr>
          <w:sz w:val="24"/>
          <w:szCs w:val="24"/>
        </w:rPr>
        <w:t>catchment area w</w:t>
      </w:r>
      <w:r w:rsidR="00F60DC6">
        <w:rPr>
          <w:sz w:val="24"/>
          <w:szCs w:val="24"/>
        </w:rPr>
        <w:t>ere</w:t>
      </w:r>
      <w:r w:rsidR="00D5396E" w:rsidRPr="000930A7">
        <w:rPr>
          <w:sz w:val="24"/>
          <w:szCs w:val="24"/>
        </w:rPr>
        <w:t xml:space="preserve"> </w:t>
      </w:r>
      <w:r w:rsidR="0090392F">
        <w:rPr>
          <w:sz w:val="24"/>
          <w:szCs w:val="24"/>
        </w:rPr>
        <w:t>described as</w:t>
      </w:r>
      <w:r w:rsidR="00D5396E" w:rsidRPr="000930A7">
        <w:rPr>
          <w:sz w:val="24"/>
          <w:szCs w:val="24"/>
        </w:rPr>
        <w:t xml:space="preserve"> </w:t>
      </w:r>
      <w:r w:rsidR="00F60DC6">
        <w:rPr>
          <w:sz w:val="24"/>
          <w:szCs w:val="24"/>
        </w:rPr>
        <w:t xml:space="preserve">having </w:t>
      </w:r>
      <w:r w:rsidR="00530079">
        <w:rPr>
          <w:sz w:val="24"/>
          <w:szCs w:val="24"/>
        </w:rPr>
        <w:t>“</w:t>
      </w:r>
      <w:r w:rsidR="00F60DC6">
        <w:rPr>
          <w:sz w:val="24"/>
          <w:szCs w:val="24"/>
        </w:rPr>
        <w:t>reasonably affluent backgrounds”</w:t>
      </w:r>
      <w:r w:rsidR="00530079">
        <w:rPr>
          <w:sz w:val="24"/>
          <w:szCs w:val="24"/>
        </w:rPr>
        <w:t xml:space="preserve"> (p.</w:t>
      </w:r>
      <w:r w:rsidR="00F60DC6">
        <w:rPr>
          <w:sz w:val="24"/>
          <w:szCs w:val="24"/>
        </w:rPr>
        <w:t>3</w:t>
      </w:r>
      <w:r w:rsidR="00530079">
        <w:rPr>
          <w:sz w:val="24"/>
          <w:szCs w:val="24"/>
        </w:rPr>
        <w:t>)</w:t>
      </w:r>
      <w:r w:rsidR="00D5396E" w:rsidRPr="000930A7">
        <w:rPr>
          <w:sz w:val="24"/>
          <w:szCs w:val="24"/>
        </w:rPr>
        <w:t xml:space="preserve">. </w:t>
      </w:r>
    </w:p>
    <w:p w14:paraId="7C3F2F4D" w14:textId="77777777" w:rsidR="003B5A19" w:rsidRPr="00582F8F" w:rsidRDefault="003B5A19" w:rsidP="00861C33">
      <w:pPr>
        <w:spacing w:after="0" w:line="360" w:lineRule="auto"/>
        <w:rPr>
          <w:sz w:val="24"/>
          <w:szCs w:val="24"/>
        </w:rPr>
      </w:pPr>
    </w:p>
    <w:p w14:paraId="30879E3D" w14:textId="2DFD993E" w:rsidR="00D5396E" w:rsidRDefault="00D5396E" w:rsidP="00B6050F">
      <w:pPr>
        <w:spacing w:after="0" w:line="360" w:lineRule="auto"/>
        <w:rPr>
          <w:sz w:val="24"/>
          <w:szCs w:val="24"/>
        </w:rPr>
      </w:pPr>
      <w:r w:rsidRPr="000930A7">
        <w:rPr>
          <w:sz w:val="24"/>
          <w:szCs w:val="24"/>
        </w:rPr>
        <w:t>T</w:t>
      </w:r>
      <w:r w:rsidR="00395D1D">
        <w:rPr>
          <w:sz w:val="24"/>
          <w:szCs w:val="24"/>
        </w:rPr>
        <w:t xml:space="preserve">he school </w:t>
      </w:r>
      <w:r w:rsidR="003B5A19">
        <w:rPr>
          <w:sz w:val="24"/>
          <w:szCs w:val="24"/>
        </w:rPr>
        <w:t xml:space="preserve">welcomed </w:t>
      </w:r>
      <w:r w:rsidR="00395D1D">
        <w:rPr>
          <w:sz w:val="24"/>
          <w:szCs w:val="24"/>
        </w:rPr>
        <w:t>the EBac and the</w:t>
      </w:r>
      <w:r w:rsidR="0042155E">
        <w:rPr>
          <w:sz w:val="24"/>
          <w:szCs w:val="24"/>
        </w:rPr>
        <w:t>ir</w:t>
      </w:r>
      <w:r w:rsidR="00395D1D">
        <w:rPr>
          <w:sz w:val="24"/>
          <w:szCs w:val="24"/>
        </w:rPr>
        <w:t xml:space="preserve"> </w:t>
      </w:r>
      <w:r w:rsidR="006407F0">
        <w:rPr>
          <w:sz w:val="24"/>
          <w:szCs w:val="24"/>
        </w:rPr>
        <w:t>‘</w:t>
      </w:r>
      <w:r w:rsidR="00395D1D">
        <w:rPr>
          <w:sz w:val="24"/>
          <w:szCs w:val="24"/>
        </w:rPr>
        <w:t>traditional</w:t>
      </w:r>
      <w:r w:rsidR="006407F0">
        <w:rPr>
          <w:sz w:val="24"/>
          <w:szCs w:val="24"/>
        </w:rPr>
        <w:t>’</w:t>
      </w:r>
      <w:r w:rsidR="00395D1D">
        <w:rPr>
          <w:sz w:val="24"/>
          <w:szCs w:val="24"/>
        </w:rPr>
        <w:t xml:space="preserve"> academic curriculum meant that no changes were required. The school had</w:t>
      </w:r>
      <w:r w:rsidR="003B5A19">
        <w:rPr>
          <w:sz w:val="24"/>
          <w:szCs w:val="24"/>
        </w:rPr>
        <w:t>,</w:t>
      </w:r>
      <w:r w:rsidR="00395D1D">
        <w:rPr>
          <w:sz w:val="24"/>
          <w:szCs w:val="24"/>
        </w:rPr>
        <w:t xml:space="preserve"> </w:t>
      </w:r>
      <w:r w:rsidR="003B5A19">
        <w:rPr>
          <w:sz w:val="24"/>
          <w:szCs w:val="24"/>
        </w:rPr>
        <w:t xml:space="preserve">however, </w:t>
      </w:r>
      <w:r w:rsidR="00CA6A24">
        <w:rPr>
          <w:sz w:val="24"/>
          <w:szCs w:val="24"/>
        </w:rPr>
        <w:t xml:space="preserve">revised </w:t>
      </w:r>
      <w:r w:rsidRPr="000930A7">
        <w:rPr>
          <w:sz w:val="24"/>
          <w:szCs w:val="24"/>
        </w:rPr>
        <w:t>the teaching time allocation for certain subjects, most notably an increase for</w:t>
      </w:r>
      <w:r w:rsidR="0058337A">
        <w:rPr>
          <w:sz w:val="24"/>
          <w:szCs w:val="24"/>
        </w:rPr>
        <w:t xml:space="preserve"> </w:t>
      </w:r>
      <w:r w:rsidR="003B5A19">
        <w:rPr>
          <w:sz w:val="24"/>
          <w:szCs w:val="24"/>
        </w:rPr>
        <w:t>l</w:t>
      </w:r>
      <w:r w:rsidR="00155432">
        <w:rPr>
          <w:sz w:val="24"/>
          <w:szCs w:val="24"/>
        </w:rPr>
        <w:t>anguages</w:t>
      </w:r>
      <w:r w:rsidRPr="000930A7">
        <w:rPr>
          <w:sz w:val="24"/>
          <w:szCs w:val="24"/>
        </w:rPr>
        <w:t xml:space="preserve"> </w:t>
      </w:r>
      <w:r w:rsidR="00395D1D">
        <w:rPr>
          <w:sz w:val="24"/>
          <w:szCs w:val="24"/>
        </w:rPr>
        <w:t>at KS3</w:t>
      </w:r>
      <w:r w:rsidR="008D38CF">
        <w:rPr>
          <w:sz w:val="24"/>
          <w:szCs w:val="24"/>
        </w:rPr>
        <w:t xml:space="preserve"> in order to better prepare students for the demands of GCSE</w:t>
      </w:r>
      <w:r w:rsidR="003B5A19">
        <w:rPr>
          <w:sz w:val="24"/>
          <w:szCs w:val="24"/>
        </w:rPr>
        <w:t>s in</w:t>
      </w:r>
      <w:r w:rsidR="008D38CF">
        <w:rPr>
          <w:sz w:val="24"/>
          <w:szCs w:val="24"/>
        </w:rPr>
        <w:t xml:space="preserve"> languages</w:t>
      </w:r>
      <w:r w:rsidR="00395D1D">
        <w:rPr>
          <w:sz w:val="24"/>
          <w:szCs w:val="24"/>
        </w:rPr>
        <w:t xml:space="preserve">. </w:t>
      </w:r>
      <w:r w:rsidR="007B30F4">
        <w:rPr>
          <w:sz w:val="24"/>
          <w:szCs w:val="24"/>
        </w:rPr>
        <w:t>Simon (DH)</w:t>
      </w:r>
      <w:r w:rsidRPr="000930A7">
        <w:rPr>
          <w:sz w:val="24"/>
          <w:szCs w:val="24"/>
        </w:rPr>
        <w:t xml:space="preserve"> </w:t>
      </w:r>
      <w:r w:rsidR="003B5A19">
        <w:rPr>
          <w:sz w:val="24"/>
          <w:szCs w:val="24"/>
        </w:rPr>
        <w:t xml:space="preserve">was positive about the </w:t>
      </w:r>
      <w:r w:rsidRPr="000930A7">
        <w:rPr>
          <w:sz w:val="24"/>
          <w:szCs w:val="24"/>
        </w:rPr>
        <w:t>EBac and the emphasis on “traditional” (p.8) core subjects</w:t>
      </w:r>
      <w:r w:rsidR="003B5A19">
        <w:rPr>
          <w:sz w:val="24"/>
          <w:szCs w:val="24"/>
        </w:rPr>
        <w:t xml:space="preserve">, as well as </w:t>
      </w:r>
      <w:r w:rsidRPr="000930A7">
        <w:rPr>
          <w:sz w:val="24"/>
          <w:szCs w:val="24"/>
        </w:rPr>
        <w:t xml:space="preserve">subjects such as </w:t>
      </w:r>
      <w:r w:rsidR="003B5A19">
        <w:rPr>
          <w:sz w:val="24"/>
          <w:szCs w:val="24"/>
        </w:rPr>
        <w:t>l</w:t>
      </w:r>
      <w:r w:rsidR="00155432">
        <w:rPr>
          <w:sz w:val="24"/>
          <w:szCs w:val="24"/>
        </w:rPr>
        <w:t>anguages</w:t>
      </w:r>
      <w:r w:rsidR="003B5A19">
        <w:rPr>
          <w:sz w:val="24"/>
          <w:szCs w:val="24"/>
        </w:rPr>
        <w:t>,</w:t>
      </w:r>
      <w:r w:rsidRPr="000930A7">
        <w:rPr>
          <w:sz w:val="24"/>
          <w:szCs w:val="24"/>
        </w:rPr>
        <w:t xml:space="preserve"> which he felt required additional effort and perseverance </w:t>
      </w:r>
      <w:r w:rsidR="008D38CF">
        <w:rPr>
          <w:sz w:val="24"/>
          <w:szCs w:val="24"/>
        </w:rPr>
        <w:t xml:space="preserve">by students </w:t>
      </w:r>
      <w:r w:rsidRPr="000930A7">
        <w:rPr>
          <w:sz w:val="24"/>
          <w:szCs w:val="24"/>
        </w:rPr>
        <w:t xml:space="preserve">in order </w:t>
      </w:r>
      <w:r w:rsidR="008D38CF">
        <w:rPr>
          <w:sz w:val="24"/>
          <w:szCs w:val="24"/>
        </w:rPr>
        <w:t xml:space="preserve">for them </w:t>
      </w:r>
      <w:r w:rsidRPr="000930A7">
        <w:rPr>
          <w:sz w:val="24"/>
          <w:szCs w:val="24"/>
        </w:rPr>
        <w:t>to be successful.</w:t>
      </w:r>
      <w:r w:rsidR="00A46BF0">
        <w:rPr>
          <w:sz w:val="24"/>
          <w:szCs w:val="24"/>
        </w:rPr>
        <w:t xml:space="preserve"> “</w:t>
      </w:r>
      <w:r w:rsidRPr="000930A7">
        <w:rPr>
          <w:sz w:val="24"/>
          <w:szCs w:val="24"/>
        </w:rPr>
        <w:t>There is no bad thing in saying to students those old fashioned values of discipline, and resilience and hard work</w:t>
      </w:r>
      <w:r w:rsidR="00A46BF0">
        <w:rPr>
          <w:sz w:val="24"/>
          <w:szCs w:val="24"/>
        </w:rPr>
        <w:t xml:space="preserve">” </w:t>
      </w:r>
      <w:r w:rsidRPr="000930A7">
        <w:rPr>
          <w:sz w:val="24"/>
          <w:szCs w:val="24"/>
        </w:rPr>
        <w:t>(p.7).</w:t>
      </w:r>
    </w:p>
    <w:p w14:paraId="16FE99DE" w14:textId="77777777" w:rsidR="00B6050F" w:rsidRDefault="00B6050F" w:rsidP="00B6050F">
      <w:pPr>
        <w:spacing w:after="0" w:line="360" w:lineRule="auto"/>
        <w:rPr>
          <w:sz w:val="24"/>
          <w:szCs w:val="24"/>
        </w:rPr>
      </w:pPr>
    </w:p>
    <w:p w14:paraId="482D5D64" w14:textId="388A36B7" w:rsidR="00CB0157" w:rsidRDefault="00CB0157" w:rsidP="00CB0157">
      <w:pPr>
        <w:spacing w:line="360" w:lineRule="auto"/>
        <w:rPr>
          <w:sz w:val="24"/>
          <w:szCs w:val="24"/>
        </w:rPr>
      </w:pPr>
      <w:r>
        <w:rPr>
          <w:sz w:val="24"/>
          <w:szCs w:val="24"/>
        </w:rPr>
        <w:lastRenderedPageBreak/>
        <w:t>Pam</w:t>
      </w:r>
      <w:r w:rsidR="00861C33">
        <w:rPr>
          <w:sz w:val="24"/>
          <w:szCs w:val="24"/>
        </w:rPr>
        <w:t xml:space="preserve"> </w:t>
      </w:r>
      <w:r w:rsidR="003B5A19">
        <w:rPr>
          <w:sz w:val="24"/>
          <w:szCs w:val="24"/>
        </w:rPr>
        <w:t>(</w:t>
      </w:r>
      <w:r w:rsidR="0042155E">
        <w:rPr>
          <w:sz w:val="24"/>
          <w:szCs w:val="24"/>
        </w:rPr>
        <w:t>HoD</w:t>
      </w:r>
      <w:r w:rsidR="007B30F4">
        <w:rPr>
          <w:sz w:val="24"/>
          <w:szCs w:val="24"/>
        </w:rPr>
        <w:t>/</w:t>
      </w:r>
      <w:r w:rsidR="006407F0">
        <w:rPr>
          <w:sz w:val="24"/>
          <w:szCs w:val="24"/>
        </w:rPr>
        <w:t>EBac</w:t>
      </w:r>
      <w:r w:rsidR="0042155E">
        <w:rPr>
          <w:sz w:val="24"/>
          <w:szCs w:val="24"/>
        </w:rPr>
        <w:t xml:space="preserve">) </w:t>
      </w:r>
      <w:r>
        <w:rPr>
          <w:sz w:val="24"/>
          <w:szCs w:val="24"/>
        </w:rPr>
        <w:t xml:space="preserve">felt that the EBac had little impact on the school within or between departments </w:t>
      </w:r>
      <w:r w:rsidR="00CA6A24">
        <w:rPr>
          <w:sz w:val="24"/>
          <w:szCs w:val="24"/>
        </w:rPr>
        <w:t xml:space="preserve">because </w:t>
      </w:r>
      <w:r>
        <w:rPr>
          <w:sz w:val="24"/>
          <w:szCs w:val="24"/>
        </w:rPr>
        <w:t xml:space="preserve">the academic curriculum meant that the EBac was on offer </w:t>
      </w:r>
      <w:r w:rsidR="00CA6A24">
        <w:rPr>
          <w:sz w:val="24"/>
          <w:szCs w:val="24"/>
        </w:rPr>
        <w:t xml:space="preserve">anyway </w:t>
      </w:r>
      <w:r>
        <w:rPr>
          <w:sz w:val="24"/>
          <w:szCs w:val="24"/>
        </w:rPr>
        <w:t xml:space="preserve">and </w:t>
      </w:r>
      <w:r w:rsidR="00CA6A24">
        <w:rPr>
          <w:sz w:val="24"/>
          <w:szCs w:val="24"/>
        </w:rPr>
        <w:t xml:space="preserve">was </w:t>
      </w:r>
      <w:r w:rsidR="001D565B">
        <w:rPr>
          <w:sz w:val="24"/>
          <w:szCs w:val="24"/>
        </w:rPr>
        <w:t>studied</w:t>
      </w:r>
      <w:r>
        <w:rPr>
          <w:sz w:val="24"/>
          <w:szCs w:val="24"/>
        </w:rPr>
        <w:t xml:space="preserve"> by large numbers of students prior to the policy announcement. She was</w:t>
      </w:r>
      <w:r w:rsidR="00BA1224">
        <w:rPr>
          <w:sz w:val="24"/>
          <w:szCs w:val="24"/>
        </w:rPr>
        <w:t>,</w:t>
      </w:r>
      <w:r>
        <w:rPr>
          <w:sz w:val="24"/>
          <w:szCs w:val="24"/>
        </w:rPr>
        <w:t xml:space="preserve"> </w:t>
      </w:r>
      <w:r w:rsidR="0042155E">
        <w:rPr>
          <w:sz w:val="24"/>
          <w:szCs w:val="24"/>
        </w:rPr>
        <w:t xml:space="preserve">however, </w:t>
      </w:r>
      <w:r>
        <w:rPr>
          <w:sz w:val="24"/>
          <w:szCs w:val="24"/>
        </w:rPr>
        <w:t>affronted by the retrospective calculation of the EBac performance figures</w:t>
      </w:r>
      <w:r w:rsidR="00BA1224">
        <w:rPr>
          <w:sz w:val="24"/>
          <w:szCs w:val="24"/>
        </w:rPr>
        <w:t>,</w:t>
      </w:r>
      <w:r>
        <w:rPr>
          <w:sz w:val="24"/>
          <w:szCs w:val="24"/>
        </w:rPr>
        <w:t xml:space="preserve"> which she felt w</w:t>
      </w:r>
      <w:r w:rsidR="003048EE">
        <w:rPr>
          <w:sz w:val="24"/>
          <w:szCs w:val="24"/>
        </w:rPr>
        <w:t>as</w:t>
      </w:r>
      <w:r>
        <w:rPr>
          <w:sz w:val="24"/>
          <w:szCs w:val="24"/>
        </w:rPr>
        <w:t xml:space="preserve"> unfair and unjust.</w:t>
      </w:r>
    </w:p>
    <w:p w14:paraId="4F11C1B9" w14:textId="617A8E53" w:rsidR="00CB0157" w:rsidRPr="00582F8F" w:rsidRDefault="00CB0157" w:rsidP="00531995">
      <w:pPr>
        <w:spacing w:after="240" w:line="240" w:lineRule="auto"/>
        <w:ind w:left="720"/>
        <w:rPr>
          <w:sz w:val="24"/>
          <w:szCs w:val="24"/>
        </w:rPr>
      </w:pPr>
      <w:r>
        <w:rPr>
          <w:sz w:val="24"/>
          <w:szCs w:val="24"/>
        </w:rPr>
        <w:t>It just seems like, we are setting out to trip these kids up…</w:t>
      </w:r>
      <w:r w:rsidR="0042155E">
        <w:rPr>
          <w:sz w:val="24"/>
          <w:szCs w:val="24"/>
        </w:rPr>
        <w:t>why</w:t>
      </w:r>
      <w:r>
        <w:rPr>
          <w:sz w:val="24"/>
          <w:szCs w:val="24"/>
        </w:rPr>
        <w:t xml:space="preserve"> would you narrow the curriculum knowing that huge numbers of students are either going to be alienated because they just don’t want to do it or disadvantaged because they can’t? (p.18)</w:t>
      </w:r>
      <w:r w:rsidR="001B5863">
        <w:rPr>
          <w:sz w:val="24"/>
          <w:szCs w:val="24"/>
        </w:rPr>
        <w:t>.</w:t>
      </w:r>
    </w:p>
    <w:p w14:paraId="02C71BC0" w14:textId="0B9A04AD" w:rsidR="00D5396E" w:rsidRPr="00582F8F" w:rsidRDefault="002E0A12" w:rsidP="00861C33">
      <w:pPr>
        <w:spacing w:line="360" w:lineRule="auto"/>
        <w:rPr>
          <w:sz w:val="24"/>
          <w:szCs w:val="24"/>
        </w:rPr>
      </w:pPr>
      <w:r>
        <w:rPr>
          <w:sz w:val="24"/>
          <w:szCs w:val="24"/>
        </w:rPr>
        <w:t>In relation to my research questions</w:t>
      </w:r>
      <w:r w:rsidR="00A51955">
        <w:rPr>
          <w:sz w:val="24"/>
          <w:szCs w:val="24"/>
        </w:rPr>
        <w:t>,</w:t>
      </w:r>
      <w:r>
        <w:rPr>
          <w:sz w:val="24"/>
          <w:szCs w:val="24"/>
        </w:rPr>
        <w:t xml:space="preserve"> Bluefield</w:t>
      </w:r>
      <w:r w:rsidR="00BA1224">
        <w:rPr>
          <w:sz w:val="24"/>
          <w:szCs w:val="24"/>
        </w:rPr>
        <w:t>,</w:t>
      </w:r>
      <w:r>
        <w:rPr>
          <w:sz w:val="24"/>
          <w:szCs w:val="24"/>
        </w:rPr>
        <w:t xml:space="preserve"> with </w:t>
      </w:r>
      <w:r w:rsidR="00BA1224">
        <w:rPr>
          <w:sz w:val="24"/>
          <w:szCs w:val="24"/>
        </w:rPr>
        <w:t>its</w:t>
      </w:r>
      <w:r>
        <w:rPr>
          <w:sz w:val="24"/>
          <w:szCs w:val="24"/>
        </w:rPr>
        <w:t xml:space="preserve"> traditional, academic curriculum</w:t>
      </w:r>
      <w:r w:rsidR="00A51955">
        <w:rPr>
          <w:sz w:val="24"/>
          <w:szCs w:val="24"/>
        </w:rPr>
        <w:t>,</w:t>
      </w:r>
      <w:r>
        <w:rPr>
          <w:sz w:val="24"/>
          <w:szCs w:val="24"/>
        </w:rPr>
        <w:t xml:space="preserve"> experienced very few issues in making the EBac available to all students. </w:t>
      </w:r>
      <w:r w:rsidR="00C77F88">
        <w:rPr>
          <w:sz w:val="24"/>
          <w:szCs w:val="24"/>
        </w:rPr>
        <w:t xml:space="preserve">EBac </w:t>
      </w:r>
      <w:r w:rsidR="003048EE">
        <w:rPr>
          <w:sz w:val="24"/>
          <w:szCs w:val="24"/>
        </w:rPr>
        <w:t xml:space="preserve">student numbers </w:t>
      </w:r>
      <w:r w:rsidR="00C77F88">
        <w:rPr>
          <w:sz w:val="24"/>
          <w:szCs w:val="24"/>
        </w:rPr>
        <w:t>had increas</w:t>
      </w:r>
      <w:r w:rsidR="00395D1D">
        <w:rPr>
          <w:sz w:val="24"/>
          <w:szCs w:val="24"/>
        </w:rPr>
        <w:t xml:space="preserve">ed each year </w:t>
      </w:r>
      <w:r w:rsidR="00530079">
        <w:rPr>
          <w:sz w:val="24"/>
          <w:szCs w:val="24"/>
        </w:rPr>
        <w:t>due to the</w:t>
      </w:r>
      <w:r w:rsidR="00395D1D">
        <w:rPr>
          <w:sz w:val="24"/>
          <w:szCs w:val="24"/>
        </w:rPr>
        <w:t xml:space="preserve"> </w:t>
      </w:r>
      <w:r w:rsidR="003048EE">
        <w:rPr>
          <w:sz w:val="24"/>
          <w:szCs w:val="24"/>
        </w:rPr>
        <w:t>school</w:t>
      </w:r>
      <w:r w:rsidR="00BA1224">
        <w:rPr>
          <w:sz w:val="24"/>
          <w:szCs w:val="24"/>
        </w:rPr>
        <w:t>’s</w:t>
      </w:r>
      <w:r w:rsidR="003048EE">
        <w:rPr>
          <w:sz w:val="24"/>
          <w:szCs w:val="24"/>
        </w:rPr>
        <w:t xml:space="preserve"> </w:t>
      </w:r>
      <w:r w:rsidR="00395D1D">
        <w:rPr>
          <w:sz w:val="24"/>
          <w:szCs w:val="24"/>
        </w:rPr>
        <w:t>information</w:t>
      </w:r>
      <w:r w:rsidR="00530079">
        <w:rPr>
          <w:sz w:val="24"/>
          <w:szCs w:val="24"/>
        </w:rPr>
        <w:t xml:space="preserve"> and</w:t>
      </w:r>
      <w:r w:rsidR="00C77F88">
        <w:rPr>
          <w:sz w:val="24"/>
          <w:szCs w:val="24"/>
        </w:rPr>
        <w:t xml:space="preserve"> advice </w:t>
      </w:r>
      <w:r w:rsidR="00530079">
        <w:rPr>
          <w:sz w:val="24"/>
          <w:szCs w:val="24"/>
        </w:rPr>
        <w:t>and parental knowledge and encouragement.</w:t>
      </w:r>
      <w:r w:rsidR="00C77F88">
        <w:rPr>
          <w:sz w:val="24"/>
          <w:szCs w:val="24"/>
        </w:rPr>
        <w:t xml:space="preserve"> </w:t>
      </w:r>
      <w:r w:rsidR="003048EE">
        <w:rPr>
          <w:sz w:val="24"/>
          <w:szCs w:val="24"/>
        </w:rPr>
        <w:t xml:space="preserve">School </w:t>
      </w:r>
      <w:r w:rsidR="00C77F88">
        <w:rPr>
          <w:sz w:val="24"/>
          <w:szCs w:val="24"/>
        </w:rPr>
        <w:t>confidence</w:t>
      </w:r>
      <w:r w:rsidR="00AE75D8">
        <w:rPr>
          <w:sz w:val="24"/>
          <w:szCs w:val="24"/>
        </w:rPr>
        <w:t xml:space="preserve"> was </w:t>
      </w:r>
      <w:r w:rsidR="00C77F88">
        <w:rPr>
          <w:sz w:val="24"/>
          <w:szCs w:val="24"/>
        </w:rPr>
        <w:t xml:space="preserve">evidenced by the fact that </w:t>
      </w:r>
      <w:r w:rsidR="003048EE">
        <w:rPr>
          <w:sz w:val="24"/>
          <w:szCs w:val="24"/>
        </w:rPr>
        <w:t>staff</w:t>
      </w:r>
      <w:r w:rsidR="00C77F88">
        <w:rPr>
          <w:sz w:val="24"/>
          <w:szCs w:val="24"/>
        </w:rPr>
        <w:t xml:space="preserve"> had increased the range of subject choice</w:t>
      </w:r>
      <w:r w:rsidR="00BA1224">
        <w:rPr>
          <w:sz w:val="24"/>
          <w:szCs w:val="24"/>
        </w:rPr>
        <w:t>s</w:t>
      </w:r>
      <w:r w:rsidR="00C77F88">
        <w:rPr>
          <w:sz w:val="24"/>
          <w:szCs w:val="24"/>
        </w:rPr>
        <w:t xml:space="preserve"> to include</w:t>
      </w:r>
      <w:r w:rsidR="00530079">
        <w:rPr>
          <w:sz w:val="24"/>
          <w:szCs w:val="24"/>
        </w:rPr>
        <w:t xml:space="preserve"> </w:t>
      </w:r>
      <w:r w:rsidR="00C77F88">
        <w:rPr>
          <w:sz w:val="24"/>
          <w:szCs w:val="24"/>
        </w:rPr>
        <w:t xml:space="preserve">vocational options, targeted at </w:t>
      </w:r>
      <w:r w:rsidR="00DB6D22">
        <w:rPr>
          <w:sz w:val="24"/>
          <w:szCs w:val="24"/>
        </w:rPr>
        <w:t xml:space="preserve">what they described as </w:t>
      </w:r>
      <w:r w:rsidR="00BA1224">
        <w:rPr>
          <w:sz w:val="24"/>
          <w:szCs w:val="24"/>
        </w:rPr>
        <w:t>“</w:t>
      </w:r>
      <w:r w:rsidR="00882EB9">
        <w:rPr>
          <w:sz w:val="24"/>
          <w:szCs w:val="24"/>
        </w:rPr>
        <w:t xml:space="preserve">our less able students” </w:t>
      </w:r>
      <w:r w:rsidR="00DB6D22">
        <w:rPr>
          <w:sz w:val="24"/>
          <w:szCs w:val="24"/>
        </w:rPr>
        <w:t>(p.</w:t>
      </w:r>
      <w:r w:rsidR="00882EB9">
        <w:rPr>
          <w:sz w:val="24"/>
          <w:szCs w:val="24"/>
        </w:rPr>
        <w:t>3)</w:t>
      </w:r>
      <w:r w:rsidR="00C77F88">
        <w:rPr>
          <w:sz w:val="24"/>
          <w:szCs w:val="24"/>
        </w:rPr>
        <w:t xml:space="preserve">. </w:t>
      </w:r>
      <w:r w:rsidR="00474933">
        <w:rPr>
          <w:sz w:val="24"/>
          <w:szCs w:val="24"/>
        </w:rPr>
        <w:t xml:space="preserve">I have classified Bluefield within my EBac typology as </w:t>
      </w:r>
      <w:r w:rsidR="00A4102E">
        <w:rPr>
          <w:sz w:val="24"/>
          <w:szCs w:val="24"/>
        </w:rPr>
        <w:t>‘</w:t>
      </w:r>
      <w:r w:rsidR="00474933">
        <w:rPr>
          <w:sz w:val="24"/>
          <w:szCs w:val="24"/>
        </w:rPr>
        <w:t>accept</w:t>
      </w:r>
      <w:r w:rsidR="00882EB9">
        <w:rPr>
          <w:sz w:val="24"/>
          <w:szCs w:val="24"/>
        </w:rPr>
        <w:t>ance</w:t>
      </w:r>
      <w:r w:rsidR="00A4102E">
        <w:rPr>
          <w:sz w:val="24"/>
          <w:szCs w:val="24"/>
        </w:rPr>
        <w:t>’. The school leaders were</w:t>
      </w:r>
      <w:r w:rsidR="00474933">
        <w:rPr>
          <w:sz w:val="24"/>
          <w:szCs w:val="24"/>
        </w:rPr>
        <w:t xml:space="preserve"> happy with the EBac premise and accepting of the policy for the majority of students within the school</w:t>
      </w:r>
      <w:r w:rsidR="00A4102E">
        <w:rPr>
          <w:sz w:val="24"/>
          <w:szCs w:val="24"/>
        </w:rPr>
        <w:t xml:space="preserve">, though some concern was expressed regarding the universal </w:t>
      </w:r>
      <w:r w:rsidR="006407F0">
        <w:rPr>
          <w:sz w:val="24"/>
          <w:szCs w:val="24"/>
        </w:rPr>
        <w:t>imposition</w:t>
      </w:r>
      <w:r w:rsidR="00A4102E">
        <w:rPr>
          <w:sz w:val="24"/>
          <w:szCs w:val="24"/>
        </w:rPr>
        <w:t xml:space="preserve"> of the EBac</w:t>
      </w:r>
      <w:r w:rsidR="00474933">
        <w:rPr>
          <w:sz w:val="24"/>
          <w:szCs w:val="24"/>
        </w:rPr>
        <w:t>.</w:t>
      </w:r>
    </w:p>
    <w:p w14:paraId="2B8047A1" w14:textId="344A4BF3" w:rsidR="00D5396E" w:rsidRPr="00E8749A" w:rsidRDefault="00EF348C" w:rsidP="00531995">
      <w:pPr>
        <w:pStyle w:val="Heading3"/>
      </w:pPr>
      <w:bookmarkStart w:id="92" w:name="_Toc452316375"/>
      <w:r w:rsidRPr="00E8749A">
        <w:t>4.</w:t>
      </w:r>
      <w:r w:rsidR="00CB0157">
        <w:t>3.3</w:t>
      </w:r>
      <w:r w:rsidRPr="00E8749A">
        <w:t xml:space="preserve"> </w:t>
      </w:r>
      <w:r w:rsidR="00D5396E" w:rsidRPr="00E8749A">
        <w:t>Low performing non-</w:t>
      </w:r>
      <w:r w:rsidR="004B016C">
        <w:t>academy</w:t>
      </w:r>
      <w:r w:rsidR="00D5396E" w:rsidRPr="00E8749A">
        <w:t xml:space="preserve"> – Yellowfie</w:t>
      </w:r>
      <w:r w:rsidR="00A4102E">
        <w:t>ld</w:t>
      </w:r>
      <w:bookmarkEnd w:id="92"/>
    </w:p>
    <w:p w14:paraId="78E8BC5F" w14:textId="77777777" w:rsidR="00B6050F" w:rsidRDefault="00F76880" w:rsidP="00B6050F">
      <w:pPr>
        <w:tabs>
          <w:tab w:val="left" w:pos="8505"/>
        </w:tabs>
        <w:spacing w:line="360" w:lineRule="auto"/>
        <w:rPr>
          <w:sz w:val="24"/>
          <w:szCs w:val="24"/>
        </w:rPr>
      </w:pPr>
      <w:r>
        <w:rPr>
          <w:sz w:val="24"/>
          <w:szCs w:val="24"/>
        </w:rPr>
        <w:t>Yellowfield</w:t>
      </w:r>
      <w:r w:rsidR="00D5396E" w:rsidRPr="000930A7">
        <w:rPr>
          <w:sz w:val="24"/>
          <w:szCs w:val="24"/>
        </w:rPr>
        <w:t xml:space="preserve"> is an 11-16 maintained school w</w:t>
      </w:r>
      <w:r w:rsidR="003048EE">
        <w:rPr>
          <w:sz w:val="24"/>
          <w:szCs w:val="24"/>
        </w:rPr>
        <w:t>hich had</w:t>
      </w:r>
      <w:r w:rsidR="00D5396E" w:rsidRPr="000930A7">
        <w:rPr>
          <w:sz w:val="24"/>
          <w:szCs w:val="24"/>
        </w:rPr>
        <w:t xml:space="preserve"> a mixed curriculum of GCSE</w:t>
      </w:r>
      <w:r w:rsidR="00AF707D">
        <w:rPr>
          <w:sz w:val="24"/>
          <w:szCs w:val="24"/>
        </w:rPr>
        <w:t xml:space="preserve"> and</w:t>
      </w:r>
      <w:r w:rsidR="00D5396E" w:rsidRPr="000930A7">
        <w:rPr>
          <w:sz w:val="24"/>
          <w:szCs w:val="24"/>
        </w:rPr>
        <w:t xml:space="preserve"> vocational courses. </w:t>
      </w:r>
      <w:r w:rsidR="003048EE">
        <w:rPr>
          <w:sz w:val="24"/>
          <w:szCs w:val="24"/>
        </w:rPr>
        <w:t>P</w:t>
      </w:r>
      <w:r w:rsidR="00D5396E" w:rsidRPr="000930A7">
        <w:rPr>
          <w:sz w:val="24"/>
          <w:szCs w:val="24"/>
        </w:rPr>
        <w:t xml:space="preserve">olicy </w:t>
      </w:r>
      <w:r w:rsidR="003048EE">
        <w:rPr>
          <w:sz w:val="24"/>
          <w:szCs w:val="24"/>
        </w:rPr>
        <w:t xml:space="preserve">reform compelled </w:t>
      </w:r>
      <w:r w:rsidR="00D5396E" w:rsidRPr="000930A7">
        <w:rPr>
          <w:sz w:val="24"/>
          <w:szCs w:val="24"/>
        </w:rPr>
        <w:t xml:space="preserve">curriculum </w:t>
      </w:r>
      <w:r w:rsidR="003048EE">
        <w:rPr>
          <w:sz w:val="24"/>
          <w:szCs w:val="24"/>
        </w:rPr>
        <w:t xml:space="preserve">change </w:t>
      </w:r>
      <w:r w:rsidR="00D5396E" w:rsidRPr="000930A7">
        <w:rPr>
          <w:sz w:val="24"/>
          <w:szCs w:val="24"/>
        </w:rPr>
        <w:t xml:space="preserve">to </w:t>
      </w:r>
      <w:r w:rsidR="006407F0">
        <w:rPr>
          <w:sz w:val="24"/>
          <w:szCs w:val="24"/>
        </w:rPr>
        <w:t>promote</w:t>
      </w:r>
      <w:r w:rsidR="003048EE">
        <w:rPr>
          <w:sz w:val="24"/>
          <w:szCs w:val="24"/>
        </w:rPr>
        <w:t xml:space="preserve"> </w:t>
      </w:r>
      <w:r w:rsidR="00D5396E" w:rsidRPr="000930A7">
        <w:rPr>
          <w:sz w:val="24"/>
          <w:szCs w:val="24"/>
        </w:rPr>
        <w:t xml:space="preserve">GCSE courses, though a cohort of students </w:t>
      </w:r>
      <w:r w:rsidR="00E9335C">
        <w:rPr>
          <w:sz w:val="24"/>
          <w:szCs w:val="24"/>
        </w:rPr>
        <w:t>we</w:t>
      </w:r>
      <w:r w:rsidR="00D5396E" w:rsidRPr="000930A7">
        <w:rPr>
          <w:sz w:val="24"/>
          <w:szCs w:val="24"/>
        </w:rPr>
        <w:t>re operating at Level 1 and Entry</w:t>
      </w:r>
      <w:r w:rsidR="00E9335C">
        <w:rPr>
          <w:sz w:val="24"/>
          <w:szCs w:val="24"/>
        </w:rPr>
        <w:t xml:space="preserve"> </w:t>
      </w:r>
      <w:r w:rsidR="00D5396E" w:rsidRPr="000930A7">
        <w:rPr>
          <w:sz w:val="24"/>
          <w:szCs w:val="24"/>
        </w:rPr>
        <w:t>level qualifications</w:t>
      </w:r>
      <w:r w:rsidR="002E0A12">
        <w:rPr>
          <w:rStyle w:val="FootnoteReference"/>
          <w:sz w:val="24"/>
          <w:szCs w:val="24"/>
        </w:rPr>
        <w:footnoteReference w:id="38"/>
      </w:r>
      <w:r w:rsidR="00D5396E" w:rsidRPr="000930A7">
        <w:rPr>
          <w:sz w:val="24"/>
          <w:szCs w:val="24"/>
        </w:rPr>
        <w:t>. The school is within the lower end of the L</w:t>
      </w:r>
      <w:r w:rsidR="00411E88">
        <w:rPr>
          <w:sz w:val="24"/>
          <w:szCs w:val="24"/>
        </w:rPr>
        <w:t>A</w:t>
      </w:r>
      <w:r w:rsidR="00D5396E" w:rsidRPr="000930A7">
        <w:rPr>
          <w:sz w:val="24"/>
          <w:szCs w:val="24"/>
        </w:rPr>
        <w:t xml:space="preserve"> league table for </w:t>
      </w:r>
      <w:r w:rsidR="00E9335C">
        <w:rPr>
          <w:sz w:val="24"/>
          <w:szCs w:val="24"/>
        </w:rPr>
        <w:t xml:space="preserve">achievement of five or more </w:t>
      </w:r>
      <w:r w:rsidR="00D5396E" w:rsidRPr="000930A7">
        <w:rPr>
          <w:sz w:val="24"/>
          <w:szCs w:val="24"/>
        </w:rPr>
        <w:t>A*-C</w:t>
      </w:r>
      <w:r w:rsidR="00E9335C">
        <w:rPr>
          <w:sz w:val="24"/>
          <w:szCs w:val="24"/>
        </w:rPr>
        <w:t xml:space="preserve"> GCSE grades</w:t>
      </w:r>
      <w:r w:rsidR="00D5396E" w:rsidRPr="000930A7">
        <w:rPr>
          <w:sz w:val="24"/>
          <w:szCs w:val="24"/>
        </w:rPr>
        <w:t xml:space="preserve"> with English and </w:t>
      </w:r>
      <w:r w:rsidR="002B3F7C">
        <w:rPr>
          <w:sz w:val="24"/>
          <w:szCs w:val="24"/>
        </w:rPr>
        <w:t>Mathematics</w:t>
      </w:r>
      <w:r w:rsidR="00D5396E" w:rsidRPr="000930A7">
        <w:rPr>
          <w:sz w:val="24"/>
          <w:szCs w:val="24"/>
        </w:rPr>
        <w:t xml:space="preserve"> and has a low EBac figure. The school fac</w:t>
      </w:r>
      <w:r w:rsidR="003048EE">
        <w:rPr>
          <w:sz w:val="24"/>
          <w:szCs w:val="24"/>
        </w:rPr>
        <w:t>es</w:t>
      </w:r>
      <w:r w:rsidR="00D5396E" w:rsidRPr="000930A7">
        <w:rPr>
          <w:sz w:val="24"/>
          <w:szCs w:val="24"/>
        </w:rPr>
        <w:t xml:space="preserve"> a declining </w:t>
      </w:r>
      <w:r w:rsidR="003048EE">
        <w:rPr>
          <w:sz w:val="24"/>
          <w:szCs w:val="24"/>
        </w:rPr>
        <w:t>student population</w:t>
      </w:r>
      <w:r w:rsidR="00D5396E" w:rsidRPr="000930A7">
        <w:rPr>
          <w:sz w:val="24"/>
          <w:szCs w:val="24"/>
        </w:rPr>
        <w:t xml:space="preserve"> lead</w:t>
      </w:r>
      <w:r w:rsidR="00AF707D">
        <w:rPr>
          <w:sz w:val="24"/>
          <w:szCs w:val="24"/>
        </w:rPr>
        <w:t>ing</w:t>
      </w:r>
      <w:r w:rsidR="00D5396E" w:rsidRPr="000930A7">
        <w:rPr>
          <w:sz w:val="24"/>
          <w:szCs w:val="24"/>
        </w:rPr>
        <w:t xml:space="preserve"> to pressures including the need to reduce staffing</w:t>
      </w:r>
      <w:r w:rsidR="00E9335C">
        <w:rPr>
          <w:sz w:val="24"/>
          <w:szCs w:val="24"/>
        </w:rPr>
        <w:t>.</w:t>
      </w:r>
      <w:r w:rsidR="00D5396E" w:rsidRPr="000930A7">
        <w:rPr>
          <w:sz w:val="24"/>
          <w:szCs w:val="24"/>
        </w:rPr>
        <w:t xml:space="preserve"> I </w:t>
      </w:r>
      <w:r w:rsidR="00AE32C6">
        <w:rPr>
          <w:sz w:val="24"/>
          <w:szCs w:val="24"/>
        </w:rPr>
        <w:t>interviewed</w:t>
      </w:r>
      <w:r w:rsidR="00226301">
        <w:rPr>
          <w:sz w:val="24"/>
          <w:szCs w:val="24"/>
        </w:rPr>
        <w:t xml:space="preserve"> Susan</w:t>
      </w:r>
      <w:r w:rsidR="006407F0">
        <w:rPr>
          <w:sz w:val="24"/>
          <w:szCs w:val="24"/>
        </w:rPr>
        <w:t xml:space="preserve"> (DH)</w:t>
      </w:r>
      <w:r w:rsidR="00E9335C">
        <w:rPr>
          <w:sz w:val="24"/>
          <w:szCs w:val="24"/>
        </w:rPr>
        <w:t>,</w:t>
      </w:r>
      <w:r w:rsidR="00D5396E" w:rsidRPr="000930A7">
        <w:rPr>
          <w:sz w:val="24"/>
          <w:szCs w:val="24"/>
        </w:rPr>
        <w:t xml:space="preserve"> and</w:t>
      </w:r>
      <w:r w:rsidR="00226301">
        <w:rPr>
          <w:sz w:val="24"/>
          <w:szCs w:val="24"/>
        </w:rPr>
        <w:t xml:space="preserve"> Jill</w:t>
      </w:r>
      <w:r w:rsidR="006407F0">
        <w:rPr>
          <w:sz w:val="24"/>
          <w:szCs w:val="24"/>
        </w:rPr>
        <w:t xml:space="preserve"> (HoD</w:t>
      </w:r>
      <w:r w:rsidR="007B30F4">
        <w:rPr>
          <w:sz w:val="24"/>
          <w:szCs w:val="24"/>
        </w:rPr>
        <w:t>/</w:t>
      </w:r>
      <w:r w:rsidR="006407F0">
        <w:rPr>
          <w:sz w:val="24"/>
          <w:szCs w:val="24"/>
        </w:rPr>
        <w:t>EBac)</w:t>
      </w:r>
      <w:r w:rsidR="00D5396E" w:rsidRPr="000930A7">
        <w:rPr>
          <w:sz w:val="24"/>
          <w:szCs w:val="24"/>
        </w:rPr>
        <w:t>.</w:t>
      </w:r>
    </w:p>
    <w:p w14:paraId="5EC8DD88" w14:textId="138F8A24" w:rsidR="00D5396E" w:rsidRPr="00582F8F" w:rsidRDefault="00D5396E" w:rsidP="00B6050F">
      <w:pPr>
        <w:tabs>
          <w:tab w:val="left" w:pos="8505"/>
        </w:tabs>
        <w:spacing w:line="360" w:lineRule="auto"/>
        <w:rPr>
          <w:sz w:val="24"/>
          <w:szCs w:val="24"/>
        </w:rPr>
      </w:pPr>
      <w:r w:rsidRPr="000930A7">
        <w:rPr>
          <w:sz w:val="24"/>
          <w:szCs w:val="24"/>
        </w:rPr>
        <w:lastRenderedPageBreak/>
        <w:t xml:space="preserve">The school </w:t>
      </w:r>
      <w:r w:rsidR="00AF707D">
        <w:rPr>
          <w:sz w:val="24"/>
          <w:szCs w:val="24"/>
        </w:rPr>
        <w:t>ha</w:t>
      </w:r>
      <w:r w:rsidR="00411E88">
        <w:rPr>
          <w:sz w:val="24"/>
          <w:szCs w:val="24"/>
        </w:rPr>
        <w:t>s</w:t>
      </w:r>
      <w:r w:rsidRPr="000930A7">
        <w:rPr>
          <w:sz w:val="24"/>
          <w:szCs w:val="24"/>
        </w:rPr>
        <w:t xml:space="preserve"> a clear </w:t>
      </w:r>
      <w:r w:rsidR="00530079">
        <w:rPr>
          <w:sz w:val="24"/>
          <w:szCs w:val="24"/>
        </w:rPr>
        <w:t>focus</w:t>
      </w:r>
      <w:r w:rsidRPr="000930A7">
        <w:rPr>
          <w:sz w:val="24"/>
          <w:szCs w:val="24"/>
        </w:rPr>
        <w:t xml:space="preserve"> on the needs of their students, irrespective of the changing </w:t>
      </w:r>
      <w:r w:rsidR="00A51955">
        <w:rPr>
          <w:sz w:val="24"/>
          <w:szCs w:val="24"/>
        </w:rPr>
        <w:t>g</w:t>
      </w:r>
      <w:r w:rsidRPr="000930A7">
        <w:rPr>
          <w:sz w:val="24"/>
          <w:szCs w:val="24"/>
        </w:rPr>
        <w:t>overnment direction, careful</w:t>
      </w:r>
      <w:r w:rsidR="00411E88">
        <w:rPr>
          <w:sz w:val="24"/>
          <w:szCs w:val="24"/>
        </w:rPr>
        <w:t>ly</w:t>
      </w:r>
      <w:r w:rsidRPr="000930A7">
        <w:rPr>
          <w:sz w:val="24"/>
          <w:szCs w:val="24"/>
        </w:rPr>
        <w:t xml:space="preserve"> consider</w:t>
      </w:r>
      <w:r w:rsidR="00411E88">
        <w:rPr>
          <w:sz w:val="24"/>
          <w:szCs w:val="24"/>
        </w:rPr>
        <w:t>ing</w:t>
      </w:r>
      <w:r w:rsidRPr="000930A7">
        <w:rPr>
          <w:sz w:val="24"/>
          <w:szCs w:val="24"/>
        </w:rPr>
        <w:t xml:space="preserve"> the changing landscape</w:t>
      </w:r>
      <w:r w:rsidR="00E9335C">
        <w:rPr>
          <w:sz w:val="24"/>
          <w:szCs w:val="24"/>
        </w:rPr>
        <w:t xml:space="preserve"> while</w:t>
      </w:r>
      <w:r w:rsidRPr="000930A7">
        <w:rPr>
          <w:sz w:val="24"/>
          <w:szCs w:val="24"/>
        </w:rPr>
        <w:t xml:space="preserve"> try</w:t>
      </w:r>
      <w:r w:rsidR="00411E88">
        <w:rPr>
          <w:sz w:val="24"/>
          <w:szCs w:val="24"/>
        </w:rPr>
        <w:t>ing</w:t>
      </w:r>
      <w:r w:rsidRPr="000930A7">
        <w:rPr>
          <w:sz w:val="24"/>
          <w:szCs w:val="24"/>
        </w:rPr>
        <w:t xml:space="preserve"> to ensure that students </w:t>
      </w:r>
      <w:r w:rsidR="00E9335C">
        <w:rPr>
          <w:sz w:val="24"/>
          <w:szCs w:val="24"/>
        </w:rPr>
        <w:t>a</w:t>
      </w:r>
      <w:r w:rsidRPr="000930A7">
        <w:rPr>
          <w:sz w:val="24"/>
          <w:szCs w:val="24"/>
        </w:rPr>
        <w:t xml:space="preserve">re not disadvantaged by </w:t>
      </w:r>
      <w:r w:rsidR="00530079">
        <w:rPr>
          <w:sz w:val="24"/>
          <w:szCs w:val="24"/>
        </w:rPr>
        <w:t xml:space="preserve">school </w:t>
      </w:r>
      <w:r w:rsidRPr="000930A7">
        <w:rPr>
          <w:sz w:val="24"/>
          <w:szCs w:val="24"/>
        </w:rPr>
        <w:t xml:space="preserve">decisions. </w:t>
      </w:r>
    </w:p>
    <w:p w14:paraId="5AE781B2" w14:textId="484B81F1" w:rsidR="00D5396E" w:rsidRPr="00582F8F" w:rsidRDefault="00D5396E" w:rsidP="00531995">
      <w:pPr>
        <w:tabs>
          <w:tab w:val="left" w:pos="8364"/>
        </w:tabs>
        <w:spacing w:after="240" w:line="240" w:lineRule="auto"/>
        <w:ind w:left="720"/>
        <w:rPr>
          <w:sz w:val="24"/>
          <w:szCs w:val="24"/>
        </w:rPr>
      </w:pPr>
      <w:r w:rsidRPr="000930A7">
        <w:rPr>
          <w:sz w:val="24"/>
          <w:szCs w:val="24"/>
        </w:rPr>
        <w:t xml:space="preserve">We’ve still held firm with the belief that we will not do things just to satisfy a league table. We will do the right things by the students </w:t>
      </w:r>
      <w:r w:rsidR="00226301">
        <w:rPr>
          <w:sz w:val="24"/>
          <w:szCs w:val="24"/>
        </w:rPr>
        <w:t>…a</w:t>
      </w:r>
      <w:r w:rsidRPr="000930A7">
        <w:rPr>
          <w:sz w:val="24"/>
          <w:szCs w:val="24"/>
        </w:rPr>
        <w:t xml:space="preserve">nd we have held onto this belief </w:t>
      </w:r>
      <w:r w:rsidR="00DB6D22">
        <w:rPr>
          <w:sz w:val="24"/>
          <w:szCs w:val="24"/>
        </w:rPr>
        <w:t xml:space="preserve">and I am quite proud really because it is quite hard to do </w:t>
      </w:r>
      <w:r w:rsidRPr="000930A7">
        <w:rPr>
          <w:sz w:val="24"/>
          <w:szCs w:val="24"/>
        </w:rPr>
        <w:t>(</w:t>
      </w:r>
      <w:r w:rsidR="00AF707D">
        <w:rPr>
          <w:sz w:val="24"/>
          <w:szCs w:val="24"/>
        </w:rPr>
        <w:t>Susan,</w:t>
      </w:r>
      <w:r w:rsidR="007B30F4">
        <w:rPr>
          <w:sz w:val="24"/>
          <w:szCs w:val="24"/>
        </w:rPr>
        <w:t xml:space="preserve"> </w:t>
      </w:r>
      <w:r w:rsidRPr="000930A7">
        <w:rPr>
          <w:sz w:val="24"/>
          <w:szCs w:val="24"/>
        </w:rPr>
        <w:t xml:space="preserve">p.5). </w:t>
      </w:r>
    </w:p>
    <w:p w14:paraId="7FCE6202" w14:textId="42C3AC82" w:rsidR="00D5396E" w:rsidRPr="00582F8F" w:rsidRDefault="006A2386" w:rsidP="00AF707D">
      <w:pPr>
        <w:spacing w:line="360" w:lineRule="auto"/>
        <w:rPr>
          <w:sz w:val="24"/>
          <w:szCs w:val="24"/>
        </w:rPr>
      </w:pPr>
      <w:r>
        <w:rPr>
          <w:sz w:val="24"/>
          <w:szCs w:val="24"/>
        </w:rPr>
        <w:t>T</w:t>
      </w:r>
      <w:r w:rsidR="00D5396E" w:rsidRPr="000930A7">
        <w:rPr>
          <w:sz w:val="24"/>
          <w:szCs w:val="24"/>
        </w:rPr>
        <w:t xml:space="preserve">he school changed the </w:t>
      </w:r>
      <w:r>
        <w:rPr>
          <w:sz w:val="24"/>
          <w:szCs w:val="24"/>
        </w:rPr>
        <w:t>KS3</w:t>
      </w:r>
      <w:r w:rsidR="00D5396E" w:rsidRPr="000930A7">
        <w:rPr>
          <w:sz w:val="24"/>
          <w:szCs w:val="24"/>
        </w:rPr>
        <w:t xml:space="preserve"> curriculum to create additional time for </w:t>
      </w:r>
      <w:r w:rsidR="00E9335C">
        <w:rPr>
          <w:sz w:val="24"/>
          <w:szCs w:val="24"/>
        </w:rPr>
        <w:t>l</w:t>
      </w:r>
      <w:r w:rsidR="00D5396E" w:rsidRPr="000930A7">
        <w:rPr>
          <w:sz w:val="24"/>
          <w:szCs w:val="24"/>
        </w:rPr>
        <w:t xml:space="preserve">anguages and </w:t>
      </w:r>
      <w:r w:rsidR="00E9335C">
        <w:rPr>
          <w:sz w:val="24"/>
          <w:szCs w:val="24"/>
        </w:rPr>
        <w:t>h</w:t>
      </w:r>
      <w:r w:rsidR="00D5396E" w:rsidRPr="000930A7">
        <w:rPr>
          <w:sz w:val="24"/>
          <w:szCs w:val="24"/>
        </w:rPr>
        <w:t xml:space="preserve">umanities in order to increase student </w:t>
      </w:r>
      <w:r w:rsidR="00C5741D">
        <w:rPr>
          <w:sz w:val="24"/>
          <w:szCs w:val="24"/>
        </w:rPr>
        <w:t>confidence and attainment</w:t>
      </w:r>
      <w:r w:rsidR="00D5396E" w:rsidRPr="000930A7">
        <w:rPr>
          <w:sz w:val="24"/>
          <w:szCs w:val="24"/>
        </w:rPr>
        <w:t xml:space="preserve"> in these areas</w:t>
      </w:r>
      <w:r w:rsidR="00E9335C">
        <w:rPr>
          <w:sz w:val="24"/>
          <w:szCs w:val="24"/>
        </w:rPr>
        <w:t>,</w:t>
      </w:r>
      <w:r w:rsidR="00D5396E" w:rsidRPr="000930A7">
        <w:rPr>
          <w:sz w:val="24"/>
          <w:szCs w:val="24"/>
        </w:rPr>
        <w:t xml:space="preserve"> with the expectation that more students would </w:t>
      </w:r>
      <w:r w:rsidR="001D565B">
        <w:rPr>
          <w:sz w:val="24"/>
          <w:szCs w:val="24"/>
        </w:rPr>
        <w:t>study</w:t>
      </w:r>
      <w:r w:rsidR="00D5396E" w:rsidRPr="000930A7">
        <w:rPr>
          <w:sz w:val="24"/>
          <w:szCs w:val="24"/>
        </w:rPr>
        <w:t xml:space="preserve"> </w:t>
      </w:r>
      <w:r w:rsidR="00226301">
        <w:rPr>
          <w:sz w:val="24"/>
          <w:szCs w:val="24"/>
        </w:rPr>
        <w:t>EBac</w:t>
      </w:r>
      <w:r w:rsidR="00D5396E" w:rsidRPr="000930A7">
        <w:rPr>
          <w:sz w:val="24"/>
          <w:szCs w:val="24"/>
        </w:rPr>
        <w:t xml:space="preserve"> subjects. </w:t>
      </w:r>
      <w:r w:rsidR="001E3489">
        <w:rPr>
          <w:sz w:val="24"/>
          <w:szCs w:val="24"/>
        </w:rPr>
        <w:t>Additional</w:t>
      </w:r>
      <w:r w:rsidR="00D5396E" w:rsidRPr="000930A7">
        <w:rPr>
          <w:sz w:val="24"/>
          <w:szCs w:val="24"/>
        </w:rPr>
        <w:t xml:space="preserve"> time </w:t>
      </w:r>
      <w:r w:rsidR="00411E88">
        <w:rPr>
          <w:sz w:val="24"/>
          <w:szCs w:val="24"/>
        </w:rPr>
        <w:t>was</w:t>
      </w:r>
      <w:r w:rsidR="00D5396E" w:rsidRPr="000930A7">
        <w:rPr>
          <w:sz w:val="24"/>
          <w:szCs w:val="24"/>
        </w:rPr>
        <w:t xml:space="preserve"> created for English and </w:t>
      </w:r>
      <w:r w:rsidR="002B3F7C">
        <w:rPr>
          <w:sz w:val="24"/>
          <w:szCs w:val="24"/>
        </w:rPr>
        <w:t>Mathematics</w:t>
      </w:r>
      <w:r w:rsidR="00E9335C">
        <w:rPr>
          <w:sz w:val="24"/>
          <w:szCs w:val="24"/>
        </w:rPr>
        <w:t>,</w:t>
      </w:r>
      <w:r w:rsidR="00D5396E" w:rsidRPr="000930A7">
        <w:rPr>
          <w:sz w:val="24"/>
          <w:szCs w:val="24"/>
        </w:rPr>
        <w:t xml:space="preserve"> which were perceived to </w:t>
      </w:r>
      <w:r w:rsidR="00C8515A">
        <w:rPr>
          <w:sz w:val="24"/>
          <w:szCs w:val="24"/>
        </w:rPr>
        <w:t xml:space="preserve">be </w:t>
      </w:r>
      <w:r w:rsidR="00D5396E" w:rsidRPr="000930A7">
        <w:rPr>
          <w:sz w:val="24"/>
          <w:szCs w:val="24"/>
        </w:rPr>
        <w:t>becoming harder</w:t>
      </w:r>
      <w:r w:rsidR="00E9335C">
        <w:rPr>
          <w:sz w:val="24"/>
          <w:szCs w:val="24"/>
        </w:rPr>
        <w:t xml:space="preserve">; </w:t>
      </w:r>
      <w:r w:rsidR="00D5396E" w:rsidRPr="000930A7">
        <w:rPr>
          <w:sz w:val="24"/>
          <w:szCs w:val="24"/>
        </w:rPr>
        <w:t xml:space="preserve">this time increase was at the expense of personal and social education. Susan did feel that the EBac was “divisive” amongst departments and that a </w:t>
      </w:r>
      <w:r w:rsidR="00884EFA">
        <w:rPr>
          <w:sz w:val="24"/>
          <w:szCs w:val="24"/>
        </w:rPr>
        <w:t>“</w:t>
      </w:r>
      <w:r w:rsidR="00D5396E" w:rsidRPr="000930A7">
        <w:rPr>
          <w:sz w:val="24"/>
          <w:szCs w:val="24"/>
        </w:rPr>
        <w:t>three</w:t>
      </w:r>
      <w:r w:rsidR="00E9335C">
        <w:rPr>
          <w:sz w:val="24"/>
          <w:szCs w:val="24"/>
        </w:rPr>
        <w:t>-</w:t>
      </w:r>
      <w:r w:rsidR="00D5396E" w:rsidRPr="000930A7">
        <w:rPr>
          <w:sz w:val="24"/>
          <w:szCs w:val="24"/>
        </w:rPr>
        <w:t>tier s</w:t>
      </w:r>
      <w:r w:rsidR="00884EFA">
        <w:rPr>
          <w:sz w:val="24"/>
          <w:szCs w:val="24"/>
        </w:rPr>
        <w:t xml:space="preserve">ystem” (p.25) of subject hierarchy </w:t>
      </w:r>
      <w:r w:rsidR="00D5396E" w:rsidRPr="000930A7">
        <w:rPr>
          <w:sz w:val="24"/>
          <w:szCs w:val="24"/>
        </w:rPr>
        <w:t>had now been created</w:t>
      </w:r>
      <w:r w:rsidR="00884EFA">
        <w:rPr>
          <w:sz w:val="24"/>
          <w:szCs w:val="24"/>
        </w:rPr>
        <w:t xml:space="preserve"> of Maths and English, EBac subjects and non-EBac subjects</w:t>
      </w:r>
      <w:r w:rsidR="00226301">
        <w:rPr>
          <w:sz w:val="24"/>
          <w:szCs w:val="24"/>
        </w:rPr>
        <w:t>.</w:t>
      </w:r>
      <w:r w:rsidR="00AF707D">
        <w:rPr>
          <w:sz w:val="24"/>
          <w:szCs w:val="24"/>
        </w:rPr>
        <w:t xml:space="preserve"> </w:t>
      </w:r>
    </w:p>
    <w:p w14:paraId="5E3394B7" w14:textId="66D95017" w:rsidR="00794CED" w:rsidRDefault="00D5396E" w:rsidP="00D5396E">
      <w:pPr>
        <w:spacing w:line="360" w:lineRule="auto"/>
        <w:rPr>
          <w:sz w:val="24"/>
          <w:szCs w:val="24"/>
        </w:rPr>
      </w:pPr>
      <w:r w:rsidRPr="000930A7">
        <w:rPr>
          <w:sz w:val="24"/>
          <w:szCs w:val="24"/>
        </w:rPr>
        <w:t xml:space="preserve">Jill </w:t>
      </w:r>
      <w:r w:rsidR="003E1B57">
        <w:rPr>
          <w:sz w:val="24"/>
          <w:szCs w:val="24"/>
        </w:rPr>
        <w:t>(HoD</w:t>
      </w:r>
      <w:r w:rsidR="007B30F4">
        <w:rPr>
          <w:sz w:val="24"/>
          <w:szCs w:val="24"/>
        </w:rPr>
        <w:t>/</w:t>
      </w:r>
      <w:r w:rsidR="00C941AC">
        <w:rPr>
          <w:sz w:val="24"/>
          <w:szCs w:val="24"/>
        </w:rPr>
        <w:t>EBac</w:t>
      </w:r>
      <w:r w:rsidR="003E1B57">
        <w:rPr>
          <w:sz w:val="24"/>
          <w:szCs w:val="24"/>
        </w:rPr>
        <w:t xml:space="preserve">) </w:t>
      </w:r>
      <w:r w:rsidRPr="000930A7">
        <w:rPr>
          <w:sz w:val="24"/>
          <w:szCs w:val="24"/>
        </w:rPr>
        <w:t>f</w:t>
      </w:r>
      <w:r w:rsidR="00226301">
        <w:rPr>
          <w:sz w:val="24"/>
          <w:szCs w:val="24"/>
        </w:rPr>
        <w:t>ound herself</w:t>
      </w:r>
      <w:r w:rsidRPr="000930A7">
        <w:rPr>
          <w:sz w:val="24"/>
          <w:szCs w:val="24"/>
        </w:rPr>
        <w:t xml:space="preserve"> in an ambiguous position in relation to the EBac</w:t>
      </w:r>
      <w:r w:rsidR="00E9335C">
        <w:rPr>
          <w:sz w:val="24"/>
          <w:szCs w:val="24"/>
        </w:rPr>
        <w:t>.</w:t>
      </w:r>
      <w:r w:rsidRPr="000930A7">
        <w:rPr>
          <w:sz w:val="24"/>
          <w:szCs w:val="24"/>
        </w:rPr>
        <w:t xml:space="preserve"> </w:t>
      </w:r>
      <w:r w:rsidR="00E9335C">
        <w:rPr>
          <w:sz w:val="24"/>
          <w:szCs w:val="24"/>
        </w:rPr>
        <w:t>S</w:t>
      </w:r>
      <w:r w:rsidR="00A51955">
        <w:rPr>
          <w:sz w:val="24"/>
          <w:szCs w:val="24"/>
        </w:rPr>
        <w:t>he was</w:t>
      </w:r>
      <w:r w:rsidRPr="000930A7">
        <w:rPr>
          <w:sz w:val="24"/>
          <w:szCs w:val="24"/>
        </w:rPr>
        <w:t xml:space="preserve"> pleased that </w:t>
      </w:r>
      <w:r w:rsidR="008E35FE">
        <w:rPr>
          <w:sz w:val="24"/>
          <w:szCs w:val="24"/>
        </w:rPr>
        <w:t>her subjects, History and Geography,</w:t>
      </w:r>
      <w:r w:rsidRPr="000930A7">
        <w:rPr>
          <w:sz w:val="24"/>
          <w:szCs w:val="24"/>
        </w:rPr>
        <w:t xml:space="preserve"> had been acknowledged as an important subject, </w:t>
      </w:r>
      <w:r w:rsidR="001E3489">
        <w:rPr>
          <w:sz w:val="24"/>
          <w:szCs w:val="24"/>
        </w:rPr>
        <w:t xml:space="preserve">but </w:t>
      </w:r>
      <w:r w:rsidRPr="000930A7">
        <w:rPr>
          <w:sz w:val="24"/>
          <w:szCs w:val="24"/>
        </w:rPr>
        <w:t xml:space="preserve">she felt in a difficult position compared to </w:t>
      </w:r>
      <w:r w:rsidR="001E3489">
        <w:rPr>
          <w:sz w:val="24"/>
          <w:szCs w:val="24"/>
        </w:rPr>
        <w:t>non</w:t>
      </w:r>
      <w:r w:rsidR="00D21D50">
        <w:rPr>
          <w:sz w:val="24"/>
          <w:szCs w:val="24"/>
        </w:rPr>
        <w:t>-</w:t>
      </w:r>
      <w:r w:rsidR="001E3489">
        <w:rPr>
          <w:sz w:val="24"/>
          <w:szCs w:val="24"/>
        </w:rPr>
        <w:t xml:space="preserve">EBac </w:t>
      </w:r>
      <w:r w:rsidRPr="000930A7">
        <w:rPr>
          <w:sz w:val="24"/>
          <w:szCs w:val="24"/>
        </w:rPr>
        <w:t>colleagues who were</w:t>
      </w:r>
      <w:r w:rsidR="001E3489">
        <w:rPr>
          <w:sz w:val="24"/>
          <w:szCs w:val="24"/>
        </w:rPr>
        <w:t xml:space="preserve"> </w:t>
      </w:r>
      <w:r w:rsidRPr="000930A7">
        <w:rPr>
          <w:sz w:val="24"/>
          <w:szCs w:val="24"/>
        </w:rPr>
        <w:t xml:space="preserve">concerned about their jobs. She </w:t>
      </w:r>
      <w:r w:rsidR="00226301">
        <w:rPr>
          <w:sz w:val="24"/>
          <w:szCs w:val="24"/>
        </w:rPr>
        <w:t xml:space="preserve">also </w:t>
      </w:r>
      <w:r w:rsidRPr="000930A7">
        <w:rPr>
          <w:sz w:val="24"/>
          <w:szCs w:val="24"/>
        </w:rPr>
        <w:t xml:space="preserve">felt under pressure in terms of the ultimate aim of the EBac; if all students took a </w:t>
      </w:r>
      <w:r w:rsidR="00E9335C">
        <w:rPr>
          <w:sz w:val="24"/>
          <w:szCs w:val="24"/>
        </w:rPr>
        <w:t>h</w:t>
      </w:r>
      <w:r w:rsidRPr="000930A7">
        <w:rPr>
          <w:sz w:val="24"/>
          <w:szCs w:val="24"/>
        </w:rPr>
        <w:t>umanit</w:t>
      </w:r>
      <w:r w:rsidR="00E9335C">
        <w:rPr>
          <w:sz w:val="24"/>
          <w:szCs w:val="24"/>
        </w:rPr>
        <w:t>ies</w:t>
      </w:r>
      <w:r w:rsidR="003048EE">
        <w:rPr>
          <w:sz w:val="24"/>
          <w:szCs w:val="24"/>
        </w:rPr>
        <w:t xml:space="preserve"> subject</w:t>
      </w:r>
      <w:r w:rsidRPr="000930A7">
        <w:rPr>
          <w:sz w:val="24"/>
          <w:szCs w:val="24"/>
        </w:rPr>
        <w:t>, it would potentially have a huge impact on resources, staffing and results.</w:t>
      </w:r>
      <w:r w:rsidR="005B61E4">
        <w:rPr>
          <w:sz w:val="24"/>
          <w:szCs w:val="24"/>
        </w:rPr>
        <w:t xml:space="preserve"> Her greatest fear was that if additional teachers were required to teach </w:t>
      </w:r>
      <w:r w:rsidR="0058337A">
        <w:rPr>
          <w:sz w:val="24"/>
          <w:szCs w:val="24"/>
        </w:rPr>
        <w:t>History</w:t>
      </w:r>
      <w:r w:rsidR="005B61E4">
        <w:rPr>
          <w:sz w:val="24"/>
          <w:szCs w:val="24"/>
        </w:rPr>
        <w:t xml:space="preserve"> and </w:t>
      </w:r>
      <w:r w:rsidR="00B30FC7">
        <w:rPr>
          <w:sz w:val="24"/>
          <w:szCs w:val="24"/>
        </w:rPr>
        <w:t>G</w:t>
      </w:r>
      <w:r w:rsidR="005B61E4">
        <w:rPr>
          <w:sz w:val="24"/>
          <w:szCs w:val="24"/>
        </w:rPr>
        <w:t>eography non</w:t>
      </w:r>
      <w:r w:rsidR="00A51955">
        <w:rPr>
          <w:sz w:val="24"/>
          <w:szCs w:val="24"/>
        </w:rPr>
        <w:t>-</w:t>
      </w:r>
      <w:r w:rsidR="005B61E4">
        <w:rPr>
          <w:sz w:val="24"/>
          <w:szCs w:val="24"/>
        </w:rPr>
        <w:t xml:space="preserve">specialist </w:t>
      </w:r>
      <w:r w:rsidR="009E01F5">
        <w:rPr>
          <w:sz w:val="24"/>
          <w:szCs w:val="24"/>
        </w:rPr>
        <w:t>teachers</w:t>
      </w:r>
      <w:r w:rsidR="005B61E4">
        <w:rPr>
          <w:rStyle w:val="FootnoteReference"/>
          <w:sz w:val="24"/>
          <w:szCs w:val="24"/>
        </w:rPr>
        <w:footnoteReference w:id="39"/>
      </w:r>
      <w:r w:rsidR="005B61E4">
        <w:rPr>
          <w:sz w:val="24"/>
          <w:szCs w:val="24"/>
        </w:rPr>
        <w:t xml:space="preserve"> </w:t>
      </w:r>
      <w:r w:rsidR="00E9335C">
        <w:rPr>
          <w:sz w:val="24"/>
          <w:szCs w:val="24"/>
        </w:rPr>
        <w:t xml:space="preserve">would be drafted in </w:t>
      </w:r>
      <w:r w:rsidR="00DB6D22">
        <w:rPr>
          <w:sz w:val="24"/>
          <w:szCs w:val="24"/>
        </w:rPr>
        <w:t>(p.9).</w:t>
      </w:r>
      <w:r w:rsidRPr="000930A7">
        <w:rPr>
          <w:sz w:val="24"/>
          <w:szCs w:val="24"/>
        </w:rPr>
        <w:t xml:space="preserve"> </w:t>
      </w:r>
      <w:r w:rsidR="009E01F5">
        <w:rPr>
          <w:sz w:val="24"/>
          <w:szCs w:val="24"/>
        </w:rPr>
        <w:t>Jill</w:t>
      </w:r>
      <w:r w:rsidRPr="000930A7">
        <w:rPr>
          <w:sz w:val="24"/>
          <w:szCs w:val="24"/>
        </w:rPr>
        <w:t xml:space="preserve"> believed passionately that all students should be given the opportunity to access subjects that they enjoyed irrespective of their </w:t>
      </w:r>
      <w:r w:rsidR="003048EE">
        <w:rPr>
          <w:sz w:val="24"/>
          <w:szCs w:val="24"/>
        </w:rPr>
        <w:t>so-called ‘</w:t>
      </w:r>
      <w:r w:rsidRPr="000930A7">
        <w:rPr>
          <w:sz w:val="24"/>
          <w:szCs w:val="24"/>
        </w:rPr>
        <w:t>ability</w:t>
      </w:r>
      <w:r w:rsidR="003048EE">
        <w:rPr>
          <w:sz w:val="24"/>
          <w:szCs w:val="24"/>
        </w:rPr>
        <w:t>’</w:t>
      </w:r>
      <w:r w:rsidR="005B61E4">
        <w:rPr>
          <w:sz w:val="24"/>
          <w:szCs w:val="24"/>
        </w:rPr>
        <w:t>.</w:t>
      </w:r>
      <w:r w:rsidR="00794CED">
        <w:rPr>
          <w:sz w:val="24"/>
          <w:szCs w:val="24"/>
        </w:rPr>
        <w:t xml:space="preserve"> “Unfortunately a lot of our students come in below level 4</w:t>
      </w:r>
      <w:r w:rsidR="00794CED">
        <w:rPr>
          <w:rStyle w:val="FootnoteReference"/>
          <w:sz w:val="24"/>
          <w:szCs w:val="24"/>
        </w:rPr>
        <w:footnoteReference w:id="40"/>
      </w:r>
      <w:r w:rsidR="00794CED">
        <w:rPr>
          <w:sz w:val="24"/>
          <w:szCs w:val="24"/>
        </w:rPr>
        <w:t>and so actually they are not going to be high flyers going to university (p.12)”.</w:t>
      </w:r>
    </w:p>
    <w:p w14:paraId="6D3EB6AD" w14:textId="4CAA2FE5" w:rsidR="001A3BC6" w:rsidRDefault="00F15BC8" w:rsidP="00A4102E">
      <w:pPr>
        <w:spacing w:line="360" w:lineRule="auto"/>
        <w:rPr>
          <w:sz w:val="24"/>
          <w:szCs w:val="24"/>
        </w:rPr>
      </w:pPr>
      <w:r>
        <w:rPr>
          <w:sz w:val="24"/>
          <w:szCs w:val="24"/>
        </w:rPr>
        <w:t>Yellowfield</w:t>
      </w:r>
      <w:r w:rsidR="00C941AC">
        <w:rPr>
          <w:sz w:val="24"/>
          <w:szCs w:val="24"/>
        </w:rPr>
        <w:t xml:space="preserve"> </w:t>
      </w:r>
      <w:r>
        <w:rPr>
          <w:sz w:val="24"/>
          <w:szCs w:val="24"/>
        </w:rPr>
        <w:t>faced a number of challenges with EBac implementation. The school was keen to continue to offer the curriculum that i</w:t>
      </w:r>
      <w:r w:rsidR="00923951">
        <w:rPr>
          <w:sz w:val="24"/>
          <w:szCs w:val="24"/>
        </w:rPr>
        <w:t>t</w:t>
      </w:r>
      <w:r>
        <w:rPr>
          <w:sz w:val="24"/>
          <w:szCs w:val="24"/>
        </w:rPr>
        <w:t xml:space="preserve"> felt was most appropriate for its students</w:t>
      </w:r>
      <w:r w:rsidR="001E3489">
        <w:rPr>
          <w:sz w:val="24"/>
          <w:szCs w:val="24"/>
        </w:rPr>
        <w:t>,</w:t>
      </w:r>
      <w:r>
        <w:rPr>
          <w:sz w:val="24"/>
          <w:szCs w:val="24"/>
        </w:rPr>
        <w:t xml:space="preserve"> </w:t>
      </w:r>
      <w:r w:rsidR="00226301">
        <w:rPr>
          <w:sz w:val="24"/>
          <w:szCs w:val="24"/>
        </w:rPr>
        <w:t>y</w:t>
      </w:r>
      <w:r>
        <w:rPr>
          <w:sz w:val="24"/>
          <w:szCs w:val="24"/>
        </w:rPr>
        <w:t>et was</w:t>
      </w:r>
      <w:r w:rsidR="00226301">
        <w:rPr>
          <w:sz w:val="24"/>
          <w:szCs w:val="24"/>
        </w:rPr>
        <w:t xml:space="preserve"> </w:t>
      </w:r>
      <w:r w:rsidR="00226301">
        <w:rPr>
          <w:sz w:val="24"/>
          <w:szCs w:val="24"/>
        </w:rPr>
        <w:lastRenderedPageBreak/>
        <w:t>creating</w:t>
      </w:r>
      <w:r>
        <w:rPr>
          <w:sz w:val="24"/>
          <w:szCs w:val="24"/>
        </w:rPr>
        <w:t xml:space="preserve"> additional </w:t>
      </w:r>
      <w:r w:rsidR="00226301">
        <w:rPr>
          <w:sz w:val="24"/>
          <w:szCs w:val="24"/>
        </w:rPr>
        <w:t xml:space="preserve">time and </w:t>
      </w:r>
      <w:r>
        <w:rPr>
          <w:sz w:val="24"/>
          <w:szCs w:val="24"/>
        </w:rPr>
        <w:t xml:space="preserve">support </w:t>
      </w:r>
      <w:r w:rsidR="00E9335C">
        <w:rPr>
          <w:sz w:val="24"/>
          <w:szCs w:val="24"/>
        </w:rPr>
        <w:t>for</w:t>
      </w:r>
      <w:r>
        <w:rPr>
          <w:sz w:val="24"/>
          <w:szCs w:val="24"/>
        </w:rPr>
        <w:t xml:space="preserve"> </w:t>
      </w:r>
      <w:r w:rsidR="003048EE">
        <w:rPr>
          <w:sz w:val="24"/>
          <w:szCs w:val="24"/>
        </w:rPr>
        <w:t xml:space="preserve">specific </w:t>
      </w:r>
      <w:r>
        <w:rPr>
          <w:sz w:val="24"/>
          <w:szCs w:val="24"/>
        </w:rPr>
        <w:t>EBac subjects. The teachers were concerned about the impact of the EBac on children</w:t>
      </w:r>
      <w:r w:rsidR="001E3489">
        <w:rPr>
          <w:sz w:val="24"/>
          <w:szCs w:val="24"/>
        </w:rPr>
        <w:t xml:space="preserve"> and staff</w:t>
      </w:r>
      <w:r>
        <w:rPr>
          <w:sz w:val="24"/>
          <w:szCs w:val="24"/>
        </w:rPr>
        <w:t xml:space="preserve">. </w:t>
      </w:r>
      <w:r w:rsidR="00A4102E">
        <w:rPr>
          <w:sz w:val="24"/>
          <w:szCs w:val="24"/>
        </w:rPr>
        <w:t>I have classified Yellowfield within my EBac typology as</w:t>
      </w:r>
      <w:r w:rsidR="003048EE">
        <w:rPr>
          <w:sz w:val="24"/>
          <w:szCs w:val="24"/>
        </w:rPr>
        <w:t xml:space="preserve"> </w:t>
      </w:r>
      <w:r w:rsidR="00A4102E">
        <w:rPr>
          <w:sz w:val="24"/>
          <w:szCs w:val="24"/>
        </w:rPr>
        <w:t>‘resist</w:t>
      </w:r>
      <w:r w:rsidR="00882EB9">
        <w:rPr>
          <w:sz w:val="24"/>
          <w:szCs w:val="24"/>
        </w:rPr>
        <w:t>ance</w:t>
      </w:r>
      <w:r w:rsidR="00A4102E">
        <w:rPr>
          <w:sz w:val="24"/>
          <w:szCs w:val="24"/>
        </w:rPr>
        <w:t>’</w:t>
      </w:r>
      <w:r w:rsidR="00C941AC">
        <w:rPr>
          <w:sz w:val="24"/>
          <w:szCs w:val="24"/>
        </w:rPr>
        <w:t>. A</w:t>
      </w:r>
      <w:r w:rsidR="003048EE">
        <w:rPr>
          <w:sz w:val="24"/>
          <w:szCs w:val="24"/>
        </w:rPr>
        <w:t xml:space="preserve"> school which</w:t>
      </w:r>
      <w:r w:rsidR="008D38CF">
        <w:rPr>
          <w:sz w:val="24"/>
          <w:szCs w:val="24"/>
        </w:rPr>
        <w:t xml:space="preserve"> </w:t>
      </w:r>
      <w:r w:rsidR="00A4102E">
        <w:rPr>
          <w:sz w:val="24"/>
          <w:szCs w:val="24"/>
        </w:rPr>
        <w:t>rejected the EBac premise as a single curriculum choice</w:t>
      </w:r>
      <w:r w:rsidR="00C941AC">
        <w:rPr>
          <w:sz w:val="24"/>
          <w:szCs w:val="24"/>
        </w:rPr>
        <w:t>,</w:t>
      </w:r>
      <w:r w:rsidR="007B30F4">
        <w:rPr>
          <w:sz w:val="24"/>
          <w:szCs w:val="24"/>
        </w:rPr>
        <w:t xml:space="preserve"> </w:t>
      </w:r>
      <w:r w:rsidR="00A4102E">
        <w:rPr>
          <w:sz w:val="24"/>
          <w:szCs w:val="24"/>
        </w:rPr>
        <w:t>remain</w:t>
      </w:r>
      <w:r w:rsidR="00C941AC">
        <w:rPr>
          <w:sz w:val="24"/>
          <w:szCs w:val="24"/>
        </w:rPr>
        <w:t>ing</w:t>
      </w:r>
      <w:r w:rsidR="00A4102E">
        <w:rPr>
          <w:sz w:val="24"/>
          <w:szCs w:val="24"/>
        </w:rPr>
        <w:t xml:space="preserve"> determined to provide the qualifications and courses </w:t>
      </w:r>
      <w:r w:rsidR="003048EE">
        <w:rPr>
          <w:sz w:val="24"/>
          <w:szCs w:val="24"/>
        </w:rPr>
        <w:t xml:space="preserve">staff </w:t>
      </w:r>
      <w:r w:rsidR="00A4102E">
        <w:rPr>
          <w:sz w:val="24"/>
          <w:szCs w:val="24"/>
        </w:rPr>
        <w:t>believed to be most suitable for students</w:t>
      </w:r>
      <w:r w:rsidR="00E9335C">
        <w:rPr>
          <w:sz w:val="24"/>
          <w:szCs w:val="24"/>
        </w:rPr>
        <w:t>,</w:t>
      </w:r>
      <w:r w:rsidR="00A4102E">
        <w:rPr>
          <w:sz w:val="24"/>
          <w:szCs w:val="24"/>
        </w:rPr>
        <w:t xml:space="preserve"> </w:t>
      </w:r>
      <w:r w:rsidR="007B30F4">
        <w:rPr>
          <w:sz w:val="24"/>
          <w:szCs w:val="24"/>
        </w:rPr>
        <w:t xml:space="preserve">whilst </w:t>
      </w:r>
      <w:r w:rsidR="00C941AC">
        <w:rPr>
          <w:sz w:val="24"/>
          <w:szCs w:val="24"/>
        </w:rPr>
        <w:t>also</w:t>
      </w:r>
      <w:r w:rsidR="00A4102E">
        <w:rPr>
          <w:sz w:val="24"/>
          <w:szCs w:val="24"/>
        </w:rPr>
        <w:t xml:space="preserve"> tak</w:t>
      </w:r>
      <w:r w:rsidR="00C941AC">
        <w:rPr>
          <w:sz w:val="24"/>
          <w:szCs w:val="24"/>
        </w:rPr>
        <w:t>ing</w:t>
      </w:r>
      <w:r w:rsidR="00A4102E">
        <w:rPr>
          <w:sz w:val="24"/>
          <w:szCs w:val="24"/>
        </w:rPr>
        <w:t xml:space="preserve"> steps to prepare </w:t>
      </w:r>
      <w:r w:rsidR="00EA230E">
        <w:rPr>
          <w:sz w:val="24"/>
          <w:szCs w:val="24"/>
        </w:rPr>
        <w:t xml:space="preserve">a greater number of </w:t>
      </w:r>
      <w:r w:rsidR="00A4102E">
        <w:rPr>
          <w:sz w:val="24"/>
          <w:szCs w:val="24"/>
        </w:rPr>
        <w:t>students for the EBac.</w:t>
      </w:r>
    </w:p>
    <w:p w14:paraId="62562B56" w14:textId="63BC6ADB" w:rsidR="00D5396E" w:rsidRPr="00E8749A" w:rsidRDefault="00EF348C" w:rsidP="00531995">
      <w:pPr>
        <w:pStyle w:val="Heading3"/>
      </w:pPr>
      <w:bookmarkStart w:id="93" w:name="_Toc452316376"/>
      <w:r w:rsidRPr="00E8749A">
        <w:t>4.</w:t>
      </w:r>
      <w:r w:rsidR="00D142EB">
        <w:t>3.4</w:t>
      </w:r>
      <w:r w:rsidRPr="00E8749A">
        <w:t xml:space="preserve"> </w:t>
      </w:r>
      <w:r w:rsidR="00D5396E" w:rsidRPr="00E8749A">
        <w:t xml:space="preserve">Rapidly improving </w:t>
      </w:r>
      <w:r w:rsidR="004B016C">
        <w:t>academy</w:t>
      </w:r>
      <w:r w:rsidR="00D5396E" w:rsidRPr="00E8749A">
        <w:t xml:space="preserve"> - Purplefield</w:t>
      </w:r>
      <w:bookmarkEnd w:id="93"/>
    </w:p>
    <w:p w14:paraId="1EC9763C" w14:textId="0466221C" w:rsidR="00D5396E" w:rsidRDefault="00F76880" w:rsidP="007B30F4">
      <w:pPr>
        <w:spacing w:after="0" w:line="360" w:lineRule="auto"/>
        <w:rPr>
          <w:sz w:val="24"/>
          <w:szCs w:val="24"/>
        </w:rPr>
      </w:pPr>
      <w:r>
        <w:rPr>
          <w:sz w:val="24"/>
          <w:szCs w:val="24"/>
        </w:rPr>
        <w:t>Purplefield is</w:t>
      </w:r>
      <w:r w:rsidR="00D5396E" w:rsidRPr="000930A7">
        <w:rPr>
          <w:sz w:val="24"/>
          <w:szCs w:val="24"/>
        </w:rPr>
        <w:t xml:space="preserve"> an 11-16</w:t>
      </w:r>
      <w:r w:rsidR="00D142EB">
        <w:rPr>
          <w:sz w:val="24"/>
          <w:szCs w:val="24"/>
        </w:rPr>
        <w:t>,</w:t>
      </w:r>
      <w:r w:rsidR="00D5396E" w:rsidRPr="000930A7">
        <w:rPr>
          <w:sz w:val="24"/>
          <w:szCs w:val="24"/>
        </w:rPr>
        <w:t xml:space="preserve"> </w:t>
      </w:r>
      <w:r w:rsidR="00D142EB">
        <w:rPr>
          <w:sz w:val="24"/>
          <w:szCs w:val="24"/>
        </w:rPr>
        <w:t>sponsored</w:t>
      </w:r>
      <w:r w:rsidR="00D5396E" w:rsidRPr="000930A7">
        <w:rPr>
          <w:sz w:val="24"/>
          <w:szCs w:val="24"/>
        </w:rPr>
        <w:t xml:space="preserve"> </w:t>
      </w:r>
      <w:r w:rsidR="004B016C">
        <w:rPr>
          <w:sz w:val="24"/>
          <w:szCs w:val="24"/>
        </w:rPr>
        <w:t>academy</w:t>
      </w:r>
      <w:r w:rsidR="003F626B">
        <w:rPr>
          <w:sz w:val="24"/>
          <w:szCs w:val="24"/>
        </w:rPr>
        <w:t>,</w:t>
      </w:r>
      <w:r w:rsidR="00D5396E" w:rsidRPr="000930A7">
        <w:rPr>
          <w:sz w:val="24"/>
          <w:szCs w:val="24"/>
        </w:rPr>
        <w:t xml:space="preserve"> opened </w:t>
      </w:r>
      <w:r w:rsidR="00AE32C6">
        <w:rPr>
          <w:sz w:val="24"/>
          <w:szCs w:val="24"/>
        </w:rPr>
        <w:t xml:space="preserve">with the aim </w:t>
      </w:r>
      <w:r w:rsidR="00D5396E" w:rsidRPr="000930A7">
        <w:rPr>
          <w:sz w:val="24"/>
          <w:szCs w:val="24"/>
        </w:rPr>
        <w:t xml:space="preserve">to reverse low </w:t>
      </w:r>
      <w:r w:rsidR="00AE32C6">
        <w:rPr>
          <w:sz w:val="24"/>
          <w:szCs w:val="24"/>
        </w:rPr>
        <w:t xml:space="preserve">student </w:t>
      </w:r>
      <w:r w:rsidR="00D5396E" w:rsidRPr="000930A7">
        <w:rPr>
          <w:sz w:val="24"/>
          <w:szCs w:val="24"/>
        </w:rPr>
        <w:t xml:space="preserve">achievement.  </w:t>
      </w:r>
      <w:r w:rsidR="00E9335C">
        <w:rPr>
          <w:sz w:val="24"/>
          <w:szCs w:val="24"/>
        </w:rPr>
        <w:t xml:space="preserve">The number of students achieving five or more </w:t>
      </w:r>
      <w:r w:rsidR="003048EE">
        <w:rPr>
          <w:sz w:val="24"/>
          <w:szCs w:val="24"/>
        </w:rPr>
        <w:t xml:space="preserve">GCSE grades </w:t>
      </w:r>
      <w:r w:rsidR="00D5396E" w:rsidRPr="000930A7">
        <w:rPr>
          <w:sz w:val="24"/>
          <w:szCs w:val="24"/>
        </w:rPr>
        <w:t xml:space="preserve">A*-C </w:t>
      </w:r>
      <w:r w:rsidR="003048EE">
        <w:rPr>
          <w:sz w:val="24"/>
          <w:szCs w:val="24"/>
        </w:rPr>
        <w:t>(</w:t>
      </w:r>
      <w:r w:rsidR="00D5396E" w:rsidRPr="000930A7">
        <w:rPr>
          <w:sz w:val="24"/>
          <w:szCs w:val="24"/>
        </w:rPr>
        <w:t xml:space="preserve">including English and </w:t>
      </w:r>
      <w:r w:rsidR="002B3F7C">
        <w:rPr>
          <w:sz w:val="24"/>
          <w:szCs w:val="24"/>
        </w:rPr>
        <w:t>Mathematics</w:t>
      </w:r>
      <w:r w:rsidR="003048EE">
        <w:rPr>
          <w:sz w:val="24"/>
          <w:szCs w:val="24"/>
        </w:rPr>
        <w:t>)</w:t>
      </w:r>
      <w:r w:rsidR="00D5396E" w:rsidRPr="000930A7">
        <w:rPr>
          <w:sz w:val="24"/>
          <w:szCs w:val="24"/>
        </w:rPr>
        <w:t xml:space="preserve"> had increased </w:t>
      </w:r>
      <w:r w:rsidR="00D142EB">
        <w:rPr>
          <w:sz w:val="24"/>
          <w:szCs w:val="24"/>
        </w:rPr>
        <w:t>dramatically</w:t>
      </w:r>
      <w:r w:rsidR="00D5396E" w:rsidRPr="000930A7">
        <w:rPr>
          <w:sz w:val="24"/>
          <w:szCs w:val="24"/>
        </w:rPr>
        <w:t xml:space="preserve"> in </w:t>
      </w:r>
      <w:r w:rsidR="003048EE">
        <w:rPr>
          <w:sz w:val="24"/>
          <w:szCs w:val="24"/>
        </w:rPr>
        <w:t xml:space="preserve">the </w:t>
      </w:r>
      <w:r w:rsidR="00D5396E" w:rsidRPr="000930A7">
        <w:rPr>
          <w:sz w:val="24"/>
          <w:szCs w:val="24"/>
        </w:rPr>
        <w:t>previous three years</w:t>
      </w:r>
      <w:r w:rsidR="00BC2C3C">
        <w:rPr>
          <w:sz w:val="24"/>
          <w:szCs w:val="24"/>
        </w:rPr>
        <w:t>,</w:t>
      </w:r>
      <w:r w:rsidR="003F626B">
        <w:rPr>
          <w:sz w:val="24"/>
          <w:szCs w:val="24"/>
        </w:rPr>
        <w:t xml:space="preserve"> </w:t>
      </w:r>
      <w:r w:rsidR="003048EE">
        <w:rPr>
          <w:sz w:val="24"/>
          <w:szCs w:val="24"/>
        </w:rPr>
        <w:t>t</w:t>
      </w:r>
      <w:r w:rsidR="00BC2C3C">
        <w:rPr>
          <w:sz w:val="24"/>
          <w:szCs w:val="24"/>
        </w:rPr>
        <w:t>hough t</w:t>
      </w:r>
      <w:r w:rsidR="00D5396E" w:rsidRPr="000930A7">
        <w:rPr>
          <w:sz w:val="24"/>
          <w:szCs w:val="24"/>
        </w:rPr>
        <w:t>he EBac figure remained low</w:t>
      </w:r>
      <w:r w:rsidR="00AE32C6">
        <w:rPr>
          <w:sz w:val="24"/>
          <w:szCs w:val="24"/>
        </w:rPr>
        <w:t>,</w:t>
      </w:r>
      <w:r w:rsidR="003F626B">
        <w:rPr>
          <w:sz w:val="24"/>
          <w:szCs w:val="24"/>
        </w:rPr>
        <w:t xml:space="preserve"> </w:t>
      </w:r>
      <w:r w:rsidR="00D5396E" w:rsidRPr="000930A7">
        <w:rPr>
          <w:sz w:val="24"/>
          <w:szCs w:val="24"/>
        </w:rPr>
        <w:t>reflect</w:t>
      </w:r>
      <w:r w:rsidR="003F626B">
        <w:rPr>
          <w:sz w:val="24"/>
          <w:szCs w:val="24"/>
        </w:rPr>
        <w:t>ing</w:t>
      </w:r>
      <w:r w:rsidR="00D5396E" w:rsidRPr="000930A7">
        <w:rPr>
          <w:sz w:val="24"/>
          <w:szCs w:val="24"/>
        </w:rPr>
        <w:t xml:space="preserve"> </w:t>
      </w:r>
      <w:r w:rsidR="00AE32C6">
        <w:rPr>
          <w:sz w:val="24"/>
          <w:szCs w:val="24"/>
        </w:rPr>
        <w:t xml:space="preserve">the school’s </w:t>
      </w:r>
      <w:r w:rsidR="00CF30ED">
        <w:rPr>
          <w:sz w:val="24"/>
          <w:szCs w:val="24"/>
        </w:rPr>
        <w:t>previous</w:t>
      </w:r>
      <w:r w:rsidR="00D5396E" w:rsidRPr="000930A7">
        <w:rPr>
          <w:sz w:val="24"/>
          <w:szCs w:val="24"/>
        </w:rPr>
        <w:t xml:space="preserve"> vocational curriculum. The school roll was low </w:t>
      </w:r>
      <w:r w:rsidR="003F626B">
        <w:rPr>
          <w:sz w:val="24"/>
          <w:szCs w:val="24"/>
        </w:rPr>
        <w:t xml:space="preserve">and </w:t>
      </w:r>
      <w:r w:rsidR="001E3489">
        <w:rPr>
          <w:sz w:val="24"/>
          <w:szCs w:val="24"/>
        </w:rPr>
        <w:t>fluctuate</w:t>
      </w:r>
      <w:r w:rsidR="00CD0CBD">
        <w:rPr>
          <w:sz w:val="24"/>
          <w:szCs w:val="24"/>
        </w:rPr>
        <w:t xml:space="preserve">d annually, </w:t>
      </w:r>
      <w:r w:rsidR="00BC2C3C">
        <w:rPr>
          <w:sz w:val="24"/>
          <w:szCs w:val="24"/>
        </w:rPr>
        <w:t>having</w:t>
      </w:r>
      <w:r w:rsidR="00D5396E" w:rsidRPr="000930A7">
        <w:rPr>
          <w:sz w:val="24"/>
          <w:szCs w:val="24"/>
        </w:rPr>
        <w:t xml:space="preserve"> a major impact on the </w:t>
      </w:r>
      <w:r w:rsidR="00BC2C3C">
        <w:rPr>
          <w:sz w:val="24"/>
          <w:szCs w:val="24"/>
        </w:rPr>
        <w:t xml:space="preserve">viable </w:t>
      </w:r>
      <w:r w:rsidR="00D5396E" w:rsidRPr="000930A7">
        <w:rPr>
          <w:sz w:val="24"/>
          <w:szCs w:val="24"/>
        </w:rPr>
        <w:t>curriculum</w:t>
      </w:r>
      <w:r w:rsidR="00BC2C3C">
        <w:rPr>
          <w:sz w:val="24"/>
          <w:szCs w:val="24"/>
        </w:rPr>
        <w:t xml:space="preserve"> </w:t>
      </w:r>
      <w:r w:rsidR="00D5396E" w:rsidRPr="000930A7">
        <w:rPr>
          <w:sz w:val="24"/>
          <w:szCs w:val="24"/>
        </w:rPr>
        <w:t>choices</w:t>
      </w:r>
      <w:r w:rsidR="00BC2C3C">
        <w:rPr>
          <w:sz w:val="24"/>
          <w:szCs w:val="24"/>
        </w:rPr>
        <w:t xml:space="preserve"> each year</w:t>
      </w:r>
      <w:r w:rsidR="00E9335C">
        <w:rPr>
          <w:sz w:val="24"/>
          <w:szCs w:val="24"/>
        </w:rPr>
        <w:t xml:space="preserve"> and</w:t>
      </w:r>
      <w:r w:rsidR="008D38CF">
        <w:rPr>
          <w:sz w:val="24"/>
          <w:szCs w:val="24"/>
        </w:rPr>
        <w:t xml:space="preserve"> leaving little if any choices beyond the EBac for the majority of students.</w:t>
      </w:r>
      <w:r w:rsidR="008D38CF" w:rsidRPr="000930A7">
        <w:rPr>
          <w:sz w:val="24"/>
          <w:szCs w:val="24"/>
        </w:rPr>
        <w:t xml:space="preserve"> </w:t>
      </w:r>
      <w:r w:rsidR="00884EFA" w:rsidRPr="000930A7">
        <w:rPr>
          <w:sz w:val="24"/>
          <w:szCs w:val="24"/>
        </w:rPr>
        <w:t xml:space="preserve">I interviewed </w:t>
      </w:r>
      <w:r w:rsidR="00884EFA">
        <w:rPr>
          <w:sz w:val="24"/>
          <w:szCs w:val="24"/>
        </w:rPr>
        <w:t>Jane (</w:t>
      </w:r>
      <w:r w:rsidR="00884EFA" w:rsidRPr="000930A7">
        <w:rPr>
          <w:sz w:val="24"/>
          <w:szCs w:val="24"/>
        </w:rPr>
        <w:t>D</w:t>
      </w:r>
      <w:r w:rsidR="00884EFA">
        <w:rPr>
          <w:sz w:val="24"/>
          <w:szCs w:val="24"/>
        </w:rPr>
        <w:t xml:space="preserve">H); </w:t>
      </w:r>
      <w:r w:rsidR="00884EFA" w:rsidRPr="000930A7">
        <w:rPr>
          <w:sz w:val="24"/>
          <w:szCs w:val="24"/>
        </w:rPr>
        <w:t>Debbie</w:t>
      </w:r>
      <w:r w:rsidR="00884EFA">
        <w:rPr>
          <w:sz w:val="24"/>
          <w:szCs w:val="24"/>
        </w:rPr>
        <w:t xml:space="preserve"> (HoD-Non/EBac)</w:t>
      </w:r>
      <w:r w:rsidR="00884EFA" w:rsidRPr="000930A7">
        <w:rPr>
          <w:sz w:val="24"/>
          <w:szCs w:val="24"/>
        </w:rPr>
        <w:t xml:space="preserve"> and </w:t>
      </w:r>
      <w:r w:rsidR="00884EFA">
        <w:rPr>
          <w:sz w:val="24"/>
          <w:szCs w:val="24"/>
        </w:rPr>
        <w:t>Richard (HoD/EBac)</w:t>
      </w:r>
      <w:r w:rsidR="00884EFA" w:rsidRPr="000930A7">
        <w:rPr>
          <w:sz w:val="24"/>
          <w:szCs w:val="24"/>
        </w:rPr>
        <w:t>.</w:t>
      </w:r>
      <w:r w:rsidR="00884EFA">
        <w:rPr>
          <w:sz w:val="24"/>
          <w:szCs w:val="24"/>
        </w:rPr>
        <w:t xml:space="preserve"> </w:t>
      </w:r>
      <w:r w:rsidR="00E9335C">
        <w:rPr>
          <w:sz w:val="24"/>
          <w:szCs w:val="24"/>
        </w:rPr>
        <w:t>T</w:t>
      </w:r>
      <w:r w:rsidR="003F626B">
        <w:rPr>
          <w:sz w:val="24"/>
          <w:szCs w:val="24"/>
        </w:rPr>
        <w:t xml:space="preserve">he school </w:t>
      </w:r>
      <w:r w:rsidR="00E9335C">
        <w:rPr>
          <w:sz w:val="24"/>
          <w:szCs w:val="24"/>
        </w:rPr>
        <w:t>focuses on</w:t>
      </w:r>
      <w:r w:rsidR="003F626B">
        <w:rPr>
          <w:sz w:val="24"/>
          <w:szCs w:val="24"/>
        </w:rPr>
        <w:t xml:space="preserve"> </w:t>
      </w:r>
      <w:r w:rsidR="003F626B" w:rsidRPr="000930A7">
        <w:rPr>
          <w:sz w:val="24"/>
          <w:szCs w:val="24"/>
        </w:rPr>
        <w:t>improving</w:t>
      </w:r>
      <w:r w:rsidR="00D5396E" w:rsidRPr="000930A7">
        <w:rPr>
          <w:sz w:val="24"/>
          <w:szCs w:val="24"/>
        </w:rPr>
        <w:t xml:space="preserve"> levels of literacy and numeracy</w:t>
      </w:r>
      <w:r w:rsidR="00E9335C">
        <w:rPr>
          <w:sz w:val="24"/>
          <w:szCs w:val="24"/>
        </w:rPr>
        <w:t>;</w:t>
      </w:r>
      <w:r w:rsidR="00D5396E" w:rsidRPr="000930A7">
        <w:rPr>
          <w:sz w:val="24"/>
          <w:szCs w:val="24"/>
        </w:rPr>
        <w:t xml:space="preserve"> student behaviour and engagement</w:t>
      </w:r>
      <w:r w:rsidR="00E9335C">
        <w:rPr>
          <w:sz w:val="24"/>
          <w:szCs w:val="24"/>
        </w:rPr>
        <w:t>,</w:t>
      </w:r>
      <w:r w:rsidR="00D5396E" w:rsidRPr="000930A7">
        <w:rPr>
          <w:sz w:val="24"/>
          <w:szCs w:val="24"/>
        </w:rPr>
        <w:t xml:space="preserve"> a</w:t>
      </w:r>
      <w:r w:rsidR="003F626B">
        <w:rPr>
          <w:sz w:val="24"/>
          <w:szCs w:val="24"/>
        </w:rPr>
        <w:t xml:space="preserve">nd </w:t>
      </w:r>
      <w:r w:rsidR="00D5396E" w:rsidRPr="000930A7">
        <w:rPr>
          <w:sz w:val="24"/>
          <w:szCs w:val="24"/>
        </w:rPr>
        <w:t>developing parental engagement with the school. The intake was described</w:t>
      </w:r>
      <w:r w:rsidR="001E148A">
        <w:rPr>
          <w:sz w:val="24"/>
          <w:szCs w:val="24"/>
        </w:rPr>
        <w:t xml:space="preserve"> </w:t>
      </w:r>
      <w:r w:rsidR="00D5396E" w:rsidRPr="000930A7">
        <w:rPr>
          <w:sz w:val="24"/>
          <w:szCs w:val="24"/>
        </w:rPr>
        <w:t xml:space="preserve">as </w:t>
      </w:r>
      <w:r w:rsidR="001E3489">
        <w:rPr>
          <w:sz w:val="24"/>
          <w:szCs w:val="24"/>
        </w:rPr>
        <w:t>“</w:t>
      </w:r>
      <w:r w:rsidR="00D5396E" w:rsidRPr="000930A7">
        <w:rPr>
          <w:sz w:val="24"/>
          <w:szCs w:val="24"/>
        </w:rPr>
        <w:t xml:space="preserve">predominately </w:t>
      </w:r>
      <w:r w:rsidR="00884EFA">
        <w:rPr>
          <w:sz w:val="24"/>
          <w:szCs w:val="24"/>
        </w:rPr>
        <w:t xml:space="preserve">towards </w:t>
      </w:r>
      <w:r w:rsidR="00D5396E" w:rsidRPr="000930A7">
        <w:rPr>
          <w:sz w:val="24"/>
          <w:szCs w:val="24"/>
        </w:rPr>
        <w:t>working class</w:t>
      </w:r>
      <w:r w:rsidR="00884EFA">
        <w:rPr>
          <w:sz w:val="24"/>
          <w:szCs w:val="24"/>
        </w:rPr>
        <w:t xml:space="preserve">, it comes with its challenges, often a lack of parental support for school” </w:t>
      </w:r>
      <w:r w:rsidR="00884EFA" w:rsidRPr="000930A7">
        <w:rPr>
          <w:sz w:val="24"/>
          <w:szCs w:val="24"/>
        </w:rPr>
        <w:t>(</w:t>
      </w:r>
      <w:r w:rsidR="00884EFA">
        <w:rPr>
          <w:sz w:val="24"/>
          <w:szCs w:val="24"/>
        </w:rPr>
        <w:t xml:space="preserve">Jane, DH, </w:t>
      </w:r>
      <w:r w:rsidR="001E3489">
        <w:rPr>
          <w:sz w:val="24"/>
          <w:szCs w:val="24"/>
        </w:rPr>
        <w:t>p.</w:t>
      </w:r>
      <w:r w:rsidR="00884EFA">
        <w:rPr>
          <w:sz w:val="24"/>
          <w:szCs w:val="24"/>
        </w:rPr>
        <w:t>4</w:t>
      </w:r>
      <w:r w:rsidR="00A67C8D">
        <w:rPr>
          <w:sz w:val="24"/>
          <w:szCs w:val="24"/>
        </w:rPr>
        <w:t>)</w:t>
      </w:r>
      <w:r w:rsidR="00D5396E" w:rsidRPr="000930A7">
        <w:rPr>
          <w:sz w:val="24"/>
          <w:szCs w:val="24"/>
        </w:rPr>
        <w:t xml:space="preserve">. </w:t>
      </w:r>
    </w:p>
    <w:p w14:paraId="5448C313" w14:textId="77777777" w:rsidR="00E9335C" w:rsidRPr="00582F8F" w:rsidRDefault="00E9335C" w:rsidP="007B30F4">
      <w:pPr>
        <w:spacing w:after="0" w:line="360" w:lineRule="auto"/>
        <w:rPr>
          <w:sz w:val="24"/>
          <w:szCs w:val="24"/>
        </w:rPr>
      </w:pPr>
    </w:p>
    <w:p w14:paraId="6EEC5DBD" w14:textId="42FCC26E" w:rsidR="00794CED" w:rsidRPr="00794CED" w:rsidRDefault="00CD0CBD" w:rsidP="004D144C">
      <w:pPr>
        <w:spacing w:line="360" w:lineRule="auto"/>
        <w:rPr>
          <w:b/>
          <w:sz w:val="24"/>
          <w:szCs w:val="24"/>
        </w:rPr>
      </w:pPr>
      <w:r>
        <w:rPr>
          <w:sz w:val="24"/>
          <w:szCs w:val="24"/>
        </w:rPr>
        <w:t>D</w:t>
      </w:r>
      <w:r w:rsidR="001E3489">
        <w:rPr>
          <w:sz w:val="24"/>
          <w:szCs w:val="24"/>
        </w:rPr>
        <w:t>ue to its previous poor Ofsted rating</w:t>
      </w:r>
      <w:r w:rsidR="00E9335C">
        <w:rPr>
          <w:sz w:val="24"/>
          <w:szCs w:val="24"/>
        </w:rPr>
        <w:t>,</w:t>
      </w:r>
      <w:r w:rsidR="001E3489">
        <w:rPr>
          <w:sz w:val="24"/>
          <w:szCs w:val="24"/>
        </w:rPr>
        <w:t xml:space="preserve"> </w:t>
      </w:r>
      <w:r>
        <w:rPr>
          <w:sz w:val="24"/>
          <w:szCs w:val="24"/>
        </w:rPr>
        <w:t>t</w:t>
      </w:r>
      <w:r w:rsidRPr="000930A7">
        <w:rPr>
          <w:sz w:val="24"/>
          <w:szCs w:val="24"/>
        </w:rPr>
        <w:t xml:space="preserve">he school </w:t>
      </w:r>
      <w:r w:rsidR="00D5396E" w:rsidRPr="000930A7">
        <w:rPr>
          <w:sz w:val="24"/>
          <w:szCs w:val="24"/>
        </w:rPr>
        <w:t>was under detailed scrutiny</w:t>
      </w:r>
      <w:r w:rsidR="008D38CF">
        <w:rPr>
          <w:sz w:val="24"/>
          <w:szCs w:val="24"/>
        </w:rPr>
        <w:t xml:space="preserve"> from Ofsted</w:t>
      </w:r>
      <w:r w:rsidR="00D5396E" w:rsidRPr="000930A7">
        <w:rPr>
          <w:sz w:val="24"/>
          <w:szCs w:val="24"/>
        </w:rPr>
        <w:t xml:space="preserve"> and had little power for </w:t>
      </w:r>
      <w:r w:rsidR="003F626B">
        <w:rPr>
          <w:sz w:val="24"/>
          <w:szCs w:val="24"/>
        </w:rPr>
        <w:t xml:space="preserve">policy </w:t>
      </w:r>
      <w:r w:rsidR="00D5396E" w:rsidRPr="000930A7">
        <w:rPr>
          <w:sz w:val="24"/>
          <w:szCs w:val="24"/>
        </w:rPr>
        <w:t>negotiation</w:t>
      </w:r>
      <w:r w:rsidR="003F626B">
        <w:rPr>
          <w:sz w:val="24"/>
          <w:szCs w:val="24"/>
        </w:rPr>
        <w:t xml:space="preserve"> or resistance</w:t>
      </w:r>
      <w:r w:rsidR="00D5396E" w:rsidRPr="000930A7">
        <w:rPr>
          <w:sz w:val="24"/>
          <w:szCs w:val="24"/>
        </w:rPr>
        <w:t>: “being in a weak position creates pressure” (</w:t>
      </w:r>
      <w:r w:rsidR="00D142EB">
        <w:rPr>
          <w:sz w:val="24"/>
          <w:szCs w:val="24"/>
        </w:rPr>
        <w:t>Jane</w:t>
      </w:r>
      <w:r w:rsidR="00E9335C">
        <w:rPr>
          <w:sz w:val="24"/>
          <w:szCs w:val="24"/>
        </w:rPr>
        <w:t>,</w:t>
      </w:r>
      <w:r w:rsidR="003E1B57">
        <w:rPr>
          <w:sz w:val="24"/>
          <w:szCs w:val="24"/>
        </w:rPr>
        <w:t xml:space="preserve"> DH</w:t>
      </w:r>
      <w:r w:rsidR="00E9335C">
        <w:rPr>
          <w:sz w:val="24"/>
          <w:szCs w:val="24"/>
        </w:rPr>
        <w:t>,</w:t>
      </w:r>
      <w:r w:rsidR="00D142EB">
        <w:rPr>
          <w:sz w:val="24"/>
          <w:szCs w:val="24"/>
        </w:rPr>
        <w:t xml:space="preserve"> </w:t>
      </w:r>
      <w:r w:rsidR="00D5396E" w:rsidRPr="000930A7">
        <w:rPr>
          <w:sz w:val="24"/>
          <w:szCs w:val="24"/>
        </w:rPr>
        <w:t>p.6).</w:t>
      </w:r>
      <w:r w:rsidR="001E3489">
        <w:rPr>
          <w:sz w:val="24"/>
          <w:szCs w:val="24"/>
        </w:rPr>
        <w:t xml:space="preserve"> </w:t>
      </w:r>
      <w:r w:rsidR="00D5396E" w:rsidRPr="000930A7">
        <w:rPr>
          <w:sz w:val="24"/>
          <w:szCs w:val="24"/>
        </w:rPr>
        <w:t>The overriding pressure was to raise league table results</w:t>
      </w:r>
      <w:r w:rsidR="003F626B">
        <w:rPr>
          <w:sz w:val="24"/>
          <w:szCs w:val="24"/>
        </w:rPr>
        <w:t>.</w:t>
      </w:r>
      <w:r w:rsidR="00D5396E" w:rsidRPr="000930A7">
        <w:rPr>
          <w:sz w:val="24"/>
          <w:szCs w:val="24"/>
        </w:rPr>
        <w:t xml:space="preserve"> This was the only </w:t>
      </w:r>
      <w:r w:rsidR="003F626B">
        <w:rPr>
          <w:sz w:val="24"/>
          <w:szCs w:val="24"/>
        </w:rPr>
        <w:t xml:space="preserve">sample </w:t>
      </w:r>
      <w:r w:rsidR="00D5396E" w:rsidRPr="000930A7">
        <w:rPr>
          <w:sz w:val="24"/>
          <w:szCs w:val="24"/>
        </w:rPr>
        <w:t>school that had made the EBac compulsory, though some</w:t>
      </w:r>
      <w:r w:rsidR="004433E7">
        <w:rPr>
          <w:sz w:val="24"/>
          <w:szCs w:val="24"/>
        </w:rPr>
        <w:t xml:space="preserve"> students</w:t>
      </w:r>
      <w:r w:rsidR="00794CED">
        <w:rPr>
          <w:sz w:val="24"/>
          <w:szCs w:val="24"/>
        </w:rPr>
        <w:t xml:space="preserve">, mainly SEND, </w:t>
      </w:r>
      <w:r w:rsidR="00D5396E" w:rsidRPr="000930A7">
        <w:rPr>
          <w:sz w:val="24"/>
          <w:szCs w:val="24"/>
        </w:rPr>
        <w:t xml:space="preserve">were able to opt out of </w:t>
      </w:r>
      <w:r>
        <w:rPr>
          <w:sz w:val="24"/>
          <w:szCs w:val="24"/>
        </w:rPr>
        <w:t xml:space="preserve">studying </w:t>
      </w:r>
      <w:r w:rsidR="00D5396E" w:rsidRPr="000930A7">
        <w:rPr>
          <w:sz w:val="24"/>
          <w:szCs w:val="24"/>
        </w:rPr>
        <w:t xml:space="preserve">a </w:t>
      </w:r>
      <w:r w:rsidR="00E9335C">
        <w:rPr>
          <w:sz w:val="24"/>
          <w:szCs w:val="24"/>
        </w:rPr>
        <w:t>l</w:t>
      </w:r>
      <w:r w:rsidR="00D5396E" w:rsidRPr="000930A7">
        <w:rPr>
          <w:sz w:val="24"/>
          <w:szCs w:val="24"/>
        </w:rPr>
        <w:t xml:space="preserve">anguage, </w:t>
      </w:r>
      <w:r w:rsidR="00E9335C">
        <w:rPr>
          <w:sz w:val="24"/>
          <w:szCs w:val="24"/>
        </w:rPr>
        <w:t>while</w:t>
      </w:r>
      <w:r w:rsidR="00D5396E" w:rsidRPr="000930A7">
        <w:rPr>
          <w:sz w:val="24"/>
          <w:szCs w:val="24"/>
        </w:rPr>
        <w:t xml:space="preserve"> others were moved into BTEC </w:t>
      </w:r>
      <w:r w:rsidR="003F6FED">
        <w:rPr>
          <w:sz w:val="24"/>
          <w:szCs w:val="24"/>
        </w:rPr>
        <w:t>Science</w:t>
      </w:r>
      <w:r w:rsidR="00D5396E" w:rsidRPr="000930A7">
        <w:rPr>
          <w:sz w:val="24"/>
          <w:szCs w:val="24"/>
        </w:rPr>
        <w:t xml:space="preserve"> rather than GCSE. With the EBac announcement, the school </w:t>
      </w:r>
      <w:r w:rsidR="0057516E">
        <w:rPr>
          <w:sz w:val="24"/>
          <w:szCs w:val="24"/>
        </w:rPr>
        <w:t>stopped</w:t>
      </w:r>
      <w:r w:rsidR="00D5396E" w:rsidRPr="000930A7">
        <w:rPr>
          <w:sz w:val="24"/>
          <w:szCs w:val="24"/>
        </w:rPr>
        <w:t xml:space="preserve"> all </w:t>
      </w:r>
      <w:r w:rsidR="004433E7">
        <w:rPr>
          <w:sz w:val="24"/>
          <w:szCs w:val="24"/>
        </w:rPr>
        <w:t xml:space="preserve">vocational </w:t>
      </w:r>
      <w:r w:rsidR="00D5396E" w:rsidRPr="000930A7">
        <w:rPr>
          <w:sz w:val="24"/>
          <w:szCs w:val="24"/>
        </w:rPr>
        <w:t>college course</w:t>
      </w:r>
      <w:r w:rsidR="003F626B">
        <w:rPr>
          <w:sz w:val="24"/>
          <w:szCs w:val="24"/>
        </w:rPr>
        <w:t>s,</w:t>
      </w:r>
      <w:r w:rsidR="00D5396E" w:rsidRPr="000930A7">
        <w:rPr>
          <w:sz w:val="24"/>
          <w:szCs w:val="24"/>
        </w:rPr>
        <w:t xml:space="preserve"> despite </w:t>
      </w:r>
      <w:r w:rsidR="004433E7">
        <w:rPr>
          <w:sz w:val="24"/>
          <w:szCs w:val="24"/>
        </w:rPr>
        <w:t xml:space="preserve">this </w:t>
      </w:r>
      <w:r w:rsidR="00E9335C">
        <w:rPr>
          <w:sz w:val="24"/>
          <w:szCs w:val="24"/>
        </w:rPr>
        <w:t xml:space="preserve">having </w:t>
      </w:r>
      <w:r w:rsidR="004433E7">
        <w:rPr>
          <w:sz w:val="24"/>
          <w:szCs w:val="24"/>
        </w:rPr>
        <w:t>be</w:t>
      </w:r>
      <w:r w:rsidR="00E9335C">
        <w:rPr>
          <w:sz w:val="24"/>
          <w:szCs w:val="24"/>
        </w:rPr>
        <w:t>en</w:t>
      </w:r>
      <w:r w:rsidR="004433E7">
        <w:rPr>
          <w:sz w:val="24"/>
          <w:szCs w:val="24"/>
        </w:rPr>
        <w:t xml:space="preserve"> the curriculum for </w:t>
      </w:r>
      <w:r w:rsidR="00D5396E" w:rsidRPr="000930A7">
        <w:rPr>
          <w:sz w:val="24"/>
          <w:szCs w:val="24"/>
        </w:rPr>
        <w:t>20% of</w:t>
      </w:r>
      <w:r w:rsidR="001E3489">
        <w:rPr>
          <w:sz w:val="24"/>
          <w:szCs w:val="24"/>
        </w:rPr>
        <w:t xml:space="preserve"> </w:t>
      </w:r>
      <w:r w:rsidR="003F626B">
        <w:rPr>
          <w:sz w:val="24"/>
          <w:szCs w:val="24"/>
        </w:rPr>
        <w:t xml:space="preserve">previous </w:t>
      </w:r>
      <w:r w:rsidR="00D5396E" w:rsidRPr="000930A7">
        <w:rPr>
          <w:sz w:val="24"/>
          <w:szCs w:val="24"/>
        </w:rPr>
        <w:t>cohort</w:t>
      </w:r>
      <w:r w:rsidR="001E3489">
        <w:rPr>
          <w:sz w:val="24"/>
          <w:szCs w:val="24"/>
        </w:rPr>
        <w:t>s</w:t>
      </w:r>
      <w:r w:rsidR="00D5396E" w:rsidRPr="000930A7">
        <w:rPr>
          <w:sz w:val="24"/>
          <w:szCs w:val="24"/>
        </w:rPr>
        <w:t xml:space="preserve">. </w:t>
      </w:r>
      <w:r w:rsidR="00794CED">
        <w:rPr>
          <w:sz w:val="24"/>
          <w:szCs w:val="24"/>
        </w:rPr>
        <w:t xml:space="preserve">Jane </w:t>
      </w:r>
      <w:r w:rsidR="007B30F4">
        <w:rPr>
          <w:sz w:val="24"/>
          <w:szCs w:val="24"/>
        </w:rPr>
        <w:t xml:space="preserve">(DH) </w:t>
      </w:r>
      <w:r w:rsidR="00794CED">
        <w:rPr>
          <w:sz w:val="24"/>
          <w:szCs w:val="24"/>
        </w:rPr>
        <w:t>tried to navigate an appropriate curriculum path for her students through these completing pressures, feeling unhapp</w:t>
      </w:r>
      <w:r>
        <w:rPr>
          <w:sz w:val="24"/>
          <w:szCs w:val="24"/>
        </w:rPr>
        <w:t>y</w:t>
      </w:r>
      <w:r w:rsidR="00794CED">
        <w:rPr>
          <w:sz w:val="24"/>
          <w:szCs w:val="24"/>
        </w:rPr>
        <w:t xml:space="preserve"> that </w:t>
      </w:r>
      <w:r>
        <w:rPr>
          <w:sz w:val="24"/>
          <w:szCs w:val="24"/>
        </w:rPr>
        <w:t>staff</w:t>
      </w:r>
      <w:r w:rsidR="00794CED">
        <w:rPr>
          <w:sz w:val="24"/>
          <w:szCs w:val="24"/>
        </w:rPr>
        <w:t xml:space="preserve"> now had to </w:t>
      </w:r>
      <w:r w:rsidR="00E34A46">
        <w:rPr>
          <w:sz w:val="24"/>
          <w:szCs w:val="24"/>
        </w:rPr>
        <w:t xml:space="preserve">dictate and </w:t>
      </w:r>
      <w:r w:rsidR="00794CED">
        <w:rPr>
          <w:sz w:val="24"/>
          <w:szCs w:val="24"/>
        </w:rPr>
        <w:t>“be explicit about what constitutes broad and balanced [curriculum]” (p.7).</w:t>
      </w:r>
    </w:p>
    <w:p w14:paraId="7551AD12" w14:textId="2B5D827D" w:rsidR="00D5396E" w:rsidRPr="000930A7" w:rsidRDefault="00D142EB" w:rsidP="001E3489">
      <w:pPr>
        <w:tabs>
          <w:tab w:val="left" w:pos="8222"/>
        </w:tabs>
        <w:spacing w:line="360" w:lineRule="auto"/>
        <w:rPr>
          <w:sz w:val="24"/>
          <w:szCs w:val="24"/>
        </w:rPr>
      </w:pPr>
      <w:r>
        <w:rPr>
          <w:sz w:val="24"/>
          <w:szCs w:val="24"/>
        </w:rPr>
        <w:lastRenderedPageBreak/>
        <w:t xml:space="preserve">Richard </w:t>
      </w:r>
      <w:r w:rsidR="003E1B57">
        <w:rPr>
          <w:sz w:val="24"/>
          <w:szCs w:val="24"/>
        </w:rPr>
        <w:t>(HoD</w:t>
      </w:r>
      <w:r w:rsidR="00E9335C">
        <w:rPr>
          <w:sz w:val="24"/>
          <w:szCs w:val="24"/>
        </w:rPr>
        <w:t>/</w:t>
      </w:r>
      <w:r w:rsidR="003E1B57">
        <w:rPr>
          <w:sz w:val="24"/>
          <w:szCs w:val="24"/>
        </w:rPr>
        <w:t>EBac)</w:t>
      </w:r>
      <w:r w:rsidR="00D5396E" w:rsidRPr="000930A7">
        <w:rPr>
          <w:sz w:val="24"/>
          <w:szCs w:val="24"/>
        </w:rPr>
        <w:t xml:space="preserve"> welcomed </w:t>
      </w:r>
      <w:r w:rsidR="0057516E">
        <w:rPr>
          <w:sz w:val="24"/>
          <w:szCs w:val="24"/>
        </w:rPr>
        <w:t>the EBac</w:t>
      </w:r>
      <w:r w:rsidR="00D5396E" w:rsidRPr="000930A7">
        <w:rPr>
          <w:sz w:val="24"/>
          <w:szCs w:val="24"/>
        </w:rPr>
        <w:t xml:space="preserve"> and the focus on all students taking a</w:t>
      </w:r>
      <w:r w:rsidR="003F626B">
        <w:rPr>
          <w:sz w:val="24"/>
          <w:szCs w:val="24"/>
        </w:rPr>
        <w:t xml:space="preserve"> </w:t>
      </w:r>
      <w:r w:rsidR="00E9335C">
        <w:rPr>
          <w:sz w:val="24"/>
          <w:szCs w:val="24"/>
        </w:rPr>
        <w:t>h</w:t>
      </w:r>
      <w:r w:rsidR="00D5396E" w:rsidRPr="000930A7">
        <w:rPr>
          <w:sz w:val="24"/>
          <w:szCs w:val="24"/>
        </w:rPr>
        <w:t>umanit</w:t>
      </w:r>
      <w:r w:rsidR="00CD0CBD">
        <w:rPr>
          <w:sz w:val="24"/>
          <w:szCs w:val="24"/>
        </w:rPr>
        <w:t>ies subject</w:t>
      </w:r>
      <w:r w:rsidR="003F626B">
        <w:rPr>
          <w:sz w:val="24"/>
          <w:szCs w:val="24"/>
        </w:rPr>
        <w:t>.</w:t>
      </w:r>
      <w:r w:rsidR="00D5396E" w:rsidRPr="000930A7">
        <w:rPr>
          <w:sz w:val="24"/>
          <w:szCs w:val="24"/>
        </w:rPr>
        <w:t xml:space="preserve"> </w:t>
      </w:r>
      <w:r w:rsidR="003F626B">
        <w:rPr>
          <w:sz w:val="24"/>
          <w:szCs w:val="24"/>
        </w:rPr>
        <w:t>He</w:t>
      </w:r>
      <w:r w:rsidR="00D5396E" w:rsidRPr="000930A7">
        <w:rPr>
          <w:sz w:val="24"/>
          <w:szCs w:val="24"/>
        </w:rPr>
        <w:t xml:space="preserve"> </w:t>
      </w:r>
      <w:r w:rsidR="001E3489">
        <w:rPr>
          <w:sz w:val="24"/>
          <w:szCs w:val="24"/>
        </w:rPr>
        <w:t xml:space="preserve">initially </w:t>
      </w:r>
      <w:r w:rsidR="00D5396E" w:rsidRPr="000930A7">
        <w:rPr>
          <w:sz w:val="24"/>
          <w:szCs w:val="24"/>
        </w:rPr>
        <w:t xml:space="preserve">felt that he could take any student through GCSE </w:t>
      </w:r>
      <w:r w:rsidR="0057516E">
        <w:rPr>
          <w:sz w:val="24"/>
          <w:szCs w:val="24"/>
        </w:rPr>
        <w:t>G</w:t>
      </w:r>
      <w:r w:rsidR="00D5396E" w:rsidRPr="000930A7">
        <w:rPr>
          <w:sz w:val="24"/>
          <w:szCs w:val="24"/>
        </w:rPr>
        <w:t xml:space="preserve">eography </w:t>
      </w:r>
      <w:r w:rsidR="00E9335C">
        <w:rPr>
          <w:sz w:val="24"/>
          <w:szCs w:val="24"/>
        </w:rPr>
        <w:t xml:space="preserve">at </w:t>
      </w:r>
      <w:r w:rsidR="00D5396E" w:rsidRPr="000930A7">
        <w:rPr>
          <w:sz w:val="24"/>
          <w:szCs w:val="24"/>
        </w:rPr>
        <w:t>grade C</w:t>
      </w:r>
      <w:r w:rsidR="00E9335C">
        <w:rPr>
          <w:sz w:val="24"/>
          <w:szCs w:val="24"/>
        </w:rPr>
        <w:t>,</w:t>
      </w:r>
      <w:r w:rsidR="00D5396E" w:rsidRPr="000930A7">
        <w:rPr>
          <w:sz w:val="24"/>
          <w:szCs w:val="24"/>
        </w:rPr>
        <w:t xml:space="preserve"> but </w:t>
      </w:r>
      <w:r w:rsidR="00E9335C">
        <w:rPr>
          <w:sz w:val="24"/>
          <w:szCs w:val="24"/>
        </w:rPr>
        <w:t>later</w:t>
      </w:r>
      <w:r w:rsidR="00D5396E" w:rsidRPr="000930A7">
        <w:rPr>
          <w:sz w:val="24"/>
          <w:szCs w:val="24"/>
        </w:rPr>
        <w:t xml:space="preserve"> recognise</w:t>
      </w:r>
      <w:r w:rsidR="00E9335C">
        <w:rPr>
          <w:sz w:val="24"/>
          <w:szCs w:val="24"/>
        </w:rPr>
        <w:t>d</w:t>
      </w:r>
      <w:r w:rsidR="00D5396E" w:rsidRPr="000930A7">
        <w:rPr>
          <w:sz w:val="24"/>
          <w:szCs w:val="24"/>
        </w:rPr>
        <w:t xml:space="preserve"> that his confidence </w:t>
      </w:r>
      <w:r w:rsidR="00E9335C">
        <w:rPr>
          <w:sz w:val="24"/>
          <w:szCs w:val="24"/>
        </w:rPr>
        <w:t xml:space="preserve">was </w:t>
      </w:r>
      <w:r w:rsidR="00D5396E" w:rsidRPr="000930A7">
        <w:rPr>
          <w:sz w:val="24"/>
          <w:szCs w:val="24"/>
        </w:rPr>
        <w:t xml:space="preserve">knocked when faced with the reality of every student taking </w:t>
      </w:r>
      <w:r w:rsidR="0058337A">
        <w:rPr>
          <w:sz w:val="24"/>
          <w:szCs w:val="24"/>
        </w:rPr>
        <w:t>History</w:t>
      </w:r>
      <w:r w:rsidR="00D5396E" w:rsidRPr="000930A7">
        <w:rPr>
          <w:sz w:val="24"/>
          <w:szCs w:val="24"/>
        </w:rPr>
        <w:t xml:space="preserve"> or </w:t>
      </w:r>
      <w:r w:rsidR="0057516E">
        <w:rPr>
          <w:sz w:val="24"/>
          <w:szCs w:val="24"/>
        </w:rPr>
        <w:t>G</w:t>
      </w:r>
      <w:r w:rsidR="00D5396E" w:rsidRPr="000930A7">
        <w:rPr>
          <w:sz w:val="24"/>
          <w:szCs w:val="24"/>
        </w:rPr>
        <w:t>eography</w:t>
      </w:r>
      <w:r w:rsidR="00E9335C">
        <w:rPr>
          <w:sz w:val="24"/>
          <w:szCs w:val="24"/>
        </w:rPr>
        <w:t>,</w:t>
      </w:r>
      <w:r w:rsidR="00D5396E" w:rsidRPr="000930A7">
        <w:rPr>
          <w:sz w:val="24"/>
          <w:szCs w:val="24"/>
        </w:rPr>
        <w:t xml:space="preserve"> irrespective of their interests or abilities. </w:t>
      </w:r>
    </w:p>
    <w:p w14:paraId="596984D9" w14:textId="32D0DD90" w:rsidR="00D5396E" w:rsidRPr="000930A7" w:rsidRDefault="00D5396E" w:rsidP="00531995">
      <w:pPr>
        <w:spacing w:after="240" w:line="240" w:lineRule="auto"/>
        <w:ind w:left="720"/>
        <w:rPr>
          <w:sz w:val="24"/>
          <w:szCs w:val="24"/>
        </w:rPr>
      </w:pPr>
      <w:r w:rsidRPr="000930A7">
        <w:rPr>
          <w:sz w:val="24"/>
          <w:szCs w:val="24"/>
        </w:rPr>
        <w:t>We do have students of a very low ability</w:t>
      </w:r>
      <w:r w:rsidR="004433E7">
        <w:rPr>
          <w:sz w:val="24"/>
          <w:szCs w:val="24"/>
        </w:rPr>
        <w:t>…</w:t>
      </w:r>
      <w:r w:rsidRPr="000930A7">
        <w:rPr>
          <w:sz w:val="24"/>
          <w:szCs w:val="24"/>
        </w:rPr>
        <w:t xml:space="preserve">they find it very, very difficult…and they are never going to get a C. Should they still study </w:t>
      </w:r>
      <w:r w:rsidR="00E9335C">
        <w:rPr>
          <w:sz w:val="24"/>
          <w:szCs w:val="24"/>
        </w:rPr>
        <w:t>h</w:t>
      </w:r>
      <w:r w:rsidRPr="000930A7">
        <w:rPr>
          <w:sz w:val="24"/>
          <w:szCs w:val="24"/>
        </w:rPr>
        <w:t>umanities? (</w:t>
      </w:r>
      <w:r w:rsidR="00BC2C3C">
        <w:rPr>
          <w:sz w:val="24"/>
          <w:szCs w:val="24"/>
        </w:rPr>
        <w:t>Richard</w:t>
      </w:r>
      <w:r w:rsidR="0075787A">
        <w:rPr>
          <w:sz w:val="24"/>
          <w:szCs w:val="24"/>
        </w:rPr>
        <w:t>,</w:t>
      </w:r>
      <w:r w:rsidR="00BC2C3C">
        <w:rPr>
          <w:sz w:val="24"/>
          <w:szCs w:val="24"/>
        </w:rPr>
        <w:t xml:space="preserve"> </w:t>
      </w:r>
      <w:r w:rsidRPr="000930A7">
        <w:rPr>
          <w:sz w:val="24"/>
          <w:szCs w:val="24"/>
        </w:rPr>
        <w:t>p.5).</w:t>
      </w:r>
    </w:p>
    <w:p w14:paraId="3753427F" w14:textId="586AC5D6" w:rsidR="00D5396E" w:rsidRDefault="004433E7" w:rsidP="004433E7">
      <w:pPr>
        <w:tabs>
          <w:tab w:val="left" w:pos="8364"/>
        </w:tabs>
        <w:spacing w:line="360" w:lineRule="auto"/>
        <w:rPr>
          <w:sz w:val="24"/>
          <w:szCs w:val="24"/>
        </w:rPr>
      </w:pPr>
      <w:r>
        <w:rPr>
          <w:sz w:val="24"/>
          <w:szCs w:val="24"/>
        </w:rPr>
        <w:t xml:space="preserve">The Design </w:t>
      </w:r>
      <w:r w:rsidR="00D5396E" w:rsidRPr="000930A7">
        <w:rPr>
          <w:sz w:val="24"/>
          <w:szCs w:val="24"/>
        </w:rPr>
        <w:t xml:space="preserve">department </w:t>
      </w:r>
      <w:r>
        <w:rPr>
          <w:sz w:val="24"/>
          <w:szCs w:val="24"/>
        </w:rPr>
        <w:t xml:space="preserve">had </w:t>
      </w:r>
      <w:r w:rsidR="00D5396E" w:rsidRPr="000930A7">
        <w:rPr>
          <w:sz w:val="24"/>
          <w:szCs w:val="24"/>
        </w:rPr>
        <w:t>reduce</w:t>
      </w:r>
      <w:r>
        <w:rPr>
          <w:sz w:val="24"/>
          <w:szCs w:val="24"/>
        </w:rPr>
        <w:t>d the number of courses and consequently teaching staff due to</w:t>
      </w:r>
      <w:r w:rsidR="00CB68C5">
        <w:rPr>
          <w:sz w:val="24"/>
          <w:szCs w:val="24"/>
        </w:rPr>
        <w:t xml:space="preserve"> the </w:t>
      </w:r>
      <w:r w:rsidR="00D5396E" w:rsidRPr="000930A7">
        <w:rPr>
          <w:sz w:val="24"/>
          <w:szCs w:val="24"/>
        </w:rPr>
        <w:t xml:space="preserve">EBac. </w:t>
      </w:r>
      <w:r>
        <w:rPr>
          <w:sz w:val="24"/>
          <w:szCs w:val="24"/>
        </w:rPr>
        <w:t>Debbie</w:t>
      </w:r>
      <w:r w:rsidR="00D5396E" w:rsidRPr="000930A7">
        <w:rPr>
          <w:sz w:val="24"/>
          <w:szCs w:val="24"/>
        </w:rPr>
        <w:t xml:space="preserve"> </w:t>
      </w:r>
      <w:r w:rsidR="00EA230E">
        <w:rPr>
          <w:sz w:val="24"/>
          <w:szCs w:val="24"/>
        </w:rPr>
        <w:t xml:space="preserve">(HoD-non/EBac) </w:t>
      </w:r>
      <w:r w:rsidR="00D5396E" w:rsidRPr="000930A7">
        <w:rPr>
          <w:sz w:val="24"/>
          <w:szCs w:val="24"/>
        </w:rPr>
        <w:t xml:space="preserve">was upset at what she perceived as </w:t>
      </w:r>
      <w:r w:rsidR="00E9335C">
        <w:rPr>
          <w:sz w:val="24"/>
          <w:szCs w:val="24"/>
        </w:rPr>
        <w:t>a</w:t>
      </w:r>
      <w:r w:rsidR="00D5396E" w:rsidRPr="000930A7">
        <w:rPr>
          <w:sz w:val="24"/>
          <w:szCs w:val="24"/>
        </w:rPr>
        <w:t xml:space="preserve"> devaluing of her subject</w:t>
      </w:r>
      <w:r w:rsidR="008E35FE">
        <w:rPr>
          <w:sz w:val="24"/>
          <w:szCs w:val="24"/>
        </w:rPr>
        <w:t xml:space="preserve">, Technology, </w:t>
      </w:r>
      <w:r w:rsidR="00D5396E" w:rsidRPr="000930A7">
        <w:rPr>
          <w:sz w:val="24"/>
          <w:szCs w:val="24"/>
        </w:rPr>
        <w:t xml:space="preserve"> within the curriculum</w:t>
      </w:r>
      <w:r w:rsidR="006A5028">
        <w:rPr>
          <w:sz w:val="24"/>
          <w:szCs w:val="24"/>
        </w:rPr>
        <w:t xml:space="preserve"> and a decline in the status accorded to the trades, which she felt was </w:t>
      </w:r>
      <w:r w:rsidR="00850749">
        <w:rPr>
          <w:sz w:val="24"/>
          <w:szCs w:val="24"/>
        </w:rPr>
        <w:t>‘</w:t>
      </w:r>
      <w:r w:rsidR="006A5028">
        <w:rPr>
          <w:sz w:val="24"/>
          <w:szCs w:val="24"/>
        </w:rPr>
        <w:t>forcing</w:t>
      </w:r>
      <w:r w:rsidR="00850749">
        <w:rPr>
          <w:sz w:val="24"/>
          <w:szCs w:val="24"/>
        </w:rPr>
        <w:t>’</w:t>
      </w:r>
      <w:r w:rsidR="006A5028">
        <w:rPr>
          <w:sz w:val="24"/>
          <w:szCs w:val="24"/>
        </w:rPr>
        <w:t xml:space="preserve"> students she believed could excel in a more practical vocational route into academic course</w:t>
      </w:r>
      <w:r w:rsidR="00E9335C">
        <w:rPr>
          <w:sz w:val="24"/>
          <w:szCs w:val="24"/>
        </w:rPr>
        <w:t>s</w:t>
      </w:r>
      <w:r w:rsidR="006A5028">
        <w:rPr>
          <w:sz w:val="24"/>
          <w:szCs w:val="24"/>
        </w:rPr>
        <w:t xml:space="preserve"> where they had less chance of success</w:t>
      </w:r>
      <w:r w:rsidR="00850749">
        <w:rPr>
          <w:sz w:val="24"/>
          <w:szCs w:val="24"/>
        </w:rPr>
        <w:t xml:space="preserve"> (p.9)</w:t>
      </w:r>
      <w:r w:rsidR="00D5396E" w:rsidRPr="000930A7">
        <w:rPr>
          <w:sz w:val="24"/>
          <w:szCs w:val="24"/>
        </w:rPr>
        <w:t xml:space="preserve">. </w:t>
      </w:r>
      <w:r w:rsidR="00E9335C">
        <w:rPr>
          <w:sz w:val="24"/>
          <w:szCs w:val="24"/>
        </w:rPr>
        <w:t xml:space="preserve">The </w:t>
      </w:r>
      <w:r w:rsidR="00EF348C" w:rsidRPr="000930A7">
        <w:rPr>
          <w:sz w:val="24"/>
          <w:szCs w:val="24"/>
        </w:rPr>
        <w:t>calibre</w:t>
      </w:r>
      <w:r w:rsidR="00D5396E" w:rsidRPr="000930A7">
        <w:rPr>
          <w:sz w:val="24"/>
          <w:szCs w:val="24"/>
        </w:rPr>
        <w:t xml:space="preserve"> of students </w:t>
      </w:r>
      <w:r>
        <w:rPr>
          <w:sz w:val="24"/>
          <w:szCs w:val="24"/>
        </w:rPr>
        <w:t xml:space="preserve">now </w:t>
      </w:r>
      <w:r w:rsidR="00E9335C">
        <w:rPr>
          <w:sz w:val="24"/>
          <w:szCs w:val="24"/>
        </w:rPr>
        <w:t xml:space="preserve">taking </w:t>
      </w:r>
      <w:r w:rsidR="007D5056">
        <w:rPr>
          <w:sz w:val="24"/>
          <w:szCs w:val="24"/>
        </w:rPr>
        <w:t>T</w:t>
      </w:r>
      <w:r w:rsidR="00D5396E" w:rsidRPr="000930A7">
        <w:rPr>
          <w:sz w:val="24"/>
          <w:szCs w:val="24"/>
        </w:rPr>
        <w:t>echnology</w:t>
      </w:r>
      <w:r w:rsidR="00E9335C">
        <w:rPr>
          <w:sz w:val="24"/>
          <w:szCs w:val="24"/>
        </w:rPr>
        <w:t xml:space="preserve"> had declined</w:t>
      </w:r>
      <w:r w:rsidR="00D5396E" w:rsidRPr="000930A7">
        <w:rPr>
          <w:sz w:val="24"/>
          <w:szCs w:val="24"/>
        </w:rPr>
        <w:t>, as more able students were redirected onto the EBac. This was then compounded by the removal of the vocational options</w:t>
      </w:r>
      <w:r w:rsidR="00E9335C">
        <w:rPr>
          <w:sz w:val="24"/>
          <w:szCs w:val="24"/>
        </w:rPr>
        <w:t>,</w:t>
      </w:r>
      <w:r w:rsidR="00D5396E" w:rsidRPr="000930A7">
        <w:rPr>
          <w:sz w:val="24"/>
          <w:szCs w:val="24"/>
        </w:rPr>
        <w:t xml:space="preserve"> which meant that academically </w:t>
      </w:r>
      <w:r w:rsidR="00CD0CBD">
        <w:rPr>
          <w:sz w:val="24"/>
          <w:szCs w:val="24"/>
        </w:rPr>
        <w:t>‘</w:t>
      </w:r>
      <w:r w:rsidR="00D5396E" w:rsidRPr="000930A7">
        <w:rPr>
          <w:sz w:val="24"/>
          <w:szCs w:val="24"/>
        </w:rPr>
        <w:t>weak</w:t>
      </w:r>
      <w:r w:rsidR="00CD0CBD">
        <w:rPr>
          <w:sz w:val="24"/>
          <w:szCs w:val="24"/>
        </w:rPr>
        <w:t>’</w:t>
      </w:r>
      <w:r w:rsidR="00D5396E" w:rsidRPr="000930A7">
        <w:rPr>
          <w:sz w:val="24"/>
          <w:szCs w:val="24"/>
        </w:rPr>
        <w:t xml:space="preserve"> students taking the GCSE either fail</w:t>
      </w:r>
      <w:r>
        <w:rPr>
          <w:sz w:val="24"/>
          <w:szCs w:val="24"/>
        </w:rPr>
        <w:t>ed</w:t>
      </w:r>
      <w:r w:rsidR="00D5396E" w:rsidRPr="000930A7">
        <w:rPr>
          <w:sz w:val="24"/>
          <w:szCs w:val="24"/>
        </w:rPr>
        <w:t xml:space="preserve"> or drop</w:t>
      </w:r>
      <w:r>
        <w:rPr>
          <w:sz w:val="24"/>
          <w:szCs w:val="24"/>
        </w:rPr>
        <w:t>ped</w:t>
      </w:r>
      <w:r w:rsidR="00D5396E" w:rsidRPr="000930A7">
        <w:rPr>
          <w:sz w:val="24"/>
          <w:szCs w:val="24"/>
        </w:rPr>
        <w:t xml:space="preserve"> out as they could not cope with the theoretical and exam focus</w:t>
      </w:r>
      <w:r w:rsidR="00850749">
        <w:rPr>
          <w:sz w:val="24"/>
          <w:szCs w:val="24"/>
        </w:rPr>
        <w:t xml:space="preserve"> (p.9)</w:t>
      </w:r>
      <w:r w:rsidR="00D5396E" w:rsidRPr="000930A7">
        <w:rPr>
          <w:sz w:val="24"/>
          <w:szCs w:val="24"/>
        </w:rPr>
        <w:t xml:space="preserve">. </w:t>
      </w:r>
      <w:r w:rsidR="00D5396E" w:rsidRPr="00582F8F">
        <w:rPr>
          <w:sz w:val="24"/>
          <w:szCs w:val="24"/>
        </w:rPr>
        <w:t>Debbie</w:t>
      </w:r>
      <w:r>
        <w:rPr>
          <w:sz w:val="24"/>
          <w:szCs w:val="24"/>
        </w:rPr>
        <w:t xml:space="preserve"> felt</w:t>
      </w:r>
      <w:r w:rsidR="00D5396E" w:rsidRPr="00582F8F">
        <w:rPr>
          <w:sz w:val="24"/>
          <w:szCs w:val="24"/>
        </w:rPr>
        <w:t xml:space="preserve"> </w:t>
      </w:r>
      <w:r w:rsidR="00D5396E" w:rsidRPr="000930A7">
        <w:rPr>
          <w:sz w:val="24"/>
          <w:szCs w:val="24"/>
        </w:rPr>
        <w:t>strongly that the EBac</w:t>
      </w:r>
      <w:r w:rsidR="00D5396E">
        <w:rPr>
          <w:sz w:val="24"/>
          <w:szCs w:val="24"/>
        </w:rPr>
        <w:t xml:space="preserve"> was catering for the academic child at the expense of the full range of abilities.</w:t>
      </w:r>
    </w:p>
    <w:p w14:paraId="102AE139" w14:textId="4869C5E7" w:rsidR="00D5396E" w:rsidRDefault="00D5396E" w:rsidP="00531995">
      <w:pPr>
        <w:spacing w:after="240" w:line="240" w:lineRule="auto"/>
        <w:ind w:left="720"/>
        <w:rPr>
          <w:sz w:val="24"/>
          <w:szCs w:val="24"/>
        </w:rPr>
      </w:pPr>
      <w:r>
        <w:rPr>
          <w:sz w:val="24"/>
          <w:szCs w:val="24"/>
        </w:rPr>
        <w:t>The changes are trying to promote children who are academic, they are not catering for the full spectrum of children that we do have in this country…the students who are coming who are less able, less academic…are being given a raw deal, (p.12).</w:t>
      </w:r>
    </w:p>
    <w:p w14:paraId="580F0E70" w14:textId="4D75EEF5" w:rsidR="00D5396E" w:rsidRDefault="00D5396E" w:rsidP="00531995">
      <w:pPr>
        <w:spacing w:after="240" w:line="360" w:lineRule="auto"/>
        <w:rPr>
          <w:sz w:val="24"/>
          <w:szCs w:val="24"/>
        </w:rPr>
      </w:pPr>
      <w:r>
        <w:rPr>
          <w:sz w:val="24"/>
          <w:szCs w:val="24"/>
        </w:rPr>
        <w:t xml:space="preserve">She was concerned that some children would be put off education </w:t>
      </w:r>
      <w:r w:rsidR="00CB68C5">
        <w:rPr>
          <w:sz w:val="24"/>
          <w:szCs w:val="24"/>
        </w:rPr>
        <w:t xml:space="preserve">by not being allowed to </w:t>
      </w:r>
      <w:r w:rsidR="001D565B">
        <w:rPr>
          <w:sz w:val="24"/>
          <w:szCs w:val="24"/>
        </w:rPr>
        <w:t>study</w:t>
      </w:r>
      <w:r w:rsidR="00CB68C5">
        <w:rPr>
          <w:sz w:val="24"/>
          <w:szCs w:val="24"/>
        </w:rPr>
        <w:t xml:space="preserve"> courses of interest to them</w:t>
      </w:r>
      <w:r>
        <w:rPr>
          <w:sz w:val="24"/>
          <w:szCs w:val="24"/>
        </w:rPr>
        <w:t xml:space="preserve">. </w:t>
      </w:r>
    </w:p>
    <w:p w14:paraId="35078857" w14:textId="1424C22C" w:rsidR="00F76880" w:rsidRPr="00411E88" w:rsidRDefault="00CB68C5" w:rsidP="00D5396E">
      <w:pPr>
        <w:spacing w:line="360" w:lineRule="auto"/>
        <w:rPr>
          <w:sz w:val="24"/>
          <w:szCs w:val="24"/>
        </w:rPr>
      </w:pPr>
      <w:r>
        <w:rPr>
          <w:sz w:val="24"/>
          <w:szCs w:val="24"/>
        </w:rPr>
        <w:t>In relation to my research questions</w:t>
      </w:r>
      <w:r w:rsidR="00F03D5F">
        <w:rPr>
          <w:sz w:val="24"/>
          <w:szCs w:val="24"/>
        </w:rPr>
        <w:t>,</w:t>
      </w:r>
      <w:r>
        <w:rPr>
          <w:sz w:val="24"/>
          <w:szCs w:val="24"/>
        </w:rPr>
        <w:t xml:space="preserve"> Purplefield</w:t>
      </w:r>
      <w:r w:rsidR="00F03D5F">
        <w:rPr>
          <w:sz w:val="24"/>
          <w:szCs w:val="24"/>
        </w:rPr>
        <w:t>,</w:t>
      </w:r>
      <w:r>
        <w:rPr>
          <w:sz w:val="24"/>
          <w:szCs w:val="24"/>
        </w:rPr>
        <w:t xml:space="preserve"> with its highly vocational curriculum</w:t>
      </w:r>
      <w:r w:rsidR="004433E7">
        <w:rPr>
          <w:sz w:val="24"/>
          <w:szCs w:val="24"/>
        </w:rPr>
        <w:t>,</w:t>
      </w:r>
      <w:r>
        <w:rPr>
          <w:sz w:val="24"/>
          <w:szCs w:val="24"/>
        </w:rPr>
        <w:t xml:space="preserve"> faced the greatest number of challenges with EBac implementation. </w:t>
      </w:r>
      <w:r w:rsidR="0018436D">
        <w:rPr>
          <w:sz w:val="24"/>
          <w:szCs w:val="24"/>
        </w:rPr>
        <w:t>Purplefield</w:t>
      </w:r>
      <w:r>
        <w:rPr>
          <w:sz w:val="24"/>
          <w:szCs w:val="24"/>
        </w:rPr>
        <w:t xml:space="preserve"> </w:t>
      </w:r>
      <w:r w:rsidR="0018436D">
        <w:rPr>
          <w:sz w:val="24"/>
          <w:szCs w:val="24"/>
        </w:rPr>
        <w:t xml:space="preserve">was the only school in my sample to state that the </w:t>
      </w:r>
      <w:r w:rsidR="0018436D" w:rsidRPr="00411E88">
        <w:rPr>
          <w:sz w:val="24"/>
          <w:szCs w:val="24"/>
        </w:rPr>
        <w:t>EBac was compulsory</w:t>
      </w:r>
      <w:r w:rsidR="00DA5B3A" w:rsidRPr="00411E88">
        <w:rPr>
          <w:sz w:val="24"/>
          <w:szCs w:val="24"/>
        </w:rPr>
        <w:t>,</w:t>
      </w:r>
      <w:r w:rsidR="0018436D" w:rsidRPr="00411E88">
        <w:rPr>
          <w:sz w:val="24"/>
          <w:szCs w:val="24"/>
        </w:rPr>
        <w:t xml:space="preserve"> yet </w:t>
      </w:r>
      <w:r w:rsidR="00CD0CBD">
        <w:rPr>
          <w:sz w:val="24"/>
          <w:szCs w:val="24"/>
        </w:rPr>
        <w:t xml:space="preserve">since </w:t>
      </w:r>
      <w:r w:rsidR="0018436D" w:rsidRPr="00411E88">
        <w:rPr>
          <w:sz w:val="24"/>
          <w:szCs w:val="24"/>
        </w:rPr>
        <w:t>the cohort mix includ</w:t>
      </w:r>
      <w:r w:rsidR="00CD0CBD">
        <w:rPr>
          <w:sz w:val="24"/>
          <w:szCs w:val="24"/>
        </w:rPr>
        <w:t>ed</w:t>
      </w:r>
      <w:r w:rsidR="0018436D" w:rsidRPr="00411E88">
        <w:rPr>
          <w:sz w:val="24"/>
          <w:szCs w:val="24"/>
        </w:rPr>
        <w:t xml:space="preserve"> a large number of SEND students</w:t>
      </w:r>
      <w:r w:rsidR="009936A1">
        <w:rPr>
          <w:sz w:val="24"/>
          <w:szCs w:val="24"/>
        </w:rPr>
        <w:t>,</w:t>
      </w:r>
      <w:r w:rsidR="0018436D" w:rsidRPr="00411E88">
        <w:rPr>
          <w:sz w:val="24"/>
          <w:szCs w:val="24"/>
        </w:rPr>
        <w:t xml:space="preserve"> </w:t>
      </w:r>
      <w:r w:rsidR="00CD0CBD">
        <w:rPr>
          <w:sz w:val="24"/>
          <w:szCs w:val="24"/>
        </w:rPr>
        <w:t xml:space="preserve">this </w:t>
      </w:r>
      <w:r w:rsidR="0018436D" w:rsidRPr="00411E88">
        <w:rPr>
          <w:sz w:val="24"/>
          <w:szCs w:val="24"/>
        </w:rPr>
        <w:t>suggest</w:t>
      </w:r>
      <w:r w:rsidR="00CD0CBD">
        <w:rPr>
          <w:sz w:val="24"/>
          <w:szCs w:val="24"/>
        </w:rPr>
        <w:t>s</w:t>
      </w:r>
      <w:r w:rsidR="0018436D" w:rsidRPr="00411E88">
        <w:rPr>
          <w:sz w:val="24"/>
          <w:szCs w:val="24"/>
        </w:rPr>
        <w:t xml:space="preserve"> that </w:t>
      </w:r>
      <w:r w:rsidR="00CD0CBD">
        <w:rPr>
          <w:sz w:val="24"/>
          <w:szCs w:val="24"/>
        </w:rPr>
        <w:t>the EBac</w:t>
      </w:r>
      <w:r w:rsidR="0018436D" w:rsidRPr="00411E88">
        <w:rPr>
          <w:sz w:val="24"/>
          <w:szCs w:val="24"/>
        </w:rPr>
        <w:t xml:space="preserve"> was not likely to be the most appropriate curriculum for all. </w:t>
      </w:r>
      <w:r w:rsidR="00CD0CBD">
        <w:rPr>
          <w:sz w:val="24"/>
          <w:szCs w:val="24"/>
        </w:rPr>
        <w:t>Making the EBac subjects and knowledge a compulsory part of a student’s curriculum</w:t>
      </w:r>
      <w:r w:rsidR="00CD0CBD" w:rsidRPr="00411E88">
        <w:rPr>
          <w:sz w:val="24"/>
          <w:szCs w:val="24"/>
        </w:rPr>
        <w:t xml:space="preserve"> </w:t>
      </w:r>
      <w:r w:rsidR="00F76880" w:rsidRPr="00411E88">
        <w:rPr>
          <w:sz w:val="24"/>
          <w:szCs w:val="24"/>
        </w:rPr>
        <w:t>support</w:t>
      </w:r>
      <w:r w:rsidR="00CF30ED">
        <w:rPr>
          <w:sz w:val="24"/>
          <w:szCs w:val="24"/>
        </w:rPr>
        <w:t>s</w:t>
      </w:r>
      <w:r w:rsidR="00F76880" w:rsidRPr="00411E88">
        <w:rPr>
          <w:sz w:val="24"/>
          <w:szCs w:val="24"/>
        </w:rPr>
        <w:t xml:space="preserve"> Hirsch’s (1996) </w:t>
      </w:r>
      <w:r w:rsidR="00E00D7C">
        <w:rPr>
          <w:sz w:val="24"/>
          <w:szCs w:val="24"/>
        </w:rPr>
        <w:t xml:space="preserve">argument </w:t>
      </w:r>
      <w:r w:rsidR="00F76880" w:rsidRPr="00411E88">
        <w:rPr>
          <w:sz w:val="24"/>
          <w:szCs w:val="24"/>
        </w:rPr>
        <w:t xml:space="preserve">of </w:t>
      </w:r>
      <w:r w:rsidR="00E00D7C">
        <w:rPr>
          <w:sz w:val="24"/>
          <w:szCs w:val="24"/>
        </w:rPr>
        <w:t xml:space="preserve">universal access to </w:t>
      </w:r>
      <w:r w:rsidR="007D5056" w:rsidRPr="00411E88">
        <w:rPr>
          <w:sz w:val="24"/>
          <w:szCs w:val="24"/>
        </w:rPr>
        <w:t>“</w:t>
      </w:r>
      <w:r w:rsidR="00F76880" w:rsidRPr="00411E88">
        <w:rPr>
          <w:sz w:val="24"/>
          <w:szCs w:val="24"/>
        </w:rPr>
        <w:t>core knowledge</w:t>
      </w:r>
      <w:r w:rsidR="007D5056" w:rsidRPr="00411E88">
        <w:rPr>
          <w:sz w:val="24"/>
          <w:szCs w:val="24"/>
        </w:rPr>
        <w:t>”</w:t>
      </w:r>
      <w:r w:rsidR="00CD0CBD">
        <w:rPr>
          <w:sz w:val="24"/>
          <w:szCs w:val="24"/>
        </w:rPr>
        <w:t>.</w:t>
      </w:r>
      <w:r w:rsidR="00F76880" w:rsidRPr="00411E88">
        <w:rPr>
          <w:sz w:val="24"/>
          <w:szCs w:val="24"/>
        </w:rPr>
        <w:t xml:space="preserve"> </w:t>
      </w:r>
      <w:r w:rsidR="009936A1">
        <w:rPr>
          <w:sz w:val="24"/>
          <w:szCs w:val="24"/>
        </w:rPr>
        <w:t>Purplefield’s</w:t>
      </w:r>
      <w:r w:rsidR="00E00D7C">
        <w:rPr>
          <w:sz w:val="24"/>
          <w:szCs w:val="24"/>
        </w:rPr>
        <w:t xml:space="preserve"> approach to the EBac </w:t>
      </w:r>
      <w:r w:rsidR="00E34A46">
        <w:rPr>
          <w:sz w:val="24"/>
          <w:szCs w:val="24"/>
        </w:rPr>
        <w:t>supports the initial Government position</w:t>
      </w:r>
      <w:r w:rsidR="003E1B57">
        <w:rPr>
          <w:sz w:val="24"/>
          <w:szCs w:val="24"/>
        </w:rPr>
        <w:t xml:space="preserve"> </w:t>
      </w:r>
      <w:r w:rsidR="00644E32">
        <w:rPr>
          <w:sz w:val="24"/>
          <w:szCs w:val="24"/>
        </w:rPr>
        <w:t>that</w:t>
      </w:r>
      <w:r w:rsidR="00F76880" w:rsidRPr="00411E88">
        <w:rPr>
          <w:sz w:val="24"/>
          <w:szCs w:val="24"/>
        </w:rPr>
        <w:t xml:space="preserve"> denying some students’ access to EBac subjects</w:t>
      </w:r>
      <w:r w:rsidR="00CD0CBD">
        <w:rPr>
          <w:sz w:val="24"/>
          <w:szCs w:val="24"/>
        </w:rPr>
        <w:t xml:space="preserve"> </w:t>
      </w:r>
      <w:r w:rsidR="00F76880" w:rsidRPr="00411E88">
        <w:rPr>
          <w:sz w:val="24"/>
          <w:szCs w:val="24"/>
        </w:rPr>
        <w:t>do</w:t>
      </w:r>
      <w:r w:rsidR="00CD0CBD">
        <w:rPr>
          <w:sz w:val="24"/>
          <w:szCs w:val="24"/>
        </w:rPr>
        <w:t>es</w:t>
      </w:r>
      <w:r w:rsidR="00F76880" w:rsidRPr="00411E88">
        <w:rPr>
          <w:sz w:val="24"/>
          <w:szCs w:val="24"/>
        </w:rPr>
        <w:t xml:space="preserve"> them a </w:t>
      </w:r>
      <w:r w:rsidR="00F76880" w:rsidRPr="00411E88">
        <w:rPr>
          <w:sz w:val="24"/>
          <w:szCs w:val="24"/>
        </w:rPr>
        <w:lastRenderedPageBreak/>
        <w:t>disservice</w:t>
      </w:r>
      <w:r w:rsidR="00CD0CBD">
        <w:rPr>
          <w:sz w:val="24"/>
          <w:szCs w:val="24"/>
        </w:rPr>
        <w:t xml:space="preserve">, </w:t>
      </w:r>
      <w:r w:rsidR="00F76880" w:rsidRPr="00411E88">
        <w:rPr>
          <w:sz w:val="24"/>
          <w:szCs w:val="24"/>
        </w:rPr>
        <w:t>underestimat</w:t>
      </w:r>
      <w:r w:rsidR="009936A1">
        <w:rPr>
          <w:sz w:val="24"/>
          <w:szCs w:val="24"/>
        </w:rPr>
        <w:t>es</w:t>
      </w:r>
      <w:r w:rsidR="00F76880" w:rsidRPr="00411E88">
        <w:rPr>
          <w:sz w:val="24"/>
          <w:szCs w:val="24"/>
        </w:rPr>
        <w:t xml:space="preserve"> their potential</w:t>
      </w:r>
      <w:r w:rsidR="00E34A46">
        <w:rPr>
          <w:sz w:val="24"/>
          <w:szCs w:val="24"/>
        </w:rPr>
        <w:t xml:space="preserve"> </w:t>
      </w:r>
      <w:r w:rsidR="00CD0CBD">
        <w:rPr>
          <w:sz w:val="24"/>
          <w:szCs w:val="24"/>
        </w:rPr>
        <w:t>and</w:t>
      </w:r>
      <w:r w:rsidR="00E34A46">
        <w:rPr>
          <w:sz w:val="24"/>
          <w:szCs w:val="24"/>
        </w:rPr>
        <w:t xml:space="preserve"> prevent</w:t>
      </w:r>
      <w:r w:rsidR="009936A1">
        <w:rPr>
          <w:sz w:val="24"/>
          <w:szCs w:val="24"/>
        </w:rPr>
        <w:t>s</w:t>
      </w:r>
      <w:r w:rsidR="00E34A46">
        <w:rPr>
          <w:sz w:val="24"/>
          <w:szCs w:val="24"/>
        </w:rPr>
        <w:t xml:space="preserve"> them access</w:t>
      </w:r>
      <w:r w:rsidR="009936A1">
        <w:rPr>
          <w:sz w:val="24"/>
          <w:szCs w:val="24"/>
        </w:rPr>
        <w:t xml:space="preserve"> to</w:t>
      </w:r>
      <w:r w:rsidR="00E34A46">
        <w:rPr>
          <w:sz w:val="24"/>
          <w:szCs w:val="24"/>
        </w:rPr>
        <w:t xml:space="preserve"> future high</w:t>
      </w:r>
      <w:r w:rsidR="009936A1">
        <w:rPr>
          <w:sz w:val="24"/>
          <w:szCs w:val="24"/>
        </w:rPr>
        <w:t xml:space="preserve">er </w:t>
      </w:r>
      <w:r w:rsidR="00E34A46">
        <w:rPr>
          <w:sz w:val="24"/>
          <w:szCs w:val="24"/>
        </w:rPr>
        <w:t>level courses</w:t>
      </w:r>
      <w:r w:rsidR="007B02BC">
        <w:rPr>
          <w:sz w:val="24"/>
          <w:szCs w:val="24"/>
        </w:rPr>
        <w:t xml:space="preserve"> (see </w:t>
      </w:r>
      <w:r w:rsidR="009936A1">
        <w:rPr>
          <w:sz w:val="24"/>
          <w:szCs w:val="24"/>
        </w:rPr>
        <w:t>S</w:t>
      </w:r>
      <w:r w:rsidR="007B02BC">
        <w:rPr>
          <w:sz w:val="24"/>
          <w:szCs w:val="24"/>
        </w:rPr>
        <w:t>ections 4.2.3 and 4.2.11)</w:t>
      </w:r>
      <w:r w:rsidR="00F76880" w:rsidRPr="00411E88">
        <w:rPr>
          <w:sz w:val="24"/>
          <w:szCs w:val="24"/>
        </w:rPr>
        <w:t xml:space="preserve">. </w:t>
      </w:r>
      <w:r w:rsidR="009936A1">
        <w:rPr>
          <w:sz w:val="24"/>
          <w:szCs w:val="24"/>
        </w:rPr>
        <w:t xml:space="preserve">The </w:t>
      </w:r>
      <w:r w:rsidR="00E00D7C">
        <w:rPr>
          <w:sz w:val="24"/>
          <w:szCs w:val="24"/>
        </w:rPr>
        <w:t>EBac policy</w:t>
      </w:r>
      <w:r w:rsidR="00EA230E">
        <w:rPr>
          <w:sz w:val="24"/>
          <w:szCs w:val="24"/>
        </w:rPr>
        <w:t>,</w:t>
      </w:r>
      <w:r w:rsidR="00E00D7C">
        <w:rPr>
          <w:sz w:val="24"/>
          <w:szCs w:val="24"/>
        </w:rPr>
        <w:t xml:space="preserve"> </w:t>
      </w:r>
      <w:r w:rsidR="00EA230E">
        <w:rPr>
          <w:sz w:val="24"/>
          <w:szCs w:val="24"/>
        </w:rPr>
        <w:t>stipulating</w:t>
      </w:r>
      <w:r w:rsidR="00E00D7C">
        <w:rPr>
          <w:sz w:val="24"/>
          <w:szCs w:val="24"/>
        </w:rPr>
        <w:t xml:space="preserve"> a pass as requiring a grade C or above at GCSE</w:t>
      </w:r>
      <w:r w:rsidR="00EA230E">
        <w:rPr>
          <w:sz w:val="24"/>
          <w:szCs w:val="24"/>
        </w:rPr>
        <w:t>,</w:t>
      </w:r>
      <w:r w:rsidR="00E00D7C">
        <w:rPr>
          <w:sz w:val="24"/>
          <w:szCs w:val="24"/>
        </w:rPr>
        <w:t xml:space="preserve"> has led some schools</w:t>
      </w:r>
      <w:r w:rsidR="00EA230E">
        <w:rPr>
          <w:sz w:val="24"/>
          <w:szCs w:val="24"/>
        </w:rPr>
        <w:t xml:space="preserve"> and</w:t>
      </w:r>
      <w:r w:rsidR="00E00D7C">
        <w:rPr>
          <w:sz w:val="24"/>
          <w:szCs w:val="24"/>
        </w:rPr>
        <w:t xml:space="preserve"> teachers to restrict access to the EBac to students deemed to be of high enough ability to achieve grade C or above</w:t>
      </w:r>
      <w:r w:rsidR="00E34A46">
        <w:rPr>
          <w:sz w:val="24"/>
          <w:szCs w:val="24"/>
        </w:rPr>
        <w:t xml:space="preserve"> (see Redfield</w:t>
      </w:r>
      <w:r w:rsidR="009936A1">
        <w:rPr>
          <w:sz w:val="24"/>
          <w:szCs w:val="24"/>
        </w:rPr>
        <w:t>,</w:t>
      </w:r>
      <w:r w:rsidR="00E34A46">
        <w:rPr>
          <w:sz w:val="24"/>
          <w:szCs w:val="24"/>
        </w:rPr>
        <w:t xml:space="preserve"> </w:t>
      </w:r>
      <w:r w:rsidR="009936A1">
        <w:rPr>
          <w:sz w:val="24"/>
          <w:szCs w:val="24"/>
        </w:rPr>
        <w:t>S</w:t>
      </w:r>
      <w:r w:rsidR="00E34A46">
        <w:rPr>
          <w:sz w:val="24"/>
          <w:szCs w:val="24"/>
        </w:rPr>
        <w:t xml:space="preserve">ection </w:t>
      </w:r>
      <w:r w:rsidR="006A5028">
        <w:rPr>
          <w:sz w:val="24"/>
          <w:szCs w:val="24"/>
        </w:rPr>
        <w:t>4.3.5</w:t>
      </w:r>
      <w:r w:rsidR="00E34A46">
        <w:rPr>
          <w:sz w:val="24"/>
          <w:szCs w:val="24"/>
        </w:rPr>
        <w:t>)</w:t>
      </w:r>
      <w:r w:rsidR="00E00D7C">
        <w:rPr>
          <w:sz w:val="24"/>
          <w:szCs w:val="24"/>
        </w:rPr>
        <w:t xml:space="preserve">.  </w:t>
      </w:r>
    </w:p>
    <w:p w14:paraId="7BC37ADE" w14:textId="70F67E22" w:rsidR="00E0073F" w:rsidRPr="00582F8F" w:rsidRDefault="00D5396E" w:rsidP="00D5396E">
      <w:pPr>
        <w:spacing w:line="360" w:lineRule="auto"/>
        <w:rPr>
          <w:sz w:val="24"/>
          <w:szCs w:val="24"/>
        </w:rPr>
      </w:pPr>
      <w:r w:rsidRPr="00411E88">
        <w:rPr>
          <w:sz w:val="24"/>
          <w:szCs w:val="24"/>
        </w:rPr>
        <w:t xml:space="preserve">Purplefield </w:t>
      </w:r>
      <w:r w:rsidR="00AD7381" w:rsidRPr="00411E88">
        <w:rPr>
          <w:sz w:val="24"/>
          <w:szCs w:val="24"/>
        </w:rPr>
        <w:t>complied</w:t>
      </w:r>
      <w:r w:rsidRPr="005721A4">
        <w:rPr>
          <w:sz w:val="24"/>
          <w:szCs w:val="24"/>
        </w:rPr>
        <w:t xml:space="preserve"> with the </w:t>
      </w:r>
      <w:r w:rsidR="009F37B6">
        <w:rPr>
          <w:sz w:val="24"/>
          <w:szCs w:val="24"/>
        </w:rPr>
        <w:t xml:space="preserve">policy </w:t>
      </w:r>
      <w:r w:rsidRPr="005721A4">
        <w:rPr>
          <w:sz w:val="24"/>
          <w:szCs w:val="24"/>
        </w:rPr>
        <w:t xml:space="preserve">requirements of </w:t>
      </w:r>
      <w:r w:rsidR="00620002">
        <w:rPr>
          <w:sz w:val="24"/>
          <w:szCs w:val="24"/>
        </w:rPr>
        <w:t xml:space="preserve">the </w:t>
      </w:r>
      <w:r w:rsidRPr="005721A4">
        <w:rPr>
          <w:sz w:val="24"/>
          <w:szCs w:val="24"/>
        </w:rPr>
        <w:t>EBac</w:t>
      </w:r>
      <w:r w:rsidR="00AD7381">
        <w:rPr>
          <w:sz w:val="24"/>
          <w:szCs w:val="24"/>
        </w:rPr>
        <w:t xml:space="preserve">. </w:t>
      </w:r>
      <w:r w:rsidRPr="005721A4">
        <w:rPr>
          <w:sz w:val="24"/>
          <w:szCs w:val="24"/>
        </w:rPr>
        <w:t>The speed and all-encompassing way they initially adopted the EBac created a number of largely unintended consequences</w:t>
      </w:r>
      <w:r w:rsidR="00620002">
        <w:rPr>
          <w:sz w:val="24"/>
          <w:szCs w:val="24"/>
        </w:rPr>
        <w:t>,</w:t>
      </w:r>
      <w:r w:rsidR="008D38CF">
        <w:rPr>
          <w:sz w:val="24"/>
          <w:szCs w:val="24"/>
        </w:rPr>
        <w:t xml:space="preserve"> such as </w:t>
      </w:r>
      <w:r w:rsidR="00620002">
        <w:rPr>
          <w:sz w:val="24"/>
          <w:szCs w:val="24"/>
        </w:rPr>
        <w:t>a</w:t>
      </w:r>
      <w:r w:rsidR="008D38CF">
        <w:rPr>
          <w:sz w:val="24"/>
          <w:szCs w:val="24"/>
        </w:rPr>
        <w:t xml:space="preserve"> dramatic reduction in Technology and Arts subjects</w:t>
      </w:r>
      <w:r w:rsidRPr="005721A4">
        <w:rPr>
          <w:sz w:val="24"/>
          <w:szCs w:val="24"/>
        </w:rPr>
        <w:t>. The staff within the school were not wholehearted supporters of the EBac and could see many issues for their students</w:t>
      </w:r>
      <w:r w:rsidR="00620002">
        <w:rPr>
          <w:sz w:val="24"/>
          <w:szCs w:val="24"/>
        </w:rPr>
        <w:t>,</w:t>
      </w:r>
      <w:r w:rsidRPr="005721A4">
        <w:rPr>
          <w:sz w:val="24"/>
          <w:szCs w:val="24"/>
        </w:rPr>
        <w:t xml:space="preserve"> but felt that the school had no choice but to react as it </w:t>
      </w:r>
      <w:r w:rsidR="00620002">
        <w:rPr>
          <w:sz w:val="24"/>
          <w:szCs w:val="24"/>
        </w:rPr>
        <w:t>did</w:t>
      </w:r>
      <w:r w:rsidRPr="005721A4">
        <w:rPr>
          <w:sz w:val="24"/>
          <w:szCs w:val="24"/>
        </w:rPr>
        <w:t>.</w:t>
      </w:r>
      <w:r w:rsidR="00BB73B9">
        <w:rPr>
          <w:sz w:val="24"/>
          <w:szCs w:val="24"/>
        </w:rPr>
        <w:t xml:space="preserve"> I have classified Purplefield within my EBac typology as ‘</w:t>
      </w:r>
      <w:r w:rsidR="00EA230E">
        <w:rPr>
          <w:sz w:val="24"/>
          <w:szCs w:val="24"/>
        </w:rPr>
        <w:t>compli</w:t>
      </w:r>
      <w:r w:rsidR="00882EB9">
        <w:rPr>
          <w:sz w:val="24"/>
          <w:szCs w:val="24"/>
        </w:rPr>
        <w:t>ance</w:t>
      </w:r>
      <w:r w:rsidR="00BB73B9">
        <w:rPr>
          <w:sz w:val="24"/>
          <w:szCs w:val="24"/>
        </w:rPr>
        <w:t>’</w:t>
      </w:r>
      <w:r w:rsidR="00EA230E">
        <w:rPr>
          <w:sz w:val="24"/>
          <w:szCs w:val="24"/>
        </w:rPr>
        <w:t xml:space="preserve"> </w:t>
      </w:r>
      <w:r w:rsidR="009F37B6">
        <w:rPr>
          <w:sz w:val="24"/>
          <w:szCs w:val="24"/>
        </w:rPr>
        <w:t>because staff</w:t>
      </w:r>
      <w:r w:rsidR="00BB73B9">
        <w:rPr>
          <w:sz w:val="24"/>
          <w:szCs w:val="24"/>
        </w:rPr>
        <w:t xml:space="preserve"> had taken the radical decision to </w:t>
      </w:r>
      <w:r w:rsidR="00EA230E">
        <w:rPr>
          <w:sz w:val="24"/>
          <w:szCs w:val="24"/>
        </w:rPr>
        <w:t>agree</w:t>
      </w:r>
      <w:r w:rsidR="00BB73B9">
        <w:rPr>
          <w:sz w:val="24"/>
          <w:szCs w:val="24"/>
        </w:rPr>
        <w:t xml:space="preserve"> in full with the EBac premise for all students</w:t>
      </w:r>
      <w:r w:rsidR="009F37B6" w:rsidRPr="009F37B6">
        <w:rPr>
          <w:sz w:val="24"/>
          <w:szCs w:val="24"/>
        </w:rPr>
        <w:t xml:space="preserve"> </w:t>
      </w:r>
      <w:r w:rsidR="009F37B6">
        <w:rPr>
          <w:sz w:val="24"/>
          <w:szCs w:val="24"/>
        </w:rPr>
        <w:t>initially</w:t>
      </w:r>
      <w:r w:rsidR="00BB73B9">
        <w:rPr>
          <w:sz w:val="24"/>
          <w:szCs w:val="24"/>
        </w:rPr>
        <w:t>, even when the</w:t>
      </w:r>
      <w:r w:rsidR="009F37B6">
        <w:rPr>
          <w:sz w:val="24"/>
          <w:szCs w:val="24"/>
        </w:rPr>
        <w:t>y</w:t>
      </w:r>
      <w:r w:rsidR="007B02BC">
        <w:rPr>
          <w:sz w:val="24"/>
          <w:szCs w:val="24"/>
        </w:rPr>
        <w:t xml:space="preserve"> </w:t>
      </w:r>
      <w:r w:rsidR="00BB73B9">
        <w:rPr>
          <w:sz w:val="24"/>
          <w:szCs w:val="24"/>
        </w:rPr>
        <w:t>d</w:t>
      </w:r>
      <w:r w:rsidR="003E1B57">
        <w:rPr>
          <w:sz w:val="24"/>
          <w:szCs w:val="24"/>
        </w:rPr>
        <w:t>id</w:t>
      </w:r>
      <w:r w:rsidR="00BB73B9">
        <w:rPr>
          <w:sz w:val="24"/>
          <w:szCs w:val="24"/>
        </w:rPr>
        <w:t xml:space="preserve"> not believe that this </w:t>
      </w:r>
      <w:r w:rsidR="00620002">
        <w:rPr>
          <w:sz w:val="24"/>
          <w:szCs w:val="24"/>
        </w:rPr>
        <w:t>wa</w:t>
      </w:r>
      <w:r w:rsidR="00BB73B9">
        <w:rPr>
          <w:sz w:val="24"/>
          <w:szCs w:val="24"/>
        </w:rPr>
        <w:t>s the most appropriate course of action for some individuals.</w:t>
      </w:r>
      <w:r w:rsidR="00E0073F">
        <w:rPr>
          <w:sz w:val="24"/>
          <w:szCs w:val="24"/>
        </w:rPr>
        <w:t xml:space="preserve"> </w:t>
      </w:r>
    </w:p>
    <w:p w14:paraId="10CAC5AE" w14:textId="52E95387" w:rsidR="00D5396E" w:rsidRPr="00E8749A" w:rsidRDefault="00EF348C" w:rsidP="00531995">
      <w:pPr>
        <w:pStyle w:val="Heading3"/>
      </w:pPr>
      <w:bookmarkStart w:id="94" w:name="_Toc452316377"/>
      <w:r w:rsidRPr="00E8749A">
        <w:t>4.</w:t>
      </w:r>
      <w:r w:rsidR="00B44702">
        <w:t>3.5</w:t>
      </w:r>
      <w:r w:rsidRPr="00E8749A">
        <w:t xml:space="preserve"> </w:t>
      </w:r>
      <w:r w:rsidR="00D5396E" w:rsidRPr="00E8749A">
        <w:t>Rapidly improving non-</w:t>
      </w:r>
      <w:r w:rsidR="00B44702">
        <w:t>a</w:t>
      </w:r>
      <w:r w:rsidR="004B016C">
        <w:t>cademy</w:t>
      </w:r>
      <w:r w:rsidR="00D5396E" w:rsidRPr="00E8749A">
        <w:t xml:space="preserve"> - Redfield</w:t>
      </w:r>
      <w:bookmarkEnd w:id="94"/>
    </w:p>
    <w:p w14:paraId="4E0E5FA1" w14:textId="75BBC05D" w:rsidR="00D5396E" w:rsidRDefault="00F76880" w:rsidP="00EA230E">
      <w:pPr>
        <w:spacing w:after="0" w:line="360" w:lineRule="auto"/>
        <w:rPr>
          <w:sz w:val="24"/>
          <w:szCs w:val="24"/>
        </w:rPr>
      </w:pPr>
      <w:r>
        <w:rPr>
          <w:sz w:val="24"/>
          <w:szCs w:val="24"/>
        </w:rPr>
        <w:t>Redfield</w:t>
      </w:r>
      <w:r w:rsidR="00D5396E" w:rsidRPr="005721A4">
        <w:rPr>
          <w:sz w:val="24"/>
          <w:szCs w:val="24"/>
        </w:rPr>
        <w:t xml:space="preserve"> </w:t>
      </w:r>
      <w:r>
        <w:rPr>
          <w:sz w:val="24"/>
          <w:szCs w:val="24"/>
        </w:rPr>
        <w:t>i</w:t>
      </w:r>
      <w:r w:rsidR="00D5396E" w:rsidRPr="005721A4">
        <w:rPr>
          <w:sz w:val="24"/>
          <w:szCs w:val="24"/>
        </w:rPr>
        <w:t>s an above average</w:t>
      </w:r>
      <w:r w:rsidR="00620002">
        <w:rPr>
          <w:sz w:val="24"/>
          <w:szCs w:val="24"/>
        </w:rPr>
        <w:t>-</w:t>
      </w:r>
      <w:r w:rsidR="00D5396E" w:rsidRPr="005721A4">
        <w:rPr>
          <w:sz w:val="24"/>
          <w:szCs w:val="24"/>
        </w:rPr>
        <w:t xml:space="preserve">sized 11-16 maintained school. </w:t>
      </w:r>
      <w:r w:rsidR="009F37B6">
        <w:rPr>
          <w:sz w:val="24"/>
          <w:szCs w:val="24"/>
        </w:rPr>
        <w:t>GCSE grades of</w:t>
      </w:r>
      <w:r w:rsidR="00620002">
        <w:rPr>
          <w:sz w:val="24"/>
          <w:szCs w:val="24"/>
        </w:rPr>
        <w:t xml:space="preserve"> five or more</w:t>
      </w:r>
      <w:r w:rsidR="00D5396E" w:rsidRPr="005721A4">
        <w:rPr>
          <w:sz w:val="24"/>
          <w:szCs w:val="24"/>
        </w:rPr>
        <w:t xml:space="preserve"> A*-C</w:t>
      </w:r>
      <w:r w:rsidR="00620002">
        <w:rPr>
          <w:sz w:val="24"/>
          <w:szCs w:val="24"/>
        </w:rPr>
        <w:t>’s</w:t>
      </w:r>
      <w:r w:rsidR="00D5396E" w:rsidRPr="005721A4">
        <w:rPr>
          <w:sz w:val="24"/>
          <w:szCs w:val="24"/>
        </w:rPr>
        <w:t xml:space="preserve"> including English and </w:t>
      </w:r>
      <w:r w:rsidR="002B3F7C">
        <w:rPr>
          <w:sz w:val="24"/>
          <w:szCs w:val="24"/>
        </w:rPr>
        <w:t>Mathematics</w:t>
      </w:r>
      <w:r w:rsidR="00D5396E" w:rsidRPr="005721A4">
        <w:rPr>
          <w:sz w:val="24"/>
          <w:szCs w:val="24"/>
        </w:rPr>
        <w:t xml:space="preserve"> </w:t>
      </w:r>
      <w:r w:rsidR="009F37B6">
        <w:rPr>
          <w:sz w:val="24"/>
          <w:szCs w:val="24"/>
        </w:rPr>
        <w:t xml:space="preserve">had </w:t>
      </w:r>
      <w:r w:rsidR="00DC0327">
        <w:rPr>
          <w:sz w:val="24"/>
          <w:szCs w:val="24"/>
        </w:rPr>
        <w:t>rapidly</w:t>
      </w:r>
      <w:r w:rsidR="00D5396E" w:rsidRPr="005721A4">
        <w:rPr>
          <w:sz w:val="24"/>
          <w:szCs w:val="24"/>
        </w:rPr>
        <w:t xml:space="preserve"> improved over three yea</w:t>
      </w:r>
      <w:r w:rsidR="00B44702">
        <w:rPr>
          <w:sz w:val="24"/>
          <w:szCs w:val="24"/>
        </w:rPr>
        <w:t xml:space="preserve">rs, </w:t>
      </w:r>
      <w:r w:rsidR="009F37B6">
        <w:rPr>
          <w:sz w:val="24"/>
          <w:szCs w:val="24"/>
        </w:rPr>
        <w:t xml:space="preserve">but </w:t>
      </w:r>
      <w:r w:rsidR="00AD7381">
        <w:rPr>
          <w:sz w:val="24"/>
          <w:szCs w:val="24"/>
        </w:rPr>
        <w:t xml:space="preserve">with </w:t>
      </w:r>
      <w:r w:rsidR="00D5396E" w:rsidRPr="005721A4">
        <w:rPr>
          <w:sz w:val="24"/>
          <w:szCs w:val="24"/>
        </w:rPr>
        <w:t>a low EBac figure</w:t>
      </w:r>
      <w:r w:rsidR="009F37B6">
        <w:rPr>
          <w:sz w:val="24"/>
          <w:szCs w:val="24"/>
        </w:rPr>
        <w:t xml:space="preserve"> which </w:t>
      </w:r>
      <w:r w:rsidR="00D5396E" w:rsidRPr="005721A4">
        <w:rPr>
          <w:sz w:val="24"/>
          <w:szCs w:val="24"/>
        </w:rPr>
        <w:t>reflect</w:t>
      </w:r>
      <w:r w:rsidR="009F37B6">
        <w:rPr>
          <w:sz w:val="24"/>
          <w:szCs w:val="24"/>
        </w:rPr>
        <w:t>ed</w:t>
      </w:r>
      <w:r w:rsidR="00D5396E" w:rsidRPr="005721A4">
        <w:rPr>
          <w:sz w:val="24"/>
          <w:szCs w:val="24"/>
        </w:rPr>
        <w:t xml:space="preserve"> </w:t>
      </w:r>
      <w:r w:rsidR="00DF399F">
        <w:rPr>
          <w:sz w:val="24"/>
          <w:szCs w:val="24"/>
        </w:rPr>
        <w:t>the</w:t>
      </w:r>
      <w:r w:rsidR="00B44702">
        <w:rPr>
          <w:sz w:val="24"/>
          <w:szCs w:val="24"/>
        </w:rPr>
        <w:t xml:space="preserve"> vocational</w:t>
      </w:r>
      <w:r w:rsidR="00D5396E" w:rsidRPr="005721A4">
        <w:rPr>
          <w:sz w:val="24"/>
          <w:szCs w:val="24"/>
        </w:rPr>
        <w:t xml:space="preserve"> curriculum</w:t>
      </w:r>
      <w:r w:rsidR="00BB73B9">
        <w:rPr>
          <w:sz w:val="24"/>
          <w:szCs w:val="24"/>
        </w:rPr>
        <w:t xml:space="preserve"> on offer</w:t>
      </w:r>
      <w:r w:rsidR="00D5396E" w:rsidRPr="005721A4">
        <w:rPr>
          <w:sz w:val="24"/>
          <w:szCs w:val="24"/>
        </w:rPr>
        <w:t>. While the vocational offer was declining</w:t>
      </w:r>
      <w:r w:rsidR="00411E88">
        <w:rPr>
          <w:sz w:val="24"/>
          <w:szCs w:val="24"/>
        </w:rPr>
        <w:t>,</w:t>
      </w:r>
      <w:r w:rsidR="00D5396E" w:rsidRPr="005721A4">
        <w:rPr>
          <w:sz w:val="24"/>
          <w:szCs w:val="24"/>
        </w:rPr>
        <w:t xml:space="preserve"> links </w:t>
      </w:r>
      <w:r w:rsidR="00AD7381">
        <w:rPr>
          <w:sz w:val="24"/>
          <w:szCs w:val="24"/>
        </w:rPr>
        <w:t xml:space="preserve">were maintained </w:t>
      </w:r>
      <w:r w:rsidR="00D5396E" w:rsidRPr="005721A4">
        <w:rPr>
          <w:sz w:val="24"/>
          <w:szCs w:val="24"/>
        </w:rPr>
        <w:t>with the local college to offer some Level 1</w:t>
      </w:r>
      <w:r w:rsidR="00411E88">
        <w:rPr>
          <w:sz w:val="24"/>
          <w:szCs w:val="24"/>
        </w:rPr>
        <w:t xml:space="preserve"> </w:t>
      </w:r>
      <w:r w:rsidR="00D5396E" w:rsidRPr="005721A4">
        <w:rPr>
          <w:sz w:val="24"/>
          <w:szCs w:val="24"/>
        </w:rPr>
        <w:t xml:space="preserve">provision. </w:t>
      </w:r>
      <w:r w:rsidR="00850749" w:rsidRPr="005721A4">
        <w:rPr>
          <w:sz w:val="24"/>
          <w:szCs w:val="24"/>
        </w:rPr>
        <w:t xml:space="preserve">I spoke to </w:t>
      </w:r>
      <w:r w:rsidR="00850749">
        <w:rPr>
          <w:sz w:val="24"/>
          <w:szCs w:val="24"/>
        </w:rPr>
        <w:t>Angela (DH);</w:t>
      </w:r>
      <w:r w:rsidR="00850749" w:rsidRPr="005721A4">
        <w:rPr>
          <w:sz w:val="24"/>
          <w:szCs w:val="24"/>
        </w:rPr>
        <w:t xml:space="preserve"> </w:t>
      </w:r>
      <w:r w:rsidR="00850749">
        <w:rPr>
          <w:sz w:val="24"/>
          <w:szCs w:val="24"/>
        </w:rPr>
        <w:t>Annie (HoD/EBac),</w:t>
      </w:r>
      <w:r w:rsidR="00850749" w:rsidRPr="005721A4">
        <w:rPr>
          <w:sz w:val="24"/>
          <w:szCs w:val="24"/>
        </w:rPr>
        <w:t xml:space="preserve"> and </w:t>
      </w:r>
      <w:r w:rsidR="00850749">
        <w:rPr>
          <w:sz w:val="24"/>
          <w:szCs w:val="24"/>
        </w:rPr>
        <w:t>Deborah (HoD/non-EBac)</w:t>
      </w:r>
      <w:r w:rsidR="00850749" w:rsidRPr="00F03D5F">
        <w:rPr>
          <w:sz w:val="24"/>
          <w:szCs w:val="24"/>
        </w:rPr>
        <w:t>.</w:t>
      </w:r>
      <w:r w:rsidR="00850749">
        <w:rPr>
          <w:sz w:val="24"/>
          <w:szCs w:val="24"/>
        </w:rPr>
        <w:t xml:space="preserve"> </w:t>
      </w:r>
      <w:r w:rsidR="00D5396E" w:rsidRPr="005721A4">
        <w:rPr>
          <w:sz w:val="24"/>
          <w:szCs w:val="24"/>
        </w:rPr>
        <w:t xml:space="preserve">The school </w:t>
      </w:r>
      <w:r w:rsidR="00B44702">
        <w:rPr>
          <w:sz w:val="24"/>
          <w:szCs w:val="24"/>
        </w:rPr>
        <w:t>i</w:t>
      </w:r>
      <w:r w:rsidR="00055615">
        <w:rPr>
          <w:sz w:val="24"/>
          <w:szCs w:val="24"/>
        </w:rPr>
        <w:t>s described</w:t>
      </w:r>
      <w:r w:rsidR="00B44702">
        <w:rPr>
          <w:sz w:val="24"/>
          <w:szCs w:val="24"/>
        </w:rPr>
        <w:t xml:space="preserve"> </w:t>
      </w:r>
      <w:r w:rsidR="00F720CE">
        <w:rPr>
          <w:sz w:val="24"/>
          <w:szCs w:val="24"/>
        </w:rPr>
        <w:t>as being</w:t>
      </w:r>
      <w:r w:rsidR="00D5396E" w:rsidRPr="005721A4">
        <w:rPr>
          <w:sz w:val="24"/>
          <w:szCs w:val="24"/>
        </w:rPr>
        <w:t xml:space="preserve"> in a </w:t>
      </w:r>
      <w:r w:rsidR="00AD7381">
        <w:rPr>
          <w:sz w:val="24"/>
          <w:szCs w:val="24"/>
        </w:rPr>
        <w:t>“</w:t>
      </w:r>
      <w:r w:rsidR="00D5396E" w:rsidRPr="005721A4">
        <w:rPr>
          <w:sz w:val="24"/>
          <w:szCs w:val="24"/>
        </w:rPr>
        <w:t>predominately white, working class area</w:t>
      </w:r>
      <w:r w:rsidR="00AD7381">
        <w:rPr>
          <w:sz w:val="24"/>
          <w:szCs w:val="24"/>
        </w:rPr>
        <w:t>” (</w:t>
      </w:r>
      <w:r w:rsidR="00850749">
        <w:rPr>
          <w:sz w:val="24"/>
          <w:szCs w:val="24"/>
        </w:rPr>
        <w:t xml:space="preserve">Angela, DH, </w:t>
      </w:r>
      <w:r w:rsidR="00AD7381">
        <w:rPr>
          <w:sz w:val="24"/>
          <w:szCs w:val="24"/>
        </w:rPr>
        <w:t xml:space="preserve">p. </w:t>
      </w:r>
      <w:r w:rsidR="00850749">
        <w:rPr>
          <w:sz w:val="24"/>
          <w:szCs w:val="24"/>
        </w:rPr>
        <w:t>3</w:t>
      </w:r>
      <w:r w:rsidR="0075787A">
        <w:rPr>
          <w:sz w:val="24"/>
          <w:szCs w:val="24"/>
        </w:rPr>
        <w:t>)</w:t>
      </w:r>
      <w:r w:rsidR="00D5396E" w:rsidRPr="005721A4">
        <w:rPr>
          <w:sz w:val="24"/>
          <w:szCs w:val="24"/>
        </w:rPr>
        <w:t xml:space="preserve">. </w:t>
      </w:r>
    </w:p>
    <w:p w14:paraId="3680F130" w14:textId="77777777" w:rsidR="00620002" w:rsidRPr="00582F8F" w:rsidRDefault="00620002" w:rsidP="00F720CE">
      <w:pPr>
        <w:spacing w:after="0" w:line="360" w:lineRule="auto"/>
        <w:rPr>
          <w:sz w:val="24"/>
          <w:szCs w:val="24"/>
        </w:rPr>
      </w:pPr>
    </w:p>
    <w:p w14:paraId="57B89417" w14:textId="53052180" w:rsidR="007603F4" w:rsidRPr="00A01B67" w:rsidRDefault="00D5396E" w:rsidP="00D5396E">
      <w:pPr>
        <w:spacing w:line="360" w:lineRule="auto"/>
        <w:rPr>
          <w:rFonts w:asciiTheme="minorHAnsi" w:hAnsiTheme="minorHAnsi" w:cstheme="minorHAnsi"/>
          <w:sz w:val="24"/>
          <w:szCs w:val="24"/>
        </w:rPr>
      </w:pPr>
      <w:r w:rsidRPr="005721A4">
        <w:rPr>
          <w:sz w:val="24"/>
          <w:szCs w:val="24"/>
        </w:rPr>
        <w:t>The EBac was incorporated into planned school curriculum changes as</w:t>
      </w:r>
      <w:r w:rsidR="00F57AD9">
        <w:rPr>
          <w:sz w:val="24"/>
          <w:szCs w:val="24"/>
        </w:rPr>
        <w:t xml:space="preserve"> the academic path out</w:t>
      </w:r>
      <w:r w:rsidRPr="005721A4">
        <w:rPr>
          <w:sz w:val="24"/>
          <w:szCs w:val="24"/>
        </w:rPr>
        <w:t xml:space="preserve"> of three </w:t>
      </w:r>
      <w:r w:rsidR="00F57AD9">
        <w:rPr>
          <w:sz w:val="24"/>
          <w:szCs w:val="24"/>
        </w:rPr>
        <w:t xml:space="preserve">possible </w:t>
      </w:r>
      <w:r w:rsidRPr="005721A4">
        <w:rPr>
          <w:sz w:val="24"/>
          <w:szCs w:val="24"/>
        </w:rPr>
        <w:t xml:space="preserve">routes. </w:t>
      </w:r>
      <w:r w:rsidR="005E505F">
        <w:rPr>
          <w:sz w:val="24"/>
          <w:szCs w:val="24"/>
        </w:rPr>
        <w:t>A</w:t>
      </w:r>
      <w:r w:rsidRPr="005721A4">
        <w:rPr>
          <w:sz w:val="24"/>
          <w:szCs w:val="24"/>
        </w:rPr>
        <w:t xml:space="preserve"> number of </w:t>
      </w:r>
      <w:r w:rsidR="00AE75D8">
        <w:rPr>
          <w:sz w:val="24"/>
          <w:szCs w:val="24"/>
        </w:rPr>
        <w:t xml:space="preserve">initial </w:t>
      </w:r>
      <w:r w:rsidRPr="005721A4">
        <w:rPr>
          <w:sz w:val="24"/>
          <w:szCs w:val="24"/>
        </w:rPr>
        <w:t xml:space="preserve">decisions were taken </w:t>
      </w:r>
      <w:r w:rsidR="009F37B6">
        <w:rPr>
          <w:sz w:val="24"/>
          <w:szCs w:val="24"/>
        </w:rPr>
        <w:t xml:space="preserve">by staff </w:t>
      </w:r>
      <w:r w:rsidRPr="005721A4">
        <w:rPr>
          <w:sz w:val="24"/>
          <w:szCs w:val="24"/>
        </w:rPr>
        <w:t>without full information being available</w:t>
      </w:r>
      <w:r w:rsidR="00F57AD9">
        <w:rPr>
          <w:sz w:val="24"/>
          <w:szCs w:val="24"/>
        </w:rPr>
        <w:t>,</w:t>
      </w:r>
      <w:r w:rsidRPr="005721A4">
        <w:rPr>
          <w:sz w:val="24"/>
          <w:szCs w:val="24"/>
        </w:rPr>
        <w:t xml:space="preserve"> </w:t>
      </w:r>
      <w:r w:rsidR="00AD7381">
        <w:rPr>
          <w:sz w:val="24"/>
          <w:szCs w:val="24"/>
        </w:rPr>
        <w:t>i.e. informing</w:t>
      </w:r>
      <w:r w:rsidRPr="005721A4">
        <w:rPr>
          <w:sz w:val="24"/>
          <w:szCs w:val="24"/>
        </w:rPr>
        <w:t xml:space="preserve"> students</w:t>
      </w:r>
      <w:r w:rsidR="00AD7381">
        <w:rPr>
          <w:sz w:val="24"/>
          <w:szCs w:val="24"/>
        </w:rPr>
        <w:t xml:space="preserve"> </w:t>
      </w:r>
      <w:r w:rsidRPr="005721A4">
        <w:rPr>
          <w:sz w:val="24"/>
          <w:szCs w:val="24"/>
        </w:rPr>
        <w:t xml:space="preserve">that </w:t>
      </w:r>
      <w:r w:rsidR="00F57AD9">
        <w:rPr>
          <w:sz w:val="24"/>
          <w:szCs w:val="24"/>
        </w:rPr>
        <w:t>R</w:t>
      </w:r>
      <w:r w:rsidRPr="005721A4">
        <w:rPr>
          <w:sz w:val="24"/>
          <w:szCs w:val="24"/>
        </w:rPr>
        <w:t xml:space="preserve">eligious </w:t>
      </w:r>
      <w:r w:rsidR="00F57AD9">
        <w:rPr>
          <w:sz w:val="24"/>
          <w:szCs w:val="24"/>
        </w:rPr>
        <w:t>S</w:t>
      </w:r>
      <w:r w:rsidRPr="005721A4">
        <w:rPr>
          <w:sz w:val="24"/>
          <w:szCs w:val="24"/>
        </w:rPr>
        <w:t xml:space="preserve">tudies would count in the EBac. </w:t>
      </w:r>
      <w:r w:rsidR="00A01B67" w:rsidRPr="00A01B67">
        <w:rPr>
          <w:rFonts w:asciiTheme="minorHAnsi" w:hAnsiTheme="minorHAnsi" w:cstheme="minorHAnsi"/>
          <w:sz w:val="24"/>
          <w:szCs w:val="24"/>
        </w:rPr>
        <w:t>M</w:t>
      </w:r>
      <w:r w:rsidRPr="00A01B67">
        <w:rPr>
          <w:rFonts w:asciiTheme="minorHAnsi" w:hAnsiTheme="minorHAnsi" w:cstheme="minorHAnsi"/>
          <w:sz w:val="24"/>
          <w:szCs w:val="24"/>
        </w:rPr>
        <w:t xml:space="preserve">any parents were described as being </w:t>
      </w:r>
      <w:r w:rsidR="008C2678">
        <w:rPr>
          <w:rFonts w:asciiTheme="minorHAnsi" w:hAnsiTheme="minorHAnsi" w:cstheme="minorHAnsi"/>
          <w:sz w:val="24"/>
          <w:szCs w:val="24"/>
        </w:rPr>
        <w:t>‘</w:t>
      </w:r>
      <w:r w:rsidRPr="00A01B67">
        <w:rPr>
          <w:rFonts w:asciiTheme="minorHAnsi" w:hAnsiTheme="minorHAnsi" w:cstheme="minorHAnsi"/>
          <w:sz w:val="24"/>
          <w:szCs w:val="24"/>
        </w:rPr>
        <w:t>educationally ambitious</w:t>
      </w:r>
      <w:r w:rsidR="008C2678">
        <w:rPr>
          <w:rFonts w:asciiTheme="minorHAnsi" w:hAnsiTheme="minorHAnsi" w:cstheme="minorHAnsi"/>
          <w:sz w:val="24"/>
          <w:szCs w:val="24"/>
        </w:rPr>
        <w:t>’,</w:t>
      </w:r>
      <w:r w:rsidRPr="00A01B67">
        <w:rPr>
          <w:rFonts w:asciiTheme="minorHAnsi" w:hAnsiTheme="minorHAnsi" w:cstheme="minorHAnsi"/>
          <w:sz w:val="24"/>
          <w:szCs w:val="24"/>
        </w:rPr>
        <w:t xml:space="preserve"> </w:t>
      </w:r>
      <w:r w:rsidR="00644E32">
        <w:rPr>
          <w:rFonts w:asciiTheme="minorHAnsi" w:hAnsiTheme="minorHAnsi" w:cstheme="minorHAnsi"/>
          <w:sz w:val="24"/>
          <w:szCs w:val="24"/>
        </w:rPr>
        <w:t>“</w:t>
      </w:r>
      <w:r w:rsidR="008C2678">
        <w:rPr>
          <w:rFonts w:asciiTheme="minorHAnsi" w:hAnsiTheme="minorHAnsi" w:cstheme="minorHAnsi"/>
          <w:sz w:val="24"/>
          <w:szCs w:val="24"/>
        </w:rPr>
        <w:t>they wanted the prestige of an EBac” (Annie, HoD/EBac p.7) and were keen</w:t>
      </w:r>
      <w:r w:rsidRPr="00A01B67">
        <w:rPr>
          <w:rFonts w:asciiTheme="minorHAnsi" w:hAnsiTheme="minorHAnsi" w:cstheme="minorHAnsi"/>
          <w:sz w:val="24"/>
          <w:szCs w:val="24"/>
        </w:rPr>
        <w:t xml:space="preserve"> for their children to take the EBac</w:t>
      </w:r>
      <w:r w:rsidR="00A01B67">
        <w:rPr>
          <w:rFonts w:asciiTheme="minorHAnsi" w:hAnsiTheme="minorHAnsi" w:cstheme="minorHAnsi"/>
          <w:sz w:val="24"/>
          <w:szCs w:val="24"/>
        </w:rPr>
        <w:t xml:space="preserve"> though some staff felt that these ambitions were not always most suited to the abilities and interests of the students (</w:t>
      </w:r>
      <w:r w:rsidR="008C2678">
        <w:rPr>
          <w:rFonts w:asciiTheme="minorHAnsi" w:hAnsiTheme="minorHAnsi" w:cstheme="minorHAnsi"/>
          <w:sz w:val="24"/>
          <w:szCs w:val="24"/>
        </w:rPr>
        <w:t>Annie, HoD/EBac, p.8)</w:t>
      </w:r>
      <w:r w:rsidR="00A01B67">
        <w:rPr>
          <w:rFonts w:asciiTheme="minorHAnsi" w:hAnsiTheme="minorHAnsi" w:cstheme="minorHAnsi"/>
          <w:sz w:val="24"/>
          <w:szCs w:val="24"/>
        </w:rPr>
        <w:t>.</w:t>
      </w:r>
      <w:r w:rsidR="00DF399F">
        <w:rPr>
          <w:rFonts w:asciiTheme="minorHAnsi" w:hAnsiTheme="minorHAnsi" w:cstheme="minorHAnsi"/>
          <w:sz w:val="24"/>
          <w:szCs w:val="24"/>
        </w:rPr>
        <w:t xml:space="preserve"> </w:t>
      </w:r>
      <w:r w:rsidR="00C3164C">
        <w:rPr>
          <w:rFonts w:asciiTheme="minorHAnsi" w:hAnsiTheme="minorHAnsi" w:cstheme="minorHAnsi"/>
          <w:sz w:val="24"/>
          <w:szCs w:val="24"/>
        </w:rPr>
        <w:t>In this way</w:t>
      </w:r>
      <w:r w:rsidR="00F57AD9">
        <w:rPr>
          <w:rFonts w:asciiTheme="minorHAnsi" w:hAnsiTheme="minorHAnsi" w:cstheme="minorHAnsi"/>
          <w:sz w:val="24"/>
          <w:szCs w:val="24"/>
        </w:rPr>
        <w:t>,</w:t>
      </w:r>
      <w:r w:rsidR="00C3164C">
        <w:rPr>
          <w:rFonts w:asciiTheme="minorHAnsi" w:hAnsiTheme="minorHAnsi" w:cstheme="minorHAnsi"/>
          <w:sz w:val="24"/>
          <w:szCs w:val="24"/>
        </w:rPr>
        <w:t xml:space="preserve"> the EBac policy appeared to have been incorporated into the school’s curriculum without full consideration </w:t>
      </w:r>
      <w:r w:rsidR="00C3164C">
        <w:rPr>
          <w:rFonts w:asciiTheme="minorHAnsi" w:hAnsiTheme="minorHAnsi" w:cstheme="minorHAnsi"/>
          <w:sz w:val="24"/>
          <w:szCs w:val="24"/>
        </w:rPr>
        <w:lastRenderedPageBreak/>
        <w:t>of the wider philosophy inherent within the policy.</w:t>
      </w:r>
      <w:r w:rsidR="00F720CE">
        <w:rPr>
          <w:rFonts w:asciiTheme="minorHAnsi" w:hAnsiTheme="minorHAnsi" w:cstheme="minorHAnsi"/>
          <w:sz w:val="24"/>
          <w:szCs w:val="24"/>
        </w:rPr>
        <w:t xml:space="preserve"> T</w:t>
      </w:r>
      <w:r w:rsidR="00C3164C">
        <w:rPr>
          <w:rFonts w:asciiTheme="minorHAnsi" w:hAnsiTheme="minorHAnsi" w:cstheme="minorHAnsi"/>
          <w:sz w:val="24"/>
          <w:szCs w:val="24"/>
        </w:rPr>
        <w:t>his may have been a pragmatic way of approaching the policy</w:t>
      </w:r>
      <w:r w:rsidR="00F57AD9">
        <w:rPr>
          <w:rFonts w:asciiTheme="minorHAnsi" w:hAnsiTheme="minorHAnsi" w:cstheme="minorHAnsi"/>
          <w:sz w:val="24"/>
          <w:szCs w:val="24"/>
        </w:rPr>
        <w:t>,</w:t>
      </w:r>
      <w:r w:rsidR="00C3164C">
        <w:rPr>
          <w:rFonts w:asciiTheme="minorHAnsi" w:hAnsiTheme="minorHAnsi" w:cstheme="minorHAnsi"/>
          <w:sz w:val="24"/>
          <w:szCs w:val="24"/>
        </w:rPr>
        <w:t xml:space="preserve"> it did appear to </w:t>
      </w:r>
      <w:r w:rsidR="00F57AD9">
        <w:rPr>
          <w:rFonts w:asciiTheme="minorHAnsi" w:hAnsiTheme="minorHAnsi" w:cstheme="minorHAnsi"/>
          <w:sz w:val="24"/>
          <w:szCs w:val="24"/>
        </w:rPr>
        <w:t xml:space="preserve">have </w:t>
      </w:r>
      <w:r w:rsidR="00C3164C">
        <w:rPr>
          <w:rFonts w:asciiTheme="minorHAnsi" w:hAnsiTheme="minorHAnsi" w:cstheme="minorHAnsi"/>
          <w:sz w:val="24"/>
          <w:szCs w:val="24"/>
        </w:rPr>
        <w:t xml:space="preserve">led to some confusion </w:t>
      </w:r>
      <w:r w:rsidR="00DC0327">
        <w:rPr>
          <w:rFonts w:asciiTheme="minorHAnsi" w:hAnsiTheme="minorHAnsi" w:cstheme="minorHAnsi"/>
          <w:sz w:val="24"/>
          <w:szCs w:val="24"/>
        </w:rPr>
        <w:t>for</w:t>
      </w:r>
      <w:r w:rsidR="00C3164C">
        <w:rPr>
          <w:rFonts w:asciiTheme="minorHAnsi" w:hAnsiTheme="minorHAnsi" w:cstheme="minorHAnsi"/>
          <w:sz w:val="24"/>
          <w:szCs w:val="24"/>
        </w:rPr>
        <w:t xml:space="preserve"> staff</w:t>
      </w:r>
      <w:r w:rsidR="00DC0327">
        <w:rPr>
          <w:rFonts w:asciiTheme="minorHAnsi" w:hAnsiTheme="minorHAnsi" w:cstheme="minorHAnsi"/>
          <w:sz w:val="24"/>
          <w:szCs w:val="24"/>
        </w:rPr>
        <w:t>,</w:t>
      </w:r>
      <w:r w:rsidR="00C3164C">
        <w:rPr>
          <w:rFonts w:asciiTheme="minorHAnsi" w:hAnsiTheme="minorHAnsi" w:cstheme="minorHAnsi"/>
          <w:sz w:val="24"/>
          <w:szCs w:val="24"/>
        </w:rPr>
        <w:t xml:space="preserve"> students and parents.</w:t>
      </w:r>
    </w:p>
    <w:p w14:paraId="378308AD" w14:textId="24ACB30F" w:rsidR="00D5396E" w:rsidRDefault="00A01B67" w:rsidP="009523F9">
      <w:pPr>
        <w:tabs>
          <w:tab w:val="left" w:pos="7513"/>
        </w:tabs>
        <w:spacing w:line="360" w:lineRule="auto"/>
        <w:rPr>
          <w:sz w:val="24"/>
          <w:szCs w:val="24"/>
        </w:rPr>
      </w:pPr>
      <w:r>
        <w:rPr>
          <w:sz w:val="24"/>
          <w:szCs w:val="24"/>
        </w:rPr>
        <w:t xml:space="preserve">Annie </w:t>
      </w:r>
      <w:r w:rsidR="00F720CE">
        <w:rPr>
          <w:sz w:val="24"/>
          <w:szCs w:val="24"/>
        </w:rPr>
        <w:t xml:space="preserve">(HoD/EBac) </w:t>
      </w:r>
      <w:r>
        <w:rPr>
          <w:sz w:val="24"/>
          <w:szCs w:val="24"/>
        </w:rPr>
        <w:t>experienced a number of effects on her department</w:t>
      </w:r>
      <w:r w:rsidR="008E35FE">
        <w:rPr>
          <w:sz w:val="24"/>
          <w:szCs w:val="24"/>
        </w:rPr>
        <w:t xml:space="preserve"> of Languages</w:t>
      </w:r>
      <w:r w:rsidR="009F37B6">
        <w:rPr>
          <w:sz w:val="24"/>
          <w:szCs w:val="24"/>
        </w:rPr>
        <w:t>. P</w:t>
      </w:r>
      <w:r w:rsidR="00644E32">
        <w:rPr>
          <w:sz w:val="24"/>
          <w:szCs w:val="24"/>
        </w:rPr>
        <w:t>rior to the EBac</w:t>
      </w:r>
      <w:r w:rsidR="0076000F">
        <w:rPr>
          <w:sz w:val="24"/>
          <w:szCs w:val="24"/>
        </w:rPr>
        <w:t>,</w:t>
      </w:r>
      <w:r w:rsidR="00644E32">
        <w:rPr>
          <w:sz w:val="24"/>
          <w:szCs w:val="24"/>
        </w:rPr>
        <w:t xml:space="preserve"> all students at the school had to </w:t>
      </w:r>
      <w:r w:rsidR="001D565B">
        <w:rPr>
          <w:sz w:val="24"/>
          <w:szCs w:val="24"/>
        </w:rPr>
        <w:t>study</w:t>
      </w:r>
      <w:r w:rsidR="00644E32">
        <w:rPr>
          <w:sz w:val="24"/>
          <w:szCs w:val="24"/>
        </w:rPr>
        <w:t xml:space="preserve"> a language, either a</w:t>
      </w:r>
      <w:r w:rsidR="0076000F">
        <w:rPr>
          <w:sz w:val="24"/>
          <w:szCs w:val="24"/>
        </w:rPr>
        <w:t>t</w:t>
      </w:r>
      <w:r w:rsidR="00644E32">
        <w:rPr>
          <w:sz w:val="24"/>
          <w:szCs w:val="24"/>
        </w:rPr>
        <w:t xml:space="preserve"> GCSE</w:t>
      </w:r>
      <w:r w:rsidR="008C2678">
        <w:rPr>
          <w:sz w:val="24"/>
          <w:szCs w:val="24"/>
        </w:rPr>
        <w:t xml:space="preserve"> </w:t>
      </w:r>
      <w:r w:rsidR="00644E32">
        <w:rPr>
          <w:sz w:val="24"/>
          <w:szCs w:val="24"/>
        </w:rPr>
        <w:t>or a</w:t>
      </w:r>
      <w:r w:rsidR="00C3164C">
        <w:rPr>
          <w:sz w:val="24"/>
          <w:szCs w:val="24"/>
        </w:rPr>
        <w:t>n</w:t>
      </w:r>
      <w:r w:rsidR="00644E32">
        <w:rPr>
          <w:sz w:val="24"/>
          <w:szCs w:val="24"/>
        </w:rPr>
        <w:t xml:space="preserve"> alternative vocational NVQ</w:t>
      </w:r>
      <w:r w:rsidR="00644E32">
        <w:rPr>
          <w:rStyle w:val="FootnoteReference"/>
          <w:sz w:val="24"/>
          <w:szCs w:val="24"/>
        </w:rPr>
        <w:footnoteReference w:id="41"/>
      </w:r>
      <w:r w:rsidR="00644E32">
        <w:rPr>
          <w:rFonts w:asciiTheme="minorHAnsi" w:hAnsiTheme="minorHAnsi" w:cstheme="minorHAnsi"/>
          <w:sz w:val="24"/>
          <w:szCs w:val="24"/>
        </w:rPr>
        <w:t xml:space="preserve"> which s</w:t>
      </w:r>
      <w:r w:rsidR="00134D71">
        <w:rPr>
          <w:rFonts w:asciiTheme="minorHAnsi" w:hAnsiTheme="minorHAnsi" w:cstheme="minorHAnsi"/>
          <w:sz w:val="24"/>
          <w:szCs w:val="24"/>
        </w:rPr>
        <w:t xml:space="preserve">he </w:t>
      </w:r>
      <w:r w:rsidR="00D5396E" w:rsidRPr="004A4DD2">
        <w:rPr>
          <w:rFonts w:asciiTheme="minorHAnsi" w:hAnsiTheme="minorHAnsi" w:cstheme="minorHAnsi"/>
          <w:sz w:val="24"/>
          <w:szCs w:val="24"/>
        </w:rPr>
        <w:t>had introduced</w:t>
      </w:r>
      <w:r w:rsidR="008C2678">
        <w:rPr>
          <w:rFonts w:asciiTheme="minorHAnsi" w:hAnsiTheme="minorHAnsi" w:cstheme="minorHAnsi"/>
          <w:sz w:val="24"/>
          <w:szCs w:val="24"/>
        </w:rPr>
        <w:t xml:space="preserve"> for those not felt able to achieve a grade C or above at GCSE. </w:t>
      </w:r>
      <w:r w:rsidR="00644E32">
        <w:rPr>
          <w:rFonts w:asciiTheme="minorHAnsi" w:hAnsiTheme="minorHAnsi" w:cstheme="minorHAnsi"/>
          <w:sz w:val="24"/>
          <w:szCs w:val="24"/>
        </w:rPr>
        <w:t>The NVQ programme was</w:t>
      </w:r>
      <w:r w:rsidR="00D5396E" w:rsidRPr="004A4DD2">
        <w:rPr>
          <w:rFonts w:asciiTheme="minorHAnsi" w:hAnsiTheme="minorHAnsi" w:cstheme="minorHAnsi"/>
          <w:sz w:val="24"/>
          <w:szCs w:val="24"/>
        </w:rPr>
        <w:t xml:space="preserve"> successful</w:t>
      </w:r>
      <w:r w:rsidR="00066061">
        <w:rPr>
          <w:rFonts w:asciiTheme="minorHAnsi" w:hAnsiTheme="minorHAnsi" w:cstheme="minorHAnsi"/>
          <w:sz w:val="24"/>
          <w:szCs w:val="24"/>
        </w:rPr>
        <w:t xml:space="preserve"> </w:t>
      </w:r>
      <w:r w:rsidR="00D5396E" w:rsidRPr="004A4DD2">
        <w:rPr>
          <w:rFonts w:asciiTheme="minorHAnsi" w:hAnsiTheme="minorHAnsi" w:cstheme="minorHAnsi"/>
          <w:sz w:val="24"/>
          <w:szCs w:val="24"/>
        </w:rPr>
        <w:t>in terms of result</w:t>
      </w:r>
      <w:r w:rsidR="00066061">
        <w:rPr>
          <w:rFonts w:asciiTheme="minorHAnsi" w:hAnsiTheme="minorHAnsi" w:cstheme="minorHAnsi"/>
          <w:sz w:val="24"/>
          <w:szCs w:val="24"/>
        </w:rPr>
        <w:t>s,</w:t>
      </w:r>
      <w:r w:rsidR="00D5396E" w:rsidRPr="004A4DD2">
        <w:rPr>
          <w:rFonts w:asciiTheme="minorHAnsi" w:hAnsiTheme="minorHAnsi" w:cstheme="minorHAnsi"/>
          <w:sz w:val="24"/>
          <w:szCs w:val="24"/>
        </w:rPr>
        <w:t xml:space="preserve"> but since the change in performance points this course </w:t>
      </w:r>
      <w:r w:rsidR="00066061">
        <w:rPr>
          <w:rFonts w:asciiTheme="minorHAnsi" w:hAnsiTheme="minorHAnsi" w:cstheme="minorHAnsi"/>
          <w:sz w:val="24"/>
          <w:szCs w:val="24"/>
        </w:rPr>
        <w:t>was</w:t>
      </w:r>
      <w:r w:rsidR="00D5396E" w:rsidRPr="004A4DD2">
        <w:rPr>
          <w:rFonts w:asciiTheme="minorHAnsi" w:hAnsiTheme="minorHAnsi" w:cstheme="minorHAnsi"/>
          <w:sz w:val="24"/>
          <w:szCs w:val="24"/>
        </w:rPr>
        <w:t xml:space="preserve"> stopped and students now </w:t>
      </w:r>
      <w:r w:rsidR="00066061">
        <w:rPr>
          <w:rFonts w:asciiTheme="minorHAnsi" w:hAnsiTheme="minorHAnsi" w:cstheme="minorHAnsi"/>
          <w:sz w:val="24"/>
          <w:szCs w:val="24"/>
        </w:rPr>
        <w:t xml:space="preserve">have </w:t>
      </w:r>
      <w:r w:rsidR="00F720CE">
        <w:rPr>
          <w:rFonts w:asciiTheme="minorHAnsi" w:hAnsiTheme="minorHAnsi" w:cstheme="minorHAnsi"/>
          <w:sz w:val="24"/>
          <w:szCs w:val="24"/>
        </w:rPr>
        <w:t xml:space="preserve">to </w:t>
      </w:r>
      <w:r w:rsidR="00D5396E" w:rsidRPr="004A4DD2">
        <w:rPr>
          <w:rFonts w:asciiTheme="minorHAnsi" w:hAnsiTheme="minorHAnsi" w:cstheme="minorHAnsi"/>
          <w:sz w:val="24"/>
          <w:szCs w:val="24"/>
        </w:rPr>
        <w:t>opt for GCSE</w:t>
      </w:r>
      <w:r w:rsidR="00134D71">
        <w:rPr>
          <w:sz w:val="24"/>
          <w:szCs w:val="24"/>
        </w:rPr>
        <w:t xml:space="preserve"> </w:t>
      </w:r>
      <w:r w:rsidR="00C3164C">
        <w:rPr>
          <w:sz w:val="24"/>
          <w:szCs w:val="24"/>
        </w:rPr>
        <w:t xml:space="preserve">language, </w:t>
      </w:r>
      <w:r w:rsidR="00134D71">
        <w:rPr>
          <w:sz w:val="24"/>
          <w:szCs w:val="24"/>
        </w:rPr>
        <w:t>resulting in</w:t>
      </w:r>
      <w:r w:rsidR="00134D71" w:rsidRPr="005721A4">
        <w:rPr>
          <w:sz w:val="24"/>
          <w:szCs w:val="24"/>
        </w:rPr>
        <w:t xml:space="preserve"> a </w:t>
      </w:r>
      <w:r w:rsidR="00493599">
        <w:rPr>
          <w:sz w:val="24"/>
          <w:szCs w:val="24"/>
        </w:rPr>
        <w:t>50</w:t>
      </w:r>
      <w:r w:rsidR="005A2F2E">
        <w:rPr>
          <w:sz w:val="24"/>
          <w:szCs w:val="24"/>
        </w:rPr>
        <w:t>%</w:t>
      </w:r>
      <w:r w:rsidR="00134D71" w:rsidRPr="005721A4">
        <w:rPr>
          <w:sz w:val="24"/>
          <w:szCs w:val="24"/>
        </w:rPr>
        <w:t xml:space="preserve"> </w:t>
      </w:r>
      <w:r w:rsidR="003B6C47">
        <w:rPr>
          <w:sz w:val="24"/>
          <w:szCs w:val="24"/>
        </w:rPr>
        <w:t xml:space="preserve">reduction </w:t>
      </w:r>
      <w:r w:rsidR="00134D71" w:rsidRPr="005721A4">
        <w:rPr>
          <w:sz w:val="24"/>
          <w:szCs w:val="24"/>
        </w:rPr>
        <w:t xml:space="preserve">in </w:t>
      </w:r>
      <w:r w:rsidR="003B6C47">
        <w:rPr>
          <w:sz w:val="24"/>
          <w:szCs w:val="24"/>
        </w:rPr>
        <w:t xml:space="preserve">student numbers and a decline in </w:t>
      </w:r>
      <w:r w:rsidR="00DC0327">
        <w:rPr>
          <w:sz w:val="24"/>
          <w:szCs w:val="24"/>
        </w:rPr>
        <w:t xml:space="preserve">departmental </w:t>
      </w:r>
      <w:r w:rsidR="00134D71">
        <w:rPr>
          <w:rFonts w:asciiTheme="minorHAnsi" w:hAnsiTheme="minorHAnsi" w:cstheme="minorHAnsi"/>
          <w:sz w:val="24"/>
          <w:szCs w:val="24"/>
        </w:rPr>
        <w:t>staffing.</w:t>
      </w:r>
      <w:r w:rsidR="00134D71" w:rsidRPr="004A4DD2">
        <w:rPr>
          <w:rFonts w:asciiTheme="minorHAnsi" w:hAnsiTheme="minorHAnsi" w:cstheme="minorHAnsi"/>
          <w:sz w:val="24"/>
          <w:szCs w:val="24"/>
        </w:rPr>
        <w:t xml:space="preserve"> </w:t>
      </w:r>
      <w:r w:rsidR="00D5396E">
        <w:rPr>
          <w:sz w:val="24"/>
          <w:szCs w:val="24"/>
        </w:rPr>
        <w:t>Added to this</w:t>
      </w:r>
      <w:r w:rsidR="00066061">
        <w:rPr>
          <w:sz w:val="24"/>
          <w:szCs w:val="24"/>
        </w:rPr>
        <w:t>,</w:t>
      </w:r>
      <w:r w:rsidR="00D5396E">
        <w:rPr>
          <w:sz w:val="24"/>
          <w:szCs w:val="24"/>
        </w:rPr>
        <w:t xml:space="preserve"> t</w:t>
      </w:r>
      <w:r w:rsidR="00D5396E" w:rsidRPr="004710C8">
        <w:rPr>
          <w:sz w:val="24"/>
          <w:szCs w:val="24"/>
        </w:rPr>
        <w:t xml:space="preserve">he GCSE results for </w:t>
      </w:r>
      <w:r w:rsidR="00DC0327">
        <w:rPr>
          <w:sz w:val="24"/>
          <w:szCs w:val="24"/>
        </w:rPr>
        <w:t>l</w:t>
      </w:r>
      <w:r w:rsidR="00D5396E" w:rsidRPr="004710C8">
        <w:rPr>
          <w:sz w:val="24"/>
          <w:szCs w:val="24"/>
        </w:rPr>
        <w:t>anguages were not</w:t>
      </w:r>
      <w:r w:rsidR="00DF399F">
        <w:rPr>
          <w:sz w:val="24"/>
          <w:szCs w:val="24"/>
        </w:rPr>
        <w:t xml:space="preserve"> </w:t>
      </w:r>
      <w:r w:rsidR="00D5396E" w:rsidRPr="00F00BDC">
        <w:rPr>
          <w:sz w:val="24"/>
          <w:szCs w:val="24"/>
        </w:rPr>
        <w:t>strong</w:t>
      </w:r>
      <w:r w:rsidR="00DC0327">
        <w:rPr>
          <w:sz w:val="24"/>
          <w:szCs w:val="24"/>
        </w:rPr>
        <w:t>,</w:t>
      </w:r>
      <w:r w:rsidR="00D5396E" w:rsidRPr="004710C8">
        <w:rPr>
          <w:sz w:val="24"/>
          <w:szCs w:val="24"/>
        </w:rPr>
        <w:t xml:space="preserve"> </w:t>
      </w:r>
      <w:r w:rsidR="00DF399F">
        <w:rPr>
          <w:sz w:val="24"/>
          <w:szCs w:val="24"/>
        </w:rPr>
        <w:t xml:space="preserve">leading to </w:t>
      </w:r>
      <w:r w:rsidR="00134D71">
        <w:rPr>
          <w:sz w:val="24"/>
          <w:szCs w:val="24"/>
        </w:rPr>
        <w:t>close scrutiny</w:t>
      </w:r>
      <w:r w:rsidR="008D38CF">
        <w:rPr>
          <w:sz w:val="24"/>
          <w:szCs w:val="24"/>
        </w:rPr>
        <w:t xml:space="preserve"> by the school</w:t>
      </w:r>
      <w:r w:rsidR="00066061">
        <w:rPr>
          <w:sz w:val="24"/>
          <w:szCs w:val="24"/>
        </w:rPr>
        <w:t>’s</w:t>
      </w:r>
      <w:r w:rsidR="008D38CF">
        <w:rPr>
          <w:sz w:val="24"/>
          <w:szCs w:val="24"/>
        </w:rPr>
        <w:t xml:space="preserve"> </w:t>
      </w:r>
      <w:r w:rsidR="00066061">
        <w:rPr>
          <w:sz w:val="24"/>
          <w:szCs w:val="24"/>
        </w:rPr>
        <w:t>l</w:t>
      </w:r>
      <w:r w:rsidR="008D38CF">
        <w:rPr>
          <w:sz w:val="24"/>
          <w:szCs w:val="24"/>
        </w:rPr>
        <w:t>eadership team</w:t>
      </w:r>
      <w:r w:rsidR="00D5396E" w:rsidRPr="004710C8">
        <w:rPr>
          <w:sz w:val="24"/>
          <w:szCs w:val="24"/>
        </w:rPr>
        <w:t xml:space="preserve">. </w:t>
      </w:r>
      <w:r w:rsidR="00D5396E" w:rsidRPr="00F00BDC">
        <w:rPr>
          <w:sz w:val="24"/>
          <w:szCs w:val="24"/>
        </w:rPr>
        <w:t xml:space="preserve">Annie </w:t>
      </w:r>
      <w:r w:rsidR="00D5396E" w:rsidRPr="004710C8">
        <w:rPr>
          <w:sz w:val="24"/>
          <w:szCs w:val="24"/>
        </w:rPr>
        <w:t>felt under</w:t>
      </w:r>
      <w:r w:rsidR="00D5396E" w:rsidRPr="005721A4">
        <w:rPr>
          <w:sz w:val="24"/>
          <w:szCs w:val="24"/>
        </w:rPr>
        <w:t xml:space="preserve"> immense pressure to </w:t>
      </w:r>
      <w:r w:rsidR="009F37B6">
        <w:rPr>
          <w:sz w:val="24"/>
          <w:szCs w:val="24"/>
        </w:rPr>
        <w:t>improve</w:t>
      </w:r>
      <w:r w:rsidR="00D5396E" w:rsidRPr="005721A4">
        <w:rPr>
          <w:sz w:val="24"/>
          <w:szCs w:val="24"/>
        </w:rPr>
        <w:t xml:space="preserve"> results and this was in direct contradiction to her desire to encourage all students to </w:t>
      </w:r>
      <w:r w:rsidR="001D565B">
        <w:rPr>
          <w:sz w:val="24"/>
          <w:szCs w:val="24"/>
        </w:rPr>
        <w:t>study</w:t>
      </w:r>
      <w:r w:rsidR="00D5396E" w:rsidRPr="005721A4">
        <w:rPr>
          <w:sz w:val="24"/>
          <w:szCs w:val="24"/>
        </w:rPr>
        <w:t xml:space="preserve"> a </w:t>
      </w:r>
      <w:r w:rsidR="00066061">
        <w:rPr>
          <w:sz w:val="24"/>
          <w:szCs w:val="24"/>
        </w:rPr>
        <w:t>l</w:t>
      </w:r>
      <w:r w:rsidR="00D5396E" w:rsidRPr="005721A4">
        <w:rPr>
          <w:sz w:val="24"/>
          <w:szCs w:val="24"/>
        </w:rPr>
        <w:t xml:space="preserve">anguage. </w:t>
      </w:r>
      <w:r w:rsidR="009523F9">
        <w:rPr>
          <w:sz w:val="24"/>
          <w:szCs w:val="24"/>
        </w:rPr>
        <w:t>“</w:t>
      </w:r>
      <w:r w:rsidR="00D5396E">
        <w:rPr>
          <w:sz w:val="24"/>
          <w:szCs w:val="24"/>
        </w:rPr>
        <w:t xml:space="preserve">So we cannot say </w:t>
      </w:r>
      <w:r w:rsidR="009F37B6">
        <w:rPr>
          <w:sz w:val="24"/>
          <w:szCs w:val="24"/>
        </w:rPr>
        <w:t>‘</w:t>
      </w:r>
      <w:r w:rsidR="00D5396E">
        <w:rPr>
          <w:sz w:val="24"/>
          <w:szCs w:val="24"/>
        </w:rPr>
        <w:t>no</w:t>
      </w:r>
      <w:r w:rsidR="009F37B6">
        <w:rPr>
          <w:sz w:val="24"/>
          <w:szCs w:val="24"/>
        </w:rPr>
        <w:t>’</w:t>
      </w:r>
      <w:r w:rsidR="00D5396E">
        <w:rPr>
          <w:sz w:val="24"/>
          <w:szCs w:val="24"/>
        </w:rPr>
        <w:t xml:space="preserve"> to any of the students, we can guide them</w:t>
      </w:r>
      <w:r w:rsidR="00134D71">
        <w:rPr>
          <w:sz w:val="24"/>
          <w:szCs w:val="24"/>
        </w:rPr>
        <w:t>…</w:t>
      </w:r>
      <w:r w:rsidR="00046685">
        <w:rPr>
          <w:sz w:val="24"/>
          <w:szCs w:val="24"/>
        </w:rPr>
        <w:t>w</w:t>
      </w:r>
      <w:r w:rsidR="00D5396E">
        <w:rPr>
          <w:sz w:val="24"/>
          <w:szCs w:val="24"/>
        </w:rPr>
        <w:t>e just have to say that you are not suited for this route [EBac]</w:t>
      </w:r>
      <w:r w:rsidR="009523F9">
        <w:rPr>
          <w:sz w:val="24"/>
          <w:szCs w:val="24"/>
        </w:rPr>
        <w:t>”</w:t>
      </w:r>
      <w:r w:rsidR="00D5396E">
        <w:rPr>
          <w:sz w:val="24"/>
          <w:szCs w:val="24"/>
        </w:rPr>
        <w:t xml:space="preserve"> (p.13).</w:t>
      </w:r>
      <w:r w:rsidR="009523F9">
        <w:rPr>
          <w:sz w:val="24"/>
          <w:szCs w:val="24"/>
        </w:rPr>
        <w:t xml:space="preserve"> </w:t>
      </w:r>
      <w:r w:rsidR="00D5396E">
        <w:rPr>
          <w:sz w:val="24"/>
          <w:szCs w:val="24"/>
        </w:rPr>
        <w:t xml:space="preserve">This is clearly a difficult message and one that does bring into question the role of teachers as </w:t>
      </w:r>
      <w:r w:rsidR="00134D71">
        <w:rPr>
          <w:sz w:val="24"/>
          <w:szCs w:val="24"/>
        </w:rPr>
        <w:t xml:space="preserve">EBac </w:t>
      </w:r>
      <w:r w:rsidR="00066061">
        <w:rPr>
          <w:sz w:val="24"/>
          <w:szCs w:val="24"/>
        </w:rPr>
        <w:t>‘</w:t>
      </w:r>
      <w:r w:rsidR="00D5396E">
        <w:rPr>
          <w:sz w:val="24"/>
          <w:szCs w:val="24"/>
        </w:rPr>
        <w:t>gatekeepers</w:t>
      </w:r>
      <w:r w:rsidR="00066061">
        <w:rPr>
          <w:sz w:val="24"/>
          <w:szCs w:val="24"/>
        </w:rPr>
        <w:t>’</w:t>
      </w:r>
      <w:r w:rsidR="00D5396E">
        <w:rPr>
          <w:sz w:val="24"/>
          <w:szCs w:val="24"/>
        </w:rPr>
        <w:t xml:space="preserve"> (see </w:t>
      </w:r>
      <w:r w:rsidR="00066061">
        <w:rPr>
          <w:sz w:val="24"/>
          <w:szCs w:val="24"/>
        </w:rPr>
        <w:t>S</w:t>
      </w:r>
      <w:r w:rsidR="00C3164C">
        <w:rPr>
          <w:sz w:val="24"/>
          <w:szCs w:val="24"/>
        </w:rPr>
        <w:t xml:space="preserve">ection </w:t>
      </w:r>
      <w:r w:rsidR="00DC0327">
        <w:rPr>
          <w:sz w:val="24"/>
          <w:szCs w:val="24"/>
        </w:rPr>
        <w:t>4.4.2</w:t>
      </w:r>
      <w:r w:rsidR="00D5396E">
        <w:rPr>
          <w:sz w:val="24"/>
          <w:szCs w:val="24"/>
        </w:rPr>
        <w:t xml:space="preserve">). </w:t>
      </w:r>
    </w:p>
    <w:p w14:paraId="43E0CFD8" w14:textId="378882E5" w:rsidR="00E8749A" w:rsidRDefault="00D5396E" w:rsidP="00D5396E">
      <w:pPr>
        <w:spacing w:line="360" w:lineRule="auto"/>
        <w:rPr>
          <w:b/>
          <w:sz w:val="24"/>
          <w:szCs w:val="24"/>
        </w:rPr>
      </w:pPr>
      <w:r>
        <w:rPr>
          <w:sz w:val="24"/>
          <w:szCs w:val="24"/>
        </w:rPr>
        <w:t xml:space="preserve">Annie </w:t>
      </w:r>
      <w:r w:rsidR="00F720CE">
        <w:rPr>
          <w:sz w:val="24"/>
          <w:szCs w:val="24"/>
        </w:rPr>
        <w:t xml:space="preserve">(HoD/EBac) </w:t>
      </w:r>
      <w:r>
        <w:rPr>
          <w:sz w:val="24"/>
          <w:szCs w:val="24"/>
        </w:rPr>
        <w:t>comment</w:t>
      </w:r>
      <w:r w:rsidR="00134D71">
        <w:rPr>
          <w:sz w:val="24"/>
          <w:szCs w:val="24"/>
        </w:rPr>
        <w:t>ed</w:t>
      </w:r>
      <w:r w:rsidR="00DF399F">
        <w:rPr>
          <w:sz w:val="24"/>
          <w:szCs w:val="24"/>
        </w:rPr>
        <w:t xml:space="preserve"> </w:t>
      </w:r>
      <w:r>
        <w:rPr>
          <w:sz w:val="24"/>
          <w:szCs w:val="24"/>
        </w:rPr>
        <w:t>that the focus o</w:t>
      </w:r>
      <w:r w:rsidR="00D531DE">
        <w:rPr>
          <w:sz w:val="24"/>
          <w:szCs w:val="24"/>
        </w:rPr>
        <w:t>n achieving</w:t>
      </w:r>
      <w:r>
        <w:rPr>
          <w:sz w:val="24"/>
          <w:szCs w:val="24"/>
        </w:rPr>
        <w:t xml:space="preserve"> the </w:t>
      </w:r>
      <w:r w:rsidR="00DF399F">
        <w:rPr>
          <w:sz w:val="24"/>
          <w:szCs w:val="24"/>
        </w:rPr>
        <w:t xml:space="preserve">C Grade for </w:t>
      </w:r>
      <w:r>
        <w:rPr>
          <w:sz w:val="24"/>
          <w:szCs w:val="24"/>
        </w:rPr>
        <w:t xml:space="preserve">EBac meant </w:t>
      </w:r>
      <w:r w:rsidR="00D531DE">
        <w:rPr>
          <w:sz w:val="24"/>
          <w:szCs w:val="24"/>
        </w:rPr>
        <w:t xml:space="preserve">that if students did not achieve the benchmark, </w:t>
      </w:r>
      <w:r w:rsidR="003B6C47">
        <w:rPr>
          <w:sz w:val="24"/>
          <w:szCs w:val="24"/>
        </w:rPr>
        <w:t xml:space="preserve">“it is classed as a failing department” (p.9). </w:t>
      </w:r>
      <w:r w:rsidR="00F720CE">
        <w:rPr>
          <w:sz w:val="24"/>
          <w:szCs w:val="24"/>
        </w:rPr>
        <w:t>S</w:t>
      </w:r>
      <w:r w:rsidR="003B6C47">
        <w:rPr>
          <w:sz w:val="24"/>
          <w:szCs w:val="24"/>
        </w:rPr>
        <w:t xml:space="preserve">he felt that attention </w:t>
      </w:r>
      <w:r>
        <w:rPr>
          <w:sz w:val="24"/>
          <w:szCs w:val="24"/>
        </w:rPr>
        <w:t>had been taken away from students who could achieve lower grades</w:t>
      </w:r>
      <w:r w:rsidR="003B6C47">
        <w:rPr>
          <w:sz w:val="24"/>
          <w:szCs w:val="24"/>
        </w:rPr>
        <w:t xml:space="preserve"> in languages</w:t>
      </w:r>
      <w:r>
        <w:rPr>
          <w:sz w:val="24"/>
          <w:szCs w:val="24"/>
        </w:rPr>
        <w:t xml:space="preserve">, “that is the biggest pressure really… worrying about the EBac pupils when we should be worrying about all of them” (p.16). </w:t>
      </w:r>
      <w:r w:rsidR="00C755C9" w:rsidRPr="00134D71">
        <w:rPr>
          <w:sz w:val="24"/>
          <w:szCs w:val="24"/>
        </w:rPr>
        <w:t>The re</w:t>
      </w:r>
      <w:r w:rsidR="00D531DE">
        <w:rPr>
          <w:sz w:val="24"/>
          <w:szCs w:val="24"/>
        </w:rPr>
        <w:t>quirement</w:t>
      </w:r>
      <w:r w:rsidR="00C755C9" w:rsidRPr="00134D71">
        <w:rPr>
          <w:sz w:val="24"/>
          <w:szCs w:val="24"/>
        </w:rPr>
        <w:t xml:space="preserve"> of </w:t>
      </w:r>
      <w:r w:rsidR="00134D71">
        <w:rPr>
          <w:sz w:val="24"/>
          <w:szCs w:val="24"/>
        </w:rPr>
        <w:t>a grade C</w:t>
      </w:r>
      <w:r w:rsidR="00C755C9" w:rsidRPr="00134D71">
        <w:rPr>
          <w:sz w:val="24"/>
          <w:szCs w:val="24"/>
        </w:rPr>
        <w:t xml:space="preserve"> seem</w:t>
      </w:r>
      <w:r w:rsidR="00134D71">
        <w:rPr>
          <w:sz w:val="24"/>
          <w:szCs w:val="24"/>
        </w:rPr>
        <w:t>s</w:t>
      </w:r>
      <w:r w:rsidR="00C755C9" w:rsidRPr="00134D71">
        <w:rPr>
          <w:sz w:val="24"/>
          <w:szCs w:val="24"/>
        </w:rPr>
        <w:t xml:space="preserve"> to work against the notion of core knowledge </w:t>
      </w:r>
      <w:r w:rsidR="00D531DE">
        <w:rPr>
          <w:sz w:val="24"/>
          <w:szCs w:val="24"/>
        </w:rPr>
        <w:t>being</w:t>
      </w:r>
      <w:r w:rsidR="00C755C9" w:rsidRPr="00134D71">
        <w:rPr>
          <w:sz w:val="24"/>
          <w:szCs w:val="24"/>
        </w:rPr>
        <w:t xml:space="preserve"> made available to all. If the EBac subjects do embody </w:t>
      </w:r>
      <w:r w:rsidR="00D531DE">
        <w:rPr>
          <w:sz w:val="24"/>
          <w:szCs w:val="24"/>
        </w:rPr>
        <w:t>such</w:t>
      </w:r>
      <w:r w:rsidR="00C755C9" w:rsidRPr="00134D71">
        <w:rPr>
          <w:sz w:val="24"/>
          <w:szCs w:val="24"/>
        </w:rPr>
        <w:t xml:space="preserve"> </w:t>
      </w:r>
      <w:r w:rsidR="00D531DE">
        <w:rPr>
          <w:sz w:val="24"/>
          <w:szCs w:val="24"/>
        </w:rPr>
        <w:t>‘</w:t>
      </w:r>
      <w:r w:rsidR="00C755C9" w:rsidRPr="00134D71">
        <w:rPr>
          <w:sz w:val="24"/>
          <w:szCs w:val="24"/>
        </w:rPr>
        <w:t>core</w:t>
      </w:r>
      <w:r w:rsidR="00D531DE">
        <w:rPr>
          <w:sz w:val="24"/>
          <w:szCs w:val="24"/>
        </w:rPr>
        <w:t>’</w:t>
      </w:r>
      <w:r w:rsidR="00C755C9" w:rsidRPr="00134D71">
        <w:rPr>
          <w:sz w:val="24"/>
          <w:szCs w:val="24"/>
        </w:rPr>
        <w:t xml:space="preserve"> knowledge</w:t>
      </w:r>
      <w:r w:rsidR="00D531DE">
        <w:rPr>
          <w:sz w:val="24"/>
          <w:szCs w:val="24"/>
        </w:rPr>
        <w:t>,</w:t>
      </w:r>
      <w:r w:rsidR="00C755C9" w:rsidRPr="00134D71">
        <w:rPr>
          <w:sz w:val="24"/>
          <w:szCs w:val="24"/>
        </w:rPr>
        <w:t xml:space="preserve"> then the access to these subjects </w:t>
      </w:r>
      <w:r w:rsidR="00D531DE">
        <w:rPr>
          <w:sz w:val="24"/>
          <w:szCs w:val="24"/>
        </w:rPr>
        <w:t>with</w:t>
      </w:r>
      <w:r w:rsidR="00C755C9" w:rsidRPr="00134D71">
        <w:rPr>
          <w:sz w:val="24"/>
          <w:szCs w:val="24"/>
        </w:rPr>
        <w:t xml:space="preserve"> this knowledge should be the overriding importance</w:t>
      </w:r>
      <w:r w:rsidR="00D531DE">
        <w:rPr>
          <w:sz w:val="24"/>
          <w:szCs w:val="24"/>
        </w:rPr>
        <w:t>,</w:t>
      </w:r>
      <w:r w:rsidR="00C755C9" w:rsidRPr="00134D71">
        <w:rPr>
          <w:sz w:val="24"/>
          <w:szCs w:val="24"/>
        </w:rPr>
        <w:t xml:space="preserve"> rather than the achievement of a s</w:t>
      </w:r>
      <w:r w:rsidR="009F37B6">
        <w:rPr>
          <w:sz w:val="24"/>
          <w:szCs w:val="24"/>
        </w:rPr>
        <w:t>pecific</w:t>
      </w:r>
      <w:r w:rsidR="00C755C9" w:rsidRPr="00134D71">
        <w:rPr>
          <w:sz w:val="24"/>
          <w:szCs w:val="24"/>
        </w:rPr>
        <w:t xml:space="preserve"> grade.</w:t>
      </w:r>
    </w:p>
    <w:p w14:paraId="61EA6F94" w14:textId="64E044BA" w:rsidR="00D5396E" w:rsidRDefault="00A01B67" w:rsidP="00D5396E">
      <w:pPr>
        <w:spacing w:line="360" w:lineRule="auto"/>
        <w:rPr>
          <w:sz w:val="24"/>
          <w:szCs w:val="24"/>
        </w:rPr>
      </w:pPr>
      <w:r>
        <w:rPr>
          <w:sz w:val="24"/>
          <w:szCs w:val="24"/>
        </w:rPr>
        <w:t>Deborah</w:t>
      </w:r>
      <w:r w:rsidR="008E35FE">
        <w:rPr>
          <w:sz w:val="24"/>
          <w:szCs w:val="24"/>
        </w:rPr>
        <w:t>, whose department spanned EBac and non/EBac subjects,</w:t>
      </w:r>
      <w:r>
        <w:rPr>
          <w:sz w:val="24"/>
          <w:szCs w:val="24"/>
        </w:rPr>
        <w:t xml:space="preserve"> </w:t>
      </w:r>
      <w:r w:rsidR="00D5396E" w:rsidRPr="00637D8D">
        <w:rPr>
          <w:sz w:val="24"/>
          <w:szCs w:val="24"/>
        </w:rPr>
        <w:t xml:space="preserve">was initially </w:t>
      </w:r>
      <w:r w:rsidR="00DF399F">
        <w:rPr>
          <w:sz w:val="24"/>
          <w:szCs w:val="24"/>
        </w:rPr>
        <w:t>both welcoming</w:t>
      </w:r>
      <w:r w:rsidR="00D5396E" w:rsidRPr="00637D8D">
        <w:rPr>
          <w:sz w:val="24"/>
          <w:szCs w:val="24"/>
        </w:rPr>
        <w:t xml:space="preserve"> </w:t>
      </w:r>
      <w:r w:rsidR="00F03D5F">
        <w:rPr>
          <w:sz w:val="24"/>
          <w:szCs w:val="24"/>
        </w:rPr>
        <w:t>and concerned</w:t>
      </w:r>
      <w:r w:rsidR="00D5396E" w:rsidRPr="00637D8D">
        <w:rPr>
          <w:sz w:val="24"/>
          <w:szCs w:val="24"/>
        </w:rPr>
        <w:t xml:space="preserve"> </w:t>
      </w:r>
      <w:r w:rsidR="00D531DE">
        <w:rPr>
          <w:sz w:val="24"/>
          <w:szCs w:val="24"/>
        </w:rPr>
        <w:t>about</w:t>
      </w:r>
      <w:r w:rsidR="00D5396E" w:rsidRPr="00637D8D">
        <w:rPr>
          <w:sz w:val="24"/>
          <w:szCs w:val="24"/>
        </w:rPr>
        <w:t xml:space="preserve"> the EBac</w:t>
      </w:r>
      <w:r w:rsidR="00D531DE">
        <w:rPr>
          <w:sz w:val="24"/>
          <w:szCs w:val="24"/>
        </w:rPr>
        <w:t>. She was</w:t>
      </w:r>
      <w:r w:rsidR="00D5396E" w:rsidRPr="00637D8D">
        <w:rPr>
          <w:sz w:val="24"/>
          <w:szCs w:val="24"/>
        </w:rPr>
        <w:t xml:space="preserve"> supportive as a teacher of </w:t>
      </w:r>
      <w:r w:rsidR="0058337A">
        <w:rPr>
          <w:sz w:val="24"/>
          <w:szCs w:val="24"/>
        </w:rPr>
        <w:t>History</w:t>
      </w:r>
      <w:r w:rsidR="00D531DE">
        <w:rPr>
          <w:sz w:val="24"/>
          <w:szCs w:val="24"/>
        </w:rPr>
        <w:t>,</w:t>
      </w:r>
      <w:r w:rsidR="00D5396E" w:rsidRPr="00637D8D">
        <w:rPr>
          <w:sz w:val="24"/>
          <w:szCs w:val="24"/>
        </w:rPr>
        <w:t xml:space="preserve"> but </w:t>
      </w:r>
      <w:r w:rsidR="00D5396E" w:rsidRPr="00637D8D">
        <w:rPr>
          <w:sz w:val="24"/>
          <w:szCs w:val="24"/>
        </w:rPr>
        <w:lastRenderedPageBreak/>
        <w:t xml:space="preserve">nervous </w:t>
      </w:r>
      <w:r w:rsidR="00D531DE">
        <w:rPr>
          <w:sz w:val="24"/>
          <w:szCs w:val="24"/>
        </w:rPr>
        <w:t xml:space="preserve">due to her belief that </w:t>
      </w:r>
      <w:r w:rsidR="009F37B6" w:rsidRPr="00637D8D">
        <w:rPr>
          <w:sz w:val="24"/>
          <w:szCs w:val="24"/>
        </w:rPr>
        <w:t>GCSE</w:t>
      </w:r>
      <w:r w:rsidR="009F37B6">
        <w:rPr>
          <w:sz w:val="24"/>
          <w:szCs w:val="24"/>
        </w:rPr>
        <w:t xml:space="preserve"> </w:t>
      </w:r>
      <w:r w:rsidR="0058337A">
        <w:rPr>
          <w:sz w:val="24"/>
          <w:szCs w:val="24"/>
        </w:rPr>
        <w:t>History</w:t>
      </w:r>
      <w:r w:rsidR="00D5396E" w:rsidRPr="00637D8D">
        <w:rPr>
          <w:sz w:val="24"/>
          <w:szCs w:val="24"/>
        </w:rPr>
        <w:t xml:space="preserve"> is</w:t>
      </w:r>
      <w:r w:rsidR="00D531DE">
        <w:rPr>
          <w:sz w:val="24"/>
          <w:szCs w:val="24"/>
        </w:rPr>
        <w:t xml:space="preserve"> not</w:t>
      </w:r>
      <w:r w:rsidR="00D5396E" w:rsidRPr="00637D8D">
        <w:rPr>
          <w:sz w:val="24"/>
          <w:szCs w:val="24"/>
        </w:rPr>
        <w:t xml:space="preserve"> suitable for all students, particularly those with low levels of literacy. </w:t>
      </w:r>
    </w:p>
    <w:p w14:paraId="79C77B92" w14:textId="0F53F286" w:rsidR="00D5396E" w:rsidRDefault="00D5396E" w:rsidP="00D5396E">
      <w:pPr>
        <w:spacing w:line="240" w:lineRule="auto"/>
        <w:ind w:left="720"/>
        <w:rPr>
          <w:sz w:val="24"/>
          <w:szCs w:val="24"/>
        </w:rPr>
      </w:pPr>
      <w:r>
        <w:rPr>
          <w:sz w:val="24"/>
          <w:szCs w:val="24"/>
        </w:rPr>
        <w:t xml:space="preserve">Obviously for us we thought it was good …we were apprehensive about the idea of maybe all students doing it, because obviously for some students it’s…not a suitable GCSE if their literacy levels are low it will be demoralising, (p.5). </w:t>
      </w:r>
    </w:p>
    <w:p w14:paraId="74DC8513" w14:textId="238B16DA" w:rsidR="00D5396E" w:rsidRDefault="00D5396E" w:rsidP="008B19F1">
      <w:pPr>
        <w:tabs>
          <w:tab w:val="left" w:pos="8364"/>
        </w:tabs>
        <w:spacing w:line="360" w:lineRule="auto"/>
        <w:rPr>
          <w:sz w:val="24"/>
          <w:szCs w:val="24"/>
        </w:rPr>
      </w:pPr>
      <w:r>
        <w:rPr>
          <w:sz w:val="24"/>
          <w:szCs w:val="24"/>
        </w:rPr>
        <w:t xml:space="preserve">Deborah </w:t>
      </w:r>
      <w:r w:rsidRPr="00637D8D">
        <w:rPr>
          <w:sz w:val="24"/>
          <w:szCs w:val="24"/>
        </w:rPr>
        <w:t xml:space="preserve">was also disappointed that </w:t>
      </w:r>
      <w:r w:rsidR="00155432">
        <w:rPr>
          <w:sz w:val="24"/>
          <w:szCs w:val="24"/>
        </w:rPr>
        <w:t>C</w:t>
      </w:r>
      <w:r>
        <w:rPr>
          <w:sz w:val="24"/>
          <w:szCs w:val="24"/>
        </w:rPr>
        <w:t xml:space="preserve">reative </w:t>
      </w:r>
      <w:r w:rsidR="00155432">
        <w:rPr>
          <w:sz w:val="24"/>
          <w:szCs w:val="24"/>
        </w:rPr>
        <w:t>A</w:t>
      </w:r>
      <w:r>
        <w:rPr>
          <w:sz w:val="24"/>
          <w:szCs w:val="24"/>
        </w:rPr>
        <w:t xml:space="preserve">rts and </w:t>
      </w:r>
      <w:r w:rsidR="00155432">
        <w:rPr>
          <w:sz w:val="24"/>
          <w:szCs w:val="24"/>
        </w:rPr>
        <w:t>D</w:t>
      </w:r>
      <w:r>
        <w:rPr>
          <w:sz w:val="24"/>
          <w:szCs w:val="24"/>
        </w:rPr>
        <w:t xml:space="preserve">esign </w:t>
      </w:r>
      <w:r w:rsidR="00155432">
        <w:rPr>
          <w:sz w:val="24"/>
          <w:szCs w:val="24"/>
        </w:rPr>
        <w:t>T</w:t>
      </w:r>
      <w:r>
        <w:rPr>
          <w:sz w:val="24"/>
          <w:szCs w:val="24"/>
        </w:rPr>
        <w:t>echnology had lost student numbers to the EBac</w:t>
      </w:r>
      <w:r w:rsidR="008B19F1">
        <w:rPr>
          <w:sz w:val="24"/>
          <w:szCs w:val="24"/>
        </w:rPr>
        <w:t>, leading to staff</w:t>
      </w:r>
      <w:r w:rsidR="008D38CF">
        <w:rPr>
          <w:sz w:val="24"/>
          <w:szCs w:val="24"/>
        </w:rPr>
        <w:t xml:space="preserve"> </w:t>
      </w:r>
      <w:r w:rsidR="009F37B6">
        <w:rPr>
          <w:sz w:val="24"/>
          <w:szCs w:val="24"/>
        </w:rPr>
        <w:t>losses</w:t>
      </w:r>
      <w:r>
        <w:rPr>
          <w:sz w:val="24"/>
          <w:szCs w:val="24"/>
        </w:rPr>
        <w:t>.</w:t>
      </w:r>
    </w:p>
    <w:p w14:paraId="32EE5691" w14:textId="51DFF92E" w:rsidR="00AE7C8F" w:rsidRDefault="002D5600" w:rsidP="00031726">
      <w:pPr>
        <w:tabs>
          <w:tab w:val="left" w:pos="8789"/>
        </w:tabs>
        <w:spacing w:line="360" w:lineRule="auto"/>
        <w:rPr>
          <w:sz w:val="24"/>
          <w:szCs w:val="24"/>
        </w:rPr>
      </w:pPr>
      <w:r>
        <w:rPr>
          <w:sz w:val="24"/>
          <w:szCs w:val="24"/>
        </w:rPr>
        <w:t xml:space="preserve">Redfield had incorporated the EBac into one of their three curriculum pathways at </w:t>
      </w:r>
      <w:r w:rsidR="00155432">
        <w:rPr>
          <w:sz w:val="24"/>
          <w:szCs w:val="24"/>
        </w:rPr>
        <w:t>KS4</w:t>
      </w:r>
      <w:r>
        <w:rPr>
          <w:sz w:val="24"/>
          <w:szCs w:val="24"/>
        </w:rPr>
        <w:t xml:space="preserve"> with relative ease</w:t>
      </w:r>
      <w:r w:rsidR="008B19F1">
        <w:rPr>
          <w:sz w:val="24"/>
          <w:szCs w:val="24"/>
        </w:rPr>
        <w:t>,</w:t>
      </w:r>
      <w:r>
        <w:rPr>
          <w:sz w:val="24"/>
          <w:szCs w:val="24"/>
        </w:rPr>
        <w:t xml:space="preserve"> a</w:t>
      </w:r>
      <w:r w:rsidR="00134D71">
        <w:rPr>
          <w:sz w:val="24"/>
          <w:szCs w:val="24"/>
        </w:rPr>
        <w:t>s</w:t>
      </w:r>
      <w:r>
        <w:rPr>
          <w:sz w:val="24"/>
          <w:szCs w:val="24"/>
        </w:rPr>
        <w:t xml:space="preserve"> this matched their desire to have a</w:t>
      </w:r>
      <w:r w:rsidR="003B6C47">
        <w:rPr>
          <w:sz w:val="24"/>
          <w:szCs w:val="24"/>
        </w:rPr>
        <w:t>n</w:t>
      </w:r>
      <w:r>
        <w:rPr>
          <w:sz w:val="24"/>
          <w:szCs w:val="24"/>
        </w:rPr>
        <w:t xml:space="preserve"> academic pathway. </w:t>
      </w:r>
      <w:r w:rsidR="00277FA9">
        <w:rPr>
          <w:sz w:val="24"/>
          <w:szCs w:val="24"/>
        </w:rPr>
        <w:t xml:space="preserve">Problems were encountered when subject staff did not feel that students had chosen </w:t>
      </w:r>
      <w:r w:rsidR="009F37B6">
        <w:rPr>
          <w:sz w:val="24"/>
          <w:szCs w:val="24"/>
        </w:rPr>
        <w:t xml:space="preserve">subjects </w:t>
      </w:r>
      <w:r w:rsidR="00277FA9">
        <w:rPr>
          <w:sz w:val="24"/>
          <w:szCs w:val="24"/>
        </w:rPr>
        <w:t xml:space="preserve">appropriately and various techniques were in evidence for staff to </w:t>
      </w:r>
      <w:r w:rsidR="00F720CE">
        <w:rPr>
          <w:sz w:val="24"/>
          <w:szCs w:val="24"/>
        </w:rPr>
        <w:t>‘</w:t>
      </w:r>
      <w:r w:rsidR="00277FA9">
        <w:rPr>
          <w:sz w:val="24"/>
          <w:szCs w:val="24"/>
        </w:rPr>
        <w:t>persuade</w:t>
      </w:r>
      <w:r w:rsidR="00F720CE">
        <w:rPr>
          <w:sz w:val="24"/>
          <w:szCs w:val="24"/>
        </w:rPr>
        <w:t>’</w:t>
      </w:r>
      <w:r w:rsidR="00277FA9">
        <w:rPr>
          <w:sz w:val="24"/>
          <w:szCs w:val="24"/>
        </w:rPr>
        <w:t xml:space="preserve"> or guide students and parents away from certain choices. </w:t>
      </w:r>
      <w:r w:rsidR="003B6C47">
        <w:rPr>
          <w:sz w:val="24"/>
          <w:szCs w:val="24"/>
        </w:rPr>
        <w:t>Annie</w:t>
      </w:r>
      <w:r w:rsidR="00F720CE">
        <w:rPr>
          <w:sz w:val="24"/>
          <w:szCs w:val="24"/>
        </w:rPr>
        <w:t>, for example,</w:t>
      </w:r>
      <w:r w:rsidR="003B6C47">
        <w:rPr>
          <w:sz w:val="24"/>
          <w:szCs w:val="24"/>
        </w:rPr>
        <w:t xml:space="preserve"> would phone parents to discuss the choice of a language for students who </w:t>
      </w:r>
      <w:r w:rsidR="00F720CE">
        <w:rPr>
          <w:sz w:val="24"/>
          <w:szCs w:val="24"/>
        </w:rPr>
        <w:t xml:space="preserve">she felt </w:t>
      </w:r>
      <w:r w:rsidR="003B6C47">
        <w:rPr>
          <w:sz w:val="24"/>
          <w:szCs w:val="24"/>
        </w:rPr>
        <w:t xml:space="preserve">were not likely to achieve a grade C, with many students then </w:t>
      </w:r>
      <w:r w:rsidR="009F37B6">
        <w:rPr>
          <w:sz w:val="24"/>
          <w:szCs w:val="24"/>
        </w:rPr>
        <w:t xml:space="preserve">selecting </w:t>
      </w:r>
      <w:r w:rsidR="003B6C47">
        <w:rPr>
          <w:sz w:val="24"/>
          <w:szCs w:val="24"/>
        </w:rPr>
        <w:t>another subject.</w:t>
      </w:r>
      <w:r w:rsidR="00031726">
        <w:rPr>
          <w:sz w:val="24"/>
          <w:szCs w:val="24"/>
        </w:rPr>
        <w:t xml:space="preserve"> </w:t>
      </w:r>
      <w:r w:rsidR="008B19F1">
        <w:rPr>
          <w:sz w:val="24"/>
          <w:szCs w:val="24"/>
        </w:rPr>
        <w:t xml:space="preserve">Further problems were created </w:t>
      </w:r>
      <w:r w:rsidR="00277FA9">
        <w:rPr>
          <w:sz w:val="24"/>
          <w:szCs w:val="24"/>
        </w:rPr>
        <w:t>when courses were changed mid-way through</w:t>
      </w:r>
      <w:r w:rsidR="008B19F1">
        <w:rPr>
          <w:sz w:val="24"/>
          <w:szCs w:val="24"/>
        </w:rPr>
        <w:t>,</w:t>
      </w:r>
      <w:r w:rsidR="00277FA9">
        <w:rPr>
          <w:sz w:val="24"/>
          <w:szCs w:val="24"/>
        </w:rPr>
        <w:t xml:space="preserve"> for example moving</w:t>
      </w:r>
      <w:r w:rsidR="008B19F1">
        <w:rPr>
          <w:sz w:val="24"/>
          <w:szCs w:val="24"/>
        </w:rPr>
        <w:t xml:space="preserve"> students</w:t>
      </w:r>
      <w:r w:rsidR="00277FA9">
        <w:rPr>
          <w:sz w:val="24"/>
          <w:szCs w:val="24"/>
        </w:rPr>
        <w:t xml:space="preserve"> from GCSE</w:t>
      </w:r>
      <w:r w:rsidR="00D531DE">
        <w:rPr>
          <w:sz w:val="24"/>
          <w:szCs w:val="24"/>
        </w:rPr>
        <w:t>s in</w:t>
      </w:r>
      <w:r w:rsidR="00277FA9">
        <w:rPr>
          <w:sz w:val="24"/>
          <w:szCs w:val="24"/>
        </w:rPr>
        <w:t xml:space="preserve"> </w:t>
      </w:r>
      <w:r w:rsidR="00D531DE">
        <w:rPr>
          <w:sz w:val="24"/>
          <w:szCs w:val="24"/>
        </w:rPr>
        <w:t>s</w:t>
      </w:r>
      <w:r w:rsidR="003F6FED">
        <w:rPr>
          <w:sz w:val="24"/>
          <w:szCs w:val="24"/>
        </w:rPr>
        <w:t>cience</w:t>
      </w:r>
      <w:r w:rsidR="00D531DE">
        <w:rPr>
          <w:sz w:val="24"/>
          <w:szCs w:val="24"/>
        </w:rPr>
        <w:t>s</w:t>
      </w:r>
      <w:r w:rsidR="00277FA9">
        <w:rPr>
          <w:sz w:val="24"/>
          <w:szCs w:val="24"/>
        </w:rPr>
        <w:t xml:space="preserve"> to BTEC </w:t>
      </w:r>
      <w:r w:rsidR="003F6FED">
        <w:rPr>
          <w:sz w:val="24"/>
          <w:szCs w:val="24"/>
        </w:rPr>
        <w:t>Science</w:t>
      </w:r>
      <w:r w:rsidR="00F720CE">
        <w:rPr>
          <w:sz w:val="24"/>
          <w:szCs w:val="24"/>
        </w:rPr>
        <w:t>.</w:t>
      </w:r>
      <w:r w:rsidR="00F720CE">
        <w:rPr>
          <w:rStyle w:val="FootnoteReference"/>
          <w:sz w:val="24"/>
          <w:szCs w:val="24"/>
        </w:rPr>
        <w:footnoteReference w:id="42"/>
      </w:r>
      <w:r w:rsidR="00277FA9">
        <w:rPr>
          <w:sz w:val="24"/>
          <w:szCs w:val="24"/>
        </w:rPr>
        <w:t xml:space="preserve"> Red</w:t>
      </w:r>
      <w:r w:rsidR="00D5396E" w:rsidRPr="000734AE">
        <w:rPr>
          <w:sz w:val="24"/>
          <w:szCs w:val="24"/>
        </w:rPr>
        <w:t xml:space="preserve">field </w:t>
      </w:r>
      <w:r w:rsidR="00A01B67">
        <w:rPr>
          <w:sz w:val="24"/>
          <w:szCs w:val="24"/>
        </w:rPr>
        <w:t>is</w:t>
      </w:r>
      <w:r w:rsidR="00D5396E" w:rsidRPr="000734AE">
        <w:rPr>
          <w:sz w:val="24"/>
          <w:szCs w:val="24"/>
        </w:rPr>
        <w:t xml:space="preserve"> </w:t>
      </w:r>
      <w:r w:rsidR="002474C8">
        <w:rPr>
          <w:sz w:val="24"/>
          <w:szCs w:val="24"/>
        </w:rPr>
        <w:t>unclear</w:t>
      </w:r>
      <w:r w:rsidR="00D5396E" w:rsidRPr="000734AE">
        <w:rPr>
          <w:sz w:val="24"/>
          <w:szCs w:val="24"/>
        </w:rPr>
        <w:t xml:space="preserve"> in its position towards the EBac</w:t>
      </w:r>
      <w:r w:rsidR="00031726">
        <w:rPr>
          <w:sz w:val="24"/>
          <w:szCs w:val="24"/>
        </w:rPr>
        <w:t xml:space="preserve">, appearing </w:t>
      </w:r>
      <w:r w:rsidR="009F37B6">
        <w:rPr>
          <w:sz w:val="24"/>
          <w:szCs w:val="24"/>
        </w:rPr>
        <w:t xml:space="preserve">to </w:t>
      </w:r>
      <w:r w:rsidR="00031726">
        <w:rPr>
          <w:sz w:val="24"/>
          <w:szCs w:val="24"/>
        </w:rPr>
        <w:t>accept</w:t>
      </w:r>
      <w:r w:rsidR="009F37B6">
        <w:rPr>
          <w:sz w:val="24"/>
          <w:szCs w:val="24"/>
        </w:rPr>
        <w:t xml:space="preserve"> </w:t>
      </w:r>
      <w:r w:rsidR="00031726">
        <w:rPr>
          <w:sz w:val="24"/>
          <w:szCs w:val="24"/>
        </w:rPr>
        <w:t>it but without ensuring that the position was articulated by the school to students and parents or that the requirements could be met by all students initially opting for the EBac</w:t>
      </w:r>
      <w:r w:rsidR="00AE7C8F">
        <w:rPr>
          <w:sz w:val="24"/>
          <w:szCs w:val="24"/>
        </w:rPr>
        <w:t>.</w:t>
      </w:r>
      <w:r w:rsidR="00BB73B9">
        <w:rPr>
          <w:sz w:val="24"/>
          <w:szCs w:val="24"/>
        </w:rPr>
        <w:t xml:space="preserve"> I have classified Redfield within my EBac typology as ‘confus</w:t>
      </w:r>
      <w:r w:rsidR="00884EFA">
        <w:rPr>
          <w:sz w:val="24"/>
          <w:szCs w:val="24"/>
        </w:rPr>
        <w:t>ion</w:t>
      </w:r>
      <w:r w:rsidR="00BB73B9">
        <w:rPr>
          <w:sz w:val="24"/>
          <w:szCs w:val="24"/>
        </w:rPr>
        <w:t>’.</w:t>
      </w:r>
    </w:p>
    <w:p w14:paraId="5AFDBDED" w14:textId="6D7335C7" w:rsidR="000F62C1" w:rsidRDefault="00D531DE" w:rsidP="008B19F1">
      <w:pPr>
        <w:tabs>
          <w:tab w:val="left" w:pos="8647"/>
        </w:tabs>
        <w:spacing w:line="360" w:lineRule="auto"/>
        <w:rPr>
          <w:b/>
          <w:bCs/>
          <w:sz w:val="24"/>
          <w:szCs w:val="24"/>
        </w:rPr>
      </w:pPr>
      <w:r>
        <w:rPr>
          <w:sz w:val="24"/>
          <w:szCs w:val="24"/>
        </w:rPr>
        <w:t xml:space="preserve">I have now introduced </w:t>
      </w:r>
      <w:r w:rsidR="006A73A1">
        <w:rPr>
          <w:sz w:val="24"/>
          <w:szCs w:val="24"/>
        </w:rPr>
        <w:t xml:space="preserve">the four schools and the </w:t>
      </w:r>
      <w:r>
        <w:rPr>
          <w:sz w:val="24"/>
          <w:szCs w:val="24"/>
        </w:rPr>
        <w:t>10</w:t>
      </w:r>
      <w:r w:rsidR="006A73A1">
        <w:rPr>
          <w:sz w:val="24"/>
          <w:szCs w:val="24"/>
        </w:rPr>
        <w:t xml:space="preserve"> membe</w:t>
      </w:r>
      <w:r w:rsidR="009D008B">
        <w:rPr>
          <w:sz w:val="24"/>
          <w:szCs w:val="24"/>
        </w:rPr>
        <w:t>rs of staff interviewed</w:t>
      </w:r>
      <w:r>
        <w:rPr>
          <w:sz w:val="24"/>
          <w:szCs w:val="24"/>
        </w:rPr>
        <w:t>.</w:t>
      </w:r>
      <w:r w:rsidR="009D008B">
        <w:rPr>
          <w:sz w:val="24"/>
          <w:szCs w:val="24"/>
        </w:rPr>
        <w:t xml:space="preserve"> </w:t>
      </w:r>
      <w:r>
        <w:rPr>
          <w:sz w:val="24"/>
          <w:szCs w:val="24"/>
        </w:rPr>
        <w:t>T</w:t>
      </w:r>
      <w:r w:rsidR="009D008B">
        <w:rPr>
          <w:sz w:val="24"/>
          <w:szCs w:val="24"/>
        </w:rPr>
        <w:t xml:space="preserve">he next section </w:t>
      </w:r>
      <w:r w:rsidR="006A73A1">
        <w:rPr>
          <w:sz w:val="24"/>
          <w:szCs w:val="24"/>
        </w:rPr>
        <w:t>discuss</w:t>
      </w:r>
      <w:r w:rsidR="00022A57">
        <w:rPr>
          <w:sz w:val="24"/>
          <w:szCs w:val="24"/>
        </w:rPr>
        <w:t>es</w:t>
      </w:r>
      <w:r w:rsidR="006A73A1">
        <w:rPr>
          <w:sz w:val="24"/>
          <w:szCs w:val="24"/>
        </w:rPr>
        <w:t xml:space="preserve"> the findings from the semi-structured interviews using the five themes identified from my thematic analysis. The themes include: </w:t>
      </w:r>
      <w:r w:rsidR="009D008B">
        <w:rPr>
          <w:sz w:val="24"/>
          <w:szCs w:val="24"/>
        </w:rPr>
        <w:t>nature of knowledge; differentiation and hierarchy; choice and resistance; control and accountability</w:t>
      </w:r>
      <w:r>
        <w:rPr>
          <w:sz w:val="24"/>
          <w:szCs w:val="24"/>
        </w:rPr>
        <w:t>,</w:t>
      </w:r>
      <w:r w:rsidR="009D008B">
        <w:rPr>
          <w:sz w:val="24"/>
          <w:szCs w:val="24"/>
        </w:rPr>
        <w:t xml:space="preserve"> and equality.</w:t>
      </w:r>
    </w:p>
    <w:p w14:paraId="2343CD97" w14:textId="4ED80668" w:rsidR="006A73A1" w:rsidRDefault="00EF348C" w:rsidP="00531995">
      <w:pPr>
        <w:pStyle w:val="Heading2"/>
      </w:pPr>
      <w:bookmarkStart w:id="95" w:name="_Toc452316378"/>
      <w:r>
        <w:t xml:space="preserve">4.4 </w:t>
      </w:r>
      <w:r w:rsidR="00825142">
        <w:t>Thematic analysis</w:t>
      </w:r>
      <w:bookmarkEnd w:id="95"/>
      <w:r w:rsidR="00825142">
        <w:t xml:space="preserve"> </w:t>
      </w:r>
    </w:p>
    <w:p w14:paraId="3CA81449" w14:textId="0A6A1B7F" w:rsidR="00D5396E" w:rsidRPr="00582F8F" w:rsidRDefault="00D5396E" w:rsidP="00D5396E">
      <w:pPr>
        <w:spacing w:line="360" w:lineRule="auto"/>
        <w:rPr>
          <w:sz w:val="24"/>
          <w:szCs w:val="24"/>
        </w:rPr>
      </w:pPr>
      <w:r w:rsidRPr="00EF39B9">
        <w:rPr>
          <w:sz w:val="24"/>
          <w:szCs w:val="24"/>
        </w:rPr>
        <w:t xml:space="preserve">Immersing myself within my data by listening, transcribing, summarising and highlighting to identify </w:t>
      </w:r>
      <w:r w:rsidR="00D9361E">
        <w:rPr>
          <w:sz w:val="24"/>
          <w:szCs w:val="24"/>
        </w:rPr>
        <w:t xml:space="preserve">recurring themes </w:t>
      </w:r>
      <w:r w:rsidRPr="00EF39B9">
        <w:rPr>
          <w:sz w:val="24"/>
          <w:szCs w:val="24"/>
        </w:rPr>
        <w:t xml:space="preserve">and anomalies, I </w:t>
      </w:r>
      <w:r w:rsidR="00D9361E">
        <w:rPr>
          <w:sz w:val="24"/>
          <w:szCs w:val="24"/>
        </w:rPr>
        <w:t xml:space="preserve">proceeded </w:t>
      </w:r>
      <w:r w:rsidRPr="00EF39B9">
        <w:rPr>
          <w:sz w:val="24"/>
          <w:szCs w:val="24"/>
        </w:rPr>
        <w:t>to conduct a thematic analysis of m</w:t>
      </w:r>
      <w:r w:rsidR="00961475">
        <w:rPr>
          <w:sz w:val="24"/>
          <w:szCs w:val="24"/>
        </w:rPr>
        <w:t>y</w:t>
      </w:r>
      <w:r w:rsidRPr="00EF39B9">
        <w:rPr>
          <w:sz w:val="24"/>
          <w:szCs w:val="24"/>
        </w:rPr>
        <w:t xml:space="preserve"> </w:t>
      </w:r>
      <w:r w:rsidRPr="00EF39B9">
        <w:rPr>
          <w:sz w:val="24"/>
          <w:szCs w:val="24"/>
        </w:rPr>
        <w:lastRenderedPageBreak/>
        <w:t xml:space="preserve">interviews. I </w:t>
      </w:r>
      <w:r w:rsidR="009F37B6">
        <w:rPr>
          <w:sz w:val="24"/>
          <w:szCs w:val="24"/>
        </w:rPr>
        <w:t xml:space="preserve">initially </w:t>
      </w:r>
      <w:r w:rsidRPr="00EF39B9">
        <w:rPr>
          <w:sz w:val="24"/>
          <w:szCs w:val="24"/>
        </w:rPr>
        <w:t xml:space="preserve">identified </w:t>
      </w:r>
      <w:r w:rsidR="00D531DE">
        <w:rPr>
          <w:sz w:val="24"/>
          <w:szCs w:val="24"/>
        </w:rPr>
        <w:t xml:space="preserve">31 </w:t>
      </w:r>
      <w:r w:rsidRPr="00EF39B9">
        <w:rPr>
          <w:sz w:val="24"/>
          <w:szCs w:val="24"/>
        </w:rPr>
        <w:t>separate cod</w:t>
      </w:r>
      <w:r w:rsidR="00CE78D5">
        <w:rPr>
          <w:sz w:val="24"/>
          <w:szCs w:val="24"/>
        </w:rPr>
        <w:t>es</w:t>
      </w:r>
      <w:r w:rsidRPr="00EF39B9">
        <w:rPr>
          <w:sz w:val="24"/>
          <w:szCs w:val="24"/>
        </w:rPr>
        <w:t xml:space="preserve"> within five overarching themes (see </w:t>
      </w:r>
      <w:r w:rsidR="00D531DE">
        <w:rPr>
          <w:sz w:val="24"/>
          <w:szCs w:val="24"/>
        </w:rPr>
        <w:t>A</w:t>
      </w:r>
      <w:r w:rsidRPr="00EF39B9">
        <w:rPr>
          <w:sz w:val="24"/>
          <w:szCs w:val="24"/>
        </w:rPr>
        <w:t>ppendix</w:t>
      </w:r>
      <w:r w:rsidR="007239B3">
        <w:rPr>
          <w:sz w:val="24"/>
          <w:szCs w:val="24"/>
        </w:rPr>
        <w:t xml:space="preserve"> </w:t>
      </w:r>
      <w:r w:rsidR="00D27BF7">
        <w:rPr>
          <w:sz w:val="24"/>
          <w:szCs w:val="24"/>
        </w:rPr>
        <w:t>7</w:t>
      </w:r>
      <w:r w:rsidRPr="00EF39B9">
        <w:rPr>
          <w:sz w:val="24"/>
          <w:szCs w:val="24"/>
        </w:rPr>
        <w:t>)</w:t>
      </w:r>
      <w:r w:rsidR="00D9361E">
        <w:rPr>
          <w:sz w:val="24"/>
          <w:szCs w:val="24"/>
        </w:rPr>
        <w:t xml:space="preserve">. The five </w:t>
      </w:r>
      <w:r w:rsidR="009B0527">
        <w:rPr>
          <w:sz w:val="24"/>
          <w:szCs w:val="24"/>
        </w:rPr>
        <w:t xml:space="preserve">key </w:t>
      </w:r>
      <w:r w:rsidR="00D9361E">
        <w:rPr>
          <w:sz w:val="24"/>
          <w:szCs w:val="24"/>
        </w:rPr>
        <w:t>themes are:</w:t>
      </w:r>
    </w:p>
    <w:p w14:paraId="171F0479" w14:textId="23AD8AB0" w:rsidR="00D5396E" w:rsidRPr="00582F8F" w:rsidRDefault="00D9361E" w:rsidP="00027CFB">
      <w:pPr>
        <w:numPr>
          <w:ilvl w:val="0"/>
          <w:numId w:val="9"/>
        </w:numPr>
        <w:pBdr>
          <w:top w:val="nil"/>
          <w:left w:val="nil"/>
          <w:bottom w:val="nil"/>
          <w:right w:val="nil"/>
          <w:between w:val="nil"/>
          <w:bar w:val="nil"/>
        </w:pBdr>
        <w:spacing w:line="360" w:lineRule="auto"/>
        <w:ind w:left="686" w:hanging="329"/>
        <w:jc w:val="both"/>
        <w:rPr>
          <w:sz w:val="24"/>
          <w:szCs w:val="24"/>
        </w:rPr>
      </w:pPr>
      <w:r>
        <w:rPr>
          <w:sz w:val="24"/>
          <w:szCs w:val="24"/>
        </w:rPr>
        <w:t>The n</w:t>
      </w:r>
      <w:r w:rsidR="00D5396E" w:rsidRPr="00EF39B9">
        <w:rPr>
          <w:sz w:val="24"/>
          <w:szCs w:val="24"/>
        </w:rPr>
        <w:t>ature of knowledge</w:t>
      </w:r>
      <w:r w:rsidR="00027CFB">
        <w:rPr>
          <w:sz w:val="24"/>
          <w:szCs w:val="24"/>
        </w:rPr>
        <w:t xml:space="preserve"> - </w:t>
      </w:r>
      <w:r w:rsidR="008A080F">
        <w:rPr>
          <w:sz w:val="24"/>
          <w:szCs w:val="24"/>
        </w:rPr>
        <w:t>t</w:t>
      </w:r>
      <w:r w:rsidR="00027CFB" w:rsidRPr="00EF39B9">
        <w:rPr>
          <w:sz w:val="24"/>
          <w:szCs w:val="24"/>
        </w:rPr>
        <w:t xml:space="preserve">his theme underpins all of the interviews and the policy analysis in terms of </w:t>
      </w:r>
      <w:r w:rsidR="00027CFB">
        <w:rPr>
          <w:sz w:val="24"/>
          <w:szCs w:val="24"/>
        </w:rPr>
        <w:t xml:space="preserve">the ongoing debate about </w:t>
      </w:r>
      <w:r w:rsidR="00027CFB" w:rsidRPr="00EF39B9">
        <w:rPr>
          <w:sz w:val="24"/>
          <w:szCs w:val="24"/>
        </w:rPr>
        <w:t>what counts as legitimate and worthwhile knowledge</w:t>
      </w:r>
      <w:r w:rsidR="00027CFB">
        <w:rPr>
          <w:sz w:val="24"/>
          <w:szCs w:val="24"/>
        </w:rPr>
        <w:t xml:space="preserve"> both as part of the </w:t>
      </w:r>
      <w:r w:rsidR="00517DCF">
        <w:rPr>
          <w:sz w:val="24"/>
          <w:szCs w:val="24"/>
        </w:rPr>
        <w:t>official</w:t>
      </w:r>
      <w:r w:rsidR="00027CFB">
        <w:rPr>
          <w:sz w:val="24"/>
          <w:szCs w:val="24"/>
        </w:rPr>
        <w:t xml:space="preserve"> curriculum content of the EBac and </w:t>
      </w:r>
      <w:r w:rsidR="00C85B6D">
        <w:rPr>
          <w:sz w:val="24"/>
          <w:szCs w:val="24"/>
        </w:rPr>
        <w:t>from the perspective</w:t>
      </w:r>
      <w:r w:rsidR="00C44D10">
        <w:rPr>
          <w:sz w:val="24"/>
          <w:szCs w:val="24"/>
        </w:rPr>
        <w:t>s</w:t>
      </w:r>
      <w:r w:rsidR="00C85B6D">
        <w:rPr>
          <w:sz w:val="24"/>
          <w:szCs w:val="24"/>
        </w:rPr>
        <w:t xml:space="preserve"> of</w:t>
      </w:r>
      <w:r w:rsidR="00027CFB">
        <w:rPr>
          <w:sz w:val="24"/>
          <w:szCs w:val="24"/>
        </w:rPr>
        <w:t xml:space="preserve"> individual </w:t>
      </w:r>
      <w:r w:rsidR="00027CFB" w:rsidRPr="00186D14">
        <w:rPr>
          <w:sz w:val="24"/>
          <w:szCs w:val="24"/>
        </w:rPr>
        <w:t>teachers and school</w:t>
      </w:r>
      <w:r w:rsidR="00C85B6D">
        <w:rPr>
          <w:sz w:val="24"/>
          <w:szCs w:val="24"/>
        </w:rPr>
        <w:t>s.</w:t>
      </w:r>
    </w:p>
    <w:p w14:paraId="1BFB422B" w14:textId="32ECD743" w:rsidR="00D5396E" w:rsidRPr="00582F8F" w:rsidRDefault="00D5396E" w:rsidP="00027CFB">
      <w:pPr>
        <w:numPr>
          <w:ilvl w:val="0"/>
          <w:numId w:val="9"/>
        </w:numPr>
        <w:pBdr>
          <w:top w:val="nil"/>
          <w:left w:val="nil"/>
          <w:bottom w:val="nil"/>
          <w:right w:val="nil"/>
          <w:between w:val="nil"/>
          <w:bar w:val="nil"/>
        </w:pBdr>
        <w:spacing w:line="360" w:lineRule="auto"/>
        <w:ind w:left="686" w:hanging="329"/>
        <w:rPr>
          <w:sz w:val="24"/>
          <w:szCs w:val="24"/>
        </w:rPr>
      </w:pPr>
      <w:r w:rsidRPr="00EF39B9">
        <w:rPr>
          <w:sz w:val="24"/>
          <w:szCs w:val="24"/>
        </w:rPr>
        <w:t>Differentiation and hierarchy</w:t>
      </w:r>
      <w:r w:rsidR="00027CFB">
        <w:rPr>
          <w:sz w:val="24"/>
          <w:szCs w:val="24"/>
        </w:rPr>
        <w:t xml:space="preserve"> – </w:t>
      </w:r>
      <w:r w:rsidR="00027CFB" w:rsidRPr="00D2208F">
        <w:rPr>
          <w:sz w:val="24"/>
          <w:szCs w:val="24"/>
        </w:rPr>
        <w:t xml:space="preserve"> </w:t>
      </w:r>
      <w:r w:rsidR="00E43DC8">
        <w:rPr>
          <w:sz w:val="24"/>
          <w:szCs w:val="24"/>
        </w:rPr>
        <w:t xml:space="preserve">this theme is </w:t>
      </w:r>
      <w:r w:rsidR="00027CFB" w:rsidRPr="00D2208F">
        <w:rPr>
          <w:sz w:val="24"/>
          <w:szCs w:val="24"/>
        </w:rPr>
        <w:t>apparent in: types of curriculum knowledge; curriculum structures</w:t>
      </w:r>
      <w:r w:rsidR="00DB51A2">
        <w:rPr>
          <w:sz w:val="24"/>
          <w:szCs w:val="24"/>
        </w:rPr>
        <w:t xml:space="preserve">; </w:t>
      </w:r>
      <w:r w:rsidR="00027CFB" w:rsidRPr="00D2208F">
        <w:rPr>
          <w:sz w:val="24"/>
          <w:szCs w:val="24"/>
        </w:rPr>
        <w:t xml:space="preserve">the options offered by schools; stated </w:t>
      </w:r>
      <w:r w:rsidR="00564C94">
        <w:rPr>
          <w:sz w:val="24"/>
          <w:szCs w:val="24"/>
        </w:rPr>
        <w:t xml:space="preserve">characteristics </w:t>
      </w:r>
      <w:r w:rsidR="00027CFB" w:rsidRPr="00D2208F">
        <w:rPr>
          <w:sz w:val="24"/>
          <w:szCs w:val="24"/>
        </w:rPr>
        <w:t xml:space="preserve">of students </w:t>
      </w:r>
      <w:r w:rsidR="00517DCF">
        <w:rPr>
          <w:sz w:val="24"/>
          <w:szCs w:val="24"/>
        </w:rPr>
        <w:t>(</w:t>
      </w:r>
      <w:r w:rsidR="00027CFB" w:rsidRPr="00D2208F">
        <w:rPr>
          <w:sz w:val="24"/>
          <w:szCs w:val="24"/>
        </w:rPr>
        <w:t>usually in terms of perceived academic ability of high, middle or low</w:t>
      </w:r>
      <w:r w:rsidR="00517DCF">
        <w:rPr>
          <w:sz w:val="24"/>
          <w:szCs w:val="24"/>
        </w:rPr>
        <w:t>)</w:t>
      </w:r>
      <w:r w:rsidR="00027CFB" w:rsidRPr="00D2208F">
        <w:rPr>
          <w:sz w:val="24"/>
          <w:szCs w:val="24"/>
        </w:rPr>
        <w:t xml:space="preserve">; types of schools </w:t>
      </w:r>
      <w:r w:rsidR="00C44D10">
        <w:rPr>
          <w:sz w:val="24"/>
          <w:szCs w:val="24"/>
        </w:rPr>
        <w:t>(</w:t>
      </w:r>
      <w:r w:rsidR="00027CFB">
        <w:rPr>
          <w:sz w:val="24"/>
          <w:szCs w:val="24"/>
        </w:rPr>
        <w:t>academy</w:t>
      </w:r>
      <w:r w:rsidR="00027CFB" w:rsidRPr="00D2208F">
        <w:rPr>
          <w:sz w:val="24"/>
          <w:szCs w:val="24"/>
        </w:rPr>
        <w:t xml:space="preserve"> and non-</w:t>
      </w:r>
      <w:r w:rsidR="00027CFB">
        <w:rPr>
          <w:sz w:val="24"/>
          <w:szCs w:val="24"/>
        </w:rPr>
        <w:t>academy</w:t>
      </w:r>
      <w:r w:rsidR="00027CFB" w:rsidRPr="00D2208F">
        <w:rPr>
          <w:sz w:val="24"/>
          <w:szCs w:val="24"/>
        </w:rPr>
        <w:t xml:space="preserve"> and high achieving and low achieving </w:t>
      </w:r>
      <w:r w:rsidR="00C44D10">
        <w:rPr>
          <w:sz w:val="24"/>
          <w:szCs w:val="24"/>
        </w:rPr>
        <w:t>)</w:t>
      </w:r>
      <w:r w:rsidR="00DB51A2">
        <w:rPr>
          <w:sz w:val="24"/>
          <w:szCs w:val="24"/>
        </w:rPr>
        <w:t>,</w:t>
      </w:r>
      <w:r w:rsidR="00027CFB" w:rsidRPr="00D2208F">
        <w:rPr>
          <w:sz w:val="24"/>
          <w:szCs w:val="24"/>
        </w:rPr>
        <w:t xml:space="preserve"> and different subjects.</w:t>
      </w:r>
    </w:p>
    <w:p w14:paraId="1126258B" w14:textId="66746886" w:rsidR="00D5396E" w:rsidRPr="00582F8F" w:rsidRDefault="00D5396E" w:rsidP="00027CFB">
      <w:pPr>
        <w:numPr>
          <w:ilvl w:val="0"/>
          <w:numId w:val="9"/>
        </w:numPr>
        <w:pBdr>
          <w:top w:val="nil"/>
          <w:left w:val="nil"/>
          <w:bottom w:val="nil"/>
          <w:right w:val="nil"/>
          <w:between w:val="nil"/>
          <w:bar w:val="nil"/>
        </w:pBdr>
        <w:spacing w:line="360" w:lineRule="auto"/>
        <w:ind w:left="686" w:hanging="329"/>
        <w:rPr>
          <w:sz w:val="24"/>
          <w:szCs w:val="24"/>
        </w:rPr>
      </w:pPr>
      <w:r w:rsidRPr="00EF39B9">
        <w:rPr>
          <w:sz w:val="24"/>
          <w:szCs w:val="24"/>
        </w:rPr>
        <w:t>Choice and resistance</w:t>
      </w:r>
      <w:r w:rsidR="00027CFB">
        <w:rPr>
          <w:sz w:val="24"/>
          <w:szCs w:val="24"/>
        </w:rPr>
        <w:t xml:space="preserve"> - t</w:t>
      </w:r>
      <w:r w:rsidR="00C8515A">
        <w:rPr>
          <w:sz w:val="24"/>
          <w:szCs w:val="24"/>
        </w:rPr>
        <w:t>his theme explores the issues</w:t>
      </w:r>
      <w:r w:rsidR="00027CFB" w:rsidRPr="000C1192">
        <w:rPr>
          <w:sz w:val="24"/>
          <w:szCs w:val="24"/>
        </w:rPr>
        <w:t xml:space="preserve"> of</w:t>
      </w:r>
      <w:r w:rsidR="00C8515A">
        <w:rPr>
          <w:sz w:val="24"/>
          <w:szCs w:val="24"/>
        </w:rPr>
        <w:t>:</w:t>
      </w:r>
      <w:r w:rsidR="00027CFB" w:rsidRPr="000C1192">
        <w:rPr>
          <w:sz w:val="24"/>
          <w:szCs w:val="24"/>
        </w:rPr>
        <w:t xml:space="preserve"> choice and wh</w:t>
      </w:r>
      <w:r w:rsidR="00564C94">
        <w:rPr>
          <w:sz w:val="24"/>
          <w:szCs w:val="24"/>
        </w:rPr>
        <w:t>ich students and/or parents</w:t>
      </w:r>
      <w:r w:rsidR="00027CFB" w:rsidRPr="000C1192">
        <w:rPr>
          <w:sz w:val="24"/>
          <w:szCs w:val="24"/>
        </w:rPr>
        <w:t xml:space="preserve"> </w:t>
      </w:r>
      <w:r w:rsidR="00E43DC8">
        <w:rPr>
          <w:sz w:val="24"/>
          <w:szCs w:val="24"/>
        </w:rPr>
        <w:t>can</w:t>
      </w:r>
      <w:r w:rsidR="00564C94">
        <w:rPr>
          <w:sz w:val="24"/>
          <w:szCs w:val="24"/>
        </w:rPr>
        <w:t xml:space="preserve"> </w:t>
      </w:r>
      <w:r w:rsidR="00027CFB" w:rsidRPr="000C1192">
        <w:rPr>
          <w:sz w:val="24"/>
          <w:szCs w:val="24"/>
        </w:rPr>
        <w:t>cho</w:t>
      </w:r>
      <w:r w:rsidR="00E43DC8">
        <w:rPr>
          <w:sz w:val="24"/>
          <w:szCs w:val="24"/>
        </w:rPr>
        <w:t>ose</w:t>
      </w:r>
      <w:r w:rsidR="00027CFB" w:rsidRPr="000C1192">
        <w:rPr>
          <w:sz w:val="24"/>
          <w:szCs w:val="24"/>
        </w:rPr>
        <w:t xml:space="preserve"> </w:t>
      </w:r>
      <w:r w:rsidR="00564C94">
        <w:rPr>
          <w:sz w:val="24"/>
          <w:szCs w:val="24"/>
        </w:rPr>
        <w:t>the type and rang</w:t>
      </w:r>
      <w:r w:rsidR="00C8515A">
        <w:rPr>
          <w:sz w:val="24"/>
          <w:szCs w:val="24"/>
        </w:rPr>
        <w:t xml:space="preserve">e of qualifications; </w:t>
      </w:r>
      <w:r w:rsidR="00564C94">
        <w:rPr>
          <w:sz w:val="24"/>
          <w:szCs w:val="24"/>
        </w:rPr>
        <w:t xml:space="preserve">what influence </w:t>
      </w:r>
      <w:r w:rsidR="006F449C">
        <w:rPr>
          <w:sz w:val="24"/>
          <w:szCs w:val="24"/>
        </w:rPr>
        <w:t>HoD</w:t>
      </w:r>
      <w:r w:rsidR="00564C94">
        <w:rPr>
          <w:sz w:val="24"/>
          <w:szCs w:val="24"/>
        </w:rPr>
        <w:t xml:space="preserve"> </w:t>
      </w:r>
      <w:r w:rsidR="000A57CB">
        <w:rPr>
          <w:sz w:val="24"/>
          <w:szCs w:val="24"/>
        </w:rPr>
        <w:t>have</w:t>
      </w:r>
      <w:r w:rsidR="00564C94">
        <w:rPr>
          <w:sz w:val="24"/>
          <w:szCs w:val="24"/>
        </w:rPr>
        <w:t xml:space="preserve"> over </w:t>
      </w:r>
      <w:r w:rsidR="000A57CB">
        <w:rPr>
          <w:sz w:val="24"/>
          <w:szCs w:val="24"/>
        </w:rPr>
        <w:t>the</w:t>
      </w:r>
      <w:r w:rsidR="00564C94">
        <w:rPr>
          <w:sz w:val="24"/>
          <w:szCs w:val="24"/>
        </w:rPr>
        <w:t xml:space="preserve"> courses offer</w:t>
      </w:r>
      <w:r w:rsidR="000A57CB">
        <w:rPr>
          <w:sz w:val="24"/>
          <w:szCs w:val="24"/>
        </w:rPr>
        <w:t>ed</w:t>
      </w:r>
      <w:r w:rsidR="00564C94">
        <w:rPr>
          <w:sz w:val="24"/>
          <w:szCs w:val="24"/>
        </w:rPr>
        <w:t xml:space="preserve"> and to what extent they can select students for their subjects</w:t>
      </w:r>
      <w:r w:rsidR="00C8515A">
        <w:rPr>
          <w:sz w:val="24"/>
          <w:szCs w:val="24"/>
        </w:rPr>
        <w:t>;</w:t>
      </w:r>
      <w:r w:rsidR="00027CFB" w:rsidRPr="000C1192">
        <w:rPr>
          <w:sz w:val="24"/>
          <w:szCs w:val="24"/>
        </w:rPr>
        <w:t xml:space="preserve"> </w:t>
      </w:r>
      <w:r w:rsidR="00C8515A">
        <w:rPr>
          <w:sz w:val="24"/>
          <w:szCs w:val="24"/>
        </w:rPr>
        <w:t xml:space="preserve">and </w:t>
      </w:r>
      <w:r w:rsidR="00027CFB" w:rsidRPr="000C1192">
        <w:rPr>
          <w:sz w:val="24"/>
          <w:szCs w:val="24"/>
        </w:rPr>
        <w:t xml:space="preserve">what resistance </w:t>
      </w:r>
      <w:r w:rsidR="00564C94">
        <w:rPr>
          <w:sz w:val="24"/>
          <w:szCs w:val="24"/>
        </w:rPr>
        <w:t xml:space="preserve">is </w:t>
      </w:r>
      <w:r w:rsidR="00027CFB" w:rsidRPr="000C1192">
        <w:rPr>
          <w:sz w:val="24"/>
          <w:szCs w:val="24"/>
        </w:rPr>
        <w:t>possible</w:t>
      </w:r>
      <w:r w:rsidR="00564C94">
        <w:rPr>
          <w:sz w:val="24"/>
          <w:szCs w:val="24"/>
        </w:rPr>
        <w:t xml:space="preserve"> from students and teachers to the choices presented by school policy and practice</w:t>
      </w:r>
      <w:r w:rsidR="00027CFB">
        <w:rPr>
          <w:sz w:val="24"/>
          <w:szCs w:val="24"/>
        </w:rPr>
        <w:t>.</w:t>
      </w:r>
      <w:r w:rsidR="00027CFB" w:rsidRPr="000C1192">
        <w:rPr>
          <w:sz w:val="24"/>
          <w:szCs w:val="24"/>
        </w:rPr>
        <w:t xml:space="preserve"> This theme is linked to the research questions around teachers’ perspectives on the constitution and implementation on the EBac as well as highlighting implications for educational equality</w:t>
      </w:r>
      <w:r w:rsidR="00564C94">
        <w:rPr>
          <w:sz w:val="24"/>
          <w:szCs w:val="24"/>
        </w:rPr>
        <w:t xml:space="preserve">. </w:t>
      </w:r>
    </w:p>
    <w:p w14:paraId="7F7B08A1" w14:textId="68140EAA" w:rsidR="00D5396E" w:rsidRPr="00F06F5C" w:rsidRDefault="00D5396E" w:rsidP="00F06F5C">
      <w:pPr>
        <w:numPr>
          <w:ilvl w:val="0"/>
          <w:numId w:val="9"/>
        </w:numPr>
        <w:pBdr>
          <w:top w:val="nil"/>
          <w:left w:val="nil"/>
          <w:bottom w:val="nil"/>
          <w:right w:val="nil"/>
          <w:between w:val="nil"/>
          <w:bar w:val="nil"/>
        </w:pBdr>
        <w:spacing w:line="360" w:lineRule="auto"/>
        <w:ind w:left="686" w:hanging="329"/>
        <w:rPr>
          <w:sz w:val="24"/>
          <w:szCs w:val="24"/>
        </w:rPr>
      </w:pPr>
      <w:r w:rsidRPr="00EF39B9">
        <w:rPr>
          <w:sz w:val="24"/>
          <w:szCs w:val="24"/>
        </w:rPr>
        <w:t>Control and accountability</w:t>
      </w:r>
      <w:r w:rsidR="00027CFB">
        <w:rPr>
          <w:sz w:val="24"/>
          <w:szCs w:val="24"/>
        </w:rPr>
        <w:t xml:space="preserve"> -</w:t>
      </w:r>
      <w:r w:rsidR="003F38F4">
        <w:rPr>
          <w:sz w:val="24"/>
          <w:szCs w:val="24"/>
        </w:rPr>
        <w:t xml:space="preserve"> </w:t>
      </w:r>
      <w:r w:rsidR="00F822CD" w:rsidRPr="008C01CE">
        <w:rPr>
          <w:sz w:val="24"/>
          <w:szCs w:val="24"/>
        </w:rPr>
        <w:t xml:space="preserve">This theme considers the accountability agenda which was strengthened by the White Paper, </w:t>
      </w:r>
      <w:r w:rsidR="00F822CD" w:rsidRPr="00582F8F">
        <w:rPr>
          <w:i/>
          <w:iCs/>
          <w:sz w:val="24"/>
          <w:szCs w:val="24"/>
        </w:rPr>
        <w:t>The Impo</w:t>
      </w:r>
      <w:r w:rsidR="00F822CD" w:rsidRPr="000930A7">
        <w:rPr>
          <w:i/>
          <w:iCs/>
          <w:sz w:val="24"/>
          <w:szCs w:val="24"/>
        </w:rPr>
        <w:t>rtance of Teaching</w:t>
      </w:r>
      <w:r w:rsidR="00F822CD" w:rsidRPr="008C01CE">
        <w:rPr>
          <w:sz w:val="24"/>
          <w:szCs w:val="24"/>
        </w:rPr>
        <w:t xml:space="preserve"> (2010)</w:t>
      </w:r>
      <w:r w:rsidR="00C44D10">
        <w:rPr>
          <w:sz w:val="24"/>
          <w:szCs w:val="24"/>
        </w:rPr>
        <w:t>. T</w:t>
      </w:r>
      <w:r w:rsidR="008A080F">
        <w:rPr>
          <w:sz w:val="24"/>
          <w:szCs w:val="24"/>
        </w:rPr>
        <w:t xml:space="preserve">here </w:t>
      </w:r>
      <w:r w:rsidR="00C44D10">
        <w:rPr>
          <w:sz w:val="24"/>
          <w:szCs w:val="24"/>
        </w:rPr>
        <w:t>exists</w:t>
      </w:r>
      <w:r w:rsidR="008A080F">
        <w:rPr>
          <w:sz w:val="24"/>
          <w:szCs w:val="24"/>
        </w:rPr>
        <w:t xml:space="preserve"> a political</w:t>
      </w:r>
      <w:r w:rsidR="00F822CD">
        <w:rPr>
          <w:sz w:val="24"/>
          <w:szCs w:val="24"/>
        </w:rPr>
        <w:t xml:space="preserve"> </w:t>
      </w:r>
      <w:r w:rsidR="00A07A06">
        <w:rPr>
          <w:sz w:val="24"/>
          <w:szCs w:val="24"/>
        </w:rPr>
        <w:t xml:space="preserve">neoliberal </w:t>
      </w:r>
      <w:r w:rsidR="00F822CD">
        <w:rPr>
          <w:sz w:val="24"/>
          <w:szCs w:val="24"/>
        </w:rPr>
        <w:t xml:space="preserve">emphasis on accountability and </w:t>
      </w:r>
      <w:r w:rsidR="00C44D10">
        <w:rPr>
          <w:sz w:val="24"/>
          <w:szCs w:val="24"/>
        </w:rPr>
        <w:t xml:space="preserve">high-stakes </w:t>
      </w:r>
      <w:r w:rsidR="00F822CD">
        <w:rPr>
          <w:sz w:val="24"/>
          <w:szCs w:val="24"/>
        </w:rPr>
        <w:t>testing as a way of raising educational standards.</w:t>
      </w:r>
      <w:r w:rsidR="00564C94">
        <w:rPr>
          <w:sz w:val="24"/>
          <w:szCs w:val="24"/>
        </w:rPr>
        <w:t xml:space="preserve"> </w:t>
      </w:r>
      <w:r w:rsidR="00F06F5C">
        <w:rPr>
          <w:sz w:val="24"/>
          <w:szCs w:val="24"/>
        </w:rPr>
        <w:t xml:space="preserve">The reduction of coursework and the proposed increase </w:t>
      </w:r>
      <w:r w:rsidR="00DB51A2">
        <w:rPr>
          <w:sz w:val="24"/>
          <w:szCs w:val="24"/>
        </w:rPr>
        <w:t xml:space="preserve">in </w:t>
      </w:r>
      <w:r w:rsidR="00F06F5C">
        <w:rPr>
          <w:sz w:val="24"/>
          <w:szCs w:val="24"/>
        </w:rPr>
        <w:t>knowledge content of GCSEs in an attempt to raise the academic demands of courses mean that children will be faced with one examination at the end of two years of study in order to display their abilities. In this way ‘intelligence’, ‘ability’ and ‘hard work’ are reduced to a single grade and statistic, education becomes reduced to data</w:t>
      </w:r>
      <w:r w:rsidR="00F06F5C" w:rsidRPr="00F06F5C">
        <w:rPr>
          <w:sz w:val="24"/>
          <w:szCs w:val="24"/>
        </w:rPr>
        <w:t xml:space="preserve">. </w:t>
      </w:r>
      <w:r w:rsidR="00564C94" w:rsidRPr="00F06F5C">
        <w:rPr>
          <w:sz w:val="24"/>
          <w:szCs w:val="24"/>
        </w:rPr>
        <w:t xml:space="preserve">I argue that this </w:t>
      </w:r>
      <w:r w:rsidR="00920744" w:rsidRPr="00F06F5C">
        <w:rPr>
          <w:sz w:val="24"/>
          <w:szCs w:val="24"/>
        </w:rPr>
        <w:t>‘</w:t>
      </w:r>
      <w:r w:rsidR="00564C94" w:rsidRPr="00F06F5C">
        <w:rPr>
          <w:sz w:val="24"/>
          <w:szCs w:val="24"/>
        </w:rPr>
        <w:t>datafication</w:t>
      </w:r>
      <w:r w:rsidR="00920744" w:rsidRPr="00F06F5C">
        <w:rPr>
          <w:sz w:val="24"/>
          <w:szCs w:val="24"/>
        </w:rPr>
        <w:t>’</w:t>
      </w:r>
      <w:r w:rsidR="00A74B1A">
        <w:rPr>
          <w:sz w:val="24"/>
          <w:szCs w:val="24"/>
        </w:rPr>
        <w:t xml:space="preserve"> of education acts as a driver</w:t>
      </w:r>
      <w:r w:rsidR="00564C94" w:rsidRPr="00F06F5C">
        <w:rPr>
          <w:sz w:val="24"/>
          <w:szCs w:val="24"/>
        </w:rPr>
        <w:t xml:space="preserve"> for the EBac policy implementation as well as impacting on the choices made </w:t>
      </w:r>
      <w:r w:rsidR="002E5E4B" w:rsidRPr="00F06F5C">
        <w:rPr>
          <w:sz w:val="24"/>
          <w:szCs w:val="24"/>
        </w:rPr>
        <w:t>available</w:t>
      </w:r>
      <w:r w:rsidR="00564C94" w:rsidRPr="00F06F5C">
        <w:rPr>
          <w:sz w:val="24"/>
          <w:szCs w:val="24"/>
        </w:rPr>
        <w:t xml:space="preserve"> to different students. </w:t>
      </w:r>
    </w:p>
    <w:p w14:paraId="6F3FE8FF" w14:textId="19CAF8DE" w:rsidR="001A525F" w:rsidRDefault="00D5396E" w:rsidP="00F822CD">
      <w:pPr>
        <w:numPr>
          <w:ilvl w:val="0"/>
          <w:numId w:val="9"/>
        </w:numPr>
        <w:pBdr>
          <w:top w:val="nil"/>
          <w:left w:val="nil"/>
          <w:bottom w:val="nil"/>
          <w:right w:val="nil"/>
          <w:between w:val="nil"/>
          <w:bar w:val="nil"/>
        </w:pBdr>
        <w:tabs>
          <w:tab w:val="left" w:pos="8789"/>
        </w:tabs>
        <w:spacing w:line="360" w:lineRule="auto"/>
        <w:ind w:left="686" w:hanging="329"/>
        <w:rPr>
          <w:sz w:val="24"/>
          <w:szCs w:val="24"/>
        </w:rPr>
      </w:pPr>
      <w:r w:rsidRPr="00EF39B9">
        <w:rPr>
          <w:sz w:val="24"/>
          <w:szCs w:val="24"/>
        </w:rPr>
        <w:lastRenderedPageBreak/>
        <w:t>Equality</w:t>
      </w:r>
      <w:r w:rsidR="003F38F4">
        <w:rPr>
          <w:sz w:val="24"/>
          <w:szCs w:val="24"/>
        </w:rPr>
        <w:t xml:space="preserve"> - </w:t>
      </w:r>
      <w:r w:rsidR="00F822CD">
        <w:rPr>
          <w:sz w:val="24"/>
          <w:szCs w:val="24"/>
        </w:rPr>
        <w:t>this</w:t>
      </w:r>
      <w:r w:rsidR="00F822CD" w:rsidRPr="005A590D">
        <w:rPr>
          <w:sz w:val="24"/>
          <w:szCs w:val="24"/>
        </w:rPr>
        <w:t xml:space="preserve"> theme relates directly to my third research question regarding implications </w:t>
      </w:r>
      <w:r w:rsidR="00C44D10">
        <w:rPr>
          <w:sz w:val="24"/>
          <w:szCs w:val="24"/>
        </w:rPr>
        <w:t xml:space="preserve">of </w:t>
      </w:r>
      <w:r w:rsidR="00F822CD" w:rsidRPr="005A590D">
        <w:rPr>
          <w:sz w:val="24"/>
          <w:szCs w:val="24"/>
        </w:rPr>
        <w:t>the EBac</w:t>
      </w:r>
      <w:r w:rsidR="00C44D10">
        <w:rPr>
          <w:sz w:val="24"/>
          <w:szCs w:val="24"/>
        </w:rPr>
        <w:t xml:space="preserve"> </w:t>
      </w:r>
      <w:r w:rsidR="00F822CD" w:rsidRPr="005A590D">
        <w:rPr>
          <w:sz w:val="24"/>
          <w:szCs w:val="24"/>
        </w:rPr>
        <w:t xml:space="preserve">for wider educational equality. </w:t>
      </w:r>
      <w:r w:rsidR="00F822CD">
        <w:rPr>
          <w:sz w:val="24"/>
          <w:szCs w:val="24"/>
        </w:rPr>
        <w:t>This concept was</w:t>
      </w:r>
      <w:r w:rsidR="00F822CD" w:rsidRPr="005A590D">
        <w:rPr>
          <w:sz w:val="24"/>
          <w:szCs w:val="24"/>
        </w:rPr>
        <w:t xml:space="preserve"> framed within </w:t>
      </w:r>
      <w:r w:rsidR="00F822CD">
        <w:rPr>
          <w:sz w:val="24"/>
          <w:szCs w:val="24"/>
        </w:rPr>
        <w:t>a discussion</w:t>
      </w:r>
      <w:r w:rsidR="00F822CD" w:rsidRPr="005A590D">
        <w:rPr>
          <w:sz w:val="24"/>
          <w:szCs w:val="24"/>
        </w:rPr>
        <w:t xml:space="preserve"> of potential winners and losers of the EBac policy</w:t>
      </w:r>
      <w:r w:rsidR="001A3BC6">
        <w:rPr>
          <w:sz w:val="24"/>
          <w:szCs w:val="24"/>
        </w:rPr>
        <w:t xml:space="preserve"> and the notion of ‘ability’ became an important aspect</w:t>
      </w:r>
      <w:r w:rsidR="00F822CD" w:rsidRPr="005A590D">
        <w:rPr>
          <w:sz w:val="24"/>
          <w:szCs w:val="24"/>
        </w:rPr>
        <w:t>.</w:t>
      </w:r>
    </w:p>
    <w:p w14:paraId="7C14D047" w14:textId="797277C3" w:rsidR="001A525F" w:rsidRPr="001A525F" w:rsidRDefault="009D008B" w:rsidP="008A080F">
      <w:pPr>
        <w:pBdr>
          <w:top w:val="nil"/>
          <w:left w:val="nil"/>
          <w:bottom w:val="nil"/>
          <w:right w:val="nil"/>
          <w:between w:val="nil"/>
          <w:bar w:val="nil"/>
        </w:pBdr>
        <w:tabs>
          <w:tab w:val="left" w:pos="8789"/>
        </w:tabs>
        <w:spacing w:line="360" w:lineRule="auto"/>
        <w:rPr>
          <w:sz w:val="24"/>
          <w:szCs w:val="24"/>
        </w:rPr>
      </w:pPr>
      <w:r>
        <w:rPr>
          <w:sz w:val="24"/>
          <w:szCs w:val="24"/>
        </w:rPr>
        <w:t xml:space="preserve">The following sections explore each </w:t>
      </w:r>
      <w:r w:rsidR="00557340">
        <w:rPr>
          <w:sz w:val="24"/>
          <w:szCs w:val="24"/>
        </w:rPr>
        <w:t xml:space="preserve">of the five </w:t>
      </w:r>
      <w:r>
        <w:rPr>
          <w:sz w:val="24"/>
          <w:szCs w:val="24"/>
        </w:rPr>
        <w:t>theme</w:t>
      </w:r>
      <w:r w:rsidR="00557340">
        <w:rPr>
          <w:sz w:val="24"/>
          <w:szCs w:val="24"/>
        </w:rPr>
        <w:t>s</w:t>
      </w:r>
      <w:r>
        <w:rPr>
          <w:sz w:val="24"/>
          <w:szCs w:val="24"/>
        </w:rPr>
        <w:t xml:space="preserve"> in turn. </w:t>
      </w:r>
      <w:r w:rsidR="00557340">
        <w:rPr>
          <w:sz w:val="24"/>
          <w:szCs w:val="24"/>
        </w:rPr>
        <w:t xml:space="preserve"> I</w:t>
      </w:r>
      <w:r>
        <w:rPr>
          <w:sz w:val="24"/>
          <w:szCs w:val="24"/>
        </w:rPr>
        <w:t xml:space="preserve"> </w:t>
      </w:r>
      <w:r w:rsidR="00F822CD">
        <w:rPr>
          <w:sz w:val="24"/>
          <w:szCs w:val="24"/>
        </w:rPr>
        <w:t xml:space="preserve">identify key </w:t>
      </w:r>
      <w:r w:rsidR="00D8550F">
        <w:rPr>
          <w:sz w:val="24"/>
          <w:szCs w:val="24"/>
        </w:rPr>
        <w:t xml:space="preserve">discussion </w:t>
      </w:r>
      <w:r w:rsidR="00F822CD">
        <w:rPr>
          <w:sz w:val="24"/>
          <w:szCs w:val="24"/>
        </w:rPr>
        <w:t xml:space="preserve">points arising from </w:t>
      </w:r>
      <w:r w:rsidR="00D8550F">
        <w:rPr>
          <w:sz w:val="24"/>
          <w:szCs w:val="24"/>
        </w:rPr>
        <w:t xml:space="preserve">interview transcript </w:t>
      </w:r>
      <w:r w:rsidR="00F822CD">
        <w:rPr>
          <w:sz w:val="24"/>
          <w:szCs w:val="24"/>
        </w:rPr>
        <w:t>analysis</w:t>
      </w:r>
      <w:r w:rsidR="00B107B7">
        <w:rPr>
          <w:sz w:val="24"/>
          <w:szCs w:val="24"/>
        </w:rPr>
        <w:t xml:space="preserve"> around each theme</w:t>
      </w:r>
      <w:r w:rsidR="00F822CD">
        <w:rPr>
          <w:sz w:val="24"/>
          <w:szCs w:val="24"/>
        </w:rPr>
        <w:t>, interpreted in light of my aims</w:t>
      </w:r>
      <w:r w:rsidR="00517DCF">
        <w:rPr>
          <w:sz w:val="24"/>
          <w:szCs w:val="24"/>
        </w:rPr>
        <w:t xml:space="preserve">, </w:t>
      </w:r>
      <w:r w:rsidR="00F822CD">
        <w:rPr>
          <w:sz w:val="24"/>
          <w:szCs w:val="24"/>
        </w:rPr>
        <w:t>research questions</w:t>
      </w:r>
      <w:r w:rsidR="008A080F">
        <w:rPr>
          <w:sz w:val="24"/>
          <w:szCs w:val="24"/>
        </w:rPr>
        <w:t xml:space="preserve"> </w:t>
      </w:r>
      <w:r w:rsidR="00F822CD">
        <w:rPr>
          <w:sz w:val="24"/>
          <w:szCs w:val="24"/>
        </w:rPr>
        <w:t>and the literature.</w:t>
      </w:r>
      <w:r w:rsidR="008A080F">
        <w:rPr>
          <w:sz w:val="24"/>
          <w:szCs w:val="24"/>
        </w:rPr>
        <w:t xml:space="preserve"> </w:t>
      </w:r>
      <w:r w:rsidR="00435B85">
        <w:rPr>
          <w:sz w:val="24"/>
          <w:szCs w:val="24"/>
        </w:rPr>
        <w:t>This leads onto t</w:t>
      </w:r>
      <w:r w:rsidR="00557340">
        <w:rPr>
          <w:sz w:val="24"/>
          <w:szCs w:val="24"/>
        </w:rPr>
        <w:t>he discussion chapter</w:t>
      </w:r>
      <w:r w:rsidR="00B107B7">
        <w:rPr>
          <w:sz w:val="24"/>
          <w:szCs w:val="24"/>
        </w:rPr>
        <w:t>,</w:t>
      </w:r>
      <w:r w:rsidR="00557340">
        <w:rPr>
          <w:sz w:val="24"/>
          <w:szCs w:val="24"/>
        </w:rPr>
        <w:t xml:space="preserve"> where I bring together the overarching findings from </w:t>
      </w:r>
      <w:r w:rsidR="000C5D61">
        <w:rPr>
          <w:sz w:val="24"/>
          <w:szCs w:val="24"/>
        </w:rPr>
        <w:t>the</w:t>
      </w:r>
      <w:r w:rsidR="00557340">
        <w:rPr>
          <w:sz w:val="24"/>
          <w:szCs w:val="24"/>
        </w:rPr>
        <w:t xml:space="preserve"> </w:t>
      </w:r>
      <w:r w:rsidR="00D21D50">
        <w:rPr>
          <w:sz w:val="24"/>
          <w:szCs w:val="24"/>
        </w:rPr>
        <w:t>CDA</w:t>
      </w:r>
      <w:r w:rsidR="00557340">
        <w:rPr>
          <w:sz w:val="24"/>
          <w:szCs w:val="24"/>
        </w:rPr>
        <w:t xml:space="preserve"> and </w:t>
      </w:r>
      <w:r w:rsidR="000C5D61">
        <w:rPr>
          <w:sz w:val="24"/>
          <w:szCs w:val="24"/>
        </w:rPr>
        <w:t>the</w:t>
      </w:r>
      <w:r w:rsidR="00557340">
        <w:rPr>
          <w:sz w:val="24"/>
          <w:szCs w:val="24"/>
        </w:rPr>
        <w:t xml:space="preserve"> semi-structured interviews</w:t>
      </w:r>
      <w:r w:rsidR="00825142">
        <w:rPr>
          <w:sz w:val="24"/>
          <w:szCs w:val="24"/>
        </w:rPr>
        <w:t xml:space="preserve"> using Scheurich’s </w:t>
      </w:r>
      <w:r w:rsidR="00DF24E7">
        <w:rPr>
          <w:sz w:val="24"/>
          <w:szCs w:val="24"/>
        </w:rPr>
        <w:t xml:space="preserve">PA </w:t>
      </w:r>
      <w:r w:rsidR="00825142">
        <w:rPr>
          <w:sz w:val="24"/>
          <w:szCs w:val="24"/>
        </w:rPr>
        <w:t>framework</w:t>
      </w:r>
      <w:r w:rsidR="00557340">
        <w:rPr>
          <w:sz w:val="24"/>
          <w:szCs w:val="24"/>
        </w:rPr>
        <w:t xml:space="preserve">.  </w:t>
      </w:r>
    </w:p>
    <w:p w14:paraId="6653E336" w14:textId="62C6A50D" w:rsidR="0048647D" w:rsidRPr="00582F8F" w:rsidRDefault="00EF348C" w:rsidP="00531995">
      <w:pPr>
        <w:pStyle w:val="Heading3"/>
      </w:pPr>
      <w:bookmarkStart w:id="96" w:name="_Toc452316379"/>
      <w:r>
        <w:t xml:space="preserve">4.4.1 </w:t>
      </w:r>
      <w:r w:rsidR="001A525F">
        <w:t>The n</w:t>
      </w:r>
      <w:r w:rsidR="00D5396E" w:rsidRPr="000930A7">
        <w:t xml:space="preserve">ature of </w:t>
      </w:r>
      <w:r w:rsidR="00B107B7">
        <w:t>k</w:t>
      </w:r>
      <w:r w:rsidR="00D5396E" w:rsidRPr="000930A7">
        <w:t>nowledge</w:t>
      </w:r>
      <w:bookmarkEnd w:id="96"/>
      <w:r w:rsidR="00D5396E" w:rsidRPr="00EF39B9">
        <w:t xml:space="preserve"> </w:t>
      </w:r>
    </w:p>
    <w:p w14:paraId="791BFEFE" w14:textId="411CA0EE" w:rsidR="00D5396E" w:rsidRPr="00582F8F" w:rsidRDefault="00D5396E" w:rsidP="00757A52">
      <w:pPr>
        <w:pBdr>
          <w:top w:val="nil"/>
          <w:left w:val="nil"/>
          <w:bottom w:val="nil"/>
          <w:right w:val="nil"/>
          <w:between w:val="nil"/>
          <w:bar w:val="nil"/>
        </w:pBdr>
        <w:spacing w:after="0" w:line="360" w:lineRule="auto"/>
        <w:rPr>
          <w:sz w:val="24"/>
          <w:szCs w:val="24"/>
        </w:rPr>
      </w:pPr>
      <w:r w:rsidRPr="00EF39B9">
        <w:rPr>
          <w:sz w:val="24"/>
          <w:szCs w:val="24"/>
        </w:rPr>
        <w:t xml:space="preserve">The theme of the nature of knowledge </w:t>
      </w:r>
      <w:r w:rsidR="00435B85">
        <w:rPr>
          <w:sz w:val="24"/>
          <w:szCs w:val="24"/>
        </w:rPr>
        <w:t xml:space="preserve">and what is </w:t>
      </w:r>
      <w:r w:rsidR="00A14BFD">
        <w:rPr>
          <w:sz w:val="24"/>
          <w:szCs w:val="24"/>
        </w:rPr>
        <w:t xml:space="preserve">considered </w:t>
      </w:r>
      <w:r w:rsidR="00435B85">
        <w:rPr>
          <w:sz w:val="24"/>
          <w:szCs w:val="24"/>
        </w:rPr>
        <w:t xml:space="preserve">legitimate and worthwhile knowledge </w:t>
      </w:r>
      <w:r w:rsidRPr="00EF39B9">
        <w:rPr>
          <w:sz w:val="24"/>
          <w:szCs w:val="24"/>
        </w:rPr>
        <w:t>underlies all of the interview discussions</w:t>
      </w:r>
      <w:r w:rsidR="00B86B18">
        <w:rPr>
          <w:sz w:val="24"/>
          <w:szCs w:val="24"/>
        </w:rPr>
        <w:t>.</w:t>
      </w:r>
      <w:r w:rsidRPr="00EF39B9">
        <w:rPr>
          <w:sz w:val="24"/>
          <w:szCs w:val="24"/>
        </w:rPr>
        <w:t xml:space="preserve"> </w:t>
      </w:r>
      <w:r w:rsidR="00B91B92">
        <w:rPr>
          <w:sz w:val="24"/>
          <w:szCs w:val="24"/>
        </w:rPr>
        <w:t xml:space="preserve">As highlighted by Apple (1996) “the curriculum is never simply a neutral assemblage of knowledge…it is always part of a </w:t>
      </w:r>
      <w:r w:rsidR="00B91B92">
        <w:rPr>
          <w:i/>
          <w:sz w:val="24"/>
          <w:szCs w:val="24"/>
        </w:rPr>
        <w:t>selective tradition</w:t>
      </w:r>
      <w:r w:rsidR="00543442">
        <w:rPr>
          <w:sz w:val="24"/>
          <w:szCs w:val="24"/>
        </w:rPr>
        <w:t>”</w:t>
      </w:r>
      <w:r w:rsidR="00B91B92">
        <w:rPr>
          <w:i/>
          <w:sz w:val="24"/>
          <w:szCs w:val="24"/>
        </w:rPr>
        <w:t xml:space="preserve">, </w:t>
      </w:r>
      <w:r w:rsidR="00B91B92">
        <w:rPr>
          <w:sz w:val="24"/>
          <w:szCs w:val="24"/>
        </w:rPr>
        <w:t>(p.22).</w:t>
      </w:r>
      <w:r w:rsidR="00435B85">
        <w:rPr>
          <w:sz w:val="24"/>
          <w:szCs w:val="24"/>
        </w:rPr>
        <w:t xml:space="preserve"> </w:t>
      </w:r>
      <w:r w:rsidR="00435B85" w:rsidRPr="00EF39B9">
        <w:rPr>
          <w:sz w:val="24"/>
          <w:szCs w:val="24"/>
        </w:rPr>
        <w:t xml:space="preserve">This theme is a key </w:t>
      </w:r>
      <w:r w:rsidR="00435B85">
        <w:rPr>
          <w:sz w:val="24"/>
          <w:szCs w:val="24"/>
        </w:rPr>
        <w:t>debate</w:t>
      </w:r>
      <w:r w:rsidR="00435B85" w:rsidRPr="00EF39B9">
        <w:rPr>
          <w:sz w:val="24"/>
          <w:szCs w:val="24"/>
        </w:rPr>
        <w:t xml:space="preserve"> within my literature review</w:t>
      </w:r>
      <w:r w:rsidR="00435B85">
        <w:rPr>
          <w:sz w:val="24"/>
          <w:szCs w:val="24"/>
        </w:rPr>
        <w:t xml:space="preserve"> (</w:t>
      </w:r>
      <w:r w:rsidR="00543442">
        <w:rPr>
          <w:sz w:val="24"/>
          <w:szCs w:val="24"/>
        </w:rPr>
        <w:t>S</w:t>
      </w:r>
      <w:r w:rsidR="00435B85">
        <w:rPr>
          <w:sz w:val="24"/>
          <w:szCs w:val="24"/>
        </w:rPr>
        <w:t xml:space="preserve">ection </w:t>
      </w:r>
      <w:r w:rsidR="00352016">
        <w:rPr>
          <w:sz w:val="24"/>
          <w:szCs w:val="24"/>
        </w:rPr>
        <w:t>2.5</w:t>
      </w:r>
      <w:r w:rsidR="00435B85">
        <w:rPr>
          <w:sz w:val="24"/>
          <w:szCs w:val="24"/>
        </w:rPr>
        <w:t>) in terms of considering what is regarded as valuable knowledge and the power relations involved in these classifications (Moore and Young</w:t>
      </w:r>
      <w:r w:rsidR="00543442">
        <w:rPr>
          <w:sz w:val="24"/>
          <w:szCs w:val="24"/>
        </w:rPr>
        <w:t>,</w:t>
      </w:r>
      <w:r w:rsidR="00435B85">
        <w:rPr>
          <w:sz w:val="24"/>
          <w:szCs w:val="24"/>
        </w:rPr>
        <w:t xml:space="preserve"> 2001</w:t>
      </w:r>
      <w:r w:rsidR="00543442">
        <w:rPr>
          <w:sz w:val="24"/>
          <w:szCs w:val="24"/>
        </w:rPr>
        <w:t>;</w:t>
      </w:r>
      <w:r w:rsidR="00435B85">
        <w:rPr>
          <w:sz w:val="24"/>
          <w:szCs w:val="24"/>
        </w:rPr>
        <w:t xml:space="preserve"> Apple</w:t>
      </w:r>
      <w:r w:rsidR="00543442">
        <w:rPr>
          <w:sz w:val="24"/>
          <w:szCs w:val="24"/>
        </w:rPr>
        <w:t>,</w:t>
      </w:r>
      <w:r w:rsidR="00435B85">
        <w:rPr>
          <w:sz w:val="24"/>
          <w:szCs w:val="24"/>
        </w:rPr>
        <w:t xml:space="preserve"> 1996). </w:t>
      </w:r>
      <w:r w:rsidRPr="00EF39B9">
        <w:rPr>
          <w:sz w:val="24"/>
          <w:szCs w:val="24"/>
        </w:rPr>
        <w:t xml:space="preserve">All interviewees made reference to different types of knowledge and the </w:t>
      </w:r>
      <w:r w:rsidR="00543442">
        <w:rPr>
          <w:sz w:val="24"/>
          <w:szCs w:val="24"/>
        </w:rPr>
        <w:t xml:space="preserve">associated </w:t>
      </w:r>
      <w:r w:rsidRPr="00EF39B9">
        <w:rPr>
          <w:sz w:val="24"/>
          <w:szCs w:val="24"/>
        </w:rPr>
        <w:t>status accorded</w:t>
      </w:r>
      <w:r w:rsidR="00543442">
        <w:rPr>
          <w:sz w:val="24"/>
          <w:szCs w:val="24"/>
        </w:rPr>
        <w:t>,</w:t>
      </w:r>
      <w:r w:rsidRPr="00EF39B9">
        <w:rPr>
          <w:sz w:val="24"/>
          <w:szCs w:val="24"/>
        </w:rPr>
        <w:t xml:space="preserve"> though this was often expressed in terms of a subject discussion</w:t>
      </w:r>
      <w:r w:rsidR="00933090">
        <w:rPr>
          <w:sz w:val="24"/>
          <w:szCs w:val="24"/>
        </w:rPr>
        <w:t xml:space="preserve"> rather than a</w:t>
      </w:r>
      <w:r w:rsidRPr="00EF39B9">
        <w:rPr>
          <w:sz w:val="24"/>
          <w:szCs w:val="24"/>
        </w:rPr>
        <w:t xml:space="preserve"> philosophical discussion of the nature of knowledge. </w:t>
      </w:r>
      <w:r w:rsidR="00963FDB">
        <w:rPr>
          <w:sz w:val="24"/>
          <w:szCs w:val="24"/>
        </w:rPr>
        <w:t>Simon (B</w:t>
      </w:r>
      <w:r w:rsidR="00543442">
        <w:rPr>
          <w:sz w:val="24"/>
          <w:szCs w:val="24"/>
        </w:rPr>
        <w:t>luefield</w:t>
      </w:r>
      <w:r w:rsidR="00757A52">
        <w:rPr>
          <w:sz w:val="24"/>
          <w:szCs w:val="24"/>
        </w:rPr>
        <w:t>/</w:t>
      </w:r>
      <w:r w:rsidR="00963FDB">
        <w:rPr>
          <w:sz w:val="24"/>
          <w:szCs w:val="24"/>
        </w:rPr>
        <w:t>DH)</w:t>
      </w:r>
      <w:r w:rsidR="00543442">
        <w:rPr>
          <w:sz w:val="24"/>
          <w:szCs w:val="24"/>
        </w:rPr>
        <w:t>, for example,</w:t>
      </w:r>
      <w:r w:rsidR="00963FDB">
        <w:rPr>
          <w:sz w:val="24"/>
          <w:szCs w:val="24"/>
        </w:rPr>
        <w:t xml:space="preserve"> talked about the Bluefield curriculum as a “traditional” curriculum (p.3) and Susan (Y</w:t>
      </w:r>
      <w:r w:rsidR="00543442">
        <w:rPr>
          <w:sz w:val="24"/>
          <w:szCs w:val="24"/>
        </w:rPr>
        <w:t>ellowfield</w:t>
      </w:r>
      <w:r w:rsidR="00757A52">
        <w:rPr>
          <w:sz w:val="24"/>
          <w:szCs w:val="24"/>
        </w:rPr>
        <w:t>/</w:t>
      </w:r>
      <w:r w:rsidR="00963FDB">
        <w:rPr>
          <w:sz w:val="24"/>
          <w:szCs w:val="24"/>
        </w:rPr>
        <w:t xml:space="preserve">DH) discussed the differences between the knowledge requirements of a GCSE and BTEC in PE. </w:t>
      </w:r>
      <w:r w:rsidR="00D8550F">
        <w:rPr>
          <w:sz w:val="24"/>
          <w:szCs w:val="24"/>
        </w:rPr>
        <w:t>C</w:t>
      </w:r>
      <w:r w:rsidRPr="00EF39B9">
        <w:rPr>
          <w:sz w:val="24"/>
          <w:szCs w:val="24"/>
        </w:rPr>
        <w:t xml:space="preserve">urriculum knowledge </w:t>
      </w:r>
      <w:r w:rsidR="00D8550F">
        <w:rPr>
          <w:sz w:val="24"/>
          <w:szCs w:val="24"/>
        </w:rPr>
        <w:t xml:space="preserve">relates </w:t>
      </w:r>
      <w:r w:rsidRPr="00EF39B9">
        <w:rPr>
          <w:sz w:val="24"/>
          <w:szCs w:val="24"/>
        </w:rPr>
        <w:t>fundamental</w:t>
      </w:r>
      <w:r w:rsidR="00D8550F">
        <w:rPr>
          <w:sz w:val="24"/>
          <w:szCs w:val="24"/>
        </w:rPr>
        <w:t>ly to</w:t>
      </w:r>
      <w:r w:rsidRPr="00EF39B9">
        <w:rPr>
          <w:sz w:val="24"/>
          <w:szCs w:val="24"/>
        </w:rPr>
        <w:t xml:space="preserve"> my research aims and is reflected in the first research question </w:t>
      </w:r>
      <w:r w:rsidR="00543442">
        <w:rPr>
          <w:sz w:val="24"/>
          <w:szCs w:val="24"/>
        </w:rPr>
        <w:t xml:space="preserve">concerning </w:t>
      </w:r>
      <w:r w:rsidRPr="00EF39B9">
        <w:rPr>
          <w:sz w:val="24"/>
          <w:szCs w:val="24"/>
        </w:rPr>
        <w:t>what the EBac policy</w:t>
      </w:r>
      <w:r w:rsidR="00543442">
        <w:rPr>
          <w:sz w:val="24"/>
          <w:szCs w:val="24"/>
        </w:rPr>
        <w:t xml:space="preserve"> is</w:t>
      </w:r>
      <w:r w:rsidRPr="00EF39B9">
        <w:rPr>
          <w:sz w:val="24"/>
          <w:szCs w:val="24"/>
        </w:rPr>
        <w:t xml:space="preserve"> and how and why it </w:t>
      </w:r>
      <w:r w:rsidR="00543442">
        <w:rPr>
          <w:sz w:val="24"/>
          <w:szCs w:val="24"/>
        </w:rPr>
        <w:t xml:space="preserve">was </w:t>
      </w:r>
      <w:r w:rsidRPr="00EF39B9">
        <w:rPr>
          <w:sz w:val="24"/>
          <w:szCs w:val="24"/>
        </w:rPr>
        <w:t xml:space="preserve">introduced. </w:t>
      </w:r>
    </w:p>
    <w:p w14:paraId="1DD72A6E" w14:textId="6956DA8B" w:rsidR="00D5396E" w:rsidRPr="00582F8F" w:rsidRDefault="00E50ABF" w:rsidP="00173B51">
      <w:pPr>
        <w:spacing w:before="240" w:line="360" w:lineRule="auto"/>
        <w:rPr>
          <w:sz w:val="24"/>
          <w:szCs w:val="24"/>
        </w:rPr>
      </w:pPr>
      <w:r>
        <w:rPr>
          <w:sz w:val="24"/>
          <w:szCs w:val="24"/>
        </w:rPr>
        <w:t xml:space="preserve">Simon </w:t>
      </w:r>
      <w:r w:rsidR="00E71D28">
        <w:rPr>
          <w:sz w:val="24"/>
          <w:szCs w:val="24"/>
        </w:rPr>
        <w:t>(B</w:t>
      </w:r>
      <w:r w:rsidR="00757A52">
        <w:rPr>
          <w:sz w:val="24"/>
          <w:szCs w:val="24"/>
        </w:rPr>
        <w:t>luefield</w:t>
      </w:r>
      <w:r w:rsidR="00E71D28">
        <w:rPr>
          <w:sz w:val="24"/>
          <w:szCs w:val="24"/>
        </w:rPr>
        <w:t xml:space="preserve">/DH) </w:t>
      </w:r>
      <w:r>
        <w:rPr>
          <w:sz w:val="24"/>
          <w:szCs w:val="24"/>
        </w:rPr>
        <w:t>and Susan</w:t>
      </w:r>
      <w:r w:rsidR="00E71D28">
        <w:rPr>
          <w:sz w:val="24"/>
          <w:szCs w:val="24"/>
        </w:rPr>
        <w:t xml:space="preserve"> (Y</w:t>
      </w:r>
      <w:r w:rsidR="00757A52">
        <w:rPr>
          <w:sz w:val="24"/>
          <w:szCs w:val="24"/>
        </w:rPr>
        <w:t>ellowfield</w:t>
      </w:r>
      <w:r w:rsidR="00E71D28">
        <w:rPr>
          <w:sz w:val="24"/>
          <w:szCs w:val="24"/>
        </w:rPr>
        <w:t xml:space="preserve">/DH) </w:t>
      </w:r>
      <w:r>
        <w:rPr>
          <w:sz w:val="24"/>
          <w:szCs w:val="24"/>
        </w:rPr>
        <w:t>commented most on this theme</w:t>
      </w:r>
      <w:r w:rsidR="00543442">
        <w:rPr>
          <w:sz w:val="24"/>
          <w:szCs w:val="24"/>
        </w:rPr>
        <w:t>,</w:t>
      </w:r>
      <w:r>
        <w:rPr>
          <w:sz w:val="24"/>
          <w:szCs w:val="24"/>
        </w:rPr>
        <w:t xml:space="preserve"> which </w:t>
      </w:r>
      <w:r w:rsidR="005D3403">
        <w:rPr>
          <w:sz w:val="24"/>
          <w:szCs w:val="24"/>
        </w:rPr>
        <w:t xml:space="preserve">I believe is linked to </w:t>
      </w:r>
      <w:r w:rsidR="000C5D61">
        <w:rPr>
          <w:sz w:val="24"/>
          <w:szCs w:val="24"/>
        </w:rPr>
        <w:t xml:space="preserve">each school’s culture and staff </w:t>
      </w:r>
      <w:r w:rsidR="005D3403">
        <w:rPr>
          <w:sz w:val="24"/>
          <w:szCs w:val="24"/>
        </w:rPr>
        <w:t>attitude</w:t>
      </w:r>
      <w:r w:rsidR="000C5D61">
        <w:rPr>
          <w:sz w:val="24"/>
          <w:szCs w:val="24"/>
        </w:rPr>
        <w:t>s</w:t>
      </w:r>
      <w:r w:rsidR="005D3403">
        <w:rPr>
          <w:sz w:val="24"/>
          <w:szCs w:val="24"/>
        </w:rPr>
        <w:t xml:space="preserve"> towards the EBac policy. Both </w:t>
      </w:r>
      <w:r w:rsidR="000C5D61">
        <w:rPr>
          <w:sz w:val="24"/>
          <w:szCs w:val="24"/>
        </w:rPr>
        <w:t xml:space="preserve">teachers </w:t>
      </w:r>
      <w:r w:rsidR="005D3403">
        <w:rPr>
          <w:sz w:val="24"/>
          <w:szCs w:val="24"/>
        </w:rPr>
        <w:t xml:space="preserve">had strong opinions </w:t>
      </w:r>
      <w:r w:rsidR="00543442">
        <w:rPr>
          <w:sz w:val="24"/>
          <w:szCs w:val="24"/>
        </w:rPr>
        <w:t xml:space="preserve">about </w:t>
      </w:r>
      <w:r w:rsidR="005D3403">
        <w:rPr>
          <w:sz w:val="24"/>
          <w:szCs w:val="24"/>
        </w:rPr>
        <w:t xml:space="preserve">the EBac and the value </w:t>
      </w:r>
      <w:r w:rsidR="00D8550F">
        <w:rPr>
          <w:sz w:val="24"/>
          <w:szCs w:val="24"/>
        </w:rPr>
        <w:t xml:space="preserve">of </w:t>
      </w:r>
      <w:r w:rsidR="005D3403">
        <w:rPr>
          <w:sz w:val="24"/>
          <w:szCs w:val="24"/>
        </w:rPr>
        <w:t xml:space="preserve">the type of knowledge encompassed by </w:t>
      </w:r>
      <w:r w:rsidR="00543442">
        <w:rPr>
          <w:sz w:val="24"/>
          <w:szCs w:val="24"/>
        </w:rPr>
        <w:t>it</w:t>
      </w:r>
      <w:r w:rsidR="005D3403">
        <w:rPr>
          <w:sz w:val="24"/>
          <w:szCs w:val="24"/>
        </w:rPr>
        <w:t>, with Simon supporting the EBac as “no bad thing”</w:t>
      </w:r>
      <w:r w:rsidR="00933090">
        <w:rPr>
          <w:sz w:val="24"/>
          <w:szCs w:val="24"/>
        </w:rPr>
        <w:t xml:space="preserve"> </w:t>
      </w:r>
      <w:r w:rsidR="00CE4ED7">
        <w:rPr>
          <w:sz w:val="24"/>
          <w:szCs w:val="24"/>
        </w:rPr>
        <w:t>(p.7)</w:t>
      </w:r>
      <w:r w:rsidR="005D3403">
        <w:rPr>
          <w:sz w:val="24"/>
          <w:szCs w:val="24"/>
        </w:rPr>
        <w:t xml:space="preserve"> and Susa</w:t>
      </w:r>
      <w:r w:rsidR="00CE4ED7">
        <w:rPr>
          <w:sz w:val="24"/>
          <w:szCs w:val="24"/>
        </w:rPr>
        <w:t>n seeing it as a curriculum which was “not appropriate” (p.6) for all students.</w:t>
      </w:r>
      <w:r w:rsidR="005D3403">
        <w:rPr>
          <w:sz w:val="24"/>
          <w:szCs w:val="24"/>
        </w:rPr>
        <w:t xml:space="preserve"> </w:t>
      </w:r>
    </w:p>
    <w:p w14:paraId="62838704" w14:textId="5E103152" w:rsidR="00D5396E" w:rsidRDefault="00D5396E" w:rsidP="00D5396E">
      <w:pPr>
        <w:spacing w:before="240" w:line="360" w:lineRule="auto"/>
        <w:rPr>
          <w:sz w:val="24"/>
          <w:szCs w:val="24"/>
        </w:rPr>
      </w:pPr>
      <w:r w:rsidRPr="00D2208F">
        <w:rPr>
          <w:sz w:val="24"/>
          <w:szCs w:val="24"/>
        </w:rPr>
        <w:lastRenderedPageBreak/>
        <w:t xml:space="preserve">Simon’s discussion regarding knowledge focused on the position of </w:t>
      </w:r>
      <w:r w:rsidR="00757A52">
        <w:rPr>
          <w:sz w:val="24"/>
          <w:szCs w:val="24"/>
        </w:rPr>
        <w:t>Bluefield</w:t>
      </w:r>
      <w:r w:rsidR="000C5D61">
        <w:rPr>
          <w:sz w:val="24"/>
          <w:szCs w:val="24"/>
        </w:rPr>
        <w:t xml:space="preserve"> </w:t>
      </w:r>
      <w:r w:rsidRPr="00D2208F">
        <w:rPr>
          <w:sz w:val="24"/>
          <w:szCs w:val="24"/>
        </w:rPr>
        <w:t>as having a traditional “academically robust and rigorous” (p.20)</w:t>
      </w:r>
      <w:r w:rsidR="007C1C57">
        <w:rPr>
          <w:sz w:val="24"/>
          <w:szCs w:val="24"/>
        </w:rPr>
        <w:t xml:space="preserve"> curriculum</w:t>
      </w:r>
      <w:r w:rsidRPr="00D2208F">
        <w:rPr>
          <w:sz w:val="24"/>
          <w:szCs w:val="24"/>
        </w:rPr>
        <w:t xml:space="preserve">. This fits with my initial assertion that the EBac </w:t>
      </w:r>
      <w:r w:rsidR="00E71D28">
        <w:rPr>
          <w:sz w:val="24"/>
          <w:szCs w:val="24"/>
        </w:rPr>
        <w:t xml:space="preserve">curriculum </w:t>
      </w:r>
      <w:r w:rsidRPr="00D2208F">
        <w:rPr>
          <w:sz w:val="24"/>
          <w:szCs w:val="24"/>
        </w:rPr>
        <w:t xml:space="preserve">would be </w:t>
      </w:r>
      <w:r w:rsidR="00E71D28">
        <w:rPr>
          <w:sz w:val="24"/>
          <w:szCs w:val="24"/>
        </w:rPr>
        <w:t xml:space="preserve">more attainable </w:t>
      </w:r>
      <w:r w:rsidR="00543442">
        <w:rPr>
          <w:sz w:val="24"/>
          <w:szCs w:val="24"/>
        </w:rPr>
        <w:t>for those schools requiring</w:t>
      </w:r>
      <w:r w:rsidR="00E71D28">
        <w:rPr>
          <w:sz w:val="24"/>
          <w:szCs w:val="24"/>
        </w:rPr>
        <w:t xml:space="preserve"> less changes required to the existing curriculum</w:t>
      </w:r>
      <w:r w:rsidR="00543442">
        <w:rPr>
          <w:sz w:val="24"/>
          <w:szCs w:val="24"/>
        </w:rPr>
        <w:t>,</w:t>
      </w:r>
      <w:r w:rsidR="00E71D28">
        <w:rPr>
          <w:sz w:val="24"/>
          <w:szCs w:val="24"/>
        </w:rPr>
        <w:t xml:space="preserve"> </w:t>
      </w:r>
      <w:r>
        <w:rPr>
          <w:sz w:val="24"/>
          <w:szCs w:val="24"/>
        </w:rPr>
        <w:t>such as independent schools</w:t>
      </w:r>
      <w:r w:rsidR="00B47E6E">
        <w:rPr>
          <w:sz w:val="24"/>
          <w:szCs w:val="24"/>
        </w:rPr>
        <w:t xml:space="preserve">, </w:t>
      </w:r>
      <w:r>
        <w:rPr>
          <w:sz w:val="24"/>
          <w:szCs w:val="24"/>
        </w:rPr>
        <w:t>selective schools</w:t>
      </w:r>
      <w:r w:rsidR="00B47E6E">
        <w:rPr>
          <w:sz w:val="24"/>
          <w:szCs w:val="24"/>
        </w:rPr>
        <w:t xml:space="preserve"> and those with a predominately academic GCSE curriculu</w:t>
      </w:r>
      <w:r w:rsidR="00435B85">
        <w:rPr>
          <w:sz w:val="24"/>
          <w:szCs w:val="24"/>
        </w:rPr>
        <w:t>m</w:t>
      </w:r>
      <w:r w:rsidRPr="00D2208F">
        <w:rPr>
          <w:sz w:val="24"/>
          <w:szCs w:val="24"/>
        </w:rPr>
        <w:t>. This links to Carr and Hartnett</w:t>
      </w:r>
      <w:r w:rsidR="00543442">
        <w:rPr>
          <w:sz w:val="24"/>
          <w:szCs w:val="24"/>
        </w:rPr>
        <w:t>’s</w:t>
      </w:r>
      <w:r w:rsidRPr="00D2208F">
        <w:rPr>
          <w:sz w:val="24"/>
          <w:szCs w:val="24"/>
        </w:rPr>
        <w:t xml:space="preserve"> (1996)</w:t>
      </w:r>
      <w:r w:rsidR="00543442">
        <w:rPr>
          <w:sz w:val="24"/>
          <w:szCs w:val="24"/>
        </w:rPr>
        <w:t xml:space="preserve"> arguments,</w:t>
      </w:r>
      <w:r w:rsidRPr="00D2208F">
        <w:rPr>
          <w:sz w:val="24"/>
          <w:szCs w:val="24"/>
        </w:rPr>
        <w:t xml:space="preserve"> </w:t>
      </w:r>
      <w:r w:rsidR="007C1C57">
        <w:rPr>
          <w:sz w:val="24"/>
          <w:szCs w:val="24"/>
        </w:rPr>
        <w:t>suggest</w:t>
      </w:r>
      <w:r w:rsidR="00B91031">
        <w:rPr>
          <w:sz w:val="24"/>
          <w:szCs w:val="24"/>
        </w:rPr>
        <w:t>ing</w:t>
      </w:r>
      <w:r w:rsidR="007C1C57">
        <w:rPr>
          <w:sz w:val="24"/>
          <w:szCs w:val="24"/>
        </w:rPr>
        <w:t xml:space="preserve"> that </w:t>
      </w:r>
      <w:r w:rsidR="00B47E6E">
        <w:rPr>
          <w:sz w:val="24"/>
          <w:szCs w:val="24"/>
        </w:rPr>
        <w:t xml:space="preserve">social </w:t>
      </w:r>
      <w:r w:rsidRPr="00D2208F">
        <w:rPr>
          <w:sz w:val="24"/>
          <w:szCs w:val="24"/>
        </w:rPr>
        <w:t>inequalities continue to be replicated</w:t>
      </w:r>
      <w:r w:rsidR="00B47E6E">
        <w:rPr>
          <w:sz w:val="24"/>
          <w:szCs w:val="24"/>
        </w:rPr>
        <w:t xml:space="preserve"> within a </w:t>
      </w:r>
      <w:r w:rsidR="007C1C57">
        <w:rPr>
          <w:sz w:val="24"/>
          <w:szCs w:val="24"/>
        </w:rPr>
        <w:t xml:space="preserve">single compulsory </w:t>
      </w:r>
      <w:r w:rsidR="00B47E6E">
        <w:rPr>
          <w:sz w:val="24"/>
          <w:szCs w:val="24"/>
        </w:rPr>
        <w:t xml:space="preserve">curriculum </w:t>
      </w:r>
      <w:r w:rsidR="00543442">
        <w:rPr>
          <w:sz w:val="24"/>
          <w:szCs w:val="24"/>
        </w:rPr>
        <w:t>when</w:t>
      </w:r>
      <w:r w:rsidR="007C1C57">
        <w:rPr>
          <w:sz w:val="24"/>
          <w:szCs w:val="24"/>
        </w:rPr>
        <w:t xml:space="preserve"> the explicit and implicit cultural assumptions underpinning the curriculum </w:t>
      </w:r>
      <w:r w:rsidR="00022A57">
        <w:rPr>
          <w:sz w:val="24"/>
          <w:szCs w:val="24"/>
        </w:rPr>
        <w:t xml:space="preserve">are </w:t>
      </w:r>
      <w:r w:rsidR="007C1C57">
        <w:rPr>
          <w:sz w:val="24"/>
          <w:szCs w:val="24"/>
        </w:rPr>
        <w:t>not universally shared</w:t>
      </w:r>
      <w:r w:rsidRPr="00D2208F">
        <w:rPr>
          <w:sz w:val="24"/>
          <w:szCs w:val="24"/>
        </w:rPr>
        <w:t>.</w:t>
      </w:r>
    </w:p>
    <w:p w14:paraId="4203F52C" w14:textId="3ECF97C9" w:rsidR="00CF548B" w:rsidRDefault="00D5396E" w:rsidP="00D45C88">
      <w:pPr>
        <w:spacing w:line="360" w:lineRule="auto"/>
        <w:rPr>
          <w:sz w:val="24"/>
          <w:szCs w:val="24"/>
        </w:rPr>
      </w:pPr>
      <w:r w:rsidRPr="00D2208F">
        <w:rPr>
          <w:sz w:val="24"/>
          <w:szCs w:val="24"/>
        </w:rPr>
        <w:t xml:space="preserve">Simon </w:t>
      </w:r>
      <w:r w:rsidR="007C1C57">
        <w:rPr>
          <w:sz w:val="24"/>
          <w:szCs w:val="24"/>
        </w:rPr>
        <w:t>(B</w:t>
      </w:r>
      <w:r w:rsidR="00757A52">
        <w:rPr>
          <w:sz w:val="24"/>
          <w:szCs w:val="24"/>
        </w:rPr>
        <w:t>luefield</w:t>
      </w:r>
      <w:r w:rsidR="007C1C57">
        <w:rPr>
          <w:sz w:val="24"/>
          <w:szCs w:val="24"/>
        </w:rPr>
        <w:t xml:space="preserve">/DH) </w:t>
      </w:r>
      <w:r w:rsidRPr="00D2208F">
        <w:rPr>
          <w:sz w:val="24"/>
          <w:szCs w:val="24"/>
        </w:rPr>
        <w:t>was also strongly of the opinion that the EBac would not disadvantage any</w:t>
      </w:r>
      <w:r w:rsidR="000C5D61">
        <w:rPr>
          <w:sz w:val="24"/>
          <w:szCs w:val="24"/>
        </w:rPr>
        <w:t xml:space="preserve"> students</w:t>
      </w:r>
      <w:r w:rsidRPr="00D2208F">
        <w:rPr>
          <w:sz w:val="24"/>
          <w:szCs w:val="24"/>
        </w:rPr>
        <w:t xml:space="preserve"> or restrict their future options</w:t>
      </w:r>
      <w:r w:rsidR="00543442">
        <w:rPr>
          <w:sz w:val="24"/>
          <w:szCs w:val="24"/>
        </w:rPr>
        <w:t>,</w:t>
      </w:r>
      <w:r w:rsidRPr="00D2208F">
        <w:rPr>
          <w:sz w:val="24"/>
          <w:szCs w:val="24"/>
        </w:rPr>
        <w:t xml:space="preserve"> </w:t>
      </w:r>
      <w:r w:rsidR="00543442">
        <w:rPr>
          <w:sz w:val="24"/>
          <w:szCs w:val="24"/>
        </w:rPr>
        <w:t xml:space="preserve">rather </w:t>
      </w:r>
      <w:r w:rsidRPr="00D2208F">
        <w:rPr>
          <w:sz w:val="24"/>
          <w:szCs w:val="24"/>
        </w:rPr>
        <w:t>keep</w:t>
      </w:r>
      <w:r w:rsidR="00543442">
        <w:rPr>
          <w:sz w:val="24"/>
          <w:szCs w:val="24"/>
        </w:rPr>
        <w:t>ing students’</w:t>
      </w:r>
      <w:r w:rsidRPr="00D2208F">
        <w:rPr>
          <w:sz w:val="24"/>
          <w:szCs w:val="24"/>
        </w:rPr>
        <w:t xml:space="preserve"> options open for longer. Interestingly, the only students at Bluefield who </w:t>
      </w:r>
      <w:r w:rsidR="00566746">
        <w:rPr>
          <w:sz w:val="24"/>
          <w:szCs w:val="24"/>
        </w:rPr>
        <w:t xml:space="preserve">were allowed to </w:t>
      </w:r>
      <w:r w:rsidRPr="00D2208F">
        <w:rPr>
          <w:sz w:val="24"/>
          <w:szCs w:val="24"/>
        </w:rPr>
        <w:t xml:space="preserve">opt out of </w:t>
      </w:r>
      <w:r w:rsidR="00543442">
        <w:rPr>
          <w:sz w:val="24"/>
          <w:szCs w:val="24"/>
        </w:rPr>
        <w:t>l</w:t>
      </w:r>
      <w:r w:rsidR="00155432">
        <w:rPr>
          <w:sz w:val="24"/>
          <w:szCs w:val="24"/>
        </w:rPr>
        <w:t>anguages</w:t>
      </w:r>
      <w:r w:rsidRPr="00D2208F">
        <w:rPr>
          <w:sz w:val="24"/>
          <w:szCs w:val="24"/>
        </w:rPr>
        <w:t xml:space="preserve"> were SEN</w:t>
      </w:r>
      <w:r w:rsidR="00306A2C">
        <w:rPr>
          <w:sz w:val="24"/>
          <w:szCs w:val="24"/>
        </w:rPr>
        <w:t>D</w:t>
      </w:r>
      <w:r w:rsidRPr="00D2208F">
        <w:rPr>
          <w:sz w:val="24"/>
          <w:szCs w:val="24"/>
        </w:rPr>
        <w:t xml:space="preserve"> students</w:t>
      </w:r>
      <w:r w:rsidR="00543442">
        <w:rPr>
          <w:sz w:val="24"/>
          <w:szCs w:val="24"/>
        </w:rPr>
        <w:t>,</w:t>
      </w:r>
      <w:r w:rsidRPr="00D2208F">
        <w:rPr>
          <w:sz w:val="24"/>
          <w:szCs w:val="24"/>
        </w:rPr>
        <w:t xml:space="preserve"> which </w:t>
      </w:r>
      <w:r w:rsidR="000C5D61">
        <w:rPr>
          <w:sz w:val="24"/>
          <w:szCs w:val="24"/>
        </w:rPr>
        <w:t xml:space="preserve">teachers </w:t>
      </w:r>
      <w:r w:rsidR="00E43DC8" w:rsidRPr="00D2208F">
        <w:rPr>
          <w:sz w:val="24"/>
          <w:szCs w:val="24"/>
        </w:rPr>
        <w:t xml:space="preserve">felt </w:t>
      </w:r>
      <w:r w:rsidRPr="00D2208F">
        <w:rPr>
          <w:sz w:val="24"/>
          <w:szCs w:val="24"/>
        </w:rPr>
        <w:t xml:space="preserve">to be </w:t>
      </w:r>
      <w:r w:rsidR="000C5D61">
        <w:rPr>
          <w:sz w:val="24"/>
          <w:szCs w:val="24"/>
        </w:rPr>
        <w:t>too difficult</w:t>
      </w:r>
      <w:r w:rsidR="00543442">
        <w:rPr>
          <w:sz w:val="24"/>
          <w:szCs w:val="24"/>
        </w:rPr>
        <w:t>;</w:t>
      </w:r>
      <w:r w:rsidR="000C5D61">
        <w:rPr>
          <w:sz w:val="24"/>
          <w:szCs w:val="24"/>
        </w:rPr>
        <w:t xml:space="preserve"> </w:t>
      </w:r>
      <w:r w:rsidRPr="00D2208F">
        <w:rPr>
          <w:sz w:val="24"/>
          <w:szCs w:val="24"/>
        </w:rPr>
        <w:t xml:space="preserve">“a bridge too far” </w:t>
      </w:r>
      <w:r w:rsidR="00543442">
        <w:rPr>
          <w:sz w:val="24"/>
          <w:szCs w:val="24"/>
        </w:rPr>
        <w:t xml:space="preserve">for some of those young people </w:t>
      </w:r>
      <w:r w:rsidRPr="00D2208F">
        <w:rPr>
          <w:sz w:val="24"/>
          <w:szCs w:val="24"/>
        </w:rPr>
        <w:t xml:space="preserve">(p.11). </w:t>
      </w:r>
      <w:r w:rsidR="00543442">
        <w:rPr>
          <w:sz w:val="24"/>
          <w:szCs w:val="24"/>
        </w:rPr>
        <w:t>E</w:t>
      </w:r>
      <w:r w:rsidRPr="00D2208F">
        <w:rPr>
          <w:sz w:val="24"/>
          <w:szCs w:val="24"/>
        </w:rPr>
        <w:t xml:space="preserve">ven in this </w:t>
      </w:r>
      <w:r w:rsidR="0006718C">
        <w:rPr>
          <w:sz w:val="24"/>
          <w:szCs w:val="24"/>
        </w:rPr>
        <w:t xml:space="preserve">academic </w:t>
      </w:r>
      <w:r w:rsidRPr="00D2208F">
        <w:rPr>
          <w:sz w:val="24"/>
          <w:szCs w:val="24"/>
        </w:rPr>
        <w:t xml:space="preserve">school, the EBac subject combination was not considered appropriate for </w:t>
      </w:r>
      <w:r w:rsidRPr="00757A52">
        <w:rPr>
          <w:sz w:val="24"/>
        </w:rPr>
        <w:t>all</w:t>
      </w:r>
      <w:r w:rsidRPr="00D2208F">
        <w:rPr>
          <w:sz w:val="24"/>
          <w:szCs w:val="24"/>
        </w:rPr>
        <w:t xml:space="preserve"> groups of children.</w:t>
      </w:r>
      <w:r w:rsidR="00543442">
        <w:rPr>
          <w:sz w:val="24"/>
          <w:szCs w:val="24"/>
        </w:rPr>
        <w:t xml:space="preserve"> </w:t>
      </w:r>
      <w:r w:rsidR="00155432">
        <w:rPr>
          <w:sz w:val="24"/>
          <w:szCs w:val="24"/>
        </w:rPr>
        <w:t>Languages</w:t>
      </w:r>
      <w:r w:rsidRPr="00D2208F">
        <w:rPr>
          <w:sz w:val="24"/>
          <w:szCs w:val="24"/>
        </w:rPr>
        <w:t xml:space="preserve"> w</w:t>
      </w:r>
      <w:r w:rsidR="00543442">
        <w:rPr>
          <w:sz w:val="24"/>
          <w:szCs w:val="24"/>
        </w:rPr>
        <w:t>ere</w:t>
      </w:r>
      <w:r w:rsidRPr="00D2208F">
        <w:rPr>
          <w:sz w:val="24"/>
          <w:szCs w:val="24"/>
        </w:rPr>
        <w:t xml:space="preserve"> mentioned by Deput</w:t>
      </w:r>
      <w:r w:rsidR="007771AC">
        <w:rPr>
          <w:sz w:val="24"/>
          <w:szCs w:val="24"/>
        </w:rPr>
        <w:t>ies</w:t>
      </w:r>
      <w:r w:rsidR="007C1C57">
        <w:rPr>
          <w:sz w:val="24"/>
          <w:szCs w:val="24"/>
        </w:rPr>
        <w:t xml:space="preserve"> in all four schools</w:t>
      </w:r>
      <w:r w:rsidRPr="00D2208F">
        <w:rPr>
          <w:sz w:val="24"/>
          <w:szCs w:val="24"/>
        </w:rPr>
        <w:t xml:space="preserve"> as being most likely to </w:t>
      </w:r>
      <w:r w:rsidR="00543442">
        <w:rPr>
          <w:sz w:val="24"/>
          <w:szCs w:val="24"/>
        </w:rPr>
        <w:t>be an obstacle to</w:t>
      </w:r>
      <w:r w:rsidRPr="00D2208F">
        <w:rPr>
          <w:sz w:val="24"/>
          <w:szCs w:val="24"/>
        </w:rPr>
        <w:t xml:space="preserve"> </w:t>
      </w:r>
      <w:r>
        <w:rPr>
          <w:sz w:val="24"/>
          <w:szCs w:val="24"/>
        </w:rPr>
        <w:t xml:space="preserve">achieving </w:t>
      </w:r>
      <w:r w:rsidRPr="00D2208F">
        <w:rPr>
          <w:sz w:val="24"/>
          <w:szCs w:val="24"/>
        </w:rPr>
        <w:t>the EBac</w:t>
      </w:r>
      <w:r w:rsidR="00543442">
        <w:rPr>
          <w:sz w:val="24"/>
          <w:szCs w:val="24"/>
        </w:rPr>
        <w:t>,</w:t>
      </w:r>
      <w:r w:rsidR="00E76F62">
        <w:rPr>
          <w:sz w:val="24"/>
          <w:szCs w:val="24"/>
        </w:rPr>
        <w:t xml:space="preserve"> as highlighted by Taylor (2011)</w:t>
      </w:r>
      <w:r w:rsidR="00FD3EDB">
        <w:rPr>
          <w:sz w:val="24"/>
          <w:szCs w:val="24"/>
        </w:rPr>
        <w:t>.</w:t>
      </w:r>
      <w:r w:rsidR="00E76F62">
        <w:rPr>
          <w:sz w:val="24"/>
          <w:szCs w:val="24"/>
        </w:rPr>
        <w:t xml:space="preserve"> </w:t>
      </w:r>
      <w:r w:rsidR="009523F9">
        <w:rPr>
          <w:sz w:val="24"/>
          <w:szCs w:val="24"/>
        </w:rPr>
        <w:t>Redfield</w:t>
      </w:r>
      <w:r w:rsidR="00757A52">
        <w:rPr>
          <w:sz w:val="24"/>
          <w:szCs w:val="24"/>
        </w:rPr>
        <w:t xml:space="preserve"> </w:t>
      </w:r>
      <w:r w:rsidR="009523F9">
        <w:rPr>
          <w:sz w:val="24"/>
          <w:szCs w:val="24"/>
        </w:rPr>
        <w:t>h</w:t>
      </w:r>
      <w:r w:rsidR="00955771">
        <w:rPr>
          <w:sz w:val="24"/>
          <w:szCs w:val="24"/>
        </w:rPr>
        <w:t>eld</w:t>
      </w:r>
      <w:r w:rsidR="009523F9">
        <w:rPr>
          <w:sz w:val="24"/>
          <w:szCs w:val="24"/>
        </w:rPr>
        <w:t xml:space="preserve"> a confused position</w:t>
      </w:r>
      <w:r w:rsidR="00543442">
        <w:rPr>
          <w:sz w:val="24"/>
          <w:szCs w:val="24"/>
        </w:rPr>
        <w:t>,</w:t>
      </w:r>
      <w:r w:rsidR="009523F9">
        <w:rPr>
          <w:sz w:val="24"/>
          <w:szCs w:val="24"/>
        </w:rPr>
        <w:t xml:space="preserve"> whereby the information presented by the school about the necessity of the EBac for future progression had been </w:t>
      </w:r>
      <w:r w:rsidR="00046685">
        <w:rPr>
          <w:sz w:val="24"/>
          <w:szCs w:val="24"/>
        </w:rPr>
        <w:t>taken on board</w:t>
      </w:r>
      <w:r w:rsidR="009523F9">
        <w:rPr>
          <w:sz w:val="24"/>
          <w:szCs w:val="24"/>
        </w:rPr>
        <w:t xml:space="preserve"> by the parents and students to the extent that some students </w:t>
      </w:r>
      <w:r w:rsidR="00B71F4E">
        <w:rPr>
          <w:sz w:val="24"/>
          <w:szCs w:val="24"/>
        </w:rPr>
        <w:t xml:space="preserve">who </w:t>
      </w:r>
      <w:r w:rsidR="009523F9">
        <w:rPr>
          <w:sz w:val="24"/>
          <w:szCs w:val="24"/>
        </w:rPr>
        <w:t xml:space="preserve">wanted to </w:t>
      </w:r>
      <w:r w:rsidR="001D565B">
        <w:rPr>
          <w:sz w:val="24"/>
          <w:szCs w:val="24"/>
        </w:rPr>
        <w:t>study</w:t>
      </w:r>
      <w:r w:rsidR="00046685">
        <w:rPr>
          <w:sz w:val="24"/>
          <w:szCs w:val="24"/>
        </w:rPr>
        <w:t xml:space="preserve">, or felt they </w:t>
      </w:r>
      <w:r w:rsidR="00046685" w:rsidRPr="00757A52">
        <w:rPr>
          <w:i/>
          <w:sz w:val="24"/>
        </w:rPr>
        <w:t>had</w:t>
      </w:r>
      <w:r w:rsidR="00046685">
        <w:rPr>
          <w:sz w:val="24"/>
          <w:szCs w:val="24"/>
        </w:rPr>
        <w:t xml:space="preserve"> to </w:t>
      </w:r>
      <w:r w:rsidR="001D565B">
        <w:rPr>
          <w:sz w:val="24"/>
          <w:szCs w:val="24"/>
        </w:rPr>
        <w:t>study</w:t>
      </w:r>
      <w:r w:rsidR="009523F9">
        <w:rPr>
          <w:sz w:val="24"/>
          <w:szCs w:val="24"/>
        </w:rPr>
        <w:t xml:space="preserve"> the EBac</w:t>
      </w:r>
      <w:r w:rsidR="00B71F4E">
        <w:rPr>
          <w:sz w:val="24"/>
          <w:szCs w:val="24"/>
        </w:rPr>
        <w:t xml:space="preserve">, in the teachers’ eyes  </w:t>
      </w:r>
      <w:r w:rsidR="00543442">
        <w:rPr>
          <w:sz w:val="24"/>
          <w:szCs w:val="24"/>
        </w:rPr>
        <w:t xml:space="preserve">were </w:t>
      </w:r>
      <w:r w:rsidR="00B71F4E">
        <w:rPr>
          <w:sz w:val="24"/>
          <w:szCs w:val="24"/>
        </w:rPr>
        <w:t>not ‘</w:t>
      </w:r>
      <w:r w:rsidR="009523F9">
        <w:rPr>
          <w:sz w:val="24"/>
          <w:szCs w:val="24"/>
        </w:rPr>
        <w:t xml:space="preserve">appropriate’ </w:t>
      </w:r>
      <w:r w:rsidR="00543442">
        <w:rPr>
          <w:sz w:val="24"/>
          <w:szCs w:val="24"/>
        </w:rPr>
        <w:t xml:space="preserve">candidates </w:t>
      </w:r>
      <w:r w:rsidR="00B71F4E">
        <w:rPr>
          <w:sz w:val="24"/>
          <w:szCs w:val="24"/>
        </w:rPr>
        <w:t>because</w:t>
      </w:r>
      <w:r w:rsidR="009523F9">
        <w:rPr>
          <w:sz w:val="24"/>
          <w:szCs w:val="24"/>
        </w:rPr>
        <w:t xml:space="preserve"> they were unlikely to get a </w:t>
      </w:r>
      <w:r w:rsidR="00B71F4E">
        <w:rPr>
          <w:sz w:val="24"/>
          <w:szCs w:val="24"/>
        </w:rPr>
        <w:t xml:space="preserve">GCSE </w:t>
      </w:r>
      <w:r w:rsidR="009523F9">
        <w:rPr>
          <w:sz w:val="24"/>
          <w:szCs w:val="24"/>
        </w:rPr>
        <w:t>grade C. Annie (R</w:t>
      </w:r>
      <w:r w:rsidR="00757A52">
        <w:rPr>
          <w:sz w:val="24"/>
          <w:szCs w:val="24"/>
        </w:rPr>
        <w:t>edfield/</w:t>
      </w:r>
      <w:r w:rsidR="009523F9">
        <w:rPr>
          <w:sz w:val="24"/>
          <w:szCs w:val="24"/>
        </w:rPr>
        <w:t>HoD</w:t>
      </w:r>
      <w:r w:rsidR="0075787A">
        <w:rPr>
          <w:sz w:val="24"/>
          <w:szCs w:val="24"/>
        </w:rPr>
        <w:t>/</w:t>
      </w:r>
      <w:r w:rsidR="00757A52">
        <w:rPr>
          <w:sz w:val="24"/>
          <w:szCs w:val="24"/>
        </w:rPr>
        <w:t>EBac</w:t>
      </w:r>
      <w:r w:rsidR="009523F9">
        <w:rPr>
          <w:sz w:val="24"/>
          <w:szCs w:val="24"/>
        </w:rPr>
        <w:t>) therefore spoke directly to students and phoned home to parents to caution against taking the GCSE</w:t>
      </w:r>
      <w:r w:rsidR="00046685">
        <w:rPr>
          <w:sz w:val="24"/>
          <w:szCs w:val="24"/>
        </w:rPr>
        <w:t xml:space="preserve"> </w:t>
      </w:r>
      <w:r w:rsidR="00543442">
        <w:rPr>
          <w:sz w:val="24"/>
          <w:szCs w:val="24"/>
        </w:rPr>
        <w:t>as</w:t>
      </w:r>
      <w:r w:rsidR="00046685">
        <w:rPr>
          <w:sz w:val="24"/>
          <w:szCs w:val="24"/>
        </w:rPr>
        <w:t xml:space="preserve"> “quite often that puts them off and they don’t take it” (p.13).</w:t>
      </w:r>
      <w:r w:rsidR="00046685" w:rsidDel="00FD3EDB">
        <w:rPr>
          <w:sz w:val="24"/>
          <w:szCs w:val="24"/>
        </w:rPr>
        <w:t xml:space="preserve"> </w:t>
      </w:r>
      <w:r w:rsidR="009523F9">
        <w:rPr>
          <w:sz w:val="24"/>
          <w:szCs w:val="24"/>
        </w:rPr>
        <w:t xml:space="preserve"> </w:t>
      </w:r>
      <w:r w:rsidR="00046685">
        <w:rPr>
          <w:sz w:val="24"/>
          <w:szCs w:val="24"/>
        </w:rPr>
        <w:t>In this way the EBac policy of more students taking the ‘core subjects’ was undermined by the requirement to achieve a grade C.</w:t>
      </w:r>
      <w:r w:rsidR="00D45C88">
        <w:rPr>
          <w:sz w:val="24"/>
          <w:szCs w:val="24"/>
        </w:rPr>
        <w:t xml:space="preserve"> </w:t>
      </w:r>
    </w:p>
    <w:p w14:paraId="5BB9A99C" w14:textId="784E647D" w:rsidR="00D45C88" w:rsidRPr="00582F8F" w:rsidRDefault="00D45C88" w:rsidP="00D45C88">
      <w:pPr>
        <w:spacing w:line="360" w:lineRule="auto"/>
        <w:rPr>
          <w:sz w:val="24"/>
          <w:szCs w:val="24"/>
        </w:rPr>
      </w:pPr>
      <w:r>
        <w:rPr>
          <w:sz w:val="24"/>
          <w:szCs w:val="24"/>
        </w:rPr>
        <w:t xml:space="preserve">This act of ‘persuading’ students </w:t>
      </w:r>
      <w:r w:rsidR="00CF548B">
        <w:rPr>
          <w:sz w:val="24"/>
          <w:szCs w:val="24"/>
        </w:rPr>
        <w:t xml:space="preserve">to </w:t>
      </w:r>
      <w:r w:rsidR="001D565B">
        <w:rPr>
          <w:sz w:val="24"/>
          <w:szCs w:val="24"/>
        </w:rPr>
        <w:t>study</w:t>
      </w:r>
      <w:r w:rsidR="00CF548B">
        <w:rPr>
          <w:sz w:val="24"/>
          <w:szCs w:val="24"/>
        </w:rPr>
        <w:t xml:space="preserve"> certain subjects and not others </w:t>
      </w:r>
      <w:r>
        <w:rPr>
          <w:sz w:val="24"/>
          <w:szCs w:val="24"/>
        </w:rPr>
        <w:t>also extended to non</w:t>
      </w:r>
      <w:r w:rsidR="00D21D50">
        <w:rPr>
          <w:sz w:val="24"/>
          <w:szCs w:val="24"/>
        </w:rPr>
        <w:t>-</w:t>
      </w:r>
      <w:r>
        <w:rPr>
          <w:sz w:val="24"/>
          <w:szCs w:val="24"/>
        </w:rPr>
        <w:t>EBac subjects. All HoD</w:t>
      </w:r>
      <w:r w:rsidR="00B71F4E">
        <w:rPr>
          <w:sz w:val="24"/>
          <w:szCs w:val="24"/>
        </w:rPr>
        <w:t>s</w:t>
      </w:r>
      <w:r w:rsidRPr="005A590D">
        <w:rPr>
          <w:sz w:val="24"/>
          <w:szCs w:val="24"/>
        </w:rPr>
        <w:t xml:space="preserve"> commented </w:t>
      </w:r>
      <w:r w:rsidR="00543442">
        <w:rPr>
          <w:sz w:val="24"/>
          <w:szCs w:val="24"/>
        </w:rPr>
        <w:t>on</w:t>
      </w:r>
      <w:r w:rsidRPr="005A590D">
        <w:rPr>
          <w:sz w:val="24"/>
          <w:szCs w:val="24"/>
        </w:rPr>
        <w:t xml:space="preserve"> the emphasis placed on giving information to parents and students about the EBac as part of the GCSE options process. This emphasis could</w:t>
      </w:r>
      <w:r>
        <w:rPr>
          <w:sz w:val="24"/>
          <w:szCs w:val="24"/>
        </w:rPr>
        <w:t xml:space="preserve"> </w:t>
      </w:r>
      <w:r w:rsidR="00CF548B">
        <w:rPr>
          <w:sz w:val="24"/>
          <w:szCs w:val="24"/>
        </w:rPr>
        <w:t xml:space="preserve">easily be interpreted </w:t>
      </w:r>
      <w:r w:rsidRPr="005A590D">
        <w:rPr>
          <w:sz w:val="24"/>
          <w:szCs w:val="24"/>
        </w:rPr>
        <w:t>as a value judg</w:t>
      </w:r>
      <w:r w:rsidR="00543442">
        <w:rPr>
          <w:sz w:val="24"/>
          <w:szCs w:val="24"/>
        </w:rPr>
        <w:t>e</w:t>
      </w:r>
      <w:r w:rsidRPr="005A590D">
        <w:rPr>
          <w:sz w:val="24"/>
          <w:szCs w:val="24"/>
        </w:rPr>
        <w:t>ment o</w:t>
      </w:r>
      <w:r w:rsidR="00CF548B">
        <w:rPr>
          <w:sz w:val="24"/>
          <w:szCs w:val="24"/>
        </w:rPr>
        <w:t>n the worth of certain knowledge</w:t>
      </w:r>
      <w:r w:rsidRPr="005A590D">
        <w:rPr>
          <w:sz w:val="24"/>
          <w:szCs w:val="24"/>
        </w:rPr>
        <w:t xml:space="preserve">. </w:t>
      </w:r>
    </w:p>
    <w:p w14:paraId="7CAC9FF5" w14:textId="61A90211" w:rsidR="00D45C88" w:rsidRDefault="00D45C88" w:rsidP="00D45C88">
      <w:pPr>
        <w:spacing w:line="240" w:lineRule="auto"/>
        <w:ind w:left="357"/>
        <w:rPr>
          <w:sz w:val="24"/>
          <w:szCs w:val="24"/>
        </w:rPr>
      </w:pPr>
      <w:r w:rsidRPr="005A590D">
        <w:rPr>
          <w:sz w:val="24"/>
          <w:szCs w:val="24"/>
        </w:rPr>
        <w:lastRenderedPageBreak/>
        <w:t>I had children who were saying</w:t>
      </w:r>
      <w:r>
        <w:rPr>
          <w:sz w:val="24"/>
          <w:szCs w:val="24"/>
        </w:rPr>
        <w:t>: ‘</w:t>
      </w:r>
      <w:r w:rsidRPr="005A590D">
        <w:rPr>
          <w:sz w:val="24"/>
          <w:szCs w:val="24"/>
        </w:rPr>
        <w:t xml:space="preserve"> </w:t>
      </w:r>
      <w:r>
        <w:rPr>
          <w:sz w:val="24"/>
          <w:szCs w:val="24"/>
        </w:rPr>
        <w:t xml:space="preserve">… </w:t>
      </w:r>
      <w:r w:rsidRPr="005A590D">
        <w:rPr>
          <w:sz w:val="24"/>
          <w:szCs w:val="24"/>
        </w:rPr>
        <w:t>well we wanted to do this subject, a DT</w:t>
      </w:r>
      <w:r>
        <w:rPr>
          <w:rStyle w:val="FootnoteReference"/>
          <w:sz w:val="24"/>
          <w:szCs w:val="24"/>
        </w:rPr>
        <w:footnoteReference w:id="43"/>
      </w:r>
      <w:r w:rsidRPr="005A590D">
        <w:rPr>
          <w:sz w:val="24"/>
          <w:szCs w:val="24"/>
        </w:rPr>
        <w:t xml:space="preserve"> subject</w:t>
      </w:r>
      <w:r>
        <w:rPr>
          <w:sz w:val="24"/>
          <w:szCs w:val="24"/>
        </w:rPr>
        <w:t>’</w:t>
      </w:r>
      <w:r w:rsidRPr="005A590D">
        <w:rPr>
          <w:sz w:val="24"/>
          <w:szCs w:val="24"/>
        </w:rPr>
        <w:t>, but they were told that if they wanted to get the EBac…they had to do this</w:t>
      </w:r>
      <w:r>
        <w:rPr>
          <w:sz w:val="24"/>
          <w:szCs w:val="24"/>
        </w:rPr>
        <w:t xml:space="preserve"> [EBac subject] </w:t>
      </w:r>
      <w:r w:rsidR="00505100">
        <w:rPr>
          <w:sz w:val="24"/>
          <w:szCs w:val="24"/>
        </w:rPr>
        <w:t>(</w:t>
      </w:r>
      <w:r w:rsidRPr="005A590D">
        <w:rPr>
          <w:sz w:val="24"/>
          <w:szCs w:val="24"/>
        </w:rPr>
        <w:t>Debbie</w:t>
      </w:r>
      <w:r w:rsidR="00543442">
        <w:rPr>
          <w:sz w:val="24"/>
          <w:szCs w:val="24"/>
        </w:rPr>
        <w:t>, R</w:t>
      </w:r>
      <w:r w:rsidR="00C66CFB">
        <w:rPr>
          <w:sz w:val="24"/>
          <w:szCs w:val="24"/>
        </w:rPr>
        <w:t>edfield</w:t>
      </w:r>
      <w:r w:rsidR="00543442">
        <w:rPr>
          <w:sz w:val="24"/>
          <w:szCs w:val="24"/>
        </w:rPr>
        <w:t>/</w:t>
      </w:r>
      <w:r>
        <w:rPr>
          <w:sz w:val="24"/>
          <w:szCs w:val="24"/>
        </w:rPr>
        <w:t>HoD</w:t>
      </w:r>
      <w:r w:rsidR="00543442">
        <w:rPr>
          <w:sz w:val="24"/>
          <w:szCs w:val="24"/>
        </w:rPr>
        <w:t>/</w:t>
      </w:r>
      <w:r>
        <w:rPr>
          <w:sz w:val="24"/>
          <w:szCs w:val="24"/>
        </w:rPr>
        <w:t>non</w:t>
      </w:r>
      <w:r w:rsidR="00D21D50">
        <w:rPr>
          <w:sz w:val="24"/>
          <w:szCs w:val="24"/>
        </w:rPr>
        <w:t>-</w:t>
      </w:r>
      <w:r>
        <w:rPr>
          <w:sz w:val="24"/>
          <w:szCs w:val="24"/>
        </w:rPr>
        <w:t>EBac</w:t>
      </w:r>
      <w:r w:rsidR="00543442">
        <w:rPr>
          <w:sz w:val="24"/>
          <w:szCs w:val="24"/>
        </w:rPr>
        <w:t xml:space="preserve">, </w:t>
      </w:r>
      <w:r w:rsidRPr="005A590D">
        <w:rPr>
          <w:sz w:val="24"/>
          <w:szCs w:val="24"/>
        </w:rPr>
        <w:t>p.8).</w:t>
      </w:r>
    </w:p>
    <w:p w14:paraId="6ADF821C" w14:textId="6688CEF4" w:rsidR="00D5396E" w:rsidRDefault="00CF548B" w:rsidP="00D5396E">
      <w:pPr>
        <w:spacing w:before="240" w:line="360" w:lineRule="auto"/>
        <w:rPr>
          <w:sz w:val="24"/>
          <w:szCs w:val="24"/>
        </w:rPr>
      </w:pPr>
      <w:r>
        <w:rPr>
          <w:sz w:val="24"/>
          <w:szCs w:val="24"/>
        </w:rPr>
        <w:t>In this way</w:t>
      </w:r>
      <w:r w:rsidR="003767B4">
        <w:rPr>
          <w:sz w:val="24"/>
          <w:szCs w:val="24"/>
        </w:rPr>
        <w:t>,</w:t>
      </w:r>
      <w:r>
        <w:rPr>
          <w:sz w:val="24"/>
          <w:szCs w:val="24"/>
        </w:rPr>
        <w:t xml:space="preserve"> the EBac policy had created</w:t>
      </w:r>
      <w:r w:rsidR="003767B4">
        <w:rPr>
          <w:sz w:val="24"/>
          <w:szCs w:val="24"/>
        </w:rPr>
        <w:t xml:space="preserve"> </w:t>
      </w:r>
      <w:r>
        <w:rPr>
          <w:sz w:val="24"/>
          <w:szCs w:val="24"/>
        </w:rPr>
        <w:t>clear division</w:t>
      </w:r>
      <w:r w:rsidR="003767B4">
        <w:rPr>
          <w:sz w:val="24"/>
          <w:szCs w:val="24"/>
        </w:rPr>
        <w:t>s</w:t>
      </w:r>
      <w:r>
        <w:rPr>
          <w:sz w:val="24"/>
          <w:szCs w:val="24"/>
        </w:rPr>
        <w:t xml:space="preserve"> between knowledge </w:t>
      </w:r>
      <w:r w:rsidR="00B71F4E">
        <w:rPr>
          <w:sz w:val="24"/>
          <w:szCs w:val="24"/>
        </w:rPr>
        <w:t xml:space="preserve">deemed to be </w:t>
      </w:r>
      <w:r>
        <w:rPr>
          <w:sz w:val="24"/>
          <w:szCs w:val="24"/>
        </w:rPr>
        <w:t xml:space="preserve">valuable and </w:t>
      </w:r>
      <w:r w:rsidR="003767B4">
        <w:rPr>
          <w:sz w:val="24"/>
          <w:szCs w:val="24"/>
        </w:rPr>
        <w:t>less valuable</w:t>
      </w:r>
      <w:r>
        <w:rPr>
          <w:sz w:val="24"/>
          <w:szCs w:val="24"/>
        </w:rPr>
        <w:t>. Students could only consider non</w:t>
      </w:r>
      <w:r w:rsidR="00D21D50">
        <w:rPr>
          <w:sz w:val="24"/>
          <w:szCs w:val="24"/>
        </w:rPr>
        <w:t>-</w:t>
      </w:r>
      <w:r>
        <w:rPr>
          <w:sz w:val="24"/>
          <w:szCs w:val="24"/>
        </w:rPr>
        <w:t>EBac subjects once</w:t>
      </w:r>
      <w:r w:rsidR="00D21D50">
        <w:rPr>
          <w:sz w:val="24"/>
          <w:szCs w:val="24"/>
        </w:rPr>
        <w:t xml:space="preserve"> </w:t>
      </w:r>
      <w:r w:rsidR="00B71F4E">
        <w:rPr>
          <w:sz w:val="24"/>
          <w:szCs w:val="24"/>
        </w:rPr>
        <w:t xml:space="preserve">they had selected </w:t>
      </w:r>
      <w:r>
        <w:rPr>
          <w:sz w:val="24"/>
          <w:szCs w:val="24"/>
        </w:rPr>
        <w:t xml:space="preserve">EBac subjects. </w:t>
      </w:r>
      <w:r w:rsidR="003B14D2">
        <w:rPr>
          <w:sz w:val="24"/>
          <w:szCs w:val="24"/>
        </w:rPr>
        <w:t>T</w:t>
      </w:r>
      <w:r>
        <w:rPr>
          <w:sz w:val="24"/>
          <w:szCs w:val="24"/>
        </w:rPr>
        <w:t>his left non</w:t>
      </w:r>
      <w:r w:rsidR="00D21D50">
        <w:rPr>
          <w:sz w:val="24"/>
          <w:szCs w:val="24"/>
        </w:rPr>
        <w:t>-</w:t>
      </w:r>
      <w:r>
        <w:rPr>
          <w:sz w:val="24"/>
          <w:szCs w:val="24"/>
        </w:rPr>
        <w:t xml:space="preserve">EBac </w:t>
      </w:r>
      <w:r w:rsidR="00B71F4E">
        <w:rPr>
          <w:sz w:val="24"/>
          <w:szCs w:val="24"/>
        </w:rPr>
        <w:t>option</w:t>
      </w:r>
      <w:r w:rsidR="003767B4">
        <w:rPr>
          <w:sz w:val="24"/>
          <w:szCs w:val="24"/>
        </w:rPr>
        <w:t>s</w:t>
      </w:r>
      <w:r w:rsidR="00B71F4E">
        <w:rPr>
          <w:sz w:val="24"/>
          <w:szCs w:val="24"/>
        </w:rPr>
        <w:t xml:space="preserve"> </w:t>
      </w:r>
      <w:r>
        <w:rPr>
          <w:sz w:val="24"/>
          <w:szCs w:val="24"/>
        </w:rPr>
        <w:t xml:space="preserve">of one subject at Purplefield and two </w:t>
      </w:r>
      <w:r w:rsidR="00B71F4E">
        <w:rPr>
          <w:sz w:val="24"/>
          <w:szCs w:val="24"/>
        </w:rPr>
        <w:t xml:space="preserve">subjects </w:t>
      </w:r>
      <w:r>
        <w:rPr>
          <w:sz w:val="24"/>
          <w:szCs w:val="24"/>
        </w:rPr>
        <w:t>at the others.</w:t>
      </w:r>
    </w:p>
    <w:p w14:paraId="2AD23CB4" w14:textId="0412AE3A" w:rsidR="00FD3EDB" w:rsidRPr="00582F8F" w:rsidRDefault="003767B4" w:rsidP="003B14D2">
      <w:pPr>
        <w:tabs>
          <w:tab w:val="left" w:pos="8647"/>
          <w:tab w:val="left" w:pos="8789"/>
        </w:tabs>
        <w:spacing w:before="240" w:line="360" w:lineRule="auto"/>
        <w:rPr>
          <w:sz w:val="24"/>
          <w:szCs w:val="24"/>
        </w:rPr>
      </w:pPr>
      <w:r>
        <w:rPr>
          <w:sz w:val="24"/>
          <w:szCs w:val="24"/>
        </w:rPr>
        <w:t xml:space="preserve">I suggest that the </w:t>
      </w:r>
      <w:r w:rsidR="00E76F62">
        <w:rPr>
          <w:sz w:val="24"/>
          <w:szCs w:val="24"/>
        </w:rPr>
        <w:t>move within the EBac to prioriti</w:t>
      </w:r>
      <w:r w:rsidR="00306A2C">
        <w:rPr>
          <w:sz w:val="24"/>
          <w:szCs w:val="24"/>
        </w:rPr>
        <w:t>se</w:t>
      </w:r>
      <w:r w:rsidR="00E76F62">
        <w:rPr>
          <w:sz w:val="24"/>
          <w:szCs w:val="24"/>
        </w:rPr>
        <w:t xml:space="preserve"> </w:t>
      </w:r>
      <w:r w:rsidR="00FD3EDB">
        <w:rPr>
          <w:sz w:val="24"/>
          <w:szCs w:val="24"/>
        </w:rPr>
        <w:t xml:space="preserve">core </w:t>
      </w:r>
      <w:r w:rsidR="00E76F62">
        <w:rPr>
          <w:sz w:val="24"/>
          <w:szCs w:val="24"/>
        </w:rPr>
        <w:t>subject knowledge</w:t>
      </w:r>
      <w:r>
        <w:rPr>
          <w:sz w:val="24"/>
          <w:szCs w:val="24"/>
        </w:rPr>
        <w:t xml:space="preserve"> </w:t>
      </w:r>
      <w:r w:rsidR="00E76F62">
        <w:rPr>
          <w:sz w:val="24"/>
          <w:szCs w:val="24"/>
        </w:rPr>
        <w:t xml:space="preserve">has impacted on some schools more than others. Using Bourdieu and Passeron’s (1977) concept of cultural capital </w:t>
      </w:r>
      <w:r w:rsidR="00566746">
        <w:rPr>
          <w:sz w:val="24"/>
          <w:szCs w:val="24"/>
        </w:rPr>
        <w:t>(</w:t>
      </w:r>
      <w:r w:rsidR="001460A7">
        <w:rPr>
          <w:sz w:val="24"/>
          <w:szCs w:val="24"/>
        </w:rPr>
        <w:t>S</w:t>
      </w:r>
      <w:r w:rsidR="00566746">
        <w:rPr>
          <w:sz w:val="24"/>
          <w:szCs w:val="24"/>
        </w:rPr>
        <w:t xml:space="preserve">ection </w:t>
      </w:r>
      <w:r w:rsidR="00053483">
        <w:rPr>
          <w:sz w:val="24"/>
          <w:szCs w:val="24"/>
        </w:rPr>
        <w:t>2.3)</w:t>
      </w:r>
      <w:r w:rsidR="00566746">
        <w:rPr>
          <w:sz w:val="24"/>
          <w:szCs w:val="24"/>
        </w:rPr>
        <w:t xml:space="preserve"> </w:t>
      </w:r>
      <w:r w:rsidR="00E76F62">
        <w:rPr>
          <w:sz w:val="24"/>
          <w:szCs w:val="24"/>
        </w:rPr>
        <w:t xml:space="preserve">Bluefield was able to capitalise on the benefits of an EBac curriculum which </w:t>
      </w:r>
      <w:r w:rsidR="00577FD5">
        <w:rPr>
          <w:sz w:val="24"/>
          <w:szCs w:val="24"/>
        </w:rPr>
        <w:t>largely corresponded to the</w:t>
      </w:r>
      <w:r w:rsidR="00E76F62">
        <w:rPr>
          <w:sz w:val="24"/>
          <w:szCs w:val="24"/>
        </w:rPr>
        <w:t xml:space="preserve"> </w:t>
      </w:r>
      <w:r w:rsidR="0006718C">
        <w:rPr>
          <w:sz w:val="24"/>
          <w:szCs w:val="24"/>
        </w:rPr>
        <w:t xml:space="preserve">existing traditional academic </w:t>
      </w:r>
      <w:r w:rsidR="00E76F62">
        <w:rPr>
          <w:sz w:val="24"/>
          <w:szCs w:val="24"/>
        </w:rPr>
        <w:t>curriculum</w:t>
      </w:r>
      <w:r w:rsidR="00577FD5">
        <w:rPr>
          <w:sz w:val="24"/>
          <w:szCs w:val="24"/>
        </w:rPr>
        <w:t xml:space="preserve"> and knowledge within the school</w:t>
      </w:r>
      <w:r w:rsidR="00566746">
        <w:rPr>
          <w:sz w:val="24"/>
          <w:szCs w:val="24"/>
        </w:rPr>
        <w:t xml:space="preserve">. </w:t>
      </w:r>
      <w:r w:rsidR="00E76F62">
        <w:rPr>
          <w:sz w:val="24"/>
          <w:szCs w:val="24"/>
        </w:rPr>
        <w:t xml:space="preserve">Yellowfield </w:t>
      </w:r>
      <w:r w:rsidR="00577FD5">
        <w:rPr>
          <w:sz w:val="24"/>
          <w:szCs w:val="24"/>
        </w:rPr>
        <w:t>tried to remain focused on a more varied range of curriculum knowledge</w:t>
      </w:r>
      <w:r w:rsidR="001460A7">
        <w:rPr>
          <w:sz w:val="24"/>
          <w:szCs w:val="24"/>
        </w:rPr>
        <w:t>,</w:t>
      </w:r>
      <w:r w:rsidR="009B3C71">
        <w:rPr>
          <w:sz w:val="24"/>
          <w:szCs w:val="24"/>
        </w:rPr>
        <w:t xml:space="preserve"> including vocational options and courses at different levels such as Entry level </w:t>
      </w:r>
      <w:r w:rsidR="001460A7">
        <w:rPr>
          <w:sz w:val="24"/>
          <w:szCs w:val="24"/>
        </w:rPr>
        <w:t>and</w:t>
      </w:r>
      <w:r w:rsidR="00577FD5">
        <w:rPr>
          <w:sz w:val="24"/>
          <w:szCs w:val="24"/>
        </w:rPr>
        <w:t xml:space="preserve"> </w:t>
      </w:r>
      <w:r w:rsidR="001460A7">
        <w:rPr>
          <w:sz w:val="24"/>
          <w:szCs w:val="24"/>
        </w:rPr>
        <w:t>h</w:t>
      </w:r>
      <w:r w:rsidR="009B3C71">
        <w:rPr>
          <w:sz w:val="24"/>
          <w:szCs w:val="24"/>
        </w:rPr>
        <w:t>umanities</w:t>
      </w:r>
      <w:r w:rsidR="001460A7">
        <w:rPr>
          <w:sz w:val="24"/>
          <w:szCs w:val="24"/>
        </w:rPr>
        <w:t xml:space="preserve"> subjects,</w:t>
      </w:r>
      <w:r w:rsidR="009B3C71">
        <w:rPr>
          <w:sz w:val="24"/>
          <w:szCs w:val="24"/>
        </w:rPr>
        <w:t xml:space="preserve"> </w:t>
      </w:r>
      <w:r w:rsidR="00577FD5">
        <w:rPr>
          <w:sz w:val="24"/>
          <w:szCs w:val="24"/>
        </w:rPr>
        <w:t xml:space="preserve">believed to be better suited to </w:t>
      </w:r>
      <w:r w:rsidR="009B3C71">
        <w:rPr>
          <w:sz w:val="24"/>
          <w:szCs w:val="24"/>
        </w:rPr>
        <w:t xml:space="preserve">some of </w:t>
      </w:r>
      <w:r w:rsidR="00577FD5">
        <w:rPr>
          <w:sz w:val="24"/>
          <w:szCs w:val="24"/>
        </w:rPr>
        <w:t>their students. In contrast</w:t>
      </w:r>
      <w:r w:rsidR="001460A7">
        <w:rPr>
          <w:sz w:val="24"/>
          <w:szCs w:val="24"/>
        </w:rPr>
        <w:t>,</w:t>
      </w:r>
      <w:r w:rsidR="00577FD5">
        <w:rPr>
          <w:sz w:val="24"/>
          <w:szCs w:val="24"/>
        </w:rPr>
        <w:t xml:space="preserve"> Purplefield, while not necessarily embracing the </w:t>
      </w:r>
      <w:r w:rsidR="0006718C">
        <w:rPr>
          <w:sz w:val="24"/>
          <w:szCs w:val="24"/>
        </w:rPr>
        <w:t xml:space="preserve">core knowledge </w:t>
      </w:r>
      <w:r w:rsidR="00577FD5">
        <w:rPr>
          <w:sz w:val="24"/>
          <w:szCs w:val="24"/>
        </w:rPr>
        <w:t>ethos behind the EBac curriculum, was working hard to ensure that students within the school were supported to succeed within this knowledge framework</w:t>
      </w:r>
      <w:r w:rsidR="004D1DD5">
        <w:rPr>
          <w:sz w:val="24"/>
          <w:szCs w:val="24"/>
        </w:rPr>
        <w:t xml:space="preserve">. </w:t>
      </w:r>
      <w:r w:rsidR="003B14D2">
        <w:rPr>
          <w:sz w:val="24"/>
          <w:szCs w:val="24"/>
        </w:rPr>
        <w:t xml:space="preserve">The divisions apparent in the worth of knowledge were </w:t>
      </w:r>
      <w:r w:rsidR="00B71F4E">
        <w:rPr>
          <w:sz w:val="24"/>
          <w:szCs w:val="24"/>
        </w:rPr>
        <w:t xml:space="preserve">evident </w:t>
      </w:r>
      <w:r w:rsidR="003B14D2">
        <w:rPr>
          <w:sz w:val="24"/>
          <w:szCs w:val="24"/>
        </w:rPr>
        <w:t xml:space="preserve">in other areas of </w:t>
      </w:r>
      <w:r w:rsidR="00B71F4E">
        <w:rPr>
          <w:sz w:val="24"/>
          <w:szCs w:val="24"/>
        </w:rPr>
        <w:t>school life</w:t>
      </w:r>
      <w:r w:rsidR="001460A7">
        <w:rPr>
          <w:sz w:val="24"/>
          <w:szCs w:val="24"/>
        </w:rPr>
        <w:t>,</w:t>
      </w:r>
      <w:r w:rsidR="00B71F4E">
        <w:rPr>
          <w:sz w:val="24"/>
          <w:szCs w:val="24"/>
        </w:rPr>
        <w:t xml:space="preserve"> </w:t>
      </w:r>
      <w:r w:rsidR="003B14D2">
        <w:rPr>
          <w:sz w:val="24"/>
          <w:szCs w:val="24"/>
        </w:rPr>
        <w:t xml:space="preserve">which are now considered. </w:t>
      </w:r>
    </w:p>
    <w:p w14:paraId="1B8F6E53" w14:textId="30A562A9" w:rsidR="00D5396E" w:rsidRPr="00582F8F" w:rsidRDefault="00EF348C" w:rsidP="00531995">
      <w:pPr>
        <w:pStyle w:val="Heading3"/>
      </w:pPr>
      <w:bookmarkStart w:id="97" w:name="_Toc452316380"/>
      <w:r>
        <w:t xml:space="preserve">4.4.2 </w:t>
      </w:r>
      <w:r w:rsidR="00D5396E" w:rsidRPr="000930A7">
        <w:t>Differentiation and hierarchy</w:t>
      </w:r>
      <w:bookmarkEnd w:id="97"/>
      <w:r w:rsidR="00D5396E" w:rsidRPr="00D2208F">
        <w:t xml:space="preserve">  </w:t>
      </w:r>
    </w:p>
    <w:p w14:paraId="68882D42" w14:textId="2910E800" w:rsidR="00D5396E" w:rsidRDefault="00D5396E" w:rsidP="00C66CFB">
      <w:pPr>
        <w:spacing w:after="0" w:line="360" w:lineRule="auto"/>
        <w:rPr>
          <w:sz w:val="24"/>
          <w:szCs w:val="24"/>
        </w:rPr>
      </w:pPr>
      <w:r w:rsidRPr="00D2208F">
        <w:rPr>
          <w:sz w:val="24"/>
          <w:szCs w:val="24"/>
        </w:rPr>
        <w:t>This</w:t>
      </w:r>
      <w:r w:rsidR="00FB01B9">
        <w:rPr>
          <w:sz w:val="24"/>
          <w:szCs w:val="24"/>
        </w:rPr>
        <w:t xml:space="preserve"> </w:t>
      </w:r>
      <w:r w:rsidRPr="00D2208F">
        <w:rPr>
          <w:sz w:val="24"/>
          <w:szCs w:val="24"/>
        </w:rPr>
        <w:t xml:space="preserve">theme was prominent within all interviews and </w:t>
      </w:r>
      <w:r w:rsidR="00003773">
        <w:rPr>
          <w:sz w:val="24"/>
          <w:szCs w:val="24"/>
        </w:rPr>
        <w:t xml:space="preserve">spanned </w:t>
      </w:r>
      <w:r w:rsidRPr="00D2208F">
        <w:rPr>
          <w:sz w:val="24"/>
          <w:szCs w:val="24"/>
        </w:rPr>
        <w:t xml:space="preserve">a number of coding categories. </w:t>
      </w:r>
      <w:r w:rsidR="001460A7">
        <w:rPr>
          <w:sz w:val="24"/>
          <w:szCs w:val="24"/>
        </w:rPr>
        <w:t>The f</w:t>
      </w:r>
      <w:r w:rsidR="002D2B32">
        <w:rPr>
          <w:sz w:val="24"/>
          <w:szCs w:val="24"/>
        </w:rPr>
        <w:t>irst d</w:t>
      </w:r>
      <w:r w:rsidRPr="00D2208F">
        <w:rPr>
          <w:sz w:val="24"/>
          <w:szCs w:val="24"/>
        </w:rPr>
        <w:t xml:space="preserve">ifferentiation </w:t>
      </w:r>
      <w:r w:rsidR="00FD3EDB">
        <w:rPr>
          <w:sz w:val="24"/>
          <w:szCs w:val="24"/>
        </w:rPr>
        <w:t>referred to</w:t>
      </w:r>
      <w:r w:rsidRPr="00D2208F">
        <w:rPr>
          <w:sz w:val="24"/>
          <w:szCs w:val="24"/>
        </w:rPr>
        <w:t xml:space="preserve"> the types of knowledge on offer within a school curriculum</w:t>
      </w:r>
      <w:r w:rsidR="001460A7">
        <w:rPr>
          <w:sz w:val="24"/>
          <w:szCs w:val="24"/>
        </w:rPr>
        <w:t>,</w:t>
      </w:r>
      <w:r w:rsidRPr="00D2208F">
        <w:rPr>
          <w:sz w:val="24"/>
          <w:szCs w:val="24"/>
        </w:rPr>
        <w:t xml:space="preserve"> which was often articulated in</w:t>
      </w:r>
      <w:r w:rsidR="00FD3EDB">
        <w:rPr>
          <w:sz w:val="24"/>
          <w:szCs w:val="24"/>
        </w:rPr>
        <w:t xml:space="preserve"> the form of </w:t>
      </w:r>
      <w:r w:rsidRPr="00D2208F">
        <w:rPr>
          <w:sz w:val="24"/>
          <w:szCs w:val="24"/>
        </w:rPr>
        <w:t xml:space="preserve">the binary </w:t>
      </w:r>
      <w:r w:rsidR="001460A7">
        <w:rPr>
          <w:sz w:val="24"/>
          <w:szCs w:val="24"/>
        </w:rPr>
        <w:t>‘</w:t>
      </w:r>
      <w:r w:rsidRPr="00D2208F">
        <w:rPr>
          <w:sz w:val="24"/>
          <w:szCs w:val="24"/>
        </w:rPr>
        <w:t>academic versus vocational</w:t>
      </w:r>
      <w:r w:rsidR="001460A7">
        <w:rPr>
          <w:sz w:val="24"/>
          <w:szCs w:val="24"/>
        </w:rPr>
        <w:t>’</w:t>
      </w:r>
      <w:r w:rsidR="00FD3EDB">
        <w:rPr>
          <w:sz w:val="24"/>
          <w:szCs w:val="24"/>
        </w:rPr>
        <w:t xml:space="preserve"> knowledge</w:t>
      </w:r>
      <w:r w:rsidRPr="00D2208F">
        <w:rPr>
          <w:sz w:val="24"/>
          <w:szCs w:val="24"/>
        </w:rPr>
        <w:t xml:space="preserve">, but was </w:t>
      </w:r>
      <w:r w:rsidR="0006718C">
        <w:rPr>
          <w:sz w:val="24"/>
          <w:szCs w:val="24"/>
        </w:rPr>
        <w:t xml:space="preserve">extended </w:t>
      </w:r>
      <w:r w:rsidRPr="00D2208F">
        <w:rPr>
          <w:sz w:val="24"/>
          <w:szCs w:val="24"/>
        </w:rPr>
        <w:t xml:space="preserve">in terms of traditional academic </w:t>
      </w:r>
      <w:r w:rsidR="00E4783E">
        <w:rPr>
          <w:sz w:val="24"/>
          <w:szCs w:val="24"/>
        </w:rPr>
        <w:t>qualifications</w:t>
      </w:r>
      <w:r w:rsidRPr="00D2208F">
        <w:rPr>
          <w:sz w:val="24"/>
          <w:szCs w:val="24"/>
        </w:rPr>
        <w:t xml:space="preserve"> being regarded as more valuable</w:t>
      </w:r>
      <w:r w:rsidR="001460A7">
        <w:rPr>
          <w:sz w:val="24"/>
          <w:szCs w:val="24"/>
        </w:rPr>
        <w:t xml:space="preserve"> or</w:t>
      </w:r>
      <w:r w:rsidRPr="00D2208F">
        <w:rPr>
          <w:sz w:val="24"/>
          <w:szCs w:val="24"/>
        </w:rPr>
        <w:t xml:space="preserve"> higher status </w:t>
      </w:r>
      <w:r w:rsidR="00FD3EDB">
        <w:rPr>
          <w:sz w:val="24"/>
          <w:szCs w:val="24"/>
        </w:rPr>
        <w:t>than</w:t>
      </w:r>
      <w:r w:rsidR="00E4783E">
        <w:rPr>
          <w:sz w:val="24"/>
          <w:szCs w:val="24"/>
        </w:rPr>
        <w:t xml:space="preserve"> vocational qualifications</w:t>
      </w:r>
      <w:r w:rsidR="00FD3EDB">
        <w:rPr>
          <w:sz w:val="24"/>
          <w:szCs w:val="24"/>
        </w:rPr>
        <w:t xml:space="preserve"> </w:t>
      </w:r>
      <w:r w:rsidRPr="00D2208F">
        <w:rPr>
          <w:sz w:val="24"/>
          <w:szCs w:val="24"/>
        </w:rPr>
        <w:t xml:space="preserve">by some teachers and parents. </w:t>
      </w:r>
      <w:r w:rsidR="00675267">
        <w:rPr>
          <w:sz w:val="24"/>
          <w:szCs w:val="24"/>
        </w:rPr>
        <w:t xml:space="preserve">Secondly </w:t>
      </w:r>
      <w:r w:rsidR="00566746">
        <w:rPr>
          <w:sz w:val="24"/>
          <w:szCs w:val="24"/>
        </w:rPr>
        <w:t>s</w:t>
      </w:r>
      <w:r w:rsidR="009A68A0">
        <w:rPr>
          <w:sz w:val="24"/>
          <w:szCs w:val="24"/>
        </w:rPr>
        <w:t xml:space="preserve">ubject </w:t>
      </w:r>
      <w:r w:rsidR="000D3D1E">
        <w:rPr>
          <w:sz w:val="24"/>
          <w:szCs w:val="24"/>
        </w:rPr>
        <w:t>status</w:t>
      </w:r>
      <w:r w:rsidR="009A68A0">
        <w:rPr>
          <w:sz w:val="24"/>
          <w:szCs w:val="24"/>
        </w:rPr>
        <w:t xml:space="preserve"> was expressed by the teachers who were aware of the order of ‘value’ that they felt </w:t>
      </w:r>
      <w:r w:rsidR="001460A7">
        <w:rPr>
          <w:sz w:val="24"/>
          <w:szCs w:val="24"/>
        </w:rPr>
        <w:t xml:space="preserve">had been </w:t>
      </w:r>
      <w:r w:rsidR="009A68A0">
        <w:rPr>
          <w:sz w:val="24"/>
          <w:szCs w:val="24"/>
        </w:rPr>
        <w:t xml:space="preserve">applied to subjects. </w:t>
      </w:r>
      <w:r w:rsidR="00362B7A">
        <w:rPr>
          <w:sz w:val="24"/>
          <w:szCs w:val="24"/>
        </w:rPr>
        <w:t xml:space="preserve">Finally, </w:t>
      </w:r>
      <w:r w:rsidR="00675267">
        <w:rPr>
          <w:sz w:val="24"/>
          <w:szCs w:val="24"/>
        </w:rPr>
        <w:t>division</w:t>
      </w:r>
      <w:r w:rsidR="00362B7A">
        <w:rPr>
          <w:sz w:val="24"/>
          <w:szCs w:val="24"/>
        </w:rPr>
        <w:t>s</w:t>
      </w:r>
      <w:r w:rsidR="00675267">
        <w:rPr>
          <w:sz w:val="24"/>
          <w:szCs w:val="24"/>
        </w:rPr>
        <w:t xml:space="preserve"> </w:t>
      </w:r>
      <w:r w:rsidR="00362B7A">
        <w:rPr>
          <w:sz w:val="24"/>
          <w:szCs w:val="24"/>
        </w:rPr>
        <w:t xml:space="preserve">were </w:t>
      </w:r>
      <w:r w:rsidR="009A68A0">
        <w:rPr>
          <w:sz w:val="24"/>
          <w:szCs w:val="24"/>
        </w:rPr>
        <w:t>apparent</w:t>
      </w:r>
      <w:r w:rsidR="00675267">
        <w:rPr>
          <w:sz w:val="24"/>
          <w:szCs w:val="24"/>
        </w:rPr>
        <w:t xml:space="preserve"> regarding </w:t>
      </w:r>
      <w:r w:rsidR="009A68A0">
        <w:rPr>
          <w:sz w:val="24"/>
          <w:szCs w:val="24"/>
        </w:rPr>
        <w:t>different types of students</w:t>
      </w:r>
      <w:r w:rsidR="00675267">
        <w:rPr>
          <w:sz w:val="24"/>
          <w:szCs w:val="24"/>
        </w:rPr>
        <w:t>,</w:t>
      </w:r>
      <w:r w:rsidR="009A68A0">
        <w:rPr>
          <w:sz w:val="24"/>
          <w:szCs w:val="24"/>
        </w:rPr>
        <w:t xml:space="preserve"> usually expressed in terms of </w:t>
      </w:r>
      <w:r w:rsidR="000D3D1E">
        <w:rPr>
          <w:sz w:val="24"/>
          <w:szCs w:val="24"/>
        </w:rPr>
        <w:t xml:space="preserve">the concept of </w:t>
      </w:r>
      <w:r w:rsidR="00CB254C">
        <w:rPr>
          <w:sz w:val="24"/>
          <w:szCs w:val="24"/>
        </w:rPr>
        <w:t>‘</w:t>
      </w:r>
      <w:r w:rsidR="009A68A0">
        <w:rPr>
          <w:sz w:val="24"/>
          <w:szCs w:val="24"/>
        </w:rPr>
        <w:t>ability</w:t>
      </w:r>
      <w:r w:rsidR="00CB254C">
        <w:rPr>
          <w:sz w:val="24"/>
          <w:szCs w:val="24"/>
        </w:rPr>
        <w:t>’</w:t>
      </w:r>
      <w:r w:rsidR="009A68A0">
        <w:rPr>
          <w:sz w:val="24"/>
          <w:szCs w:val="24"/>
        </w:rPr>
        <w:t xml:space="preserve"> and the courses </w:t>
      </w:r>
      <w:r w:rsidR="00675267">
        <w:rPr>
          <w:sz w:val="24"/>
          <w:szCs w:val="24"/>
        </w:rPr>
        <w:t xml:space="preserve">then </w:t>
      </w:r>
      <w:r w:rsidR="009A68A0">
        <w:rPr>
          <w:sz w:val="24"/>
          <w:szCs w:val="24"/>
        </w:rPr>
        <w:t xml:space="preserve">considered </w:t>
      </w:r>
      <w:r w:rsidR="00003773">
        <w:rPr>
          <w:sz w:val="24"/>
          <w:szCs w:val="24"/>
        </w:rPr>
        <w:t>appropriate</w:t>
      </w:r>
      <w:r w:rsidR="009A68A0">
        <w:rPr>
          <w:sz w:val="24"/>
          <w:szCs w:val="24"/>
        </w:rPr>
        <w:t xml:space="preserve"> for the </w:t>
      </w:r>
      <w:r w:rsidR="000D3D1E">
        <w:rPr>
          <w:sz w:val="24"/>
          <w:szCs w:val="24"/>
        </w:rPr>
        <w:t>‘</w:t>
      </w:r>
      <w:r w:rsidR="009A68A0">
        <w:rPr>
          <w:sz w:val="24"/>
          <w:szCs w:val="24"/>
        </w:rPr>
        <w:t>ability</w:t>
      </w:r>
      <w:r w:rsidR="000D3D1E">
        <w:rPr>
          <w:sz w:val="24"/>
          <w:szCs w:val="24"/>
        </w:rPr>
        <w:t>’</w:t>
      </w:r>
      <w:r w:rsidR="009A68A0">
        <w:rPr>
          <w:sz w:val="24"/>
          <w:szCs w:val="24"/>
        </w:rPr>
        <w:t xml:space="preserve"> of the </w:t>
      </w:r>
      <w:r w:rsidR="009A68A0">
        <w:rPr>
          <w:sz w:val="24"/>
          <w:szCs w:val="24"/>
        </w:rPr>
        <w:lastRenderedPageBreak/>
        <w:t>student</w:t>
      </w:r>
      <w:r w:rsidR="001460A7">
        <w:rPr>
          <w:sz w:val="24"/>
          <w:szCs w:val="24"/>
        </w:rPr>
        <w:t>s</w:t>
      </w:r>
      <w:r w:rsidR="009A68A0">
        <w:rPr>
          <w:sz w:val="24"/>
          <w:szCs w:val="24"/>
        </w:rPr>
        <w:t xml:space="preserve">. </w:t>
      </w:r>
      <w:r w:rsidR="001460A7">
        <w:rPr>
          <w:sz w:val="24"/>
          <w:szCs w:val="24"/>
        </w:rPr>
        <w:t>The d</w:t>
      </w:r>
      <w:r w:rsidRPr="00D2208F">
        <w:rPr>
          <w:sz w:val="24"/>
          <w:szCs w:val="24"/>
        </w:rPr>
        <w:t>ifferentiation created by the EBac</w:t>
      </w:r>
      <w:r w:rsidR="00003773">
        <w:rPr>
          <w:sz w:val="24"/>
          <w:szCs w:val="24"/>
        </w:rPr>
        <w:t xml:space="preserve"> </w:t>
      </w:r>
      <w:r w:rsidR="001460A7">
        <w:rPr>
          <w:sz w:val="24"/>
          <w:szCs w:val="24"/>
        </w:rPr>
        <w:t>wa</w:t>
      </w:r>
      <w:r w:rsidRPr="00D2208F">
        <w:rPr>
          <w:sz w:val="24"/>
          <w:szCs w:val="24"/>
        </w:rPr>
        <w:t>s a strong undercurrent throughout all of the interviews.</w:t>
      </w:r>
      <w:r w:rsidR="00FB01B9">
        <w:rPr>
          <w:sz w:val="24"/>
          <w:szCs w:val="24"/>
        </w:rPr>
        <w:t xml:space="preserve"> </w:t>
      </w:r>
    </w:p>
    <w:p w14:paraId="4B75DE8D" w14:textId="77777777" w:rsidR="001460A7" w:rsidRDefault="001460A7" w:rsidP="005047B6">
      <w:pPr>
        <w:spacing w:after="0" w:line="360" w:lineRule="auto"/>
        <w:rPr>
          <w:sz w:val="24"/>
          <w:szCs w:val="24"/>
        </w:rPr>
      </w:pPr>
    </w:p>
    <w:p w14:paraId="264123BD" w14:textId="514C7D11" w:rsidR="00675267" w:rsidRDefault="00675267" w:rsidP="00675267">
      <w:pPr>
        <w:tabs>
          <w:tab w:val="left" w:pos="8505"/>
        </w:tabs>
        <w:spacing w:line="360" w:lineRule="auto"/>
        <w:rPr>
          <w:sz w:val="24"/>
          <w:szCs w:val="24"/>
        </w:rPr>
      </w:pPr>
      <w:r>
        <w:rPr>
          <w:sz w:val="24"/>
          <w:szCs w:val="24"/>
        </w:rPr>
        <w:t>A</w:t>
      </w:r>
      <w:r w:rsidRPr="00D2208F">
        <w:rPr>
          <w:sz w:val="24"/>
          <w:szCs w:val="24"/>
        </w:rPr>
        <w:t xml:space="preserve">ll </w:t>
      </w:r>
      <w:r w:rsidR="0086791E">
        <w:rPr>
          <w:sz w:val="24"/>
          <w:szCs w:val="24"/>
        </w:rPr>
        <w:t>d</w:t>
      </w:r>
      <w:r w:rsidRPr="00D2208F">
        <w:rPr>
          <w:sz w:val="24"/>
          <w:szCs w:val="24"/>
        </w:rPr>
        <w:t>eput</w:t>
      </w:r>
      <w:r>
        <w:rPr>
          <w:sz w:val="24"/>
          <w:szCs w:val="24"/>
        </w:rPr>
        <w:t>ies</w:t>
      </w:r>
      <w:r w:rsidRPr="00D2208F">
        <w:rPr>
          <w:sz w:val="24"/>
          <w:szCs w:val="24"/>
        </w:rPr>
        <w:t xml:space="preserve"> made some reference to the academic</w:t>
      </w:r>
      <w:r>
        <w:rPr>
          <w:sz w:val="24"/>
          <w:szCs w:val="24"/>
        </w:rPr>
        <w:t>-</w:t>
      </w:r>
      <w:r w:rsidRPr="00D2208F">
        <w:rPr>
          <w:sz w:val="24"/>
          <w:szCs w:val="24"/>
        </w:rPr>
        <w:t>vocational divide. Three of the schools had reduced the vocational offer available to their students in response to the changes to the performance tables</w:t>
      </w:r>
      <w:r w:rsidR="0086791E">
        <w:rPr>
          <w:sz w:val="24"/>
          <w:szCs w:val="24"/>
        </w:rPr>
        <w:t>,</w:t>
      </w:r>
      <w:r>
        <w:rPr>
          <w:sz w:val="24"/>
          <w:szCs w:val="24"/>
        </w:rPr>
        <w:t xml:space="preserve"> which reduced the number and type of vocational courses included</w:t>
      </w:r>
      <w:r w:rsidRPr="00D2208F">
        <w:rPr>
          <w:sz w:val="24"/>
          <w:szCs w:val="24"/>
        </w:rPr>
        <w:t xml:space="preserve">. </w:t>
      </w:r>
      <w:r>
        <w:rPr>
          <w:sz w:val="24"/>
          <w:szCs w:val="24"/>
        </w:rPr>
        <w:t xml:space="preserve">Purplefield </w:t>
      </w:r>
      <w:r w:rsidR="003B14D2">
        <w:rPr>
          <w:sz w:val="24"/>
          <w:szCs w:val="24"/>
        </w:rPr>
        <w:t>underwent a dramatic change</w:t>
      </w:r>
      <w:r w:rsidR="0086791E">
        <w:rPr>
          <w:sz w:val="24"/>
          <w:szCs w:val="24"/>
        </w:rPr>
        <w:t>,</w:t>
      </w:r>
      <w:r w:rsidR="003B14D2">
        <w:rPr>
          <w:sz w:val="24"/>
          <w:szCs w:val="24"/>
        </w:rPr>
        <w:t xml:space="preserve"> closing down vocational college courses which had </w:t>
      </w:r>
      <w:r w:rsidR="0086791E">
        <w:rPr>
          <w:sz w:val="24"/>
          <w:szCs w:val="24"/>
        </w:rPr>
        <w:t xml:space="preserve">made up </w:t>
      </w:r>
      <w:r w:rsidR="005A2F2E">
        <w:rPr>
          <w:sz w:val="24"/>
          <w:szCs w:val="24"/>
        </w:rPr>
        <w:t xml:space="preserve">20% </w:t>
      </w:r>
      <w:r>
        <w:rPr>
          <w:sz w:val="24"/>
          <w:szCs w:val="24"/>
        </w:rPr>
        <w:t>of the KS4 cohort</w:t>
      </w:r>
      <w:r w:rsidR="003B14D2">
        <w:rPr>
          <w:sz w:val="24"/>
          <w:szCs w:val="24"/>
        </w:rPr>
        <w:t>.</w:t>
      </w:r>
      <w:r>
        <w:rPr>
          <w:sz w:val="24"/>
          <w:szCs w:val="24"/>
        </w:rPr>
        <w:t xml:space="preserve"> Redfield </w:t>
      </w:r>
      <w:r w:rsidR="000C5F17">
        <w:rPr>
          <w:sz w:val="24"/>
          <w:szCs w:val="24"/>
        </w:rPr>
        <w:t>restructured their vocational offer</w:t>
      </w:r>
      <w:r w:rsidR="0086791E">
        <w:rPr>
          <w:sz w:val="24"/>
          <w:szCs w:val="24"/>
        </w:rPr>
        <w:t>,</w:t>
      </w:r>
      <w:r w:rsidR="000C5F17">
        <w:rPr>
          <w:sz w:val="24"/>
          <w:szCs w:val="24"/>
        </w:rPr>
        <w:t xml:space="preserve"> reducing it to Level 1 college courses only, though Angela (R</w:t>
      </w:r>
      <w:r w:rsidR="005047B6">
        <w:rPr>
          <w:sz w:val="24"/>
          <w:szCs w:val="24"/>
        </w:rPr>
        <w:t>edfield</w:t>
      </w:r>
      <w:r w:rsidR="0086791E">
        <w:rPr>
          <w:sz w:val="24"/>
          <w:szCs w:val="24"/>
        </w:rPr>
        <w:t>/DH</w:t>
      </w:r>
      <w:r w:rsidR="000C5F17">
        <w:rPr>
          <w:sz w:val="24"/>
          <w:szCs w:val="24"/>
        </w:rPr>
        <w:t xml:space="preserve">) did support individual </w:t>
      </w:r>
      <w:r w:rsidR="00AC7915">
        <w:rPr>
          <w:sz w:val="24"/>
          <w:szCs w:val="24"/>
        </w:rPr>
        <w:t>variations</w:t>
      </w:r>
      <w:r w:rsidR="000C5F17">
        <w:rPr>
          <w:sz w:val="24"/>
          <w:szCs w:val="24"/>
        </w:rPr>
        <w:t xml:space="preserve"> after extensive conversations with parents and students (p.13). </w:t>
      </w:r>
      <w:r w:rsidR="003B14D2">
        <w:rPr>
          <w:sz w:val="24"/>
          <w:szCs w:val="24"/>
        </w:rPr>
        <w:t xml:space="preserve">Such a </w:t>
      </w:r>
      <w:r w:rsidR="00AC7915">
        <w:rPr>
          <w:sz w:val="24"/>
          <w:szCs w:val="24"/>
        </w:rPr>
        <w:t xml:space="preserve">variation </w:t>
      </w:r>
      <w:r w:rsidR="003B14D2">
        <w:rPr>
          <w:sz w:val="24"/>
          <w:szCs w:val="24"/>
        </w:rPr>
        <w:t>created potential</w:t>
      </w:r>
      <w:r w:rsidR="00AC7915">
        <w:rPr>
          <w:sz w:val="24"/>
          <w:szCs w:val="24"/>
        </w:rPr>
        <w:t xml:space="preserve"> difficult</w:t>
      </w:r>
      <w:r w:rsidR="003B14D2">
        <w:rPr>
          <w:sz w:val="24"/>
          <w:szCs w:val="24"/>
        </w:rPr>
        <w:t>ies</w:t>
      </w:r>
      <w:r w:rsidR="00AC7915">
        <w:rPr>
          <w:sz w:val="24"/>
          <w:szCs w:val="24"/>
        </w:rPr>
        <w:t xml:space="preserve"> for the school in terms of results and </w:t>
      </w:r>
      <w:r w:rsidR="003B14D2">
        <w:rPr>
          <w:sz w:val="24"/>
          <w:szCs w:val="24"/>
        </w:rPr>
        <w:t>p</w:t>
      </w:r>
      <w:r w:rsidR="00AC7915">
        <w:rPr>
          <w:sz w:val="24"/>
          <w:szCs w:val="24"/>
        </w:rPr>
        <w:t xml:space="preserve">erformance tables. </w:t>
      </w:r>
      <w:r w:rsidR="000C5F17">
        <w:rPr>
          <w:sz w:val="24"/>
          <w:szCs w:val="24"/>
        </w:rPr>
        <w:t>These students were restricted to achieving a Level 1 course</w:t>
      </w:r>
      <w:r w:rsidR="00AC7915">
        <w:rPr>
          <w:sz w:val="24"/>
          <w:szCs w:val="24"/>
        </w:rPr>
        <w:t>,</w:t>
      </w:r>
      <w:r w:rsidR="000C5F17">
        <w:rPr>
          <w:sz w:val="24"/>
          <w:szCs w:val="24"/>
        </w:rPr>
        <w:t xml:space="preserve"> even if they were felt capable of achieving </w:t>
      </w:r>
      <w:r w:rsidR="0086791E">
        <w:rPr>
          <w:sz w:val="24"/>
          <w:szCs w:val="24"/>
        </w:rPr>
        <w:t>L</w:t>
      </w:r>
      <w:r w:rsidR="000C5F17">
        <w:rPr>
          <w:sz w:val="24"/>
          <w:szCs w:val="24"/>
        </w:rPr>
        <w:t>evel 2. While this decision supported the student</w:t>
      </w:r>
      <w:r w:rsidR="0086791E">
        <w:rPr>
          <w:sz w:val="24"/>
          <w:szCs w:val="24"/>
        </w:rPr>
        <w:t>s’</w:t>
      </w:r>
      <w:r w:rsidR="000C5F17">
        <w:rPr>
          <w:sz w:val="24"/>
          <w:szCs w:val="24"/>
        </w:rPr>
        <w:t xml:space="preserve"> interest</w:t>
      </w:r>
      <w:r w:rsidR="0086791E">
        <w:rPr>
          <w:sz w:val="24"/>
          <w:szCs w:val="24"/>
        </w:rPr>
        <w:t>s</w:t>
      </w:r>
      <w:r w:rsidR="000C5F17">
        <w:rPr>
          <w:sz w:val="24"/>
          <w:szCs w:val="24"/>
        </w:rPr>
        <w:t xml:space="preserve"> and potential career progression</w:t>
      </w:r>
      <w:r w:rsidR="0086791E">
        <w:rPr>
          <w:sz w:val="24"/>
          <w:szCs w:val="24"/>
        </w:rPr>
        <w:t>,</w:t>
      </w:r>
      <w:r w:rsidR="000C5F17">
        <w:rPr>
          <w:sz w:val="24"/>
          <w:szCs w:val="24"/>
        </w:rPr>
        <w:t xml:space="preserve"> it had a negative impact on the school</w:t>
      </w:r>
      <w:r w:rsidR="0086791E">
        <w:rPr>
          <w:sz w:val="24"/>
          <w:szCs w:val="24"/>
        </w:rPr>
        <w:t>’s</w:t>
      </w:r>
      <w:r w:rsidR="000C5F17">
        <w:rPr>
          <w:sz w:val="24"/>
          <w:szCs w:val="24"/>
        </w:rPr>
        <w:t xml:space="preserve"> performance data</w:t>
      </w:r>
      <w:r w:rsidR="0086791E">
        <w:rPr>
          <w:sz w:val="24"/>
          <w:szCs w:val="24"/>
        </w:rPr>
        <w:t>,</w:t>
      </w:r>
      <w:r w:rsidR="00AC7915">
        <w:rPr>
          <w:sz w:val="24"/>
          <w:szCs w:val="24"/>
        </w:rPr>
        <w:t xml:space="preserve"> as these pupils did not then contribute as many </w:t>
      </w:r>
      <w:r w:rsidR="002E3506">
        <w:rPr>
          <w:sz w:val="24"/>
          <w:szCs w:val="24"/>
        </w:rPr>
        <w:t>p</w:t>
      </w:r>
      <w:r w:rsidR="00AC7915">
        <w:rPr>
          <w:sz w:val="24"/>
          <w:szCs w:val="24"/>
        </w:rPr>
        <w:t xml:space="preserve">erformance points to the school as </w:t>
      </w:r>
      <w:r w:rsidR="000D3D1E">
        <w:rPr>
          <w:sz w:val="24"/>
          <w:szCs w:val="24"/>
        </w:rPr>
        <w:t xml:space="preserve">school felt </w:t>
      </w:r>
      <w:r w:rsidR="00AC7915">
        <w:rPr>
          <w:sz w:val="24"/>
          <w:szCs w:val="24"/>
        </w:rPr>
        <w:t>they were capable of doing.</w:t>
      </w:r>
      <w:r w:rsidR="000C5F17">
        <w:rPr>
          <w:sz w:val="24"/>
          <w:szCs w:val="24"/>
        </w:rPr>
        <w:t xml:space="preserve"> </w:t>
      </w:r>
      <w:r w:rsidRPr="00D2208F">
        <w:rPr>
          <w:sz w:val="24"/>
          <w:szCs w:val="24"/>
        </w:rPr>
        <w:t xml:space="preserve">In contrast, Bluefield, which had no tradition of vocational courses, had </w:t>
      </w:r>
      <w:r>
        <w:rPr>
          <w:sz w:val="24"/>
          <w:szCs w:val="24"/>
        </w:rPr>
        <w:t xml:space="preserve">recently </w:t>
      </w:r>
      <w:r w:rsidRPr="00D2208F">
        <w:rPr>
          <w:sz w:val="24"/>
          <w:szCs w:val="24"/>
        </w:rPr>
        <w:t xml:space="preserve">introduced a BTEC in </w:t>
      </w:r>
      <w:r>
        <w:rPr>
          <w:sz w:val="24"/>
          <w:szCs w:val="24"/>
        </w:rPr>
        <w:t>B</w:t>
      </w:r>
      <w:r w:rsidRPr="00D2208F">
        <w:rPr>
          <w:sz w:val="24"/>
          <w:szCs w:val="24"/>
        </w:rPr>
        <w:t xml:space="preserve">usiness </w:t>
      </w:r>
      <w:r>
        <w:rPr>
          <w:sz w:val="24"/>
          <w:szCs w:val="24"/>
        </w:rPr>
        <w:t>S</w:t>
      </w:r>
      <w:r w:rsidRPr="00D2208F">
        <w:rPr>
          <w:sz w:val="24"/>
          <w:szCs w:val="24"/>
        </w:rPr>
        <w:t xml:space="preserve">tudies </w:t>
      </w:r>
      <w:r>
        <w:rPr>
          <w:sz w:val="24"/>
          <w:szCs w:val="24"/>
        </w:rPr>
        <w:t xml:space="preserve">to </w:t>
      </w:r>
      <w:r w:rsidRPr="00D2208F">
        <w:rPr>
          <w:sz w:val="24"/>
          <w:szCs w:val="24"/>
        </w:rPr>
        <w:t>broaden their curriculum</w:t>
      </w:r>
      <w:r>
        <w:rPr>
          <w:sz w:val="24"/>
          <w:szCs w:val="24"/>
        </w:rPr>
        <w:t xml:space="preserve"> for their </w:t>
      </w:r>
      <w:r w:rsidR="00AC7915">
        <w:rPr>
          <w:sz w:val="24"/>
          <w:szCs w:val="24"/>
        </w:rPr>
        <w:t>‘l</w:t>
      </w:r>
      <w:r>
        <w:rPr>
          <w:sz w:val="24"/>
          <w:szCs w:val="24"/>
        </w:rPr>
        <w:t>ess academic</w:t>
      </w:r>
      <w:r w:rsidR="00AC7915">
        <w:rPr>
          <w:sz w:val="24"/>
          <w:szCs w:val="24"/>
        </w:rPr>
        <w:t>’</w:t>
      </w:r>
      <w:r>
        <w:rPr>
          <w:sz w:val="24"/>
          <w:szCs w:val="24"/>
        </w:rPr>
        <w:t xml:space="preserve"> students</w:t>
      </w:r>
      <w:r w:rsidRPr="00D2208F">
        <w:rPr>
          <w:sz w:val="24"/>
          <w:szCs w:val="24"/>
        </w:rPr>
        <w:t xml:space="preserve">. </w:t>
      </w:r>
      <w:r>
        <w:rPr>
          <w:sz w:val="24"/>
          <w:szCs w:val="24"/>
        </w:rPr>
        <w:t>This a</w:t>
      </w:r>
      <w:r w:rsidRPr="00D2208F">
        <w:rPr>
          <w:sz w:val="24"/>
          <w:szCs w:val="24"/>
        </w:rPr>
        <w:t xml:space="preserve">cademically successful school felt in a </w:t>
      </w:r>
      <w:r>
        <w:rPr>
          <w:sz w:val="24"/>
          <w:szCs w:val="24"/>
        </w:rPr>
        <w:t xml:space="preserve">strong enough </w:t>
      </w:r>
      <w:r w:rsidRPr="00D2208F">
        <w:rPr>
          <w:sz w:val="24"/>
          <w:szCs w:val="24"/>
        </w:rPr>
        <w:t xml:space="preserve">position to offer a </w:t>
      </w:r>
      <w:r>
        <w:rPr>
          <w:sz w:val="24"/>
          <w:szCs w:val="24"/>
        </w:rPr>
        <w:t xml:space="preserve">new </w:t>
      </w:r>
      <w:r w:rsidRPr="00D2208F">
        <w:rPr>
          <w:sz w:val="24"/>
          <w:szCs w:val="24"/>
        </w:rPr>
        <w:t xml:space="preserve">vocational course, albeit to a certain </w:t>
      </w:r>
      <w:r>
        <w:rPr>
          <w:sz w:val="24"/>
          <w:szCs w:val="24"/>
        </w:rPr>
        <w:t>‘</w:t>
      </w:r>
      <w:r w:rsidRPr="00D2208F">
        <w:rPr>
          <w:sz w:val="24"/>
          <w:szCs w:val="24"/>
        </w:rPr>
        <w:t>type</w:t>
      </w:r>
      <w:r>
        <w:rPr>
          <w:sz w:val="24"/>
          <w:szCs w:val="24"/>
        </w:rPr>
        <w:t>’</w:t>
      </w:r>
      <w:r w:rsidRPr="00D2208F">
        <w:rPr>
          <w:sz w:val="24"/>
          <w:szCs w:val="24"/>
        </w:rPr>
        <w:t xml:space="preserve"> of student</w:t>
      </w:r>
      <w:r w:rsidR="0086791E">
        <w:rPr>
          <w:sz w:val="24"/>
          <w:szCs w:val="24"/>
        </w:rPr>
        <w:t>,</w:t>
      </w:r>
      <w:r w:rsidRPr="00D2208F">
        <w:rPr>
          <w:sz w:val="24"/>
          <w:szCs w:val="24"/>
        </w:rPr>
        <w:t xml:space="preserve"> whereas</w:t>
      </w:r>
      <w:r w:rsidR="002E3506">
        <w:rPr>
          <w:sz w:val="24"/>
          <w:szCs w:val="24"/>
        </w:rPr>
        <w:t xml:space="preserve"> </w:t>
      </w:r>
      <w:r w:rsidRPr="00D2208F">
        <w:rPr>
          <w:sz w:val="24"/>
          <w:szCs w:val="24"/>
        </w:rPr>
        <w:t>academically less successful school</w:t>
      </w:r>
      <w:r w:rsidR="002E3506">
        <w:rPr>
          <w:sz w:val="24"/>
          <w:szCs w:val="24"/>
        </w:rPr>
        <w:t>s</w:t>
      </w:r>
      <w:r w:rsidRPr="00D2208F">
        <w:rPr>
          <w:sz w:val="24"/>
          <w:szCs w:val="24"/>
        </w:rPr>
        <w:t xml:space="preserve"> felt under pressure to move away from</w:t>
      </w:r>
      <w:r w:rsidR="002E3506">
        <w:rPr>
          <w:sz w:val="24"/>
          <w:szCs w:val="24"/>
        </w:rPr>
        <w:t xml:space="preserve"> or </w:t>
      </w:r>
      <w:r w:rsidR="002E3506" w:rsidRPr="00D2208F">
        <w:rPr>
          <w:sz w:val="24"/>
          <w:szCs w:val="24"/>
        </w:rPr>
        <w:t>restrict</w:t>
      </w:r>
      <w:r w:rsidRPr="00D2208F">
        <w:rPr>
          <w:sz w:val="24"/>
          <w:szCs w:val="24"/>
        </w:rPr>
        <w:t xml:space="preserve"> </w:t>
      </w:r>
      <w:r>
        <w:rPr>
          <w:sz w:val="24"/>
          <w:szCs w:val="24"/>
        </w:rPr>
        <w:t xml:space="preserve">vocational </w:t>
      </w:r>
      <w:r w:rsidRPr="00D2208F">
        <w:rPr>
          <w:sz w:val="24"/>
          <w:szCs w:val="24"/>
        </w:rPr>
        <w:t>courses</w:t>
      </w:r>
      <w:r w:rsidR="0086791E">
        <w:rPr>
          <w:sz w:val="24"/>
          <w:szCs w:val="24"/>
        </w:rPr>
        <w:t>,</w:t>
      </w:r>
      <w:r w:rsidRPr="00D2208F">
        <w:rPr>
          <w:sz w:val="24"/>
          <w:szCs w:val="24"/>
        </w:rPr>
        <w:t xml:space="preserve"> </w:t>
      </w:r>
      <w:r w:rsidR="002E3506">
        <w:rPr>
          <w:sz w:val="24"/>
          <w:szCs w:val="24"/>
        </w:rPr>
        <w:t xml:space="preserve"> </w:t>
      </w:r>
      <w:r>
        <w:rPr>
          <w:sz w:val="24"/>
          <w:szCs w:val="24"/>
        </w:rPr>
        <w:t xml:space="preserve">even when they felt that these courses </w:t>
      </w:r>
      <w:r w:rsidR="002E3506">
        <w:rPr>
          <w:sz w:val="24"/>
          <w:szCs w:val="24"/>
        </w:rPr>
        <w:t>were appropriate</w:t>
      </w:r>
      <w:r>
        <w:rPr>
          <w:sz w:val="24"/>
          <w:szCs w:val="24"/>
        </w:rPr>
        <w:t xml:space="preserve"> for some students</w:t>
      </w:r>
      <w:r w:rsidRPr="00D2208F">
        <w:rPr>
          <w:sz w:val="24"/>
          <w:szCs w:val="24"/>
        </w:rPr>
        <w:t xml:space="preserve">. </w:t>
      </w:r>
    </w:p>
    <w:p w14:paraId="2E55FCA0" w14:textId="71B28CE7" w:rsidR="00D45C88" w:rsidRPr="00582F8F" w:rsidRDefault="008614B0" w:rsidP="00D45C88">
      <w:pPr>
        <w:spacing w:line="360" w:lineRule="auto"/>
        <w:rPr>
          <w:sz w:val="24"/>
          <w:szCs w:val="24"/>
        </w:rPr>
      </w:pPr>
      <w:r>
        <w:rPr>
          <w:sz w:val="24"/>
          <w:szCs w:val="24"/>
        </w:rPr>
        <w:t>A</w:t>
      </w:r>
      <w:r w:rsidR="006E2DC0" w:rsidRPr="00D2208F">
        <w:rPr>
          <w:sz w:val="24"/>
          <w:szCs w:val="24"/>
        </w:rPr>
        <w:t xml:space="preserve"> definite division was apparent between EBac and non</w:t>
      </w:r>
      <w:r w:rsidR="00D21D50">
        <w:rPr>
          <w:sz w:val="24"/>
          <w:szCs w:val="24"/>
        </w:rPr>
        <w:t>-</w:t>
      </w:r>
      <w:r w:rsidR="006E2DC0" w:rsidRPr="00D2208F">
        <w:rPr>
          <w:sz w:val="24"/>
          <w:szCs w:val="24"/>
        </w:rPr>
        <w:t xml:space="preserve">EBac departments in all schools with the exception of Bluefield. </w:t>
      </w:r>
      <w:r w:rsidR="00D45C88">
        <w:rPr>
          <w:sz w:val="24"/>
          <w:szCs w:val="24"/>
        </w:rPr>
        <w:t xml:space="preserve">As Head of Art and Design, </w:t>
      </w:r>
      <w:r w:rsidR="00D45C88" w:rsidRPr="005A590D">
        <w:rPr>
          <w:sz w:val="24"/>
          <w:szCs w:val="24"/>
        </w:rPr>
        <w:t xml:space="preserve">Debbie </w:t>
      </w:r>
      <w:r w:rsidR="00D45C88">
        <w:rPr>
          <w:sz w:val="24"/>
          <w:szCs w:val="24"/>
        </w:rPr>
        <w:t>(P</w:t>
      </w:r>
      <w:r w:rsidR="0086791E">
        <w:rPr>
          <w:sz w:val="24"/>
          <w:szCs w:val="24"/>
        </w:rPr>
        <w:t>urplefield/</w:t>
      </w:r>
      <w:r w:rsidR="00D45C88">
        <w:rPr>
          <w:sz w:val="24"/>
          <w:szCs w:val="24"/>
        </w:rPr>
        <w:t>non-EBac</w:t>
      </w:r>
      <w:r w:rsidR="0086791E">
        <w:rPr>
          <w:sz w:val="24"/>
          <w:szCs w:val="24"/>
        </w:rPr>
        <w:t>/</w:t>
      </w:r>
      <w:r w:rsidR="00D45C88">
        <w:rPr>
          <w:sz w:val="24"/>
          <w:szCs w:val="24"/>
        </w:rPr>
        <w:t>H</w:t>
      </w:r>
      <w:r w:rsidR="0086791E">
        <w:rPr>
          <w:sz w:val="24"/>
          <w:szCs w:val="24"/>
        </w:rPr>
        <w:t>o</w:t>
      </w:r>
      <w:r w:rsidR="00D45C88">
        <w:rPr>
          <w:sz w:val="24"/>
          <w:szCs w:val="24"/>
        </w:rPr>
        <w:t xml:space="preserve">D) </w:t>
      </w:r>
      <w:r w:rsidR="00D45C88" w:rsidRPr="005A590D">
        <w:rPr>
          <w:sz w:val="24"/>
          <w:szCs w:val="24"/>
        </w:rPr>
        <w:t>felt that her subject</w:t>
      </w:r>
      <w:r w:rsidR="00D45C88">
        <w:rPr>
          <w:sz w:val="24"/>
          <w:szCs w:val="24"/>
        </w:rPr>
        <w:t>s</w:t>
      </w:r>
      <w:r w:rsidR="00D45C88" w:rsidRPr="005A590D">
        <w:rPr>
          <w:sz w:val="24"/>
          <w:szCs w:val="24"/>
        </w:rPr>
        <w:t xml:space="preserve"> w</w:t>
      </w:r>
      <w:r w:rsidR="00D45C88">
        <w:rPr>
          <w:sz w:val="24"/>
          <w:szCs w:val="24"/>
        </w:rPr>
        <w:t>ere</w:t>
      </w:r>
      <w:r w:rsidR="00D45C88" w:rsidRPr="005A590D">
        <w:rPr>
          <w:sz w:val="24"/>
          <w:szCs w:val="24"/>
        </w:rPr>
        <w:t xml:space="preserve"> afforded less value than others</w:t>
      </w:r>
      <w:r w:rsidR="0086791E">
        <w:rPr>
          <w:sz w:val="24"/>
          <w:szCs w:val="24"/>
        </w:rPr>
        <w:t>,</w:t>
      </w:r>
      <w:r w:rsidR="00D45C88">
        <w:rPr>
          <w:sz w:val="24"/>
          <w:szCs w:val="24"/>
        </w:rPr>
        <w:t xml:space="preserve"> to the extent that students were diverted away from these subject</w:t>
      </w:r>
      <w:r w:rsidR="002E3506">
        <w:rPr>
          <w:sz w:val="24"/>
          <w:szCs w:val="24"/>
        </w:rPr>
        <w:t>s</w:t>
      </w:r>
      <w:r w:rsidR="00D45C88" w:rsidRPr="005A590D">
        <w:rPr>
          <w:sz w:val="24"/>
          <w:szCs w:val="24"/>
        </w:rPr>
        <w:t xml:space="preserve">. </w:t>
      </w:r>
      <w:r w:rsidR="00AC7915">
        <w:rPr>
          <w:sz w:val="24"/>
          <w:szCs w:val="24"/>
        </w:rPr>
        <w:t>At Purplefield</w:t>
      </w:r>
      <w:r w:rsidR="0086791E">
        <w:rPr>
          <w:sz w:val="24"/>
          <w:szCs w:val="24"/>
        </w:rPr>
        <w:t>,</w:t>
      </w:r>
      <w:r w:rsidR="002C7FC3">
        <w:rPr>
          <w:sz w:val="24"/>
          <w:szCs w:val="24"/>
        </w:rPr>
        <w:t xml:space="preserve"> the numbers taking arts and technology </w:t>
      </w:r>
      <w:r w:rsidR="0086791E">
        <w:rPr>
          <w:sz w:val="24"/>
          <w:szCs w:val="24"/>
        </w:rPr>
        <w:t xml:space="preserve">subjects had </w:t>
      </w:r>
      <w:r w:rsidR="002C7FC3">
        <w:rPr>
          <w:sz w:val="24"/>
          <w:szCs w:val="24"/>
        </w:rPr>
        <w:t xml:space="preserve">severely reduced. </w:t>
      </w:r>
      <w:r w:rsidR="00AC7915">
        <w:rPr>
          <w:sz w:val="24"/>
          <w:szCs w:val="24"/>
        </w:rPr>
        <w:t>Debbie</w:t>
      </w:r>
      <w:r w:rsidR="00D45C88" w:rsidRPr="005A590D">
        <w:rPr>
          <w:sz w:val="24"/>
          <w:szCs w:val="24"/>
        </w:rPr>
        <w:t xml:space="preserve"> was concerned that the </w:t>
      </w:r>
      <w:r w:rsidR="002E3506">
        <w:rPr>
          <w:sz w:val="24"/>
          <w:szCs w:val="24"/>
        </w:rPr>
        <w:t xml:space="preserve">lack of a technology subject within the EBac </w:t>
      </w:r>
      <w:r w:rsidR="00D45C88" w:rsidRPr="005A590D">
        <w:rPr>
          <w:sz w:val="24"/>
          <w:szCs w:val="24"/>
        </w:rPr>
        <w:t>reflected a value judgment by the government on the worth of the subject</w:t>
      </w:r>
      <w:r w:rsidR="002E3506">
        <w:rPr>
          <w:sz w:val="24"/>
          <w:szCs w:val="24"/>
        </w:rPr>
        <w:t xml:space="preserve"> “i</w:t>
      </w:r>
      <w:r w:rsidR="00D45C88" w:rsidRPr="005A590D">
        <w:rPr>
          <w:sz w:val="24"/>
          <w:szCs w:val="24"/>
        </w:rPr>
        <w:t>t felt as if the subject itself was completely devalued and pointless</w:t>
      </w:r>
      <w:r w:rsidR="002E3506">
        <w:rPr>
          <w:sz w:val="24"/>
          <w:szCs w:val="24"/>
        </w:rPr>
        <w:t>”</w:t>
      </w:r>
      <w:r w:rsidR="00D45C88" w:rsidRPr="005A590D">
        <w:rPr>
          <w:sz w:val="24"/>
          <w:szCs w:val="24"/>
        </w:rPr>
        <w:t xml:space="preserve"> </w:t>
      </w:r>
      <w:r w:rsidR="00D45C88" w:rsidRPr="005A590D">
        <w:rPr>
          <w:sz w:val="24"/>
          <w:szCs w:val="24"/>
        </w:rPr>
        <w:lastRenderedPageBreak/>
        <w:t>(p.7).</w:t>
      </w:r>
      <w:r w:rsidR="002E3506">
        <w:rPr>
          <w:sz w:val="24"/>
          <w:szCs w:val="24"/>
        </w:rPr>
        <w:t xml:space="preserve"> She</w:t>
      </w:r>
      <w:r w:rsidR="008F20E8">
        <w:rPr>
          <w:sz w:val="24"/>
          <w:szCs w:val="24"/>
        </w:rPr>
        <w:t xml:space="preserve"> </w:t>
      </w:r>
      <w:r w:rsidR="00D45C88" w:rsidRPr="005A590D">
        <w:rPr>
          <w:sz w:val="24"/>
          <w:szCs w:val="24"/>
        </w:rPr>
        <w:t xml:space="preserve">felt strongly that society required both skilled tradespeople </w:t>
      </w:r>
      <w:r w:rsidR="0086791E">
        <w:rPr>
          <w:sz w:val="24"/>
          <w:szCs w:val="24"/>
        </w:rPr>
        <w:t xml:space="preserve">and </w:t>
      </w:r>
      <w:r w:rsidR="00D45C88" w:rsidRPr="005A590D">
        <w:rPr>
          <w:sz w:val="24"/>
          <w:szCs w:val="24"/>
        </w:rPr>
        <w:t>people with design and engineering abilities to develop the wider economy.</w:t>
      </w:r>
    </w:p>
    <w:p w14:paraId="33C9467D" w14:textId="612F16F2" w:rsidR="00D45C88" w:rsidRPr="00582F8F" w:rsidRDefault="00D45C88" w:rsidP="00531995">
      <w:pPr>
        <w:spacing w:after="120" w:line="360" w:lineRule="auto"/>
        <w:rPr>
          <w:sz w:val="24"/>
          <w:szCs w:val="24"/>
        </w:rPr>
      </w:pPr>
      <w:r>
        <w:rPr>
          <w:sz w:val="24"/>
          <w:szCs w:val="24"/>
        </w:rPr>
        <w:t>History</w:t>
      </w:r>
      <w:r w:rsidRPr="005A590D">
        <w:rPr>
          <w:sz w:val="24"/>
          <w:szCs w:val="24"/>
        </w:rPr>
        <w:t xml:space="preserve"> teacher Jill </w:t>
      </w:r>
      <w:r>
        <w:rPr>
          <w:sz w:val="24"/>
          <w:szCs w:val="24"/>
        </w:rPr>
        <w:t>(</w:t>
      </w:r>
      <w:r w:rsidR="0086791E">
        <w:rPr>
          <w:sz w:val="24"/>
          <w:szCs w:val="24"/>
        </w:rPr>
        <w:t>Yellowfield/</w:t>
      </w:r>
      <w:r>
        <w:rPr>
          <w:sz w:val="24"/>
          <w:szCs w:val="24"/>
        </w:rPr>
        <w:t>EBac/</w:t>
      </w:r>
      <w:r w:rsidR="0086791E">
        <w:rPr>
          <w:sz w:val="24"/>
          <w:szCs w:val="24"/>
        </w:rPr>
        <w:t>HoD</w:t>
      </w:r>
      <w:r>
        <w:rPr>
          <w:sz w:val="24"/>
          <w:szCs w:val="24"/>
        </w:rPr>
        <w:t xml:space="preserve">) </w:t>
      </w:r>
      <w:r w:rsidRPr="005A590D">
        <w:rPr>
          <w:sz w:val="24"/>
          <w:szCs w:val="24"/>
        </w:rPr>
        <w:t xml:space="preserve">found herself in the difficult position of initially being pleased that the subject now </w:t>
      </w:r>
      <w:r w:rsidR="000D3D1E">
        <w:rPr>
          <w:sz w:val="24"/>
          <w:szCs w:val="24"/>
        </w:rPr>
        <w:t>had been</w:t>
      </w:r>
      <w:r w:rsidRPr="005A590D">
        <w:rPr>
          <w:sz w:val="24"/>
          <w:szCs w:val="24"/>
        </w:rPr>
        <w:t xml:space="preserve"> a</w:t>
      </w:r>
      <w:r>
        <w:rPr>
          <w:sz w:val="24"/>
          <w:szCs w:val="24"/>
        </w:rPr>
        <w:t>cc</w:t>
      </w:r>
      <w:r w:rsidRPr="005A590D">
        <w:rPr>
          <w:sz w:val="24"/>
          <w:szCs w:val="24"/>
        </w:rPr>
        <w:t>orded the value she felt it deserved</w:t>
      </w:r>
      <w:r>
        <w:rPr>
          <w:sz w:val="24"/>
          <w:szCs w:val="24"/>
        </w:rPr>
        <w:t>, y</w:t>
      </w:r>
      <w:r w:rsidRPr="005A590D">
        <w:rPr>
          <w:sz w:val="24"/>
          <w:szCs w:val="24"/>
        </w:rPr>
        <w:t xml:space="preserve">et </w:t>
      </w:r>
      <w:r>
        <w:rPr>
          <w:sz w:val="24"/>
          <w:szCs w:val="24"/>
        </w:rPr>
        <w:t xml:space="preserve">uncomfortable with </w:t>
      </w:r>
      <w:r w:rsidRPr="005A590D">
        <w:rPr>
          <w:sz w:val="24"/>
          <w:szCs w:val="24"/>
        </w:rPr>
        <w:t>the way it was introduced</w:t>
      </w:r>
      <w:r>
        <w:rPr>
          <w:sz w:val="24"/>
          <w:szCs w:val="24"/>
        </w:rPr>
        <w:t xml:space="preserve"> and presented</w:t>
      </w:r>
      <w:r w:rsidRPr="005A590D">
        <w:rPr>
          <w:sz w:val="24"/>
          <w:szCs w:val="24"/>
        </w:rPr>
        <w:t xml:space="preserve">. Pam </w:t>
      </w:r>
      <w:r>
        <w:rPr>
          <w:sz w:val="24"/>
          <w:szCs w:val="24"/>
        </w:rPr>
        <w:t>(</w:t>
      </w:r>
      <w:r w:rsidR="00D1483F">
        <w:rPr>
          <w:sz w:val="24"/>
          <w:szCs w:val="24"/>
        </w:rPr>
        <w:t>B</w:t>
      </w:r>
      <w:r w:rsidR="005047B6">
        <w:rPr>
          <w:sz w:val="24"/>
          <w:szCs w:val="24"/>
        </w:rPr>
        <w:t>luefield</w:t>
      </w:r>
      <w:r w:rsidR="00D1483F">
        <w:rPr>
          <w:sz w:val="24"/>
          <w:szCs w:val="24"/>
        </w:rPr>
        <w:t>/</w:t>
      </w:r>
      <w:r>
        <w:rPr>
          <w:sz w:val="24"/>
          <w:szCs w:val="24"/>
        </w:rPr>
        <w:t xml:space="preserve">HoD EBac) </w:t>
      </w:r>
      <w:r w:rsidRPr="005A590D">
        <w:rPr>
          <w:sz w:val="24"/>
          <w:szCs w:val="24"/>
        </w:rPr>
        <w:t>echoed these comments:</w:t>
      </w:r>
    </w:p>
    <w:p w14:paraId="4BA2045F" w14:textId="25AB8C61" w:rsidR="00D45C88" w:rsidRPr="00582F8F" w:rsidRDefault="00D45C88" w:rsidP="00531995">
      <w:pPr>
        <w:spacing w:after="240" w:line="240" w:lineRule="auto"/>
        <w:ind w:left="720"/>
        <w:rPr>
          <w:sz w:val="24"/>
          <w:szCs w:val="24"/>
        </w:rPr>
      </w:pPr>
      <w:r w:rsidRPr="005A590D">
        <w:rPr>
          <w:sz w:val="24"/>
          <w:szCs w:val="24"/>
        </w:rPr>
        <w:t>Initially quite s</w:t>
      </w:r>
      <w:r>
        <w:rPr>
          <w:sz w:val="24"/>
          <w:szCs w:val="24"/>
        </w:rPr>
        <w:t>c</w:t>
      </w:r>
      <w:r w:rsidRPr="005A590D">
        <w:rPr>
          <w:sz w:val="24"/>
          <w:szCs w:val="24"/>
        </w:rPr>
        <w:t>eptical because I thought here’s another way of separating out the valuable from non-valuable but then part of me … went “oh goody we are valuable now as well!”…but I think overall it just kind of added to my belief that somewhere someone was inevitably trying to create a t</w:t>
      </w:r>
      <w:r>
        <w:rPr>
          <w:sz w:val="24"/>
          <w:szCs w:val="24"/>
        </w:rPr>
        <w:t>iered</w:t>
      </w:r>
      <w:r w:rsidRPr="005A590D">
        <w:rPr>
          <w:sz w:val="24"/>
          <w:szCs w:val="24"/>
        </w:rPr>
        <w:t xml:space="preserve"> education … all subjects are equal but some are more equal than others (p.6).</w:t>
      </w:r>
    </w:p>
    <w:p w14:paraId="10C608BE" w14:textId="52E3D286" w:rsidR="00D45C88" w:rsidRDefault="00D1483F" w:rsidP="00531995">
      <w:pPr>
        <w:tabs>
          <w:tab w:val="left" w:pos="8364"/>
        </w:tabs>
        <w:spacing w:after="240" w:line="360" w:lineRule="auto"/>
        <w:rPr>
          <w:sz w:val="24"/>
          <w:szCs w:val="24"/>
        </w:rPr>
      </w:pPr>
      <w:r>
        <w:rPr>
          <w:sz w:val="24"/>
          <w:szCs w:val="24"/>
        </w:rPr>
        <w:t>F</w:t>
      </w:r>
      <w:r w:rsidR="00D45C88" w:rsidRPr="005A590D">
        <w:rPr>
          <w:sz w:val="24"/>
          <w:szCs w:val="24"/>
        </w:rPr>
        <w:t>or Deborah</w:t>
      </w:r>
      <w:r w:rsidR="00D45C88">
        <w:rPr>
          <w:sz w:val="24"/>
          <w:szCs w:val="24"/>
        </w:rPr>
        <w:t xml:space="preserve"> (</w:t>
      </w:r>
      <w:r>
        <w:rPr>
          <w:sz w:val="24"/>
          <w:szCs w:val="24"/>
        </w:rPr>
        <w:t>R</w:t>
      </w:r>
      <w:r w:rsidR="005047B6">
        <w:rPr>
          <w:sz w:val="24"/>
          <w:szCs w:val="24"/>
        </w:rPr>
        <w:t>edfield</w:t>
      </w:r>
      <w:r>
        <w:rPr>
          <w:sz w:val="24"/>
          <w:szCs w:val="24"/>
        </w:rPr>
        <w:t>/</w:t>
      </w:r>
      <w:r w:rsidR="00D45C88">
        <w:rPr>
          <w:sz w:val="24"/>
          <w:szCs w:val="24"/>
        </w:rPr>
        <w:t>HoD</w:t>
      </w:r>
      <w:r>
        <w:rPr>
          <w:sz w:val="24"/>
          <w:szCs w:val="24"/>
        </w:rPr>
        <w:t>/</w:t>
      </w:r>
      <w:r w:rsidR="00D21D50">
        <w:rPr>
          <w:sz w:val="24"/>
          <w:szCs w:val="24"/>
        </w:rPr>
        <w:t>n</w:t>
      </w:r>
      <w:r w:rsidR="00D45C88">
        <w:rPr>
          <w:sz w:val="24"/>
          <w:szCs w:val="24"/>
        </w:rPr>
        <w:t>on</w:t>
      </w:r>
      <w:r w:rsidR="00D21D50">
        <w:rPr>
          <w:sz w:val="24"/>
          <w:szCs w:val="24"/>
        </w:rPr>
        <w:t>-</w:t>
      </w:r>
      <w:r w:rsidR="00D45C88">
        <w:rPr>
          <w:sz w:val="24"/>
          <w:szCs w:val="24"/>
        </w:rPr>
        <w:t>EBac)</w:t>
      </w:r>
      <w:r w:rsidR="00D45C88" w:rsidRPr="005A590D">
        <w:rPr>
          <w:sz w:val="24"/>
          <w:szCs w:val="24"/>
        </w:rPr>
        <w:t xml:space="preserve">, the main division between subjects remained </w:t>
      </w:r>
      <w:r w:rsidR="001A3BC6">
        <w:rPr>
          <w:sz w:val="24"/>
          <w:szCs w:val="24"/>
        </w:rPr>
        <w:t xml:space="preserve">between </w:t>
      </w:r>
      <w:r w:rsidR="001A3BC6" w:rsidRPr="005A590D">
        <w:rPr>
          <w:sz w:val="24"/>
          <w:szCs w:val="24"/>
        </w:rPr>
        <w:t>Mathematics</w:t>
      </w:r>
      <w:r w:rsidR="00D45C88" w:rsidRPr="005A590D">
        <w:rPr>
          <w:sz w:val="24"/>
          <w:szCs w:val="24"/>
        </w:rPr>
        <w:t xml:space="preserve"> and English and other subjects. </w:t>
      </w:r>
      <w:r w:rsidR="002C7FC3">
        <w:rPr>
          <w:sz w:val="24"/>
          <w:szCs w:val="24"/>
        </w:rPr>
        <w:t xml:space="preserve">With </w:t>
      </w:r>
      <w:r w:rsidR="00BF2E5B">
        <w:rPr>
          <w:sz w:val="24"/>
          <w:szCs w:val="24"/>
        </w:rPr>
        <w:t xml:space="preserve">achievement of a grade C or above in </w:t>
      </w:r>
      <w:r w:rsidR="002C7FC3">
        <w:rPr>
          <w:sz w:val="24"/>
          <w:szCs w:val="24"/>
        </w:rPr>
        <w:t>Mathematics and English afforded the greatest consideration and importance at Redfield</w:t>
      </w:r>
      <w:r>
        <w:rPr>
          <w:sz w:val="24"/>
          <w:szCs w:val="24"/>
        </w:rPr>
        <w:t>,</w:t>
      </w:r>
      <w:r w:rsidR="002C7FC3">
        <w:rPr>
          <w:sz w:val="24"/>
          <w:szCs w:val="24"/>
        </w:rPr>
        <w:t xml:space="preserve"> </w:t>
      </w:r>
      <w:r>
        <w:rPr>
          <w:sz w:val="24"/>
          <w:szCs w:val="24"/>
        </w:rPr>
        <w:t>s</w:t>
      </w:r>
      <w:r w:rsidR="00D45C88" w:rsidRPr="005A590D">
        <w:rPr>
          <w:sz w:val="24"/>
          <w:szCs w:val="24"/>
        </w:rPr>
        <w:t xml:space="preserve">he did not feel </w:t>
      </w:r>
      <w:r w:rsidR="00D45C88">
        <w:rPr>
          <w:sz w:val="24"/>
          <w:szCs w:val="24"/>
        </w:rPr>
        <w:t xml:space="preserve">that the EBac </w:t>
      </w:r>
      <w:r w:rsidR="00D45C88" w:rsidRPr="005A590D">
        <w:rPr>
          <w:sz w:val="24"/>
          <w:szCs w:val="24"/>
        </w:rPr>
        <w:t xml:space="preserve">had made any difference to </w:t>
      </w:r>
      <w:r w:rsidR="00D45C88">
        <w:rPr>
          <w:sz w:val="24"/>
          <w:szCs w:val="24"/>
        </w:rPr>
        <w:t xml:space="preserve">how the other </w:t>
      </w:r>
      <w:r w:rsidR="00D45C88" w:rsidRPr="005A590D">
        <w:rPr>
          <w:sz w:val="24"/>
          <w:szCs w:val="24"/>
        </w:rPr>
        <w:t>subjects were considered in the school</w:t>
      </w:r>
      <w:r w:rsidR="00D45C88">
        <w:rPr>
          <w:sz w:val="24"/>
          <w:szCs w:val="24"/>
        </w:rPr>
        <w:t xml:space="preserve"> and society</w:t>
      </w:r>
      <w:r w:rsidR="00D45C88" w:rsidRPr="005A590D">
        <w:rPr>
          <w:sz w:val="24"/>
          <w:szCs w:val="24"/>
        </w:rPr>
        <w:t>.</w:t>
      </w:r>
    </w:p>
    <w:p w14:paraId="36E14631" w14:textId="7DECB6B1" w:rsidR="002A0B2B" w:rsidRDefault="00AC7915" w:rsidP="00D5396E">
      <w:pPr>
        <w:spacing w:line="360" w:lineRule="auto"/>
        <w:rPr>
          <w:sz w:val="24"/>
          <w:szCs w:val="24"/>
        </w:rPr>
      </w:pPr>
      <w:r>
        <w:rPr>
          <w:sz w:val="24"/>
          <w:szCs w:val="24"/>
        </w:rPr>
        <w:t>While teachers were concerned with the ‘value’ accorded to their subjects</w:t>
      </w:r>
      <w:r w:rsidR="00D1483F">
        <w:rPr>
          <w:sz w:val="24"/>
          <w:szCs w:val="24"/>
        </w:rPr>
        <w:t>,</w:t>
      </w:r>
      <w:r>
        <w:rPr>
          <w:sz w:val="24"/>
          <w:szCs w:val="24"/>
        </w:rPr>
        <w:t xml:space="preserve"> the impact on student uptake of the different subjects</w:t>
      </w:r>
      <w:r w:rsidR="00D1483F" w:rsidRPr="00D1483F">
        <w:rPr>
          <w:sz w:val="24"/>
          <w:szCs w:val="24"/>
        </w:rPr>
        <w:t xml:space="preserve"> </w:t>
      </w:r>
      <w:r w:rsidR="00D1483F">
        <w:rPr>
          <w:sz w:val="24"/>
          <w:szCs w:val="24"/>
        </w:rPr>
        <w:t>was of more practical and immediate importance</w:t>
      </w:r>
      <w:r>
        <w:rPr>
          <w:sz w:val="24"/>
          <w:szCs w:val="24"/>
        </w:rPr>
        <w:t xml:space="preserve">. </w:t>
      </w:r>
      <w:r w:rsidR="006E2DC0" w:rsidRPr="00D2208F">
        <w:rPr>
          <w:sz w:val="24"/>
          <w:szCs w:val="24"/>
        </w:rPr>
        <w:t xml:space="preserve">History and </w:t>
      </w:r>
      <w:r w:rsidR="00155432">
        <w:rPr>
          <w:sz w:val="24"/>
          <w:szCs w:val="24"/>
        </w:rPr>
        <w:t>Geography</w:t>
      </w:r>
      <w:r w:rsidR="006E2DC0" w:rsidRPr="00D2208F">
        <w:rPr>
          <w:sz w:val="24"/>
          <w:szCs w:val="24"/>
        </w:rPr>
        <w:t xml:space="preserve"> </w:t>
      </w:r>
      <w:r w:rsidR="00DD4606">
        <w:rPr>
          <w:sz w:val="24"/>
          <w:szCs w:val="24"/>
        </w:rPr>
        <w:t xml:space="preserve">were </w:t>
      </w:r>
      <w:r w:rsidR="006E2DC0" w:rsidRPr="00D2208F">
        <w:rPr>
          <w:sz w:val="24"/>
          <w:szCs w:val="24"/>
        </w:rPr>
        <w:t>expanding</w:t>
      </w:r>
      <w:r w:rsidR="009C53B9">
        <w:rPr>
          <w:sz w:val="24"/>
          <w:szCs w:val="24"/>
        </w:rPr>
        <w:t xml:space="preserve"> in terms of student numbers at GCSE</w:t>
      </w:r>
      <w:r w:rsidR="006E2DC0" w:rsidRPr="00D2208F">
        <w:rPr>
          <w:sz w:val="24"/>
          <w:szCs w:val="24"/>
        </w:rPr>
        <w:t xml:space="preserve"> in all four schools</w:t>
      </w:r>
      <w:r w:rsidR="00D1483F">
        <w:rPr>
          <w:sz w:val="24"/>
          <w:szCs w:val="24"/>
        </w:rPr>
        <w:t>,</w:t>
      </w:r>
      <w:r w:rsidR="006E2DC0" w:rsidRPr="00D2208F">
        <w:rPr>
          <w:sz w:val="24"/>
          <w:szCs w:val="24"/>
        </w:rPr>
        <w:t xml:space="preserve"> while </w:t>
      </w:r>
      <w:r w:rsidR="00D1483F">
        <w:rPr>
          <w:sz w:val="24"/>
          <w:szCs w:val="24"/>
        </w:rPr>
        <w:t>t</w:t>
      </w:r>
      <w:r w:rsidR="006E2DC0" w:rsidRPr="00D2208F">
        <w:rPr>
          <w:sz w:val="24"/>
          <w:szCs w:val="24"/>
        </w:rPr>
        <w:t xml:space="preserve">echnology </w:t>
      </w:r>
      <w:r w:rsidR="00173B51">
        <w:rPr>
          <w:sz w:val="24"/>
          <w:szCs w:val="24"/>
        </w:rPr>
        <w:t xml:space="preserve">and </w:t>
      </w:r>
      <w:r w:rsidR="00D1483F">
        <w:rPr>
          <w:sz w:val="24"/>
          <w:szCs w:val="24"/>
        </w:rPr>
        <w:t>a</w:t>
      </w:r>
      <w:r w:rsidR="00173B51">
        <w:rPr>
          <w:sz w:val="24"/>
          <w:szCs w:val="24"/>
        </w:rPr>
        <w:t xml:space="preserve">rts </w:t>
      </w:r>
      <w:r w:rsidR="006E2DC0" w:rsidRPr="00D2208F">
        <w:rPr>
          <w:sz w:val="24"/>
          <w:szCs w:val="24"/>
        </w:rPr>
        <w:t xml:space="preserve">subjects </w:t>
      </w:r>
      <w:r w:rsidR="00DD4606">
        <w:rPr>
          <w:sz w:val="24"/>
          <w:szCs w:val="24"/>
        </w:rPr>
        <w:t xml:space="preserve">were </w:t>
      </w:r>
      <w:r w:rsidR="006E2DC0" w:rsidRPr="00D2208F">
        <w:rPr>
          <w:sz w:val="24"/>
          <w:szCs w:val="24"/>
        </w:rPr>
        <w:t>reducing across all schools</w:t>
      </w:r>
      <w:r w:rsidR="00CB254C">
        <w:rPr>
          <w:sz w:val="24"/>
          <w:szCs w:val="24"/>
        </w:rPr>
        <w:t xml:space="preserve"> and languages at Yellowfield</w:t>
      </w:r>
      <w:r w:rsidR="00D1483F">
        <w:rPr>
          <w:sz w:val="24"/>
          <w:szCs w:val="24"/>
        </w:rPr>
        <w:t>,</w:t>
      </w:r>
      <w:r w:rsidR="00CB254C">
        <w:rPr>
          <w:sz w:val="24"/>
          <w:szCs w:val="24"/>
        </w:rPr>
        <w:t xml:space="preserve"> </w:t>
      </w:r>
      <w:r w:rsidR="00D1483F">
        <w:rPr>
          <w:sz w:val="24"/>
          <w:szCs w:val="24"/>
        </w:rPr>
        <w:t xml:space="preserve">with corresponding </w:t>
      </w:r>
      <w:r w:rsidR="00CB254C">
        <w:rPr>
          <w:sz w:val="24"/>
          <w:szCs w:val="24"/>
        </w:rPr>
        <w:t>staffing</w:t>
      </w:r>
      <w:r w:rsidR="00D1483F">
        <w:rPr>
          <w:sz w:val="24"/>
          <w:szCs w:val="24"/>
        </w:rPr>
        <w:t xml:space="preserve"> reductions</w:t>
      </w:r>
      <w:r w:rsidR="006E2DC0" w:rsidRPr="00D2208F">
        <w:rPr>
          <w:sz w:val="24"/>
          <w:szCs w:val="24"/>
        </w:rPr>
        <w:t>.</w:t>
      </w:r>
      <w:r w:rsidR="00003773">
        <w:rPr>
          <w:sz w:val="24"/>
          <w:szCs w:val="24"/>
        </w:rPr>
        <w:t xml:space="preserve"> All schools had increased the teaching time allocated to EBac subjects in KS3</w:t>
      </w:r>
      <w:r w:rsidR="00D1483F">
        <w:rPr>
          <w:sz w:val="24"/>
          <w:szCs w:val="24"/>
        </w:rPr>
        <w:t>,</w:t>
      </w:r>
      <w:r w:rsidR="00003773">
        <w:rPr>
          <w:sz w:val="24"/>
          <w:szCs w:val="24"/>
        </w:rPr>
        <w:t xml:space="preserve"> making reduction</w:t>
      </w:r>
      <w:r w:rsidR="00D1483F">
        <w:rPr>
          <w:sz w:val="24"/>
          <w:szCs w:val="24"/>
        </w:rPr>
        <w:t>s</w:t>
      </w:r>
      <w:r w:rsidR="00003773">
        <w:rPr>
          <w:sz w:val="24"/>
          <w:szCs w:val="24"/>
        </w:rPr>
        <w:t xml:space="preserve"> to other aspects of the curriculum. </w:t>
      </w:r>
      <w:r w:rsidR="00B246A5">
        <w:rPr>
          <w:sz w:val="24"/>
          <w:szCs w:val="24"/>
        </w:rPr>
        <w:t>W</w:t>
      </w:r>
      <w:r w:rsidR="00DD4606">
        <w:rPr>
          <w:sz w:val="24"/>
          <w:szCs w:val="24"/>
        </w:rPr>
        <w:t>hile</w:t>
      </w:r>
      <w:r w:rsidR="00B246A5">
        <w:rPr>
          <w:sz w:val="24"/>
          <w:szCs w:val="24"/>
        </w:rPr>
        <w:t xml:space="preserve"> the stated aim of the EBac was to create a “broad academic core at 16 and a rounded education” (</w:t>
      </w:r>
      <w:r w:rsidR="006C57CD">
        <w:rPr>
          <w:sz w:val="24"/>
          <w:szCs w:val="24"/>
        </w:rPr>
        <w:t>DfE</w:t>
      </w:r>
      <w:r w:rsidR="00B246A5">
        <w:rPr>
          <w:sz w:val="24"/>
          <w:szCs w:val="24"/>
        </w:rPr>
        <w:t xml:space="preserve">, 2010, p.44) </w:t>
      </w:r>
      <w:r w:rsidR="00DD4606">
        <w:rPr>
          <w:sz w:val="24"/>
          <w:szCs w:val="24"/>
        </w:rPr>
        <w:t xml:space="preserve">the reality is </w:t>
      </w:r>
      <w:r w:rsidR="00D1483F">
        <w:rPr>
          <w:sz w:val="24"/>
          <w:szCs w:val="24"/>
        </w:rPr>
        <w:t xml:space="preserve">that </w:t>
      </w:r>
      <w:r w:rsidR="00DD4606">
        <w:rPr>
          <w:sz w:val="24"/>
          <w:szCs w:val="24"/>
        </w:rPr>
        <w:t xml:space="preserve">a declining breadth of </w:t>
      </w:r>
      <w:r w:rsidR="009C53B9">
        <w:rPr>
          <w:sz w:val="24"/>
          <w:szCs w:val="24"/>
        </w:rPr>
        <w:t xml:space="preserve">GCSE and vocational subjects </w:t>
      </w:r>
      <w:r w:rsidR="00D1483F">
        <w:rPr>
          <w:sz w:val="24"/>
          <w:szCs w:val="24"/>
        </w:rPr>
        <w:t xml:space="preserve">is </w:t>
      </w:r>
      <w:r w:rsidR="009C53B9">
        <w:rPr>
          <w:sz w:val="24"/>
          <w:szCs w:val="24"/>
        </w:rPr>
        <w:t xml:space="preserve">on </w:t>
      </w:r>
      <w:r w:rsidR="00DD4606">
        <w:rPr>
          <w:sz w:val="24"/>
          <w:szCs w:val="24"/>
        </w:rPr>
        <w:t>offer</w:t>
      </w:r>
      <w:r w:rsidR="009C53B9">
        <w:rPr>
          <w:sz w:val="24"/>
          <w:szCs w:val="24"/>
        </w:rPr>
        <w:t>.</w:t>
      </w:r>
      <w:r w:rsidR="00003773">
        <w:rPr>
          <w:sz w:val="24"/>
          <w:szCs w:val="24"/>
        </w:rPr>
        <w:t xml:space="preserve"> Such changes had </w:t>
      </w:r>
      <w:r w:rsidR="00C0112F">
        <w:rPr>
          <w:sz w:val="24"/>
          <w:szCs w:val="24"/>
        </w:rPr>
        <w:t xml:space="preserve">strong </w:t>
      </w:r>
      <w:r w:rsidR="00003773">
        <w:rPr>
          <w:sz w:val="24"/>
          <w:szCs w:val="24"/>
        </w:rPr>
        <w:t>implications in that more teachers of EBac subjects were required</w:t>
      </w:r>
      <w:r w:rsidR="00D1483F">
        <w:rPr>
          <w:sz w:val="24"/>
          <w:szCs w:val="24"/>
        </w:rPr>
        <w:t>,</w:t>
      </w:r>
      <w:r w:rsidR="00003773">
        <w:rPr>
          <w:sz w:val="24"/>
          <w:szCs w:val="24"/>
        </w:rPr>
        <w:t xml:space="preserve"> with fewer non</w:t>
      </w:r>
      <w:r w:rsidR="00D21D50">
        <w:rPr>
          <w:sz w:val="24"/>
          <w:szCs w:val="24"/>
        </w:rPr>
        <w:t>-</w:t>
      </w:r>
      <w:r w:rsidR="00003773">
        <w:rPr>
          <w:sz w:val="24"/>
          <w:szCs w:val="24"/>
        </w:rPr>
        <w:t>EBac teachers</w:t>
      </w:r>
      <w:r w:rsidR="002A0B2B">
        <w:rPr>
          <w:sz w:val="24"/>
          <w:szCs w:val="24"/>
        </w:rPr>
        <w:t>.</w:t>
      </w:r>
    </w:p>
    <w:p w14:paraId="1EFD6CD2" w14:textId="1F6AF3E7" w:rsidR="00D5396E" w:rsidRPr="00582F8F" w:rsidRDefault="00D1483F" w:rsidP="00D5396E">
      <w:pPr>
        <w:spacing w:line="360" w:lineRule="auto"/>
        <w:rPr>
          <w:sz w:val="24"/>
          <w:szCs w:val="24"/>
        </w:rPr>
      </w:pPr>
      <w:r>
        <w:rPr>
          <w:sz w:val="24"/>
          <w:szCs w:val="24"/>
        </w:rPr>
        <w:t xml:space="preserve">Regarding </w:t>
      </w:r>
      <w:r w:rsidR="00D5396E" w:rsidRPr="00D2208F">
        <w:rPr>
          <w:sz w:val="24"/>
          <w:szCs w:val="24"/>
        </w:rPr>
        <w:t>different</w:t>
      </w:r>
      <w:r w:rsidR="00D25FE3">
        <w:rPr>
          <w:sz w:val="24"/>
          <w:szCs w:val="24"/>
        </w:rPr>
        <w:t>iation between</w:t>
      </w:r>
      <w:r w:rsidR="00D5396E" w:rsidRPr="00D2208F">
        <w:rPr>
          <w:sz w:val="24"/>
          <w:szCs w:val="24"/>
        </w:rPr>
        <w:t xml:space="preserve"> students, repeated reference was made throughout the interviews about students of different ability, usually expressed as a binary </w:t>
      </w:r>
      <w:r>
        <w:rPr>
          <w:sz w:val="24"/>
          <w:szCs w:val="24"/>
        </w:rPr>
        <w:t>distinction between</w:t>
      </w:r>
      <w:r w:rsidR="00D5396E" w:rsidRPr="00D2208F">
        <w:rPr>
          <w:sz w:val="24"/>
          <w:szCs w:val="24"/>
        </w:rPr>
        <w:t xml:space="preserve"> </w:t>
      </w:r>
      <w:r w:rsidR="007B2E14">
        <w:rPr>
          <w:sz w:val="24"/>
          <w:szCs w:val="24"/>
        </w:rPr>
        <w:t>‘</w:t>
      </w:r>
      <w:r w:rsidR="00D5396E" w:rsidRPr="00D2208F">
        <w:rPr>
          <w:sz w:val="24"/>
          <w:szCs w:val="24"/>
        </w:rPr>
        <w:t>high</w:t>
      </w:r>
      <w:r w:rsidR="007B2E14">
        <w:rPr>
          <w:sz w:val="24"/>
          <w:szCs w:val="24"/>
        </w:rPr>
        <w:t>’</w:t>
      </w:r>
      <w:r w:rsidR="00D5396E" w:rsidRPr="00D2208F">
        <w:rPr>
          <w:sz w:val="24"/>
          <w:szCs w:val="24"/>
        </w:rPr>
        <w:t xml:space="preserve"> or </w:t>
      </w:r>
      <w:r w:rsidR="007B2E14">
        <w:rPr>
          <w:sz w:val="24"/>
          <w:szCs w:val="24"/>
        </w:rPr>
        <w:t>‘</w:t>
      </w:r>
      <w:r w:rsidR="00D5396E" w:rsidRPr="00D2208F">
        <w:rPr>
          <w:sz w:val="24"/>
          <w:szCs w:val="24"/>
        </w:rPr>
        <w:t>low</w:t>
      </w:r>
      <w:r w:rsidR="007B2E14">
        <w:rPr>
          <w:sz w:val="24"/>
          <w:szCs w:val="24"/>
        </w:rPr>
        <w:t>’</w:t>
      </w:r>
      <w:r w:rsidR="00D5396E" w:rsidRPr="00D2208F">
        <w:rPr>
          <w:sz w:val="24"/>
          <w:szCs w:val="24"/>
        </w:rPr>
        <w:t xml:space="preserve"> ability. </w:t>
      </w:r>
      <w:r w:rsidR="00D25FE3">
        <w:rPr>
          <w:sz w:val="24"/>
          <w:szCs w:val="24"/>
        </w:rPr>
        <w:t>W</w:t>
      </w:r>
      <w:r w:rsidR="00D25FE3" w:rsidRPr="00D2208F">
        <w:rPr>
          <w:sz w:val="24"/>
          <w:szCs w:val="24"/>
        </w:rPr>
        <w:t>hile</w:t>
      </w:r>
      <w:r w:rsidR="00D25FE3" w:rsidRPr="000C1192">
        <w:rPr>
          <w:sz w:val="24"/>
          <w:szCs w:val="24"/>
        </w:rPr>
        <w:t xml:space="preserve"> </w:t>
      </w:r>
      <w:r w:rsidR="00D5396E" w:rsidRPr="000C1192">
        <w:rPr>
          <w:sz w:val="24"/>
          <w:szCs w:val="24"/>
        </w:rPr>
        <w:t>H</w:t>
      </w:r>
      <w:r w:rsidR="002E3506">
        <w:rPr>
          <w:sz w:val="24"/>
          <w:szCs w:val="24"/>
        </w:rPr>
        <w:t>oD</w:t>
      </w:r>
      <w:r>
        <w:rPr>
          <w:sz w:val="24"/>
          <w:szCs w:val="24"/>
        </w:rPr>
        <w:t>s</w:t>
      </w:r>
      <w:r w:rsidR="009C53B9">
        <w:rPr>
          <w:sz w:val="24"/>
          <w:szCs w:val="24"/>
        </w:rPr>
        <w:t xml:space="preserve"> </w:t>
      </w:r>
      <w:r w:rsidR="00D5396E" w:rsidRPr="00D2208F">
        <w:rPr>
          <w:sz w:val="24"/>
          <w:szCs w:val="24"/>
        </w:rPr>
        <w:t xml:space="preserve">wished to attract students to </w:t>
      </w:r>
      <w:r w:rsidR="006C57CD">
        <w:rPr>
          <w:sz w:val="24"/>
          <w:szCs w:val="24"/>
        </w:rPr>
        <w:t>study</w:t>
      </w:r>
      <w:r w:rsidR="00D5396E" w:rsidRPr="00D2208F">
        <w:rPr>
          <w:sz w:val="24"/>
          <w:szCs w:val="24"/>
        </w:rPr>
        <w:t xml:space="preserve"> their subjects in </w:t>
      </w:r>
      <w:r w:rsidR="00CE71C5">
        <w:rPr>
          <w:sz w:val="24"/>
          <w:szCs w:val="24"/>
        </w:rPr>
        <w:t>KS4</w:t>
      </w:r>
      <w:r w:rsidR="00D5396E" w:rsidRPr="00D2208F">
        <w:rPr>
          <w:sz w:val="24"/>
          <w:szCs w:val="24"/>
        </w:rPr>
        <w:t xml:space="preserve">, this was often qualified in terms of a student’s perceived ability to achieve in the </w:t>
      </w:r>
      <w:r w:rsidR="00D5396E" w:rsidRPr="00D2208F">
        <w:rPr>
          <w:sz w:val="24"/>
          <w:szCs w:val="24"/>
        </w:rPr>
        <w:lastRenderedPageBreak/>
        <w:t>subject</w:t>
      </w:r>
      <w:r>
        <w:rPr>
          <w:sz w:val="24"/>
          <w:szCs w:val="24"/>
        </w:rPr>
        <w:t>,</w:t>
      </w:r>
      <w:r w:rsidR="00D5396E" w:rsidRPr="00D2208F">
        <w:rPr>
          <w:sz w:val="24"/>
          <w:szCs w:val="24"/>
        </w:rPr>
        <w:t xml:space="preserve"> therefore staff wanted the </w:t>
      </w:r>
      <w:r w:rsidR="007B2E14">
        <w:rPr>
          <w:sz w:val="24"/>
          <w:szCs w:val="24"/>
        </w:rPr>
        <w:t>‘</w:t>
      </w:r>
      <w:r w:rsidR="00D5396E" w:rsidRPr="00D2208F">
        <w:rPr>
          <w:sz w:val="24"/>
          <w:szCs w:val="24"/>
        </w:rPr>
        <w:t>right</w:t>
      </w:r>
      <w:r w:rsidR="007B2E14">
        <w:rPr>
          <w:sz w:val="24"/>
          <w:szCs w:val="24"/>
        </w:rPr>
        <w:t>’</w:t>
      </w:r>
      <w:r w:rsidR="00D5396E" w:rsidRPr="00D2208F">
        <w:rPr>
          <w:sz w:val="24"/>
          <w:szCs w:val="24"/>
        </w:rPr>
        <w:t xml:space="preserve"> type of student</w:t>
      </w:r>
      <w:r>
        <w:rPr>
          <w:sz w:val="24"/>
          <w:szCs w:val="24"/>
        </w:rPr>
        <w:t>s in their classes</w:t>
      </w:r>
      <w:r w:rsidR="00D5396E" w:rsidRPr="00D2208F">
        <w:rPr>
          <w:sz w:val="24"/>
          <w:szCs w:val="24"/>
        </w:rPr>
        <w:t xml:space="preserve">. </w:t>
      </w:r>
      <w:r w:rsidR="00DD4606">
        <w:rPr>
          <w:sz w:val="24"/>
          <w:szCs w:val="24"/>
        </w:rPr>
        <w:t>T</w:t>
      </w:r>
      <w:r w:rsidR="00D5396E" w:rsidRPr="00D2208F">
        <w:rPr>
          <w:sz w:val="24"/>
          <w:szCs w:val="24"/>
        </w:rPr>
        <w:t xml:space="preserve">his desire </w:t>
      </w:r>
      <w:r w:rsidR="00DD4606">
        <w:rPr>
          <w:sz w:val="24"/>
          <w:szCs w:val="24"/>
        </w:rPr>
        <w:t xml:space="preserve">was directed by the </w:t>
      </w:r>
      <w:r w:rsidR="00D5396E" w:rsidRPr="00D2208F">
        <w:rPr>
          <w:sz w:val="24"/>
          <w:szCs w:val="24"/>
        </w:rPr>
        <w:t>necessity to achieve a grade C</w:t>
      </w:r>
      <w:r w:rsidR="009A68A0">
        <w:rPr>
          <w:sz w:val="24"/>
          <w:szCs w:val="24"/>
        </w:rPr>
        <w:t xml:space="preserve"> </w:t>
      </w:r>
      <w:r w:rsidR="000D3D1E">
        <w:rPr>
          <w:sz w:val="24"/>
          <w:szCs w:val="24"/>
        </w:rPr>
        <w:t xml:space="preserve">or above </w:t>
      </w:r>
      <w:r w:rsidR="009A68A0">
        <w:rPr>
          <w:sz w:val="24"/>
          <w:szCs w:val="24"/>
        </w:rPr>
        <w:t>to attain the EBac (p.7)</w:t>
      </w:r>
      <w:r w:rsidR="00D5396E" w:rsidRPr="00D2208F">
        <w:rPr>
          <w:sz w:val="24"/>
          <w:szCs w:val="24"/>
        </w:rPr>
        <w:t xml:space="preserve">. </w:t>
      </w:r>
      <w:r w:rsidR="000D3D1E">
        <w:rPr>
          <w:sz w:val="24"/>
          <w:szCs w:val="24"/>
        </w:rPr>
        <w:t>One</w:t>
      </w:r>
      <w:r w:rsidR="00D5396E" w:rsidRPr="00D2208F">
        <w:rPr>
          <w:sz w:val="24"/>
          <w:szCs w:val="24"/>
        </w:rPr>
        <w:t xml:space="preserve"> </w:t>
      </w:r>
      <w:r w:rsidR="00D5396E" w:rsidRPr="000C1192">
        <w:rPr>
          <w:sz w:val="24"/>
          <w:szCs w:val="24"/>
        </w:rPr>
        <w:t>H</w:t>
      </w:r>
      <w:r w:rsidR="002E3506">
        <w:rPr>
          <w:sz w:val="24"/>
          <w:szCs w:val="24"/>
        </w:rPr>
        <w:t>oD</w:t>
      </w:r>
      <w:r w:rsidR="00D5396E" w:rsidRPr="000C1192">
        <w:rPr>
          <w:sz w:val="24"/>
          <w:szCs w:val="24"/>
        </w:rPr>
        <w:t xml:space="preserve"> acknowledged this as a </w:t>
      </w:r>
      <w:r w:rsidR="009C53B9">
        <w:rPr>
          <w:sz w:val="24"/>
          <w:szCs w:val="24"/>
        </w:rPr>
        <w:t xml:space="preserve">key </w:t>
      </w:r>
      <w:r w:rsidR="00D5396E" w:rsidRPr="000C1192">
        <w:rPr>
          <w:sz w:val="24"/>
          <w:szCs w:val="24"/>
        </w:rPr>
        <w:t xml:space="preserve">issue. </w:t>
      </w:r>
    </w:p>
    <w:p w14:paraId="31B8EB22" w14:textId="74A0E588" w:rsidR="002D2B32" w:rsidRDefault="00D5396E" w:rsidP="00531995">
      <w:pPr>
        <w:spacing w:after="240" w:line="240" w:lineRule="auto"/>
        <w:ind w:left="360"/>
        <w:rPr>
          <w:sz w:val="24"/>
          <w:szCs w:val="24"/>
        </w:rPr>
      </w:pPr>
      <w:r w:rsidRPr="000C1192">
        <w:rPr>
          <w:sz w:val="24"/>
          <w:szCs w:val="24"/>
        </w:rPr>
        <w:t>I think that we felt a lot of pressure, whereas before we would be striving to get the students through on their potential … if they don’t get a C or above then they don’t get the Baccalaureate and then it is classed as a failing department (</w:t>
      </w:r>
      <w:r w:rsidR="00DD4606">
        <w:rPr>
          <w:sz w:val="24"/>
          <w:szCs w:val="24"/>
        </w:rPr>
        <w:t>Annie</w:t>
      </w:r>
      <w:r w:rsidR="005047B6">
        <w:rPr>
          <w:sz w:val="24"/>
          <w:szCs w:val="24"/>
        </w:rPr>
        <w:t>,</w:t>
      </w:r>
      <w:r w:rsidR="009C53B9">
        <w:rPr>
          <w:sz w:val="24"/>
          <w:szCs w:val="24"/>
        </w:rPr>
        <w:t xml:space="preserve"> </w:t>
      </w:r>
      <w:r w:rsidR="005047B6">
        <w:rPr>
          <w:sz w:val="24"/>
          <w:szCs w:val="24"/>
        </w:rPr>
        <w:t>Redfield/</w:t>
      </w:r>
      <w:r w:rsidR="009C53B9">
        <w:rPr>
          <w:sz w:val="24"/>
          <w:szCs w:val="24"/>
        </w:rPr>
        <w:t>HoD</w:t>
      </w:r>
      <w:r w:rsidR="005047B6">
        <w:rPr>
          <w:sz w:val="24"/>
          <w:szCs w:val="24"/>
        </w:rPr>
        <w:t>/</w:t>
      </w:r>
      <w:r w:rsidR="009C53B9">
        <w:rPr>
          <w:sz w:val="24"/>
          <w:szCs w:val="24"/>
        </w:rPr>
        <w:t>EBac</w:t>
      </w:r>
      <w:r w:rsidR="00DD4606">
        <w:rPr>
          <w:sz w:val="24"/>
          <w:szCs w:val="24"/>
        </w:rPr>
        <w:t xml:space="preserve">, </w:t>
      </w:r>
      <w:r w:rsidRPr="000C1192">
        <w:rPr>
          <w:sz w:val="24"/>
          <w:szCs w:val="24"/>
        </w:rPr>
        <w:t>p.9).</w:t>
      </w:r>
    </w:p>
    <w:p w14:paraId="09D20171" w14:textId="5B64F0FF" w:rsidR="00D5396E" w:rsidRDefault="00D5396E" w:rsidP="00531995">
      <w:pPr>
        <w:spacing w:after="240" w:line="360" w:lineRule="auto"/>
        <w:rPr>
          <w:sz w:val="24"/>
          <w:szCs w:val="24"/>
        </w:rPr>
      </w:pPr>
      <w:r w:rsidRPr="000C1192">
        <w:rPr>
          <w:sz w:val="24"/>
          <w:szCs w:val="24"/>
        </w:rPr>
        <w:t xml:space="preserve">Jane </w:t>
      </w:r>
      <w:r w:rsidR="009C53B9">
        <w:rPr>
          <w:sz w:val="24"/>
          <w:szCs w:val="24"/>
        </w:rPr>
        <w:t>(</w:t>
      </w:r>
      <w:r w:rsidR="005047B6">
        <w:rPr>
          <w:sz w:val="24"/>
          <w:szCs w:val="24"/>
        </w:rPr>
        <w:t>Purplefield/</w:t>
      </w:r>
      <w:r w:rsidR="009C53B9">
        <w:rPr>
          <w:sz w:val="24"/>
          <w:szCs w:val="24"/>
        </w:rPr>
        <w:t xml:space="preserve">DH) </w:t>
      </w:r>
      <w:r w:rsidRPr="000C1192">
        <w:rPr>
          <w:sz w:val="24"/>
          <w:szCs w:val="24"/>
        </w:rPr>
        <w:t xml:space="preserve">also commented that sometimes students opted not to </w:t>
      </w:r>
      <w:r w:rsidR="001D565B">
        <w:rPr>
          <w:sz w:val="24"/>
          <w:szCs w:val="24"/>
        </w:rPr>
        <w:t>study</w:t>
      </w:r>
      <w:r w:rsidRPr="000C1192">
        <w:rPr>
          <w:sz w:val="24"/>
          <w:szCs w:val="24"/>
        </w:rPr>
        <w:t xml:space="preserve"> a </w:t>
      </w:r>
      <w:r w:rsidR="00D1483F">
        <w:rPr>
          <w:sz w:val="24"/>
          <w:szCs w:val="24"/>
        </w:rPr>
        <w:t>l</w:t>
      </w:r>
      <w:r w:rsidRPr="000C1192">
        <w:rPr>
          <w:sz w:val="24"/>
          <w:szCs w:val="24"/>
        </w:rPr>
        <w:t xml:space="preserve">anguage as they felt that they had a better chance of getting a grade C or above in a different subject. </w:t>
      </w:r>
      <w:r w:rsidR="009C53B9">
        <w:rPr>
          <w:sz w:val="24"/>
          <w:szCs w:val="24"/>
        </w:rPr>
        <w:t>I suggest that b</w:t>
      </w:r>
      <w:r w:rsidRPr="000C1192">
        <w:rPr>
          <w:sz w:val="24"/>
          <w:szCs w:val="24"/>
        </w:rPr>
        <w:t xml:space="preserve">oth </w:t>
      </w:r>
      <w:r w:rsidR="00D1483F">
        <w:rPr>
          <w:sz w:val="24"/>
          <w:szCs w:val="24"/>
        </w:rPr>
        <w:t xml:space="preserve">of these </w:t>
      </w:r>
      <w:r w:rsidRPr="000C1192">
        <w:rPr>
          <w:sz w:val="24"/>
          <w:szCs w:val="24"/>
        </w:rPr>
        <w:t>consequences were not considered when the EBac</w:t>
      </w:r>
      <w:r w:rsidR="00D1483F">
        <w:rPr>
          <w:sz w:val="24"/>
          <w:szCs w:val="24"/>
        </w:rPr>
        <w:t xml:space="preserve"> policy</w:t>
      </w:r>
      <w:r w:rsidRPr="000C1192">
        <w:rPr>
          <w:sz w:val="24"/>
          <w:szCs w:val="24"/>
        </w:rPr>
        <w:t xml:space="preserve"> was conceived.</w:t>
      </w:r>
      <w:r w:rsidR="00B14E80">
        <w:rPr>
          <w:sz w:val="24"/>
          <w:szCs w:val="24"/>
        </w:rPr>
        <w:t xml:space="preserve"> Data held on students, particular</w:t>
      </w:r>
      <w:r w:rsidR="00D1483F">
        <w:rPr>
          <w:sz w:val="24"/>
          <w:szCs w:val="24"/>
        </w:rPr>
        <w:t>ly</w:t>
      </w:r>
      <w:r w:rsidR="00B14E80">
        <w:rPr>
          <w:sz w:val="24"/>
          <w:szCs w:val="24"/>
        </w:rPr>
        <w:t xml:space="preserve"> data on achievement on entry to the school and </w:t>
      </w:r>
      <w:r w:rsidR="008F20E8">
        <w:rPr>
          <w:sz w:val="24"/>
          <w:szCs w:val="24"/>
        </w:rPr>
        <w:t>indicat</w:t>
      </w:r>
      <w:r w:rsidR="00D1483F">
        <w:rPr>
          <w:sz w:val="24"/>
          <w:szCs w:val="24"/>
        </w:rPr>
        <w:t>or</w:t>
      </w:r>
      <w:r w:rsidR="008F20E8">
        <w:rPr>
          <w:sz w:val="24"/>
          <w:szCs w:val="24"/>
        </w:rPr>
        <w:t>s</w:t>
      </w:r>
      <w:r w:rsidR="00B14E80">
        <w:rPr>
          <w:sz w:val="24"/>
          <w:szCs w:val="24"/>
        </w:rPr>
        <w:t xml:space="preserve"> </w:t>
      </w:r>
      <w:r w:rsidR="00D1483F">
        <w:rPr>
          <w:sz w:val="24"/>
          <w:szCs w:val="24"/>
        </w:rPr>
        <w:t xml:space="preserve">of </w:t>
      </w:r>
      <w:r w:rsidR="00B14E80">
        <w:rPr>
          <w:sz w:val="24"/>
          <w:szCs w:val="24"/>
        </w:rPr>
        <w:t>likely outcomes at the end</w:t>
      </w:r>
      <w:r w:rsidR="00362B7A">
        <w:rPr>
          <w:sz w:val="24"/>
          <w:szCs w:val="24"/>
        </w:rPr>
        <w:t xml:space="preserve"> of secondary education</w:t>
      </w:r>
      <w:r w:rsidR="00D1483F">
        <w:rPr>
          <w:sz w:val="24"/>
          <w:szCs w:val="24"/>
        </w:rPr>
        <w:t>,</w:t>
      </w:r>
      <w:r w:rsidR="00362B7A">
        <w:rPr>
          <w:sz w:val="24"/>
          <w:szCs w:val="24"/>
        </w:rPr>
        <w:t xml:space="preserve"> appear</w:t>
      </w:r>
      <w:r w:rsidR="00B14E80">
        <w:rPr>
          <w:sz w:val="24"/>
          <w:szCs w:val="24"/>
        </w:rPr>
        <w:t xml:space="preserve"> to play a large part in how teachers assess student ability. In this way</w:t>
      </w:r>
      <w:r w:rsidR="00330C05">
        <w:rPr>
          <w:sz w:val="24"/>
          <w:szCs w:val="24"/>
        </w:rPr>
        <w:t>,</w:t>
      </w:r>
      <w:r w:rsidR="00B14E80">
        <w:rPr>
          <w:sz w:val="24"/>
          <w:szCs w:val="24"/>
        </w:rPr>
        <w:t xml:space="preserve"> as suggested by Rose (1999)</w:t>
      </w:r>
      <w:r w:rsidR="00330C05">
        <w:rPr>
          <w:sz w:val="24"/>
          <w:szCs w:val="24"/>
        </w:rPr>
        <w:t>,</w:t>
      </w:r>
      <w:r w:rsidR="00B14E80">
        <w:rPr>
          <w:sz w:val="24"/>
          <w:szCs w:val="24"/>
        </w:rPr>
        <w:t xml:space="preserve"> choices and decisions appear </w:t>
      </w:r>
      <w:r w:rsidR="00330C05">
        <w:rPr>
          <w:sz w:val="24"/>
          <w:szCs w:val="24"/>
        </w:rPr>
        <w:t>to be</w:t>
      </w:r>
      <w:r w:rsidR="00B14E80">
        <w:rPr>
          <w:sz w:val="24"/>
          <w:szCs w:val="24"/>
        </w:rPr>
        <w:t xml:space="preserve"> individual actions</w:t>
      </w:r>
      <w:r w:rsidR="00330C05">
        <w:rPr>
          <w:sz w:val="24"/>
          <w:szCs w:val="24"/>
        </w:rPr>
        <w:t>,</w:t>
      </w:r>
      <w:r w:rsidR="00B14E80">
        <w:rPr>
          <w:sz w:val="24"/>
          <w:szCs w:val="24"/>
        </w:rPr>
        <w:t xml:space="preserve"> but are in fact governed and are evidence of self-surveillance and internalised behaviour (see </w:t>
      </w:r>
      <w:r w:rsidR="00330C05">
        <w:rPr>
          <w:sz w:val="24"/>
          <w:szCs w:val="24"/>
        </w:rPr>
        <w:t>S</w:t>
      </w:r>
      <w:r w:rsidR="00B14E80">
        <w:rPr>
          <w:sz w:val="24"/>
          <w:szCs w:val="24"/>
        </w:rPr>
        <w:t>ection 2.7)</w:t>
      </w:r>
      <w:r w:rsidR="00362B7A">
        <w:rPr>
          <w:sz w:val="24"/>
          <w:szCs w:val="24"/>
        </w:rPr>
        <w:t xml:space="preserve">. </w:t>
      </w:r>
      <w:r w:rsidR="00330C05">
        <w:rPr>
          <w:sz w:val="24"/>
          <w:szCs w:val="24"/>
        </w:rPr>
        <w:t>E</w:t>
      </w:r>
      <w:r w:rsidR="00362B7A">
        <w:rPr>
          <w:sz w:val="24"/>
          <w:szCs w:val="24"/>
        </w:rPr>
        <w:t>xpert professional</w:t>
      </w:r>
      <w:r w:rsidR="00330C05">
        <w:rPr>
          <w:sz w:val="24"/>
          <w:szCs w:val="24"/>
        </w:rPr>
        <w:t>s</w:t>
      </w:r>
      <w:r w:rsidR="00362B7A">
        <w:rPr>
          <w:sz w:val="24"/>
          <w:szCs w:val="24"/>
        </w:rPr>
        <w:t>, in this case teacher</w:t>
      </w:r>
      <w:r w:rsidR="00330C05">
        <w:rPr>
          <w:sz w:val="24"/>
          <w:szCs w:val="24"/>
        </w:rPr>
        <w:t>s,</w:t>
      </w:r>
      <w:r w:rsidR="00362B7A">
        <w:rPr>
          <w:sz w:val="24"/>
          <w:szCs w:val="24"/>
        </w:rPr>
        <w:t xml:space="preserve"> then make decision</w:t>
      </w:r>
      <w:r w:rsidR="00330C05">
        <w:rPr>
          <w:sz w:val="24"/>
          <w:szCs w:val="24"/>
        </w:rPr>
        <w:t>s</w:t>
      </w:r>
      <w:r w:rsidR="00362B7A">
        <w:rPr>
          <w:sz w:val="24"/>
          <w:szCs w:val="24"/>
        </w:rPr>
        <w:t xml:space="preserve"> based on this data (Billington</w:t>
      </w:r>
      <w:r w:rsidR="00330C05">
        <w:rPr>
          <w:sz w:val="24"/>
          <w:szCs w:val="24"/>
        </w:rPr>
        <w:t>,</w:t>
      </w:r>
      <w:r w:rsidR="00362B7A">
        <w:rPr>
          <w:sz w:val="24"/>
          <w:szCs w:val="24"/>
        </w:rPr>
        <w:t xml:space="preserve"> 2000), which impact</w:t>
      </w:r>
      <w:r w:rsidR="00330C05">
        <w:rPr>
          <w:sz w:val="24"/>
          <w:szCs w:val="24"/>
        </w:rPr>
        <w:t>s</w:t>
      </w:r>
      <w:r w:rsidR="00362B7A">
        <w:rPr>
          <w:sz w:val="24"/>
          <w:szCs w:val="24"/>
        </w:rPr>
        <w:t xml:space="preserve"> on the selection or otherwise of the EBac.</w:t>
      </w:r>
    </w:p>
    <w:p w14:paraId="5851C994" w14:textId="5805EB9C" w:rsidR="00D5396E" w:rsidRPr="00582F8F" w:rsidRDefault="008F20E8" w:rsidP="00D5396E">
      <w:pPr>
        <w:spacing w:line="360" w:lineRule="auto"/>
        <w:rPr>
          <w:sz w:val="24"/>
          <w:szCs w:val="24"/>
        </w:rPr>
      </w:pPr>
      <w:r>
        <w:rPr>
          <w:sz w:val="24"/>
          <w:szCs w:val="24"/>
        </w:rPr>
        <w:t>T</w:t>
      </w:r>
      <w:r w:rsidR="003521FF">
        <w:rPr>
          <w:sz w:val="24"/>
          <w:szCs w:val="24"/>
        </w:rPr>
        <w:t>he EBac requirement for students to</w:t>
      </w:r>
      <w:r w:rsidR="009C53B9">
        <w:rPr>
          <w:sz w:val="24"/>
          <w:szCs w:val="24"/>
        </w:rPr>
        <w:t xml:space="preserve"> gain</w:t>
      </w:r>
      <w:r w:rsidR="003521FF">
        <w:rPr>
          <w:sz w:val="24"/>
          <w:szCs w:val="24"/>
        </w:rPr>
        <w:t xml:space="preserve"> at least a grade C </w:t>
      </w:r>
      <w:r w:rsidR="009C53B9">
        <w:rPr>
          <w:sz w:val="24"/>
          <w:szCs w:val="24"/>
        </w:rPr>
        <w:t xml:space="preserve">to achieve the EBac </w:t>
      </w:r>
      <w:r w:rsidR="003521FF">
        <w:rPr>
          <w:sz w:val="24"/>
          <w:szCs w:val="24"/>
        </w:rPr>
        <w:t>create</w:t>
      </w:r>
      <w:r w:rsidR="00547F7B">
        <w:rPr>
          <w:sz w:val="24"/>
          <w:szCs w:val="24"/>
        </w:rPr>
        <w:t>d</w:t>
      </w:r>
      <w:r w:rsidR="003521FF">
        <w:rPr>
          <w:sz w:val="24"/>
          <w:szCs w:val="24"/>
        </w:rPr>
        <w:t xml:space="preserve"> a contradictory position</w:t>
      </w:r>
      <w:r w:rsidR="00330C05">
        <w:rPr>
          <w:sz w:val="24"/>
          <w:szCs w:val="24"/>
        </w:rPr>
        <w:t xml:space="preserve">, with </w:t>
      </w:r>
      <w:r w:rsidR="003521FF">
        <w:rPr>
          <w:sz w:val="24"/>
          <w:szCs w:val="24"/>
        </w:rPr>
        <w:t>staff want</w:t>
      </w:r>
      <w:r w:rsidR="00330C05">
        <w:rPr>
          <w:sz w:val="24"/>
          <w:szCs w:val="24"/>
        </w:rPr>
        <w:t>ing</w:t>
      </w:r>
      <w:r w:rsidR="003521FF">
        <w:rPr>
          <w:sz w:val="24"/>
          <w:szCs w:val="24"/>
        </w:rPr>
        <w:t xml:space="preserve"> the maximum number of students to </w:t>
      </w:r>
      <w:r w:rsidR="00547F7B">
        <w:rPr>
          <w:sz w:val="24"/>
          <w:szCs w:val="24"/>
        </w:rPr>
        <w:t xml:space="preserve">study </w:t>
      </w:r>
      <w:r w:rsidR="003521FF">
        <w:rPr>
          <w:sz w:val="24"/>
          <w:szCs w:val="24"/>
        </w:rPr>
        <w:t>EBac subjects</w:t>
      </w:r>
      <w:r w:rsidR="00547F7B">
        <w:rPr>
          <w:sz w:val="24"/>
          <w:szCs w:val="24"/>
        </w:rPr>
        <w:t>,</w:t>
      </w:r>
      <w:r w:rsidR="003521FF">
        <w:rPr>
          <w:sz w:val="24"/>
          <w:szCs w:val="24"/>
        </w:rPr>
        <w:t xml:space="preserve"> but only those deemed </w:t>
      </w:r>
      <w:r w:rsidR="00955930">
        <w:rPr>
          <w:sz w:val="24"/>
          <w:szCs w:val="24"/>
        </w:rPr>
        <w:t>‘</w:t>
      </w:r>
      <w:r w:rsidR="003521FF">
        <w:rPr>
          <w:sz w:val="24"/>
          <w:szCs w:val="24"/>
        </w:rPr>
        <w:t>capable</w:t>
      </w:r>
      <w:r w:rsidR="00955930">
        <w:rPr>
          <w:sz w:val="24"/>
          <w:szCs w:val="24"/>
        </w:rPr>
        <w:t>’</w:t>
      </w:r>
      <w:r w:rsidR="003521FF">
        <w:rPr>
          <w:sz w:val="24"/>
          <w:szCs w:val="24"/>
        </w:rPr>
        <w:t xml:space="preserve"> of achieving </w:t>
      </w:r>
      <w:r w:rsidR="00547F7B">
        <w:rPr>
          <w:sz w:val="24"/>
          <w:szCs w:val="24"/>
        </w:rPr>
        <w:t xml:space="preserve">a grade C or above. </w:t>
      </w:r>
      <w:r w:rsidR="00F06F5C">
        <w:rPr>
          <w:sz w:val="24"/>
          <w:szCs w:val="24"/>
        </w:rPr>
        <w:t xml:space="preserve">This dilemma enhanced differentiation between students </w:t>
      </w:r>
      <w:r w:rsidR="00330C05">
        <w:rPr>
          <w:sz w:val="24"/>
          <w:szCs w:val="24"/>
        </w:rPr>
        <w:t xml:space="preserve">based on </w:t>
      </w:r>
      <w:r w:rsidR="00F06F5C">
        <w:rPr>
          <w:sz w:val="24"/>
          <w:szCs w:val="24"/>
        </w:rPr>
        <w:t>perceived abilities and reinforce</w:t>
      </w:r>
      <w:r w:rsidR="00330C05">
        <w:rPr>
          <w:sz w:val="24"/>
          <w:szCs w:val="24"/>
        </w:rPr>
        <w:t>d</w:t>
      </w:r>
      <w:r w:rsidR="00F06F5C">
        <w:rPr>
          <w:sz w:val="24"/>
          <w:szCs w:val="24"/>
        </w:rPr>
        <w:t xml:space="preserve"> the academic hierarchy </w:t>
      </w:r>
      <w:r w:rsidR="00330C05">
        <w:rPr>
          <w:sz w:val="24"/>
          <w:szCs w:val="24"/>
        </w:rPr>
        <w:t xml:space="preserve">in existence </w:t>
      </w:r>
      <w:r w:rsidR="00F06F5C">
        <w:rPr>
          <w:sz w:val="24"/>
          <w:szCs w:val="24"/>
        </w:rPr>
        <w:t xml:space="preserve">between those who are seen to be academically successful and those who are not. </w:t>
      </w:r>
      <w:r w:rsidR="00D5396E" w:rsidRPr="000C1192">
        <w:rPr>
          <w:sz w:val="24"/>
          <w:szCs w:val="24"/>
        </w:rPr>
        <w:t>While I have located perceived differences in student ability under the theme of differentiation and hierarchy, this also links closely to the theme of choice and resistance.</w:t>
      </w:r>
    </w:p>
    <w:p w14:paraId="54AF1EBD" w14:textId="43E640BF" w:rsidR="00D5396E" w:rsidRPr="00582F8F" w:rsidRDefault="00EF348C" w:rsidP="00531995">
      <w:pPr>
        <w:pStyle w:val="Heading3"/>
      </w:pPr>
      <w:bookmarkStart w:id="98" w:name="_Toc452316381"/>
      <w:r>
        <w:t xml:space="preserve">4.4.3 </w:t>
      </w:r>
      <w:r w:rsidR="00D5396E" w:rsidRPr="000930A7">
        <w:t>Choice and resistance</w:t>
      </w:r>
      <w:bookmarkEnd w:id="98"/>
      <w:r w:rsidR="00D5396E" w:rsidRPr="000C1192">
        <w:t xml:space="preserve">  </w:t>
      </w:r>
    </w:p>
    <w:p w14:paraId="5D3B08AF" w14:textId="421C894A" w:rsidR="00D5396E" w:rsidRDefault="00D5396E" w:rsidP="006A0CD7">
      <w:pPr>
        <w:tabs>
          <w:tab w:val="left" w:pos="8505"/>
        </w:tabs>
        <w:spacing w:after="0" w:line="360" w:lineRule="auto"/>
        <w:rPr>
          <w:sz w:val="24"/>
          <w:szCs w:val="24"/>
        </w:rPr>
      </w:pPr>
      <w:r w:rsidRPr="000C1192">
        <w:rPr>
          <w:sz w:val="24"/>
          <w:szCs w:val="24"/>
        </w:rPr>
        <w:t xml:space="preserve">This theme encompasses a range of </w:t>
      </w:r>
      <w:r w:rsidR="00547F7B">
        <w:rPr>
          <w:sz w:val="24"/>
          <w:szCs w:val="24"/>
        </w:rPr>
        <w:t xml:space="preserve">interview </w:t>
      </w:r>
      <w:r w:rsidRPr="000C1192">
        <w:rPr>
          <w:sz w:val="24"/>
          <w:szCs w:val="24"/>
        </w:rPr>
        <w:t>coding categories</w:t>
      </w:r>
      <w:r w:rsidR="00403837">
        <w:rPr>
          <w:sz w:val="24"/>
          <w:szCs w:val="24"/>
        </w:rPr>
        <w:t>,</w:t>
      </w:r>
      <w:r w:rsidR="008724CB">
        <w:rPr>
          <w:sz w:val="24"/>
          <w:szCs w:val="24"/>
        </w:rPr>
        <w:t xml:space="preserve"> </w:t>
      </w:r>
      <w:r w:rsidRPr="000C1192">
        <w:rPr>
          <w:sz w:val="24"/>
          <w:szCs w:val="24"/>
        </w:rPr>
        <w:t>includ</w:t>
      </w:r>
      <w:r w:rsidR="008724CB">
        <w:rPr>
          <w:sz w:val="24"/>
          <w:szCs w:val="24"/>
        </w:rPr>
        <w:t>ing</w:t>
      </w:r>
      <w:r w:rsidRPr="000C1192">
        <w:rPr>
          <w:sz w:val="24"/>
          <w:szCs w:val="24"/>
        </w:rPr>
        <w:t xml:space="preserve">: </w:t>
      </w:r>
      <w:r w:rsidR="007E0ADE">
        <w:rPr>
          <w:sz w:val="24"/>
          <w:szCs w:val="24"/>
        </w:rPr>
        <w:t xml:space="preserve">school staff </w:t>
      </w:r>
      <w:r w:rsidRPr="000C1192">
        <w:rPr>
          <w:sz w:val="24"/>
          <w:szCs w:val="24"/>
        </w:rPr>
        <w:t xml:space="preserve">decisions </w:t>
      </w:r>
      <w:r w:rsidR="00A27CD8">
        <w:rPr>
          <w:sz w:val="24"/>
          <w:szCs w:val="24"/>
        </w:rPr>
        <w:t xml:space="preserve">to implement the EBac </w:t>
      </w:r>
      <w:r w:rsidR="007E0ADE">
        <w:rPr>
          <w:sz w:val="24"/>
          <w:szCs w:val="24"/>
        </w:rPr>
        <w:t>policy for</w:t>
      </w:r>
      <w:r w:rsidR="00A27CD8">
        <w:rPr>
          <w:sz w:val="24"/>
          <w:szCs w:val="24"/>
        </w:rPr>
        <w:t xml:space="preserve"> either all or some students</w:t>
      </w:r>
      <w:r w:rsidRPr="000C1192">
        <w:rPr>
          <w:sz w:val="24"/>
          <w:szCs w:val="24"/>
        </w:rPr>
        <w:t>;</w:t>
      </w:r>
      <w:r w:rsidR="005264AB">
        <w:rPr>
          <w:sz w:val="24"/>
          <w:szCs w:val="24"/>
        </w:rPr>
        <w:t xml:space="preserve"> </w:t>
      </w:r>
      <w:r w:rsidR="008724CB">
        <w:rPr>
          <w:sz w:val="24"/>
          <w:szCs w:val="24"/>
        </w:rPr>
        <w:t xml:space="preserve">teachers </w:t>
      </w:r>
      <w:r w:rsidRPr="000C1192">
        <w:rPr>
          <w:sz w:val="24"/>
          <w:szCs w:val="24"/>
        </w:rPr>
        <w:t xml:space="preserve">as gatekeepers </w:t>
      </w:r>
      <w:r w:rsidR="008724CB">
        <w:rPr>
          <w:sz w:val="24"/>
          <w:szCs w:val="24"/>
        </w:rPr>
        <w:t xml:space="preserve">and </w:t>
      </w:r>
      <w:r w:rsidRPr="000C1192">
        <w:rPr>
          <w:sz w:val="24"/>
          <w:szCs w:val="24"/>
        </w:rPr>
        <w:t xml:space="preserve">their ability to resist or at least modify or interpret the </w:t>
      </w:r>
      <w:r w:rsidR="00813E78">
        <w:rPr>
          <w:sz w:val="24"/>
          <w:szCs w:val="24"/>
        </w:rPr>
        <w:t>school</w:t>
      </w:r>
      <w:r w:rsidR="00F3344C">
        <w:rPr>
          <w:sz w:val="24"/>
          <w:szCs w:val="24"/>
        </w:rPr>
        <w:t>’s</w:t>
      </w:r>
      <w:r w:rsidR="00813E78">
        <w:rPr>
          <w:sz w:val="24"/>
          <w:szCs w:val="24"/>
        </w:rPr>
        <w:t xml:space="preserve"> adopted </w:t>
      </w:r>
      <w:r w:rsidRPr="000C1192">
        <w:rPr>
          <w:sz w:val="24"/>
          <w:szCs w:val="24"/>
        </w:rPr>
        <w:t>EBac</w:t>
      </w:r>
      <w:r w:rsidR="00A27CD8">
        <w:rPr>
          <w:sz w:val="24"/>
          <w:szCs w:val="24"/>
        </w:rPr>
        <w:t xml:space="preserve"> policy for some students</w:t>
      </w:r>
      <w:r w:rsidRPr="000C1192">
        <w:rPr>
          <w:sz w:val="24"/>
          <w:szCs w:val="24"/>
        </w:rPr>
        <w:t xml:space="preserve">; </w:t>
      </w:r>
      <w:r w:rsidR="001B7936">
        <w:rPr>
          <w:sz w:val="24"/>
          <w:szCs w:val="24"/>
        </w:rPr>
        <w:t>the impact of academy status</w:t>
      </w:r>
      <w:r w:rsidR="00501D6B">
        <w:rPr>
          <w:sz w:val="24"/>
          <w:szCs w:val="24"/>
        </w:rPr>
        <w:t xml:space="preserve"> and academic standing of the </w:t>
      </w:r>
      <w:r w:rsidR="00501D6B">
        <w:rPr>
          <w:sz w:val="24"/>
          <w:szCs w:val="24"/>
        </w:rPr>
        <w:lastRenderedPageBreak/>
        <w:t>school</w:t>
      </w:r>
      <w:r w:rsidR="00403837">
        <w:rPr>
          <w:sz w:val="24"/>
          <w:szCs w:val="24"/>
        </w:rPr>
        <w:t>,</w:t>
      </w:r>
      <w:r w:rsidR="00E24166">
        <w:rPr>
          <w:sz w:val="24"/>
          <w:szCs w:val="24"/>
        </w:rPr>
        <w:t xml:space="preserve"> and</w:t>
      </w:r>
      <w:r w:rsidR="001B7936">
        <w:rPr>
          <w:sz w:val="24"/>
          <w:szCs w:val="24"/>
        </w:rPr>
        <w:t xml:space="preserve"> </w:t>
      </w:r>
      <w:r w:rsidR="005264AB">
        <w:rPr>
          <w:sz w:val="24"/>
          <w:szCs w:val="24"/>
        </w:rPr>
        <w:t>finally</w:t>
      </w:r>
      <w:r w:rsidR="00403837">
        <w:rPr>
          <w:sz w:val="24"/>
          <w:szCs w:val="24"/>
        </w:rPr>
        <w:t>,</w:t>
      </w:r>
      <w:r w:rsidR="005264AB">
        <w:rPr>
          <w:sz w:val="24"/>
          <w:szCs w:val="24"/>
        </w:rPr>
        <w:t xml:space="preserve"> </w:t>
      </w:r>
      <w:r w:rsidR="001B7936">
        <w:rPr>
          <w:sz w:val="24"/>
          <w:szCs w:val="24"/>
        </w:rPr>
        <w:t>parent</w:t>
      </w:r>
      <w:r w:rsidR="00403837">
        <w:rPr>
          <w:sz w:val="24"/>
          <w:szCs w:val="24"/>
        </w:rPr>
        <w:t xml:space="preserve"> </w:t>
      </w:r>
      <w:r w:rsidR="001B7936">
        <w:rPr>
          <w:sz w:val="24"/>
          <w:szCs w:val="24"/>
        </w:rPr>
        <w:t xml:space="preserve">and student choice. </w:t>
      </w:r>
      <w:r w:rsidR="00CF1541">
        <w:rPr>
          <w:sz w:val="24"/>
          <w:szCs w:val="24"/>
        </w:rPr>
        <w:t xml:space="preserve">This theme </w:t>
      </w:r>
      <w:r w:rsidR="007E0ADE">
        <w:rPr>
          <w:sz w:val="24"/>
          <w:szCs w:val="24"/>
        </w:rPr>
        <w:t>of c</w:t>
      </w:r>
      <w:r w:rsidR="007E0ADE" w:rsidRPr="007E0ADE">
        <w:rPr>
          <w:sz w:val="24"/>
          <w:szCs w:val="24"/>
        </w:rPr>
        <w:t xml:space="preserve">hoice and </w:t>
      </w:r>
      <w:r w:rsidR="00813E78" w:rsidRPr="007E0ADE">
        <w:rPr>
          <w:sz w:val="24"/>
          <w:szCs w:val="24"/>
        </w:rPr>
        <w:t>resistance links</w:t>
      </w:r>
      <w:r w:rsidR="00CF1541">
        <w:rPr>
          <w:sz w:val="24"/>
          <w:szCs w:val="24"/>
        </w:rPr>
        <w:t xml:space="preserve"> to literature on social and cultural repro</w:t>
      </w:r>
      <w:r w:rsidR="005A398B">
        <w:rPr>
          <w:sz w:val="24"/>
          <w:szCs w:val="24"/>
        </w:rPr>
        <w:t>duction (Bowles and Gintis, 1976</w:t>
      </w:r>
      <w:r w:rsidR="00F3344C">
        <w:rPr>
          <w:sz w:val="24"/>
          <w:szCs w:val="24"/>
        </w:rPr>
        <w:t xml:space="preserve">; </w:t>
      </w:r>
      <w:r w:rsidR="00CF1541">
        <w:rPr>
          <w:sz w:val="24"/>
          <w:szCs w:val="24"/>
        </w:rPr>
        <w:t>Bourdieu and Passeron, 1977</w:t>
      </w:r>
      <w:r w:rsidR="00E24166">
        <w:rPr>
          <w:sz w:val="24"/>
          <w:szCs w:val="24"/>
        </w:rPr>
        <w:t>)</w:t>
      </w:r>
      <w:r w:rsidR="00CF1541">
        <w:rPr>
          <w:sz w:val="24"/>
          <w:szCs w:val="24"/>
        </w:rPr>
        <w:t xml:space="preserve"> and to areas of resistance </w:t>
      </w:r>
      <w:r w:rsidR="008F20E8">
        <w:rPr>
          <w:sz w:val="24"/>
          <w:szCs w:val="24"/>
        </w:rPr>
        <w:t>(</w:t>
      </w:r>
      <w:r w:rsidR="00CF1541">
        <w:rPr>
          <w:sz w:val="24"/>
          <w:szCs w:val="24"/>
        </w:rPr>
        <w:t>Willis</w:t>
      </w:r>
      <w:r w:rsidR="00F3344C">
        <w:rPr>
          <w:sz w:val="24"/>
          <w:szCs w:val="24"/>
        </w:rPr>
        <w:t>,</w:t>
      </w:r>
      <w:r w:rsidR="00CF1541">
        <w:rPr>
          <w:sz w:val="24"/>
          <w:szCs w:val="24"/>
        </w:rPr>
        <w:t xml:space="preserve"> 1977).</w:t>
      </w:r>
      <w:r w:rsidR="00CE4761">
        <w:rPr>
          <w:sz w:val="24"/>
          <w:szCs w:val="24"/>
        </w:rPr>
        <w:t xml:space="preserve"> </w:t>
      </w:r>
      <w:r w:rsidR="00F3344C">
        <w:rPr>
          <w:sz w:val="24"/>
          <w:szCs w:val="24"/>
        </w:rPr>
        <w:t>S</w:t>
      </w:r>
      <w:r w:rsidR="00755DFA">
        <w:rPr>
          <w:sz w:val="24"/>
          <w:szCs w:val="24"/>
        </w:rPr>
        <w:t>ome students and parents appeared to be able to exercise more choice over whether to take the EBac or not. Resistance came largely from teachers</w:t>
      </w:r>
      <w:r w:rsidR="00F3344C">
        <w:rPr>
          <w:sz w:val="24"/>
          <w:szCs w:val="24"/>
        </w:rPr>
        <w:t>,</w:t>
      </w:r>
      <w:r w:rsidR="00755DFA">
        <w:rPr>
          <w:sz w:val="24"/>
          <w:szCs w:val="24"/>
        </w:rPr>
        <w:t xml:space="preserve"> who sometimes appeared to make decisions that contradicted the stated intentions of the school for students to take the EBac.</w:t>
      </w:r>
    </w:p>
    <w:p w14:paraId="009D546C" w14:textId="77777777" w:rsidR="00F3344C" w:rsidRPr="00582F8F" w:rsidRDefault="00F3344C" w:rsidP="006A0CD7">
      <w:pPr>
        <w:tabs>
          <w:tab w:val="left" w:pos="8505"/>
        </w:tabs>
        <w:spacing w:after="0" w:line="360" w:lineRule="auto"/>
        <w:rPr>
          <w:sz w:val="24"/>
          <w:szCs w:val="24"/>
        </w:rPr>
      </w:pPr>
    </w:p>
    <w:p w14:paraId="3CC8FB1D" w14:textId="4708E8DD" w:rsidR="00D5396E" w:rsidRPr="00582F8F" w:rsidRDefault="00D5396E" w:rsidP="00D5396E">
      <w:pPr>
        <w:spacing w:line="360" w:lineRule="auto"/>
        <w:rPr>
          <w:sz w:val="24"/>
          <w:szCs w:val="24"/>
        </w:rPr>
      </w:pPr>
      <w:r w:rsidRPr="000C1192">
        <w:rPr>
          <w:sz w:val="24"/>
          <w:szCs w:val="24"/>
        </w:rPr>
        <w:t>The interviews highlighted the variation in</w:t>
      </w:r>
      <w:r w:rsidR="00A27CD8">
        <w:rPr>
          <w:sz w:val="24"/>
          <w:szCs w:val="24"/>
        </w:rPr>
        <w:t xml:space="preserve"> </w:t>
      </w:r>
      <w:r w:rsidRPr="000C1192">
        <w:rPr>
          <w:sz w:val="24"/>
          <w:szCs w:val="24"/>
        </w:rPr>
        <w:t xml:space="preserve">choice that teachers felt their schools had </w:t>
      </w:r>
      <w:r w:rsidR="008724CB">
        <w:rPr>
          <w:sz w:val="24"/>
          <w:szCs w:val="24"/>
        </w:rPr>
        <w:t>around the</w:t>
      </w:r>
      <w:r w:rsidRPr="000C1192">
        <w:rPr>
          <w:sz w:val="24"/>
          <w:szCs w:val="24"/>
        </w:rPr>
        <w:t xml:space="preserve"> </w:t>
      </w:r>
      <w:r w:rsidR="00A27CD8">
        <w:rPr>
          <w:sz w:val="24"/>
          <w:szCs w:val="24"/>
        </w:rPr>
        <w:t xml:space="preserve">implementation of the </w:t>
      </w:r>
      <w:r w:rsidRPr="000C1192">
        <w:rPr>
          <w:sz w:val="24"/>
          <w:szCs w:val="24"/>
        </w:rPr>
        <w:t>EBac</w:t>
      </w:r>
      <w:r w:rsidR="00A27CD8">
        <w:rPr>
          <w:sz w:val="24"/>
          <w:szCs w:val="24"/>
        </w:rPr>
        <w:t xml:space="preserve"> for either all or some of their students and the degree of choice </w:t>
      </w:r>
      <w:r w:rsidR="007E0ADE">
        <w:rPr>
          <w:sz w:val="24"/>
          <w:szCs w:val="24"/>
        </w:rPr>
        <w:t>around</w:t>
      </w:r>
      <w:r w:rsidR="00813E78">
        <w:rPr>
          <w:sz w:val="24"/>
          <w:szCs w:val="24"/>
        </w:rPr>
        <w:t xml:space="preserve"> GCSE subjects</w:t>
      </w:r>
      <w:r w:rsidR="007E0ADE">
        <w:rPr>
          <w:sz w:val="24"/>
          <w:szCs w:val="24"/>
        </w:rPr>
        <w:t xml:space="preserve"> </w:t>
      </w:r>
      <w:r w:rsidR="00A27CD8">
        <w:rPr>
          <w:sz w:val="24"/>
          <w:szCs w:val="24"/>
        </w:rPr>
        <w:t>afforded to the students themselves</w:t>
      </w:r>
      <w:r w:rsidRPr="000C1192">
        <w:rPr>
          <w:sz w:val="24"/>
          <w:szCs w:val="24"/>
        </w:rPr>
        <w:t>. For Bluefield</w:t>
      </w:r>
      <w:r w:rsidR="00F3344C">
        <w:rPr>
          <w:sz w:val="24"/>
          <w:szCs w:val="24"/>
        </w:rPr>
        <w:t>,</w:t>
      </w:r>
      <w:r w:rsidRPr="000C1192">
        <w:rPr>
          <w:sz w:val="24"/>
          <w:szCs w:val="24"/>
        </w:rPr>
        <w:t xml:space="preserve"> the EBac fitted the </w:t>
      </w:r>
      <w:r w:rsidR="00547F7B" w:rsidRPr="000C1192">
        <w:rPr>
          <w:sz w:val="24"/>
          <w:szCs w:val="24"/>
        </w:rPr>
        <w:t xml:space="preserve">existing </w:t>
      </w:r>
      <w:r w:rsidRPr="000C1192">
        <w:rPr>
          <w:sz w:val="24"/>
          <w:szCs w:val="24"/>
        </w:rPr>
        <w:t>culture</w:t>
      </w:r>
      <w:r w:rsidR="00547F7B">
        <w:rPr>
          <w:sz w:val="24"/>
          <w:szCs w:val="24"/>
        </w:rPr>
        <w:t xml:space="preserve"> </w:t>
      </w:r>
      <w:r w:rsidRPr="000C1192">
        <w:rPr>
          <w:sz w:val="24"/>
          <w:szCs w:val="24"/>
        </w:rPr>
        <w:t xml:space="preserve">and curriculum structure of the school. As such, a high EBac </w:t>
      </w:r>
      <w:r w:rsidR="00F3344C">
        <w:rPr>
          <w:sz w:val="24"/>
          <w:szCs w:val="24"/>
        </w:rPr>
        <w:t xml:space="preserve">uptake </w:t>
      </w:r>
      <w:r w:rsidRPr="000C1192">
        <w:rPr>
          <w:sz w:val="24"/>
          <w:szCs w:val="24"/>
        </w:rPr>
        <w:t xml:space="preserve">was further enhanced by parents and students choosing to </w:t>
      </w:r>
      <w:r w:rsidR="001D565B">
        <w:rPr>
          <w:sz w:val="24"/>
          <w:szCs w:val="24"/>
        </w:rPr>
        <w:t>study</w:t>
      </w:r>
      <w:r w:rsidRPr="000C1192">
        <w:rPr>
          <w:sz w:val="24"/>
          <w:szCs w:val="24"/>
        </w:rPr>
        <w:t xml:space="preserve"> the EBac combination</w:t>
      </w:r>
      <w:r w:rsidR="00F3344C">
        <w:rPr>
          <w:sz w:val="24"/>
          <w:szCs w:val="24"/>
        </w:rPr>
        <w:t>, which was</w:t>
      </w:r>
      <w:r w:rsidRPr="000C1192">
        <w:rPr>
          <w:sz w:val="24"/>
          <w:szCs w:val="24"/>
        </w:rPr>
        <w:t xml:space="preserve"> </w:t>
      </w:r>
      <w:r w:rsidR="00A27CD8">
        <w:rPr>
          <w:sz w:val="24"/>
          <w:szCs w:val="24"/>
        </w:rPr>
        <w:t>perceived by them and reinforced through the school</w:t>
      </w:r>
      <w:r w:rsidR="00F3344C">
        <w:rPr>
          <w:sz w:val="24"/>
          <w:szCs w:val="24"/>
        </w:rPr>
        <w:t>’</w:t>
      </w:r>
      <w:r w:rsidR="00A27CD8">
        <w:rPr>
          <w:sz w:val="24"/>
          <w:szCs w:val="24"/>
        </w:rPr>
        <w:t xml:space="preserve">s position </w:t>
      </w:r>
      <w:r w:rsidRPr="000C1192">
        <w:rPr>
          <w:sz w:val="24"/>
          <w:szCs w:val="24"/>
        </w:rPr>
        <w:t xml:space="preserve">as </w:t>
      </w:r>
      <w:r w:rsidR="000D1E34">
        <w:rPr>
          <w:sz w:val="24"/>
          <w:szCs w:val="24"/>
        </w:rPr>
        <w:t xml:space="preserve">being </w:t>
      </w:r>
      <w:r w:rsidRPr="000C1192">
        <w:rPr>
          <w:sz w:val="24"/>
          <w:szCs w:val="24"/>
        </w:rPr>
        <w:t>a</w:t>
      </w:r>
      <w:r w:rsidR="00E24166">
        <w:rPr>
          <w:sz w:val="24"/>
          <w:szCs w:val="24"/>
        </w:rPr>
        <w:t xml:space="preserve">n </w:t>
      </w:r>
      <w:r w:rsidRPr="000C1192">
        <w:rPr>
          <w:sz w:val="24"/>
          <w:szCs w:val="24"/>
        </w:rPr>
        <w:t xml:space="preserve">appropriate route to university. </w:t>
      </w:r>
      <w:r w:rsidR="005264AB">
        <w:rPr>
          <w:sz w:val="24"/>
          <w:szCs w:val="24"/>
        </w:rPr>
        <w:t xml:space="preserve">The EBac was presented favourably </w:t>
      </w:r>
      <w:r w:rsidR="007E0ADE">
        <w:rPr>
          <w:sz w:val="24"/>
          <w:szCs w:val="24"/>
        </w:rPr>
        <w:t xml:space="preserve">to parents </w:t>
      </w:r>
      <w:r w:rsidR="005264AB">
        <w:rPr>
          <w:sz w:val="24"/>
          <w:szCs w:val="24"/>
        </w:rPr>
        <w:t xml:space="preserve">by Simon </w:t>
      </w:r>
      <w:r w:rsidR="006A0CD7">
        <w:rPr>
          <w:sz w:val="24"/>
          <w:szCs w:val="24"/>
        </w:rPr>
        <w:t>(Bluefield/DH</w:t>
      </w:r>
      <w:r w:rsidR="005264AB">
        <w:rPr>
          <w:sz w:val="24"/>
          <w:szCs w:val="24"/>
        </w:rPr>
        <w:t xml:space="preserve">) </w:t>
      </w:r>
      <w:r w:rsidR="00A4784A">
        <w:rPr>
          <w:sz w:val="24"/>
          <w:szCs w:val="24"/>
        </w:rPr>
        <w:t>at the Year 9 options event</w:t>
      </w:r>
      <w:r w:rsidR="00F3344C">
        <w:rPr>
          <w:sz w:val="24"/>
          <w:szCs w:val="24"/>
        </w:rPr>
        <w:t xml:space="preserve"> for </w:t>
      </w:r>
      <w:r w:rsidR="00A4784A">
        <w:rPr>
          <w:sz w:val="24"/>
          <w:szCs w:val="24"/>
        </w:rPr>
        <w:t>GCSE</w:t>
      </w:r>
      <w:r w:rsidR="00F3344C">
        <w:rPr>
          <w:sz w:val="24"/>
          <w:szCs w:val="24"/>
        </w:rPr>
        <w:t xml:space="preserve"> subject selection,</w:t>
      </w:r>
      <w:r w:rsidR="000D1E34">
        <w:rPr>
          <w:sz w:val="24"/>
          <w:szCs w:val="24"/>
        </w:rPr>
        <w:t xml:space="preserve"> where he openly advocated taking History or Geography as part of the EBac (p.10)</w:t>
      </w:r>
      <w:r w:rsidR="008F20E8">
        <w:rPr>
          <w:sz w:val="24"/>
          <w:szCs w:val="24"/>
        </w:rPr>
        <w:t xml:space="preserve">. </w:t>
      </w:r>
      <w:r w:rsidRPr="000C1192">
        <w:rPr>
          <w:sz w:val="24"/>
          <w:szCs w:val="24"/>
        </w:rPr>
        <w:t>This school was in a position of strength</w:t>
      </w:r>
      <w:r w:rsidR="00F3344C">
        <w:rPr>
          <w:sz w:val="24"/>
          <w:szCs w:val="24"/>
        </w:rPr>
        <w:t>,</w:t>
      </w:r>
      <w:r w:rsidR="007E0ADE">
        <w:rPr>
          <w:sz w:val="24"/>
          <w:szCs w:val="24"/>
        </w:rPr>
        <w:t xml:space="preserve"> with</w:t>
      </w:r>
      <w:r w:rsidRPr="000C1192">
        <w:rPr>
          <w:sz w:val="24"/>
          <w:szCs w:val="24"/>
        </w:rPr>
        <w:t xml:space="preserve"> the highest Ofsted rating; </w:t>
      </w:r>
      <w:r w:rsidR="004B016C">
        <w:rPr>
          <w:sz w:val="24"/>
          <w:szCs w:val="24"/>
        </w:rPr>
        <w:t>academy</w:t>
      </w:r>
      <w:r w:rsidRPr="000C1192">
        <w:rPr>
          <w:sz w:val="24"/>
          <w:szCs w:val="24"/>
        </w:rPr>
        <w:t xml:space="preserve"> status; a supportive and active parental body; academically able students</w:t>
      </w:r>
      <w:r w:rsidR="00F3344C">
        <w:rPr>
          <w:sz w:val="24"/>
          <w:szCs w:val="24"/>
        </w:rPr>
        <w:t>,</w:t>
      </w:r>
      <w:r w:rsidRPr="000C1192">
        <w:rPr>
          <w:sz w:val="24"/>
          <w:szCs w:val="24"/>
        </w:rPr>
        <w:t xml:space="preserve"> and a budget position which meant that curriculum choices were not driven by financial pressures. In contrast, Purplefield had </w:t>
      </w:r>
      <w:r w:rsidR="00A27CD8">
        <w:rPr>
          <w:sz w:val="24"/>
          <w:szCs w:val="24"/>
        </w:rPr>
        <w:t xml:space="preserve">a much wider academic student profile </w:t>
      </w:r>
      <w:r w:rsidRPr="000C1192">
        <w:rPr>
          <w:sz w:val="24"/>
          <w:szCs w:val="24"/>
        </w:rPr>
        <w:t>in terms of prior attainment and SEND needs</w:t>
      </w:r>
      <w:r w:rsidR="008724CB">
        <w:rPr>
          <w:sz w:val="24"/>
          <w:szCs w:val="24"/>
        </w:rPr>
        <w:t>,</w:t>
      </w:r>
      <w:r w:rsidRPr="000C1192">
        <w:rPr>
          <w:sz w:val="24"/>
          <w:szCs w:val="24"/>
        </w:rPr>
        <w:t xml:space="preserve"> yet the Deputy described a situation of little choice and little power to resist imposed </w:t>
      </w:r>
      <w:r w:rsidR="00547F7B" w:rsidRPr="000C1192">
        <w:rPr>
          <w:sz w:val="24"/>
          <w:szCs w:val="24"/>
        </w:rPr>
        <w:t xml:space="preserve">EBac </w:t>
      </w:r>
      <w:r w:rsidRPr="000C1192">
        <w:rPr>
          <w:sz w:val="24"/>
          <w:szCs w:val="24"/>
        </w:rPr>
        <w:t xml:space="preserve">changes </w:t>
      </w:r>
      <w:r w:rsidR="00A27CD8">
        <w:rPr>
          <w:sz w:val="24"/>
          <w:szCs w:val="24"/>
        </w:rPr>
        <w:t>due to their low Ofsted rating and urgent need to i</w:t>
      </w:r>
      <w:r w:rsidR="00F3344C">
        <w:rPr>
          <w:sz w:val="24"/>
          <w:szCs w:val="24"/>
        </w:rPr>
        <w:t>mprov</w:t>
      </w:r>
      <w:r w:rsidR="00A27CD8">
        <w:rPr>
          <w:sz w:val="24"/>
          <w:szCs w:val="24"/>
        </w:rPr>
        <w:t>e examination results</w:t>
      </w:r>
      <w:r w:rsidRPr="000C1192">
        <w:rPr>
          <w:sz w:val="24"/>
          <w:szCs w:val="24"/>
        </w:rPr>
        <w:t>.</w:t>
      </w:r>
      <w:r w:rsidR="000D1E34">
        <w:rPr>
          <w:sz w:val="24"/>
          <w:szCs w:val="24"/>
        </w:rPr>
        <w:t xml:space="preserve"> Yellowfield active</w:t>
      </w:r>
      <w:r w:rsidR="007E0ADE">
        <w:rPr>
          <w:sz w:val="24"/>
          <w:szCs w:val="24"/>
        </w:rPr>
        <w:t>ly</w:t>
      </w:r>
      <w:r w:rsidR="000D1E34">
        <w:rPr>
          <w:sz w:val="24"/>
          <w:szCs w:val="24"/>
        </w:rPr>
        <w:t xml:space="preserve"> resist</w:t>
      </w:r>
      <w:r w:rsidR="007E0ADE">
        <w:rPr>
          <w:sz w:val="24"/>
          <w:szCs w:val="24"/>
        </w:rPr>
        <w:t>ed the policy by</w:t>
      </w:r>
      <w:r w:rsidR="000D1E34">
        <w:rPr>
          <w:sz w:val="24"/>
          <w:szCs w:val="24"/>
        </w:rPr>
        <w:t xml:space="preserve"> boldly stat</w:t>
      </w:r>
      <w:r w:rsidR="007E0ADE">
        <w:rPr>
          <w:sz w:val="24"/>
          <w:szCs w:val="24"/>
        </w:rPr>
        <w:t>ing</w:t>
      </w:r>
      <w:r w:rsidR="000D1E34">
        <w:rPr>
          <w:sz w:val="24"/>
          <w:szCs w:val="24"/>
        </w:rPr>
        <w:t xml:space="preserve"> that their curriculum choices would not be constrained and reduced by the EBac</w:t>
      </w:r>
      <w:r w:rsidR="00D96311">
        <w:rPr>
          <w:sz w:val="24"/>
          <w:szCs w:val="24"/>
        </w:rPr>
        <w:t>. Susan (</w:t>
      </w:r>
      <w:r w:rsidR="006A0CD7">
        <w:rPr>
          <w:sz w:val="24"/>
          <w:szCs w:val="24"/>
        </w:rPr>
        <w:t>Yellowfield/</w:t>
      </w:r>
      <w:r w:rsidR="00D96311">
        <w:rPr>
          <w:sz w:val="24"/>
          <w:szCs w:val="24"/>
        </w:rPr>
        <w:t>DH) was adamant that the EBac would not be compulsory “unless we really, really have to</w:t>
      </w:r>
      <w:r w:rsidR="003C39FF">
        <w:rPr>
          <w:sz w:val="24"/>
          <w:szCs w:val="24"/>
        </w:rPr>
        <w:t>” (p</w:t>
      </w:r>
      <w:r w:rsidR="00D96311">
        <w:rPr>
          <w:sz w:val="24"/>
          <w:szCs w:val="24"/>
        </w:rPr>
        <w:t>.6</w:t>
      </w:r>
      <w:r w:rsidR="003C39FF">
        <w:rPr>
          <w:sz w:val="24"/>
          <w:szCs w:val="24"/>
        </w:rPr>
        <w:t>)</w:t>
      </w:r>
      <w:r w:rsidR="00D96311">
        <w:rPr>
          <w:sz w:val="24"/>
          <w:szCs w:val="24"/>
        </w:rPr>
        <w:t>. Despite this stance</w:t>
      </w:r>
      <w:r w:rsidR="00F3344C">
        <w:rPr>
          <w:sz w:val="24"/>
          <w:szCs w:val="24"/>
        </w:rPr>
        <w:t>,</w:t>
      </w:r>
      <w:r w:rsidR="00D96311">
        <w:rPr>
          <w:sz w:val="24"/>
          <w:szCs w:val="24"/>
        </w:rPr>
        <w:t xml:space="preserve"> </w:t>
      </w:r>
      <w:r w:rsidR="000D1E34">
        <w:rPr>
          <w:sz w:val="24"/>
          <w:szCs w:val="24"/>
        </w:rPr>
        <w:t xml:space="preserve">they also ensured that parents and students were given </w:t>
      </w:r>
      <w:r w:rsidR="003C39FF">
        <w:rPr>
          <w:sz w:val="24"/>
          <w:szCs w:val="24"/>
        </w:rPr>
        <w:t>full information about the EBac;</w:t>
      </w:r>
      <w:r w:rsidR="000D1E34">
        <w:rPr>
          <w:sz w:val="24"/>
          <w:szCs w:val="24"/>
        </w:rPr>
        <w:t xml:space="preserve"> the option blocks facilitated the EBac</w:t>
      </w:r>
      <w:r w:rsidR="00F3344C">
        <w:rPr>
          <w:sz w:val="24"/>
          <w:szCs w:val="24"/>
        </w:rPr>
        <w:t>,</w:t>
      </w:r>
      <w:r w:rsidR="000D1E34">
        <w:rPr>
          <w:sz w:val="24"/>
          <w:szCs w:val="24"/>
        </w:rPr>
        <w:t xml:space="preserve"> and</w:t>
      </w:r>
      <w:r w:rsidR="003C39FF">
        <w:rPr>
          <w:sz w:val="24"/>
          <w:szCs w:val="24"/>
        </w:rPr>
        <w:t xml:space="preserve"> </w:t>
      </w:r>
      <w:r w:rsidR="000D1E34">
        <w:rPr>
          <w:sz w:val="24"/>
          <w:szCs w:val="24"/>
        </w:rPr>
        <w:t xml:space="preserve">the amount of time devoted to EBac subjects in KS3 </w:t>
      </w:r>
      <w:r w:rsidR="003C39FF">
        <w:rPr>
          <w:sz w:val="24"/>
          <w:szCs w:val="24"/>
        </w:rPr>
        <w:t xml:space="preserve">was increased. The consequence was </w:t>
      </w:r>
      <w:r w:rsidR="000D1E34">
        <w:rPr>
          <w:sz w:val="24"/>
          <w:szCs w:val="24"/>
        </w:rPr>
        <w:t>an increase in the uptake of EBac subjects.</w:t>
      </w:r>
    </w:p>
    <w:p w14:paraId="154DD8C4" w14:textId="781BF55C" w:rsidR="00D5396E" w:rsidRDefault="00D5396E" w:rsidP="00083C4D">
      <w:pPr>
        <w:tabs>
          <w:tab w:val="left" w:pos="8364"/>
        </w:tabs>
        <w:spacing w:line="360" w:lineRule="auto"/>
        <w:rPr>
          <w:sz w:val="24"/>
          <w:szCs w:val="24"/>
        </w:rPr>
      </w:pPr>
      <w:r w:rsidRPr="000C1192">
        <w:rPr>
          <w:sz w:val="24"/>
          <w:szCs w:val="24"/>
        </w:rPr>
        <w:t>The schools</w:t>
      </w:r>
      <w:r w:rsidRPr="000C1192">
        <w:rPr>
          <w:rFonts w:ascii="Trebuchet MS"/>
          <w:sz w:val="24"/>
          <w:szCs w:val="24"/>
        </w:rPr>
        <w:t xml:space="preserve"> </w:t>
      </w:r>
      <w:r w:rsidRPr="000C1192">
        <w:rPr>
          <w:sz w:val="24"/>
          <w:szCs w:val="24"/>
        </w:rPr>
        <w:t xml:space="preserve">were all </w:t>
      </w:r>
      <w:r w:rsidR="00F3344C">
        <w:rPr>
          <w:sz w:val="24"/>
          <w:szCs w:val="24"/>
        </w:rPr>
        <w:t>‘</w:t>
      </w:r>
      <w:r w:rsidRPr="000C1192">
        <w:rPr>
          <w:sz w:val="24"/>
          <w:szCs w:val="24"/>
        </w:rPr>
        <w:t>gatekeepers</w:t>
      </w:r>
      <w:r w:rsidR="00F3344C">
        <w:rPr>
          <w:sz w:val="24"/>
          <w:szCs w:val="24"/>
        </w:rPr>
        <w:t>’</w:t>
      </w:r>
      <w:r w:rsidRPr="000C1192">
        <w:rPr>
          <w:sz w:val="24"/>
          <w:szCs w:val="24"/>
        </w:rPr>
        <w:t xml:space="preserve"> in terms of option choices</w:t>
      </w:r>
      <w:r w:rsidR="00F3344C">
        <w:rPr>
          <w:sz w:val="24"/>
          <w:szCs w:val="24"/>
        </w:rPr>
        <w:t>,</w:t>
      </w:r>
      <w:r w:rsidRPr="000C1192">
        <w:rPr>
          <w:sz w:val="24"/>
          <w:szCs w:val="24"/>
        </w:rPr>
        <w:t xml:space="preserve"> either </w:t>
      </w:r>
      <w:r w:rsidR="00391E98">
        <w:rPr>
          <w:sz w:val="24"/>
          <w:szCs w:val="24"/>
        </w:rPr>
        <w:t>for KS4</w:t>
      </w:r>
      <w:r w:rsidRPr="000C1192">
        <w:rPr>
          <w:sz w:val="24"/>
          <w:szCs w:val="24"/>
        </w:rPr>
        <w:t xml:space="preserve"> subject </w:t>
      </w:r>
      <w:r w:rsidR="00391E98">
        <w:rPr>
          <w:sz w:val="24"/>
          <w:szCs w:val="24"/>
        </w:rPr>
        <w:t xml:space="preserve">choice </w:t>
      </w:r>
      <w:r w:rsidRPr="000C1192">
        <w:rPr>
          <w:sz w:val="24"/>
          <w:szCs w:val="24"/>
        </w:rPr>
        <w:t xml:space="preserve">or </w:t>
      </w:r>
      <w:r w:rsidR="00391E98">
        <w:rPr>
          <w:sz w:val="24"/>
          <w:szCs w:val="24"/>
        </w:rPr>
        <w:t xml:space="preserve">qualification routes such as </w:t>
      </w:r>
      <w:r w:rsidR="00F3344C">
        <w:rPr>
          <w:sz w:val="24"/>
          <w:szCs w:val="24"/>
        </w:rPr>
        <w:t>e</w:t>
      </w:r>
      <w:r w:rsidR="00391E98">
        <w:rPr>
          <w:sz w:val="24"/>
          <w:szCs w:val="24"/>
        </w:rPr>
        <w:t>ntry level or vocational college courses.</w:t>
      </w:r>
      <w:r w:rsidR="00083C4D">
        <w:rPr>
          <w:sz w:val="24"/>
          <w:szCs w:val="24"/>
        </w:rPr>
        <w:t xml:space="preserve"> </w:t>
      </w:r>
      <w:r w:rsidR="007E0ADE">
        <w:rPr>
          <w:sz w:val="24"/>
          <w:szCs w:val="24"/>
        </w:rPr>
        <w:t>Some t</w:t>
      </w:r>
      <w:r w:rsidR="00083C4D">
        <w:rPr>
          <w:sz w:val="24"/>
          <w:szCs w:val="24"/>
        </w:rPr>
        <w:t xml:space="preserve">eachers </w:t>
      </w:r>
      <w:r w:rsidRPr="000C1192">
        <w:rPr>
          <w:sz w:val="24"/>
          <w:szCs w:val="24"/>
        </w:rPr>
        <w:lastRenderedPageBreak/>
        <w:t>influence</w:t>
      </w:r>
      <w:r w:rsidR="007E0ADE">
        <w:rPr>
          <w:sz w:val="24"/>
          <w:szCs w:val="24"/>
        </w:rPr>
        <w:t>d</w:t>
      </w:r>
      <w:r w:rsidRPr="000C1192">
        <w:rPr>
          <w:sz w:val="24"/>
          <w:szCs w:val="24"/>
        </w:rPr>
        <w:t xml:space="preserve"> </w:t>
      </w:r>
      <w:r w:rsidR="00391E98">
        <w:rPr>
          <w:sz w:val="24"/>
          <w:szCs w:val="24"/>
        </w:rPr>
        <w:t xml:space="preserve">the </w:t>
      </w:r>
      <w:r w:rsidR="007E0ADE">
        <w:rPr>
          <w:sz w:val="24"/>
          <w:szCs w:val="24"/>
        </w:rPr>
        <w:t>individual student</w:t>
      </w:r>
      <w:r w:rsidR="007E0ADE" w:rsidRPr="000C1192">
        <w:rPr>
          <w:sz w:val="24"/>
          <w:szCs w:val="24"/>
        </w:rPr>
        <w:t xml:space="preserve"> </w:t>
      </w:r>
      <w:r w:rsidR="007E0ADE">
        <w:rPr>
          <w:sz w:val="24"/>
          <w:szCs w:val="24"/>
        </w:rPr>
        <w:t xml:space="preserve">subject </w:t>
      </w:r>
      <w:r w:rsidRPr="000C1192">
        <w:rPr>
          <w:sz w:val="24"/>
          <w:szCs w:val="24"/>
        </w:rPr>
        <w:t>choice</w:t>
      </w:r>
      <w:r w:rsidR="007E0ADE">
        <w:rPr>
          <w:sz w:val="24"/>
          <w:szCs w:val="24"/>
        </w:rPr>
        <w:t xml:space="preserve"> </w:t>
      </w:r>
      <w:r w:rsidR="00D96311">
        <w:rPr>
          <w:sz w:val="24"/>
          <w:szCs w:val="24"/>
        </w:rPr>
        <w:t>o</w:t>
      </w:r>
      <w:r w:rsidR="00D96311" w:rsidRPr="000C1192">
        <w:rPr>
          <w:sz w:val="24"/>
          <w:szCs w:val="24"/>
        </w:rPr>
        <w:t>r</w:t>
      </w:r>
      <w:r w:rsidR="00D96311">
        <w:rPr>
          <w:sz w:val="24"/>
          <w:szCs w:val="24"/>
        </w:rPr>
        <w:t xml:space="preserve"> later</w:t>
      </w:r>
      <w:r w:rsidR="000353AE">
        <w:rPr>
          <w:sz w:val="24"/>
          <w:szCs w:val="24"/>
        </w:rPr>
        <w:t xml:space="preserve"> </w:t>
      </w:r>
      <w:r w:rsidR="00D96311">
        <w:rPr>
          <w:sz w:val="24"/>
          <w:szCs w:val="24"/>
        </w:rPr>
        <w:t>amend</w:t>
      </w:r>
      <w:r w:rsidR="007E0ADE">
        <w:rPr>
          <w:sz w:val="24"/>
          <w:szCs w:val="24"/>
        </w:rPr>
        <w:t>ed</w:t>
      </w:r>
      <w:r w:rsidR="00D96311">
        <w:rPr>
          <w:sz w:val="24"/>
          <w:szCs w:val="24"/>
        </w:rPr>
        <w:t xml:space="preserve"> </w:t>
      </w:r>
      <w:r w:rsidR="00D96311" w:rsidRPr="000C1192">
        <w:rPr>
          <w:sz w:val="24"/>
          <w:szCs w:val="24"/>
        </w:rPr>
        <w:t>a school</w:t>
      </w:r>
      <w:r w:rsidR="00CB794E">
        <w:rPr>
          <w:sz w:val="24"/>
          <w:szCs w:val="24"/>
        </w:rPr>
        <w:t>-</w:t>
      </w:r>
      <w:r w:rsidR="00D96311" w:rsidRPr="000C1192">
        <w:rPr>
          <w:sz w:val="24"/>
          <w:szCs w:val="24"/>
        </w:rPr>
        <w:t xml:space="preserve">wide </w:t>
      </w:r>
      <w:r w:rsidR="00D96311">
        <w:rPr>
          <w:sz w:val="24"/>
          <w:szCs w:val="24"/>
        </w:rPr>
        <w:t>EBac</w:t>
      </w:r>
      <w:r w:rsidR="00D96311" w:rsidRPr="000C1192">
        <w:rPr>
          <w:sz w:val="24"/>
          <w:szCs w:val="24"/>
        </w:rPr>
        <w:t xml:space="preserve"> decision</w:t>
      </w:r>
      <w:r w:rsidR="00813E78">
        <w:rPr>
          <w:sz w:val="24"/>
          <w:szCs w:val="24"/>
        </w:rPr>
        <w:t xml:space="preserve"> by changing the qualification for which students were entered</w:t>
      </w:r>
      <w:r w:rsidR="00D96311" w:rsidRPr="000C1192">
        <w:rPr>
          <w:sz w:val="24"/>
          <w:szCs w:val="24"/>
        </w:rPr>
        <w:t xml:space="preserve">. </w:t>
      </w:r>
      <w:r w:rsidR="00D96311">
        <w:rPr>
          <w:sz w:val="24"/>
          <w:szCs w:val="24"/>
        </w:rPr>
        <w:t>Jill (</w:t>
      </w:r>
      <w:r w:rsidR="00083C4D">
        <w:rPr>
          <w:sz w:val="24"/>
          <w:szCs w:val="24"/>
        </w:rPr>
        <w:t>Y</w:t>
      </w:r>
      <w:r w:rsidR="006A0CD7">
        <w:rPr>
          <w:sz w:val="24"/>
          <w:szCs w:val="24"/>
        </w:rPr>
        <w:t>ellowfield</w:t>
      </w:r>
      <w:r w:rsidR="00083C4D">
        <w:rPr>
          <w:sz w:val="24"/>
          <w:szCs w:val="24"/>
        </w:rPr>
        <w:t>/EBac</w:t>
      </w:r>
      <w:r w:rsidR="00CB794E">
        <w:rPr>
          <w:sz w:val="24"/>
          <w:szCs w:val="24"/>
        </w:rPr>
        <w:t>/</w:t>
      </w:r>
      <w:r w:rsidR="00083C4D">
        <w:rPr>
          <w:sz w:val="24"/>
          <w:szCs w:val="24"/>
        </w:rPr>
        <w:t>HoD)</w:t>
      </w:r>
      <w:r w:rsidR="00CB794E">
        <w:rPr>
          <w:sz w:val="24"/>
          <w:szCs w:val="24"/>
        </w:rPr>
        <w:t>,</w:t>
      </w:r>
      <w:r w:rsidR="00083C4D">
        <w:rPr>
          <w:sz w:val="24"/>
          <w:szCs w:val="24"/>
        </w:rPr>
        <w:t xml:space="preserve"> </w:t>
      </w:r>
      <w:r w:rsidR="00CB794E">
        <w:rPr>
          <w:sz w:val="24"/>
          <w:szCs w:val="24"/>
        </w:rPr>
        <w:t xml:space="preserve">for example, </w:t>
      </w:r>
      <w:r w:rsidR="00D96311">
        <w:rPr>
          <w:sz w:val="24"/>
          <w:szCs w:val="24"/>
        </w:rPr>
        <w:t xml:space="preserve">was very concerned about the </w:t>
      </w:r>
      <w:r w:rsidR="00083C4D">
        <w:rPr>
          <w:sz w:val="24"/>
          <w:szCs w:val="24"/>
        </w:rPr>
        <w:t xml:space="preserve">GCSE </w:t>
      </w:r>
      <w:r w:rsidR="00D96311">
        <w:rPr>
          <w:sz w:val="24"/>
          <w:szCs w:val="24"/>
        </w:rPr>
        <w:t>recruitment tactics of some of her colleagues</w:t>
      </w:r>
      <w:r w:rsidR="00CB794E">
        <w:rPr>
          <w:sz w:val="24"/>
          <w:szCs w:val="24"/>
        </w:rPr>
        <w:t xml:space="preserve">, such as </w:t>
      </w:r>
      <w:r w:rsidR="00D96311">
        <w:rPr>
          <w:sz w:val="24"/>
          <w:szCs w:val="24"/>
        </w:rPr>
        <w:t xml:space="preserve">language staff telling students they couldn’t go to university if they didn’t </w:t>
      </w:r>
      <w:r w:rsidR="001D565B">
        <w:rPr>
          <w:sz w:val="24"/>
          <w:szCs w:val="24"/>
        </w:rPr>
        <w:t xml:space="preserve">study </w:t>
      </w:r>
      <w:r w:rsidR="00D96311">
        <w:rPr>
          <w:sz w:val="24"/>
          <w:szCs w:val="24"/>
        </w:rPr>
        <w:t xml:space="preserve">a language (p.9). </w:t>
      </w:r>
      <w:r w:rsidR="00083C4D">
        <w:rPr>
          <w:sz w:val="24"/>
          <w:szCs w:val="24"/>
        </w:rPr>
        <w:t>To counter</w:t>
      </w:r>
      <w:r w:rsidR="007E0ADE">
        <w:rPr>
          <w:sz w:val="24"/>
          <w:szCs w:val="24"/>
        </w:rPr>
        <w:t>-</w:t>
      </w:r>
      <w:r w:rsidR="00083C4D">
        <w:rPr>
          <w:sz w:val="24"/>
          <w:szCs w:val="24"/>
        </w:rPr>
        <w:t>act th</w:t>
      </w:r>
      <w:r w:rsidR="00813E78">
        <w:rPr>
          <w:sz w:val="24"/>
          <w:szCs w:val="24"/>
        </w:rPr>
        <w:t>e</w:t>
      </w:r>
      <w:r w:rsidR="007E0ADE">
        <w:rPr>
          <w:sz w:val="24"/>
          <w:szCs w:val="24"/>
        </w:rPr>
        <w:t xml:space="preserve"> </w:t>
      </w:r>
      <w:r w:rsidR="00083C4D">
        <w:rPr>
          <w:sz w:val="24"/>
          <w:szCs w:val="24"/>
        </w:rPr>
        <w:t>potential influence of teachers</w:t>
      </w:r>
      <w:r w:rsidR="00CB794E">
        <w:rPr>
          <w:sz w:val="24"/>
          <w:szCs w:val="24"/>
        </w:rPr>
        <w:t>,</w:t>
      </w:r>
      <w:r w:rsidR="00813E78">
        <w:rPr>
          <w:sz w:val="24"/>
          <w:szCs w:val="24"/>
        </w:rPr>
        <w:t xml:space="preserve"> </w:t>
      </w:r>
      <w:r w:rsidR="00083C4D">
        <w:rPr>
          <w:sz w:val="24"/>
          <w:szCs w:val="24"/>
        </w:rPr>
        <w:t>Purplefield invited parents and students to one</w:t>
      </w:r>
      <w:r w:rsidR="00CB794E">
        <w:rPr>
          <w:sz w:val="24"/>
          <w:szCs w:val="24"/>
        </w:rPr>
        <w:t>-</w:t>
      </w:r>
      <w:r w:rsidR="00083C4D">
        <w:rPr>
          <w:sz w:val="24"/>
          <w:szCs w:val="24"/>
        </w:rPr>
        <w:t>to</w:t>
      </w:r>
      <w:r w:rsidR="00CB794E">
        <w:rPr>
          <w:sz w:val="24"/>
          <w:szCs w:val="24"/>
        </w:rPr>
        <w:t>-</w:t>
      </w:r>
      <w:r w:rsidR="00083C4D">
        <w:rPr>
          <w:sz w:val="24"/>
          <w:szCs w:val="24"/>
        </w:rPr>
        <w:t>one interview</w:t>
      </w:r>
      <w:r w:rsidR="000353AE">
        <w:rPr>
          <w:sz w:val="24"/>
          <w:szCs w:val="24"/>
        </w:rPr>
        <w:t>s</w:t>
      </w:r>
      <w:r w:rsidR="00083C4D">
        <w:rPr>
          <w:sz w:val="24"/>
          <w:szCs w:val="24"/>
        </w:rPr>
        <w:t xml:space="preserve"> with a senior member of staff. </w:t>
      </w:r>
      <w:r w:rsidRPr="000C1192">
        <w:rPr>
          <w:sz w:val="24"/>
          <w:szCs w:val="24"/>
        </w:rPr>
        <w:t xml:space="preserve">Staff at two schools described examples </w:t>
      </w:r>
      <w:r w:rsidR="00CB794E">
        <w:rPr>
          <w:sz w:val="24"/>
          <w:szCs w:val="24"/>
        </w:rPr>
        <w:t xml:space="preserve">of </w:t>
      </w:r>
      <w:r w:rsidRPr="000C1192">
        <w:rPr>
          <w:sz w:val="24"/>
          <w:szCs w:val="24"/>
        </w:rPr>
        <w:t xml:space="preserve">later decisions </w:t>
      </w:r>
      <w:r w:rsidR="00CB794E">
        <w:rPr>
          <w:sz w:val="24"/>
          <w:szCs w:val="24"/>
        </w:rPr>
        <w:t xml:space="preserve">being made </w:t>
      </w:r>
      <w:r w:rsidR="00B21B51">
        <w:rPr>
          <w:sz w:val="24"/>
          <w:szCs w:val="24"/>
        </w:rPr>
        <w:t xml:space="preserve">to </w:t>
      </w:r>
      <w:r w:rsidR="001D565B">
        <w:rPr>
          <w:sz w:val="24"/>
          <w:szCs w:val="24"/>
        </w:rPr>
        <w:t>remove</w:t>
      </w:r>
      <w:r w:rsidRPr="000C1192">
        <w:rPr>
          <w:sz w:val="24"/>
          <w:szCs w:val="24"/>
        </w:rPr>
        <w:t xml:space="preserve"> students </w:t>
      </w:r>
      <w:r w:rsidR="001D565B">
        <w:rPr>
          <w:sz w:val="24"/>
          <w:szCs w:val="24"/>
        </w:rPr>
        <w:t>from</w:t>
      </w:r>
      <w:r w:rsidR="00813E78">
        <w:rPr>
          <w:sz w:val="24"/>
          <w:szCs w:val="24"/>
        </w:rPr>
        <w:t xml:space="preserve"> </w:t>
      </w:r>
      <w:r w:rsidRPr="000C1192">
        <w:rPr>
          <w:sz w:val="24"/>
          <w:szCs w:val="24"/>
        </w:rPr>
        <w:t>the EBac even if they had initially chosen this route</w:t>
      </w:r>
      <w:r w:rsidR="00083C4D">
        <w:rPr>
          <w:sz w:val="24"/>
          <w:szCs w:val="24"/>
        </w:rPr>
        <w:t xml:space="preserve">. </w:t>
      </w:r>
      <w:r w:rsidR="00CB794E">
        <w:rPr>
          <w:sz w:val="24"/>
          <w:szCs w:val="24"/>
        </w:rPr>
        <w:t>I</w:t>
      </w:r>
      <w:r w:rsidR="00083C4D">
        <w:rPr>
          <w:sz w:val="24"/>
          <w:szCs w:val="24"/>
        </w:rPr>
        <w:t>n both Purplefield and Redfield</w:t>
      </w:r>
      <w:r w:rsidR="00CB794E">
        <w:rPr>
          <w:sz w:val="24"/>
          <w:szCs w:val="24"/>
        </w:rPr>
        <w:t>,</w:t>
      </w:r>
      <w:r w:rsidR="00083C4D">
        <w:rPr>
          <w:sz w:val="24"/>
          <w:szCs w:val="24"/>
        </w:rPr>
        <w:t xml:space="preserve"> some students had started GCSEs thinking they were on the EBac</w:t>
      </w:r>
      <w:r w:rsidR="00CB794E">
        <w:rPr>
          <w:sz w:val="24"/>
          <w:szCs w:val="24"/>
        </w:rPr>
        <w:t>,</w:t>
      </w:r>
      <w:r w:rsidR="00083C4D">
        <w:rPr>
          <w:sz w:val="24"/>
          <w:szCs w:val="24"/>
        </w:rPr>
        <w:t xml:space="preserve"> but were then switched to BTEC science (where they were believed to have a more likely chance of gaining a grade C equivalent for the performance tables) which meant they did not achieve the EBac. I</w:t>
      </w:r>
      <w:r w:rsidR="001B7936">
        <w:rPr>
          <w:sz w:val="24"/>
          <w:szCs w:val="24"/>
        </w:rPr>
        <w:t>n contrast</w:t>
      </w:r>
      <w:r w:rsidR="00CB794E">
        <w:rPr>
          <w:sz w:val="24"/>
          <w:szCs w:val="24"/>
        </w:rPr>
        <w:t>,</w:t>
      </w:r>
      <w:r w:rsidR="001B7936">
        <w:rPr>
          <w:sz w:val="24"/>
          <w:szCs w:val="24"/>
        </w:rPr>
        <w:t xml:space="preserve"> </w:t>
      </w:r>
      <w:r w:rsidRPr="000C1192">
        <w:rPr>
          <w:sz w:val="24"/>
          <w:szCs w:val="24"/>
        </w:rPr>
        <w:t xml:space="preserve">attempts were also made to convince </w:t>
      </w:r>
      <w:r w:rsidR="001B7936">
        <w:rPr>
          <w:sz w:val="24"/>
          <w:szCs w:val="24"/>
        </w:rPr>
        <w:t xml:space="preserve">high ability </w:t>
      </w:r>
      <w:r w:rsidRPr="000C1192">
        <w:rPr>
          <w:sz w:val="24"/>
          <w:szCs w:val="24"/>
        </w:rPr>
        <w:t xml:space="preserve">students </w:t>
      </w:r>
      <w:r w:rsidR="00083C4D">
        <w:rPr>
          <w:sz w:val="24"/>
          <w:szCs w:val="24"/>
        </w:rPr>
        <w:t xml:space="preserve">to </w:t>
      </w:r>
      <w:r w:rsidR="001D565B">
        <w:rPr>
          <w:sz w:val="24"/>
          <w:szCs w:val="24"/>
        </w:rPr>
        <w:t>study</w:t>
      </w:r>
      <w:r w:rsidR="00083C4D">
        <w:rPr>
          <w:sz w:val="24"/>
          <w:szCs w:val="24"/>
        </w:rPr>
        <w:t xml:space="preserve"> EBac </w:t>
      </w:r>
      <w:r w:rsidR="001D565B">
        <w:rPr>
          <w:sz w:val="24"/>
          <w:szCs w:val="24"/>
        </w:rPr>
        <w:t xml:space="preserve">subjects </w:t>
      </w:r>
      <w:r w:rsidR="00083C4D">
        <w:rPr>
          <w:sz w:val="24"/>
          <w:szCs w:val="24"/>
        </w:rPr>
        <w:t xml:space="preserve">as a requirement for university </w:t>
      </w:r>
      <w:r w:rsidR="00692326">
        <w:rPr>
          <w:sz w:val="24"/>
          <w:szCs w:val="24"/>
        </w:rPr>
        <w:t>(</w:t>
      </w:r>
      <w:r w:rsidR="00083C4D">
        <w:rPr>
          <w:sz w:val="24"/>
          <w:szCs w:val="24"/>
        </w:rPr>
        <w:t>Angela</w:t>
      </w:r>
      <w:r w:rsidR="00CB794E">
        <w:rPr>
          <w:sz w:val="24"/>
          <w:szCs w:val="24"/>
        </w:rPr>
        <w:t>,</w:t>
      </w:r>
      <w:r w:rsidR="00083C4D">
        <w:rPr>
          <w:sz w:val="24"/>
          <w:szCs w:val="24"/>
        </w:rPr>
        <w:t xml:space="preserve"> R</w:t>
      </w:r>
      <w:r w:rsidR="006A0CD7">
        <w:rPr>
          <w:sz w:val="24"/>
          <w:szCs w:val="24"/>
        </w:rPr>
        <w:t>edfield</w:t>
      </w:r>
      <w:r w:rsidR="00083C4D">
        <w:rPr>
          <w:sz w:val="24"/>
          <w:szCs w:val="24"/>
        </w:rPr>
        <w:t>/DH</w:t>
      </w:r>
      <w:r w:rsidR="006C11E8">
        <w:rPr>
          <w:sz w:val="24"/>
          <w:szCs w:val="24"/>
        </w:rPr>
        <w:t>,</w:t>
      </w:r>
      <w:r w:rsidR="00083C4D">
        <w:rPr>
          <w:sz w:val="24"/>
          <w:szCs w:val="24"/>
        </w:rPr>
        <w:t xml:space="preserve"> </w:t>
      </w:r>
      <w:r w:rsidR="00692326">
        <w:rPr>
          <w:sz w:val="24"/>
          <w:szCs w:val="24"/>
        </w:rPr>
        <w:t>p.7)</w:t>
      </w:r>
      <w:r w:rsidR="00083C4D">
        <w:rPr>
          <w:sz w:val="24"/>
          <w:szCs w:val="24"/>
        </w:rPr>
        <w:t xml:space="preserve">. </w:t>
      </w:r>
      <w:r>
        <w:rPr>
          <w:sz w:val="24"/>
          <w:szCs w:val="24"/>
        </w:rPr>
        <w:t xml:space="preserve"> </w:t>
      </w:r>
    </w:p>
    <w:p w14:paraId="655560FF" w14:textId="2C670EF6" w:rsidR="005264AB" w:rsidRPr="00582F8F" w:rsidRDefault="009845FF" w:rsidP="005264AB">
      <w:pPr>
        <w:tabs>
          <w:tab w:val="left" w:pos="8505"/>
          <w:tab w:val="left" w:pos="8647"/>
        </w:tabs>
        <w:spacing w:line="360" w:lineRule="auto"/>
        <w:rPr>
          <w:sz w:val="24"/>
          <w:szCs w:val="24"/>
        </w:rPr>
      </w:pPr>
      <w:r>
        <w:rPr>
          <w:sz w:val="24"/>
          <w:szCs w:val="24"/>
        </w:rPr>
        <w:t>T</w:t>
      </w:r>
      <w:r w:rsidR="005264AB">
        <w:rPr>
          <w:sz w:val="24"/>
          <w:szCs w:val="24"/>
        </w:rPr>
        <w:t xml:space="preserve">he type of school, either academy or non-academy </w:t>
      </w:r>
      <w:r w:rsidR="000353AE">
        <w:rPr>
          <w:sz w:val="24"/>
          <w:szCs w:val="24"/>
        </w:rPr>
        <w:t>and</w:t>
      </w:r>
      <w:r w:rsidR="005264AB">
        <w:rPr>
          <w:sz w:val="24"/>
          <w:szCs w:val="24"/>
        </w:rPr>
        <w:t xml:space="preserve"> high</w:t>
      </w:r>
      <w:r w:rsidR="00CB794E">
        <w:rPr>
          <w:sz w:val="24"/>
          <w:szCs w:val="24"/>
        </w:rPr>
        <w:t>-</w:t>
      </w:r>
      <w:r w:rsidR="005264AB">
        <w:rPr>
          <w:sz w:val="24"/>
          <w:szCs w:val="24"/>
        </w:rPr>
        <w:t>achieving or low</w:t>
      </w:r>
      <w:r w:rsidR="00CB794E">
        <w:rPr>
          <w:sz w:val="24"/>
          <w:szCs w:val="24"/>
        </w:rPr>
        <w:t>-</w:t>
      </w:r>
      <w:r w:rsidR="005264AB">
        <w:rPr>
          <w:sz w:val="24"/>
          <w:szCs w:val="24"/>
        </w:rPr>
        <w:t>achieving</w:t>
      </w:r>
      <w:r w:rsidR="00CB794E">
        <w:rPr>
          <w:sz w:val="24"/>
          <w:szCs w:val="24"/>
        </w:rPr>
        <w:t>,</w:t>
      </w:r>
      <w:r w:rsidR="005264AB">
        <w:rPr>
          <w:sz w:val="24"/>
          <w:szCs w:val="24"/>
        </w:rPr>
        <w:t xml:space="preserve"> </w:t>
      </w:r>
      <w:r>
        <w:rPr>
          <w:sz w:val="24"/>
          <w:szCs w:val="24"/>
        </w:rPr>
        <w:t>impacted on the actual and perceived</w:t>
      </w:r>
      <w:r w:rsidR="00501D6B">
        <w:rPr>
          <w:sz w:val="24"/>
          <w:szCs w:val="24"/>
        </w:rPr>
        <w:t xml:space="preserve"> </w:t>
      </w:r>
      <w:r>
        <w:rPr>
          <w:sz w:val="24"/>
          <w:szCs w:val="24"/>
        </w:rPr>
        <w:t>choices available</w:t>
      </w:r>
      <w:r w:rsidR="00501D6B">
        <w:rPr>
          <w:sz w:val="24"/>
          <w:szCs w:val="24"/>
        </w:rPr>
        <w:t xml:space="preserve"> with the EBac</w:t>
      </w:r>
      <w:r w:rsidR="005264AB">
        <w:rPr>
          <w:sz w:val="24"/>
          <w:szCs w:val="24"/>
        </w:rPr>
        <w:t>. Academy</w:t>
      </w:r>
      <w:r w:rsidR="005264AB" w:rsidRPr="008C01CE">
        <w:rPr>
          <w:sz w:val="24"/>
          <w:szCs w:val="24"/>
        </w:rPr>
        <w:t xml:space="preserve"> status was presented in the White Paper as a way for </w:t>
      </w:r>
      <w:r w:rsidR="00CB794E">
        <w:rPr>
          <w:sz w:val="24"/>
          <w:szCs w:val="24"/>
        </w:rPr>
        <w:t>h</w:t>
      </w:r>
      <w:r w:rsidR="005264AB" w:rsidRPr="008C01CE">
        <w:rPr>
          <w:sz w:val="24"/>
          <w:szCs w:val="24"/>
        </w:rPr>
        <w:t>eadteachers</w:t>
      </w:r>
      <w:r w:rsidR="005264AB">
        <w:rPr>
          <w:sz w:val="24"/>
          <w:szCs w:val="24"/>
        </w:rPr>
        <w:t xml:space="preserve"> </w:t>
      </w:r>
      <w:r w:rsidR="005264AB" w:rsidRPr="008C01CE">
        <w:rPr>
          <w:sz w:val="24"/>
          <w:szCs w:val="24"/>
        </w:rPr>
        <w:t xml:space="preserve">to have more freedom of choice. Being an </w:t>
      </w:r>
      <w:r w:rsidR="005264AB">
        <w:rPr>
          <w:sz w:val="24"/>
          <w:szCs w:val="24"/>
        </w:rPr>
        <w:t>academy</w:t>
      </w:r>
      <w:r w:rsidR="005264AB" w:rsidRPr="008C01CE">
        <w:rPr>
          <w:sz w:val="24"/>
          <w:szCs w:val="24"/>
        </w:rPr>
        <w:t xml:space="preserve"> allow</w:t>
      </w:r>
      <w:r w:rsidR="005264AB">
        <w:rPr>
          <w:sz w:val="24"/>
          <w:szCs w:val="24"/>
        </w:rPr>
        <w:t>ed</w:t>
      </w:r>
      <w:r w:rsidR="005264AB" w:rsidRPr="008C01CE">
        <w:rPr>
          <w:sz w:val="24"/>
          <w:szCs w:val="24"/>
        </w:rPr>
        <w:t xml:space="preserve"> Bluefield a greater choice over many </w:t>
      </w:r>
      <w:r w:rsidR="000353AE">
        <w:rPr>
          <w:sz w:val="24"/>
          <w:szCs w:val="24"/>
        </w:rPr>
        <w:t>curriculum</w:t>
      </w:r>
      <w:r w:rsidR="00813E78">
        <w:rPr>
          <w:sz w:val="24"/>
          <w:szCs w:val="24"/>
        </w:rPr>
        <w:t xml:space="preserve"> decisions</w:t>
      </w:r>
      <w:r w:rsidR="005264AB">
        <w:rPr>
          <w:sz w:val="24"/>
          <w:szCs w:val="24"/>
        </w:rPr>
        <w:t>, for example introducing vocational choices when other schools were reducing the</w:t>
      </w:r>
      <w:r w:rsidR="00CB794E">
        <w:rPr>
          <w:sz w:val="24"/>
          <w:szCs w:val="24"/>
        </w:rPr>
        <w:t>m</w:t>
      </w:r>
      <w:r w:rsidR="005264AB">
        <w:rPr>
          <w:sz w:val="24"/>
          <w:szCs w:val="24"/>
        </w:rPr>
        <w:t xml:space="preserve">, however it was the strong </w:t>
      </w:r>
      <w:r w:rsidR="000353AE">
        <w:rPr>
          <w:sz w:val="24"/>
          <w:szCs w:val="24"/>
        </w:rPr>
        <w:t xml:space="preserve">results </w:t>
      </w:r>
      <w:r w:rsidR="005264AB">
        <w:rPr>
          <w:sz w:val="24"/>
          <w:szCs w:val="24"/>
        </w:rPr>
        <w:t xml:space="preserve">position that allowed this freedom of choice rather than </w:t>
      </w:r>
      <w:r w:rsidR="003D5955">
        <w:rPr>
          <w:sz w:val="24"/>
          <w:szCs w:val="24"/>
        </w:rPr>
        <w:t xml:space="preserve">the school’s </w:t>
      </w:r>
      <w:r w:rsidR="005264AB">
        <w:rPr>
          <w:sz w:val="24"/>
          <w:szCs w:val="24"/>
        </w:rPr>
        <w:t>academy status</w:t>
      </w:r>
      <w:r w:rsidR="000353AE">
        <w:rPr>
          <w:sz w:val="24"/>
          <w:szCs w:val="24"/>
        </w:rPr>
        <w:t>.</w:t>
      </w:r>
      <w:r w:rsidR="005264AB">
        <w:rPr>
          <w:sz w:val="24"/>
          <w:szCs w:val="24"/>
        </w:rPr>
        <w:t xml:space="preserve"> </w:t>
      </w:r>
      <w:r w:rsidR="000353AE">
        <w:rPr>
          <w:sz w:val="24"/>
          <w:szCs w:val="24"/>
        </w:rPr>
        <w:t xml:space="preserve">In </w:t>
      </w:r>
      <w:r w:rsidR="005264AB" w:rsidRPr="008C01CE">
        <w:rPr>
          <w:sz w:val="24"/>
          <w:szCs w:val="24"/>
        </w:rPr>
        <w:t xml:space="preserve">contrast, Purplefield </w:t>
      </w:r>
      <w:r w:rsidR="005264AB">
        <w:rPr>
          <w:sz w:val="24"/>
          <w:szCs w:val="24"/>
        </w:rPr>
        <w:t>was</w:t>
      </w:r>
      <w:r w:rsidR="005264AB" w:rsidRPr="008C01CE">
        <w:rPr>
          <w:sz w:val="24"/>
          <w:szCs w:val="24"/>
        </w:rPr>
        <w:t xml:space="preserve"> </w:t>
      </w:r>
      <w:r w:rsidR="005264AB">
        <w:rPr>
          <w:sz w:val="24"/>
          <w:szCs w:val="24"/>
        </w:rPr>
        <w:t xml:space="preserve">not </w:t>
      </w:r>
      <w:r w:rsidR="005264AB" w:rsidRPr="008C01CE">
        <w:rPr>
          <w:sz w:val="24"/>
          <w:szCs w:val="24"/>
        </w:rPr>
        <w:t xml:space="preserve">able to </w:t>
      </w:r>
      <w:r w:rsidR="00CB794E">
        <w:rPr>
          <w:sz w:val="24"/>
          <w:szCs w:val="24"/>
        </w:rPr>
        <w:t xml:space="preserve">benefit from </w:t>
      </w:r>
      <w:r w:rsidR="005264AB">
        <w:rPr>
          <w:sz w:val="24"/>
          <w:szCs w:val="24"/>
        </w:rPr>
        <w:t>academy</w:t>
      </w:r>
      <w:r w:rsidR="005264AB" w:rsidRPr="008C01CE">
        <w:rPr>
          <w:sz w:val="24"/>
          <w:szCs w:val="24"/>
        </w:rPr>
        <w:t xml:space="preserve"> freedom</w:t>
      </w:r>
      <w:r w:rsidR="000353AE">
        <w:rPr>
          <w:sz w:val="24"/>
          <w:szCs w:val="24"/>
        </w:rPr>
        <w:t xml:space="preserve"> </w:t>
      </w:r>
      <w:r w:rsidR="005264AB">
        <w:rPr>
          <w:sz w:val="24"/>
          <w:szCs w:val="24"/>
        </w:rPr>
        <w:t xml:space="preserve">due to their weak position </w:t>
      </w:r>
      <w:r w:rsidR="00CB794E">
        <w:rPr>
          <w:sz w:val="24"/>
          <w:szCs w:val="24"/>
        </w:rPr>
        <w:t xml:space="preserve">regarding </w:t>
      </w:r>
      <w:r w:rsidR="005264AB">
        <w:rPr>
          <w:sz w:val="24"/>
          <w:szCs w:val="24"/>
        </w:rPr>
        <w:t>overall student attainment, “</w:t>
      </w:r>
      <w:r w:rsidR="005264AB" w:rsidRPr="000930A7">
        <w:rPr>
          <w:sz w:val="24"/>
          <w:szCs w:val="24"/>
        </w:rPr>
        <w:t>you need a lot of good results to be able to resist change” (</w:t>
      </w:r>
      <w:r w:rsidR="005264AB">
        <w:rPr>
          <w:sz w:val="24"/>
          <w:szCs w:val="24"/>
        </w:rPr>
        <w:t>Jane,</w:t>
      </w:r>
      <w:r w:rsidR="006A0CD7">
        <w:rPr>
          <w:sz w:val="24"/>
          <w:szCs w:val="24"/>
        </w:rPr>
        <w:t xml:space="preserve"> </w:t>
      </w:r>
      <w:r w:rsidR="006C11E8">
        <w:rPr>
          <w:sz w:val="24"/>
          <w:szCs w:val="24"/>
        </w:rPr>
        <w:t>Purplefield</w:t>
      </w:r>
      <w:r w:rsidR="006A0CD7">
        <w:rPr>
          <w:sz w:val="24"/>
          <w:szCs w:val="24"/>
        </w:rPr>
        <w:t>/DH,</w:t>
      </w:r>
      <w:r w:rsidR="005264AB">
        <w:rPr>
          <w:sz w:val="24"/>
          <w:szCs w:val="24"/>
        </w:rPr>
        <w:t xml:space="preserve"> </w:t>
      </w:r>
      <w:r w:rsidR="005264AB" w:rsidRPr="000930A7">
        <w:rPr>
          <w:sz w:val="24"/>
          <w:szCs w:val="24"/>
        </w:rPr>
        <w:t>p.6).</w:t>
      </w:r>
      <w:r w:rsidR="005264AB">
        <w:rPr>
          <w:sz w:val="24"/>
          <w:szCs w:val="24"/>
        </w:rPr>
        <w:t xml:space="preserve"> Indeed</w:t>
      </w:r>
      <w:r w:rsidR="00CB794E">
        <w:rPr>
          <w:sz w:val="24"/>
          <w:szCs w:val="24"/>
        </w:rPr>
        <w:t>,</w:t>
      </w:r>
      <w:r w:rsidR="005264AB">
        <w:rPr>
          <w:sz w:val="24"/>
          <w:szCs w:val="24"/>
        </w:rPr>
        <w:t xml:space="preserve"> they made curriculum choices that </w:t>
      </w:r>
      <w:r w:rsidR="00CB794E">
        <w:rPr>
          <w:sz w:val="24"/>
          <w:szCs w:val="24"/>
        </w:rPr>
        <w:t xml:space="preserve">contradicted </w:t>
      </w:r>
      <w:r w:rsidR="005264AB">
        <w:rPr>
          <w:sz w:val="24"/>
          <w:szCs w:val="24"/>
        </w:rPr>
        <w:t>what they believed w</w:t>
      </w:r>
      <w:r w:rsidR="00CB794E">
        <w:rPr>
          <w:sz w:val="24"/>
          <w:szCs w:val="24"/>
        </w:rPr>
        <w:t>as</w:t>
      </w:r>
      <w:r w:rsidR="005264AB">
        <w:rPr>
          <w:sz w:val="24"/>
          <w:szCs w:val="24"/>
        </w:rPr>
        <w:t xml:space="preserve"> in the best long term interests of their students </w:t>
      </w:r>
      <w:r w:rsidR="005264AB" w:rsidRPr="008C01CE">
        <w:rPr>
          <w:sz w:val="24"/>
          <w:szCs w:val="24"/>
        </w:rPr>
        <w:t>“The students who are coming who are less able, less academic… are being given a raw deal and with very few options being made available” (Debbie</w:t>
      </w:r>
      <w:r w:rsidR="00CB794E">
        <w:rPr>
          <w:sz w:val="24"/>
          <w:szCs w:val="24"/>
        </w:rPr>
        <w:t>,</w:t>
      </w:r>
      <w:r w:rsidR="005264AB" w:rsidRPr="008C01CE">
        <w:rPr>
          <w:sz w:val="24"/>
          <w:szCs w:val="24"/>
        </w:rPr>
        <w:t xml:space="preserve"> </w:t>
      </w:r>
      <w:r w:rsidR="006A0CD7">
        <w:rPr>
          <w:sz w:val="24"/>
          <w:szCs w:val="24"/>
        </w:rPr>
        <w:t>Purplefield/HoD/</w:t>
      </w:r>
      <w:r w:rsidR="006C11E8">
        <w:rPr>
          <w:sz w:val="24"/>
          <w:szCs w:val="24"/>
        </w:rPr>
        <w:t>non-</w:t>
      </w:r>
      <w:r w:rsidR="006A0CD7">
        <w:rPr>
          <w:sz w:val="24"/>
          <w:szCs w:val="24"/>
        </w:rPr>
        <w:t xml:space="preserve">EBac, </w:t>
      </w:r>
      <w:r w:rsidR="005264AB" w:rsidRPr="008C01CE">
        <w:rPr>
          <w:sz w:val="24"/>
          <w:szCs w:val="24"/>
        </w:rPr>
        <w:t xml:space="preserve">p.12). </w:t>
      </w:r>
      <w:r w:rsidR="005264AB">
        <w:rPr>
          <w:sz w:val="24"/>
          <w:szCs w:val="24"/>
        </w:rPr>
        <w:t>The power to implement academy freedoms appears to be mitigated by the academic standing of the school.</w:t>
      </w:r>
    </w:p>
    <w:p w14:paraId="6D6B54C5" w14:textId="544FAB53" w:rsidR="00A21D4B" w:rsidRPr="00582F8F" w:rsidRDefault="00CB794E" w:rsidP="00A21D4B">
      <w:pPr>
        <w:spacing w:line="360" w:lineRule="auto"/>
        <w:rPr>
          <w:sz w:val="24"/>
          <w:szCs w:val="24"/>
        </w:rPr>
      </w:pPr>
      <w:r>
        <w:rPr>
          <w:sz w:val="24"/>
          <w:szCs w:val="24"/>
        </w:rPr>
        <w:t>I</w:t>
      </w:r>
      <w:r w:rsidR="000D1E34" w:rsidRPr="000C1192">
        <w:rPr>
          <w:sz w:val="24"/>
          <w:szCs w:val="24"/>
        </w:rPr>
        <w:t>n the first year of the EBac</w:t>
      </w:r>
      <w:r>
        <w:rPr>
          <w:sz w:val="24"/>
          <w:szCs w:val="24"/>
        </w:rPr>
        <w:t xml:space="preserve"> at Purplefield</w:t>
      </w:r>
      <w:r w:rsidR="000D1E34" w:rsidRPr="000C1192">
        <w:rPr>
          <w:sz w:val="24"/>
          <w:szCs w:val="24"/>
        </w:rPr>
        <w:t>, the case stated to parents regarding the necessity of the EBac for future progression to university was presented robustly</w:t>
      </w:r>
      <w:r>
        <w:rPr>
          <w:sz w:val="24"/>
          <w:szCs w:val="24"/>
        </w:rPr>
        <w:t>,</w:t>
      </w:r>
      <w:r w:rsidR="000D1E34" w:rsidRPr="000C1192">
        <w:rPr>
          <w:sz w:val="24"/>
          <w:szCs w:val="24"/>
        </w:rPr>
        <w:t xml:space="preserve"> to the extent that it was potentially described as </w:t>
      </w:r>
      <w:r w:rsidR="000D1E34">
        <w:rPr>
          <w:sz w:val="24"/>
          <w:szCs w:val="24"/>
        </w:rPr>
        <w:t>“</w:t>
      </w:r>
      <w:r w:rsidR="000D1E34" w:rsidRPr="000C1192">
        <w:rPr>
          <w:sz w:val="24"/>
          <w:szCs w:val="24"/>
        </w:rPr>
        <w:t>overemphasised</w:t>
      </w:r>
      <w:r w:rsidR="000D1E34">
        <w:rPr>
          <w:sz w:val="24"/>
          <w:szCs w:val="24"/>
        </w:rPr>
        <w:t>” (</w:t>
      </w:r>
      <w:r w:rsidR="009845FF">
        <w:rPr>
          <w:sz w:val="24"/>
          <w:szCs w:val="24"/>
        </w:rPr>
        <w:t>Angela</w:t>
      </w:r>
      <w:r>
        <w:rPr>
          <w:sz w:val="24"/>
          <w:szCs w:val="24"/>
        </w:rPr>
        <w:t>,</w:t>
      </w:r>
      <w:r w:rsidR="009845FF">
        <w:rPr>
          <w:sz w:val="24"/>
          <w:szCs w:val="24"/>
        </w:rPr>
        <w:t xml:space="preserve"> R</w:t>
      </w:r>
      <w:r w:rsidR="006364D3">
        <w:rPr>
          <w:sz w:val="24"/>
          <w:szCs w:val="24"/>
        </w:rPr>
        <w:t>edfield</w:t>
      </w:r>
      <w:r w:rsidR="009845FF">
        <w:rPr>
          <w:sz w:val="24"/>
          <w:szCs w:val="24"/>
        </w:rPr>
        <w:t>/DH</w:t>
      </w:r>
      <w:r w:rsidR="006364D3">
        <w:rPr>
          <w:sz w:val="24"/>
          <w:szCs w:val="24"/>
        </w:rPr>
        <w:t>,</w:t>
      </w:r>
      <w:r w:rsidR="009845FF">
        <w:rPr>
          <w:sz w:val="24"/>
          <w:szCs w:val="24"/>
        </w:rPr>
        <w:t xml:space="preserve"> </w:t>
      </w:r>
      <w:r w:rsidR="000D1E34">
        <w:rPr>
          <w:sz w:val="24"/>
          <w:szCs w:val="24"/>
        </w:rPr>
        <w:t>p</w:t>
      </w:r>
      <w:r w:rsidR="009845FF">
        <w:rPr>
          <w:sz w:val="24"/>
          <w:szCs w:val="24"/>
        </w:rPr>
        <w:t>7</w:t>
      </w:r>
      <w:r w:rsidR="000D1E34">
        <w:rPr>
          <w:sz w:val="24"/>
          <w:szCs w:val="24"/>
        </w:rPr>
        <w:t>.)</w:t>
      </w:r>
      <w:r w:rsidR="000D1E34" w:rsidRPr="000C1192">
        <w:rPr>
          <w:sz w:val="24"/>
          <w:szCs w:val="24"/>
        </w:rPr>
        <w:t xml:space="preserve">. </w:t>
      </w:r>
      <w:r w:rsidR="000D1E34">
        <w:rPr>
          <w:sz w:val="24"/>
          <w:szCs w:val="24"/>
        </w:rPr>
        <w:t>Th</w:t>
      </w:r>
      <w:r w:rsidR="00501D6B">
        <w:rPr>
          <w:sz w:val="24"/>
          <w:szCs w:val="24"/>
        </w:rPr>
        <w:t xml:space="preserve">e EBac is not </w:t>
      </w:r>
      <w:r w:rsidR="00501D6B">
        <w:rPr>
          <w:sz w:val="24"/>
          <w:szCs w:val="24"/>
        </w:rPr>
        <w:lastRenderedPageBreak/>
        <w:t>required for university admission</w:t>
      </w:r>
      <w:r>
        <w:rPr>
          <w:sz w:val="24"/>
          <w:szCs w:val="24"/>
        </w:rPr>
        <w:t>,</w:t>
      </w:r>
      <w:r w:rsidR="000D1E34">
        <w:rPr>
          <w:sz w:val="24"/>
          <w:szCs w:val="24"/>
        </w:rPr>
        <w:t xml:space="preserve"> t</w:t>
      </w:r>
      <w:r w:rsidR="000D1E34" w:rsidRPr="000C1192">
        <w:rPr>
          <w:sz w:val="24"/>
          <w:szCs w:val="24"/>
        </w:rPr>
        <w:t xml:space="preserve">herefore parents </w:t>
      </w:r>
      <w:r w:rsidR="000D1E34">
        <w:rPr>
          <w:sz w:val="24"/>
          <w:szCs w:val="24"/>
        </w:rPr>
        <w:t xml:space="preserve">were </w:t>
      </w:r>
      <w:r w:rsidR="000D1E34" w:rsidRPr="000C1192">
        <w:rPr>
          <w:sz w:val="24"/>
          <w:szCs w:val="24"/>
        </w:rPr>
        <w:t>provided with incorrect information on which to try to make a rational decision.</w:t>
      </w:r>
      <w:r w:rsidR="00A21D4B">
        <w:rPr>
          <w:sz w:val="24"/>
          <w:szCs w:val="24"/>
        </w:rPr>
        <w:t xml:space="preserve"> </w:t>
      </w:r>
      <w:r w:rsidR="0084562B">
        <w:rPr>
          <w:sz w:val="24"/>
          <w:szCs w:val="24"/>
        </w:rPr>
        <w:t>Redfield also provided parents with what turned out to be incorrect information in the first year</w:t>
      </w:r>
      <w:r>
        <w:rPr>
          <w:sz w:val="24"/>
          <w:szCs w:val="24"/>
        </w:rPr>
        <w:t>,</w:t>
      </w:r>
      <w:r w:rsidR="0084562B">
        <w:rPr>
          <w:sz w:val="24"/>
          <w:szCs w:val="24"/>
        </w:rPr>
        <w:t xml:space="preserve"> when they stated that Religious Studies was an EBac subject. </w:t>
      </w:r>
      <w:r w:rsidR="00501D6B">
        <w:rPr>
          <w:sz w:val="24"/>
          <w:szCs w:val="24"/>
        </w:rPr>
        <w:t>Bluefield parents were presented with a very pro</w:t>
      </w:r>
      <w:r w:rsidR="000353AE">
        <w:rPr>
          <w:sz w:val="24"/>
          <w:szCs w:val="24"/>
        </w:rPr>
        <w:t>-</w:t>
      </w:r>
      <w:r w:rsidR="00501D6B">
        <w:rPr>
          <w:sz w:val="24"/>
          <w:szCs w:val="24"/>
        </w:rPr>
        <w:t>EBac scenario</w:t>
      </w:r>
      <w:r>
        <w:rPr>
          <w:sz w:val="24"/>
          <w:szCs w:val="24"/>
        </w:rPr>
        <w:t>,</w:t>
      </w:r>
      <w:r w:rsidR="00501D6B">
        <w:rPr>
          <w:sz w:val="24"/>
          <w:szCs w:val="24"/>
        </w:rPr>
        <w:t xml:space="preserve"> which corresponded with their educational ambitions and understanding. Simon (B</w:t>
      </w:r>
      <w:r w:rsidR="006364D3">
        <w:rPr>
          <w:sz w:val="24"/>
          <w:szCs w:val="24"/>
        </w:rPr>
        <w:t>luefield</w:t>
      </w:r>
      <w:r w:rsidR="00501D6B">
        <w:rPr>
          <w:sz w:val="24"/>
          <w:szCs w:val="24"/>
        </w:rPr>
        <w:t>/DH) stated that Bluefield was a “type of school where parents take a very keen interest in their sons</w:t>
      </w:r>
      <w:r>
        <w:rPr>
          <w:sz w:val="24"/>
          <w:szCs w:val="24"/>
        </w:rPr>
        <w:t>’</w:t>
      </w:r>
      <w:r w:rsidR="00501D6B">
        <w:rPr>
          <w:sz w:val="24"/>
          <w:szCs w:val="24"/>
        </w:rPr>
        <w:t xml:space="preserve"> and daughters</w:t>
      </w:r>
      <w:r>
        <w:rPr>
          <w:sz w:val="24"/>
          <w:szCs w:val="24"/>
        </w:rPr>
        <w:t>’</w:t>
      </w:r>
      <w:r w:rsidR="00501D6B">
        <w:rPr>
          <w:sz w:val="24"/>
          <w:szCs w:val="24"/>
        </w:rPr>
        <w:t xml:space="preserve"> education</w:t>
      </w:r>
      <w:r>
        <w:rPr>
          <w:sz w:val="24"/>
          <w:szCs w:val="24"/>
        </w:rPr>
        <w:t xml:space="preserve"> - </w:t>
      </w:r>
      <w:r w:rsidR="00501D6B">
        <w:rPr>
          <w:sz w:val="24"/>
          <w:szCs w:val="24"/>
        </w:rPr>
        <w:t xml:space="preserve">I think that they would be very sensitive to [EBac requirements]” (p.16).  </w:t>
      </w:r>
      <w:r w:rsidR="00A21D4B" w:rsidRPr="000C1192">
        <w:rPr>
          <w:sz w:val="24"/>
          <w:szCs w:val="24"/>
        </w:rPr>
        <w:t xml:space="preserve">As seen </w:t>
      </w:r>
      <w:r>
        <w:rPr>
          <w:sz w:val="24"/>
          <w:szCs w:val="24"/>
        </w:rPr>
        <w:t>in</w:t>
      </w:r>
      <w:r w:rsidR="00A21D4B" w:rsidRPr="000C1192">
        <w:rPr>
          <w:sz w:val="24"/>
          <w:szCs w:val="24"/>
        </w:rPr>
        <w:t xml:space="preserve"> the work of Bowles and Gintis (1976), social and cultural reproduction</w:t>
      </w:r>
      <w:r w:rsidR="00A21D4B">
        <w:rPr>
          <w:sz w:val="24"/>
          <w:szCs w:val="24"/>
        </w:rPr>
        <w:t xml:space="preserve"> is likely to be </w:t>
      </w:r>
      <w:r w:rsidR="00737ADC">
        <w:rPr>
          <w:sz w:val="24"/>
          <w:szCs w:val="24"/>
        </w:rPr>
        <w:t>perpetuated w</w:t>
      </w:r>
      <w:r>
        <w:rPr>
          <w:sz w:val="24"/>
          <w:szCs w:val="24"/>
        </w:rPr>
        <w:t>hen</w:t>
      </w:r>
      <w:r w:rsidR="00A21D4B">
        <w:rPr>
          <w:sz w:val="24"/>
          <w:szCs w:val="24"/>
        </w:rPr>
        <w:t xml:space="preserve"> some parents hav</w:t>
      </w:r>
      <w:r>
        <w:rPr>
          <w:sz w:val="24"/>
          <w:szCs w:val="24"/>
        </w:rPr>
        <w:t>e</w:t>
      </w:r>
      <w:r w:rsidR="00A21D4B">
        <w:rPr>
          <w:sz w:val="24"/>
          <w:szCs w:val="24"/>
        </w:rPr>
        <w:t xml:space="preserve"> access to greater knowledge than others.</w:t>
      </w:r>
    </w:p>
    <w:p w14:paraId="72699687" w14:textId="3CFED85B" w:rsidR="00BA407F" w:rsidRDefault="000339BD" w:rsidP="00027122">
      <w:pPr>
        <w:tabs>
          <w:tab w:val="left" w:pos="8505"/>
          <w:tab w:val="left" w:pos="9072"/>
        </w:tabs>
        <w:spacing w:line="360" w:lineRule="auto"/>
        <w:rPr>
          <w:b/>
          <w:bCs/>
          <w:sz w:val="24"/>
          <w:szCs w:val="24"/>
        </w:rPr>
      </w:pPr>
      <w:r>
        <w:rPr>
          <w:sz w:val="24"/>
          <w:szCs w:val="24"/>
        </w:rPr>
        <w:t>In summary</w:t>
      </w:r>
      <w:r w:rsidR="00CB794E">
        <w:rPr>
          <w:sz w:val="24"/>
          <w:szCs w:val="24"/>
        </w:rPr>
        <w:t>,</w:t>
      </w:r>
      <w:r>
        <w:rPr>
          <w:sz w:val="24"/>
          <w:szCs w:val="24"/>
        </w:rPr>
        <w:t xml:space="preserve"> schools did have choice</w:t>
      </w:r>
      <w:r w:rsidR="008724CB">
        <w:rPr>
          <w:sz w:val="24"/>
          <w:szCs w:val="24"/>
        </w:rPr>
        <w:t>s</w:t>
      </w:r>
      <w:r>
        <w:rPr>
          <w:sz w:val="24"/>
          <w:szCs w:val="24"/>
        </w:rPr>
        <w:t xml:space="preserve"> over their response to the EBac. My </w:t>
      </w:r>
      <w:r w:rsidR="00E24166">
        <w:rPr>
          <w:sz w:val="24"/>
          <w:szCs w:val="24"/>
        </w:rPr>
        <w:t>typology</w:t>
      </w:r>
      <w:r>
        <w:rPr>
          <w:sz w:val="24"/>
          <w:szCs w:val="24"/>
        </w:rPr>
        <w:t xml:space="preserve"> of the schools’ approach to the EBac demonstrates the different stances taken. School</w:t>
      </w:r>
      <w:r w:rsidR="00CB794E">
        <w:rPr>
          <w:sz w:val="24"/>
          <w:szCs w:val="24"/>
        </w:rPr>
        <w:t>-</w:t>
      </w:r>
      <w:r>
        <w:rPr>
          <w:sz w:val="24"/>
          <w:szCs w:val="24"/>
        </w:rPr>
        <w:t>wide decisions</w:t>
      </w:r>
      <w:r w:rsidR="00E24166">
        <w:rPr>
          <w:sz w:val="24"/>
          <w:szCs w:val="24"/>
        </w:rPr>
        <w:t xml:space="preserve"> </w:t>
      </w:r>
      <w:r>
        <w:rPr>
          <w:sz w:val="24"/>
          <w:szCs w:val="24"/>
        </w:rPr>
        <w:t>impac</w:t>
      </w:r>
      <w:r w:rsidR="00AD5B6C">
        <w:rPr>
          <w:sz w:val="24"/>
          <w:szCs w:val="24"/>
        </w:rPr>
        <w:t>t</w:t>
      </w:r>
      <w:r w:rsidR="00E24166">
        <w:rPr>
          <w:sz w:val="24"/>
          <w:szCs w:val="24"/>
        </w:rPr>
        <w:t>ed</w:t>
      </w:r>
      <w:r>
        <w:rPr>
          <w:sz w:val="24"/>
          <w:szCs w:val="24"/>
        </w:rPr>
        <w:t xml:space="preserve"> on the individual departments</w:t>
      </w:r>
      <w:r w:rsidR="00CB794E">
        <w:rPr>
          <w:sz w:val="24"/>
          <w:szCs w:val="24"/>
        </w:rPr>
        <w:t>,</w:t>
      </w:r>
      <w:r>
        <w:rPr>
          <w:sz w:val="24"/>
          <w:szCs w:val="24"/>
        </w:rPr>
        <w:t xml:space="preserve"> though teachers could work to influence student and parent decisions</w:t>
      </w:r>
      <w:r w:rsidR="00CB794E">
        <w:rPr>
          <w:sz w:val="24"/>
          <w:szCs w:val="24"/>
        </w:rPr>
        <w:t>,</w:t>
      </w:r>
      <w:r>
        <w:rPr>
          <w:sz w:val="24"/>
          <w:szCs w:val="24"/>
        </w:rPr>
        <w:t xml:space="preserve"> particularly around the emphasis placed on the need and desire to achieve a </w:t>
      </w:r>
      <w:r w:rsidR="003D5955">
        <w:rPr>
          <w:sz w:val="24"/>
          <w:szCs w:val="24"/>
        </w:rPr>
        <w:t xml:space="preserve">GCSE </w:t>
      </w:r>
      <w:r>
        <w:rPr>
          <w:sz w:val="24"/>
          <w:szCs w:val="24"/>
        </w:rPr>
        <w:t xml:space="preserve">grade C. </w:t>
      </w:r>
      <w:r w:rsidR="000353AE">
        <w:rPr>
          <w:sz w:val="24"/>
          <w:szCs w:val="24"/>
        </w:rPr>
        <w:t>L</w:t>
      </w:r>
      <w:r w:rsidR="00247D27">
        <w:rPr>
          <w:sz w:val="24"/>
          <w:szCs w:val="24"/>
        </w:rPr>
        <w:t xml:space="preserve">ater </w:t>
      </w:r>
      <w:r w:rsidR="00E24166">
        <w:rPr>
          <w:sz w:val="24"/>
          <w:szCs w:val="24"/>
        </w:rPr>
        <w:t xml:space="preserve">departmental </w:t>
      </w:r>
      <w:r w:rsidR="00247D27">
        <w:rPr>
          <w:sz w:val="24"/>
          <w:szCs w:val="24"/>
        </w:rPr>
        <w:t xml:space="preserve">curriculum decisions </w:t>
      </w:r>
      <w:r w:rsidR="00E24166">
        <w:rPr>
          <w:sz w:val="24"/>
          <w:szCs w:val="24"/>
        </w:rPr>
        <w:t>sometimes</w:t>
      </w:r>
      <w:r w:rsidR="00247D27">
        <w:rPr>
          <w:sz w:val="24"/>
          <w:szCs w:val="24"/>
        </w:rPr>
        <w:t xml:space="preserve"> worked against the whole school position on the EBac</w:t>
      </w:r>
      <w:r w:rsidR="00CB794E">
        <w:rPr>
          <w:sz w:val="24"/>
          <w:szCs w:val="24"/>
        </w:rPr>
        <w:t>,</w:t>
      </w:r>
      <w:r w:rsidR="0037115A">
        <w:rPr>
          <w:sz w:val="24"/>
          <w:szCs w:val="24"/>
        </w:rPr>
        <w:t xml:space="preserve"> for example moving students from GCSE Science to BTEC Science</w:t>
      </w:r>
      <w:r w:rsidR="00CB794E">
        <w:rPr>
          <w:sz w:val="24"/>
          <w:szCs w:val="24"/>
        </w:rPr>
        <w:t>,</w:t>
      </w:r>
      <w:r w:rsidR="0037115A">
        <w:rPr>
          <w:sz w:val="24"/>
          <w:szCs w:val="24"/>
        </w:rPr>
        <w:t xml:space="preserve"> which does not count </w:t>
      </w:r>
      <w:r w:rsidR="00CB794E">
        <w:rPr>
          <w:sz w:val="24"/>
          <w:szCs w:val="24"/>
        </w:rPr>
        <w:t>towards</w:t>
      </w:r>
      <w:r w:rsidR="0037115A">
        <w:rPr>
          <w:sz w:val="24"/>
          <w:szCs w:val="24"/>
        </w:rPr>
        <w:t xml:space="preserve"> the EBac</w:t>
      </w:r>
      <w:r w:rsidR="00247D27">
        <w:rPr>
          <w:sz w:val="24"/>
          <w:szCs w:val="24"/>
        </w:rPr>
        <w:t>. In this way</w:t>
      </w:r>
      <w:r w:rsidR="00CB794E">
        <w:rPr>
          <w:sz w:val="24"/>
          <w:szCs w:val="24"/>
        </w:rPr>
        <w:t>,</w:t>
      </w:r>
      <w:r w:rsidR="00247D27">
        <w:rPr>
          <w:sz w:val="24"/>
          <w:szCs w:val="24"/>
        </w:rPr>
        <w:t xml:space="preserve"> both the school implementation decisions and the advice given by teachers could operate to either encourage some students </w:t>
      </w:r>
      <w:r w:rsidR="00CB794E">
        <w:rPr>
          <w:sz w:val="24"/>
          <w:szCs w:val="24"/>
        </w:rPr>
        <w:t>and</w:t>
      </w:r>
      <w:r w:rsidR="00247D27">
        <w:rPr>
          <w:sz w:val="24"/>
          <w:szCs w:val="24"/>
        </w:rPr>
        <w:t xml:space="preserve"> dissuade or even disallow others from taking the EBac. </w:t>
      </w:r>
      <w:r w:rsidR="00BA407F">
        <w:rPr>
          <w:sz w:val="24"/>
          <w:szCs w:val="24"/>
        </w:rPr>
        <w:t>The accountability measures appeared to influence many decisions</w:t>
      </w:r>
      <w:r w:rsidR="00CB794E">
        <w:rPr>
          <w:sz w:val="24"/>
          <w:szCs w:val="24"/>
        </w:rPr>
        <w:t>,</w:t>
      </w:r>
      <w:r w:rsidR="00BA407F">
        <w:rPr>
          <w:sz w:val="24"/>
          <w:szCs w:val="24"/>
        </w:rPr>
        <w:t xml:space="preserve"> as </w:t>
      </w:r>
      <w:r w:rsidR="00CB794E">
        <w:rPr>
          <w:sz w:val="24"/>
          <w:szCs w:val="24"/>
        </w:rPr>
        <w:t xml:space="preserve">will be </w:t>
      </w:r>
      <w:r w:rsidR="00BA407F">
        <w:rPr>
          <w:sz w:val="24"/>
          <w:szCs w:val="24"/>
        </w:rPr>
        <w:t>discussed within the following theme.</w:t>
      </w:r>
    </w:p>
    <w:p w14:paraId="1178B4FC" w14:textId="34DB1319" w:rsidR="00D5396E" w:rsidRPr="008C01CE" w:rsidRDefault="00EF348C" w:rsidP="00531995">
      <w:pPr>
        <w:pStyle w:val="Heading3"/>
        <w:rPr>
          <w:rFonts w:eastAsia="Trebuchet MS Bold"/>
        </w:rPr>
      </w:pPr>
      <w:bookmarkStart w:id="99" w:name="_Toc452316382"/>
      <w:r>
        <w:t xml:space="preserve">4.4.4 </w:t>
      </w:r>
      <w:r w:rsidR="00D5396E" w:rsidRPr="000930A7">
        <w:t>Control and accountability</w:t>
      </w:r>
      <w:bookmarkEnd w:id="99"/>
      <w:r w:rsidR="00D5396E" w:rsidRPr="000930A7">
        <w:t xml:space="preserve"> </w:t>
      </w:r>
    </w:p>
    <w:p w14:paraId="5EC3CF68" w14:textId="67707BFD" w:rsidR="00D5396E" w:rsidRDefault="007F018B" w:rsidP="006364D3">
      <w:pPr>
        <w:tabs>
          <w:tab w:val="left" w:pos="8364"/>
          <w:tab w:val="left" w:pos="8647"/>
        </w:tabs>
        <w:spacing w:after="0" w:line="360" w:lineRule="auto"/>
        <w:rPr>
          <w:sz w:val="24"/>
          <w:szCs w:val="24"/>
        </w:rPr>
      </w:pPr>
      <w:r w:rsidRPr="007F018B">
        <w:rPr>
          <w:sz w:val="24"/>
          <w:szCs w:val="24"/>
        </w:rPr>
        <w:t xml:space="preserve">Control and accountability </w:t>
      </w:r>
      <w:r w:rsidR="00BA407F">
        <w:rPr>
          <w:sz w:val="24"/>
          <w:szCs w:val="24"/>
        </w:rPr>
        <w:t>were</w:t>
      </w:r>
      <w:r>
        <w:rPr>
          <w:sz w:val="24"/>
          <w:szCs w:val="24"/>
        </w:rPr>
        <w:t xml:space="preserve"> </w:t>
      </w:r>
      <w:r w:rsidR="00D5396E" w:rsidRPr="008C01CE">
        <w:rPr>
          <w:sz w:val="24"/>
          <w:szCs w:val="24"/>
        </w:rPr>
        <w:t xml:space="preserve">underlying </w:t>
      </w:r>
      <w:r w:rsidR="002367D8">
        <w:rPr>
          <w:sz w:val="24"/>
          <w:szCs w:val="24"/>
        </w:rPr>
        <w:t>drivers behind</w:t>
      </w:r>
      <w:r w:rsidR="00BA407F">
        <w:rPr>
          <w:sz w:val="24"/>
          <w:szCs w:val="24"/>
        </w:rPr>
        <w:t xml:space="preserve"> EBac implementation </w:t>
      </w:r>
      <w:r w:rsidR="002367D8" w:rsidRPr="008C01CE">
        <w:rPr>
          <w:sz w:val="24"/>
          <w:szCs w:val="24"/>
        </w:rPr>
        <w:t>decisi</w:t>
      </w:r>
      <w:r w:rsidR="00BA407F">
        <w:rPr>
          <w:sz w:val="24"/>
          <w:szCs w:val="24"/>
        </w:rPr>
        <w:t xml:space="preserve">ons. I </w:t>
      </w:r>
      <w:r w:rsidR="00CB794E">
        <w:rPr>
          <w:sz w:val="24"/>
          <w:szCs w:val="24"/>
        </w:rPr>
        <w:t xml:space="preserve">next </w:t>
      </w:r>
      <w:r w:rsidR="00BA407F">
        <w:rPr>
          <w:sz w:val="24"/>
          <w:szCs w:val="24"/>
        </w:rPr>
        <w:t xml:space="preserve">consider the </w:t>
      </w:r>
      <w:r w:rsidR="00D5396E" w:rsidRPr="008C01CE">
        <w:rPr>
          <w:sz w:val="24"/>
          <w:szCs w:val="24"/>
        </w:rPr>
        <w:t>impact</w:t>
      </w:r>
      <w:r w:rsidR="00BA407F">
        <w:rPr>
          <w:sz w:val="24"/>
          <w:szCs w:val="24"/>
        </w:rPr>
        <w:t xml:space="preserve"> </w:t>
      </w:r>
      <w:r w:rsidR="00D5396E" w:rsidRPr="008C01CE">
        <w:rPr>
          <w:sz w:val="24"/>
          <w:szCs w:val="24"/>
        </w:rPr>
        <w:t xml:space="preserve">on educational equality. All state school </w:t>
      </w:r>
      <w:r w:rsidR="002367D8">
        <w:rPr>
          <w:sz w:val="24"/>
          <w:szCs w:val="24"/>
        </w:rPr>
        <w:t xml:space="preserve">performance </w:t>
      </w:r>
      <w:r w:rsidR="00C8515A">
        <w:rPr>
          <w:sz w:val="24"/>
          <w:szCs w:val="24"/>
        </w:rPr>
        <w:t>data are</w:t>
      </w:r>
      <w:r w:rsidR="00D5396E" w:rsidRPr="008C01CE">
        <w:rPr>
          <w:sz w:val="24"/>
          <w:szCs w:val="24"/>
        </w:rPr>
        <w:t xml:space="preserve"> published on the DfE website and is publicly available</w:t>
      </w:r>
      <w:r w:rsidR="003D5955">
        <w:rPr>
          <w:sz w:val="24"/>
          <w:szCs w:val="24"/>
        </w:rPr>
        <w:t>.</w:t>
      </w:r>
      <w:r w:rsidR="00D5396E" w:rsidRPr="008C01CE">
        <w:rPr>
          <w:sz w:val="24"/>
          <w:szCs w:val="24"/>
        </w:rPr>
        <w:t xml:space="preserve"> </w:t>
      </w:r>
      <w:r w:rsidR="003D5955">
        <w:rPr>
          <w:sz w:val="24"/>
          <w:szCs w:val="24"/>
        </w:rPr>
        <w:t>S</w:t>
      </w:r>
      <w:r w:rsidR="00D93BC5">
        <w:rPr>
          <w:sz w:val="24"/>
          <w:szCs w:val="24"/>
        </w:rPr>
        <w:t xml:space="preserve">chools </w:t>
      </w:r>
      <w:r w:rsidR="003D5955">
        <w:rPr>
          <w:sz w:val="24"/>
          <w:szCs w:val="24"/>
        </w:rPr>
        <w:t xml:space="preserve">are </w:t>
      </w:r>
      <w:r w:rsidR="00D5396E" w:rsidRPr="008C01CE">
        <w:rPr>
          <w:sz w:val="24"/>
          <w:szCs w:val="24"/>
        </w:rPr>
        <w:t xml:space="preserve">ranked </w:t>
      </w:r>
      <w:r w:rsidR="00D93BC5">
        <w:rPr>
          <w:sz w:val="24"/>
          <w:szCs w:val="24"/>
        </w:rPr>
        <w:t>against each other in terms of performance on one or a number of key measures</w:t>
      </w:r>
      <w:r w:rsidR="00BA407F">
        <w:rPr>
          <w:sz w:val="24"/>
          <w:szCs w:val="24"/>
        </w:rPr>
        <w:t xml:space="preserve"> such as the EBac</w:t>
      </w:r>
      <w:r w:rsidR="00D93BC5">
        <w:rPr>
          <w:sz w:val="24"/>
          <w:szCs w:val="24"/>
        </w:rPr>
        <w:t>.</w:t>
      </w:r>
      <w:r w:rsidR="00D5396E" w:rsidRPr="008C01CE">
        <w:rPr>
          <w:sz w:val="24"/>
          <w:szCs w:val="24"/>
        </w:rPr>
        <w:t xml:space="preserve"> Many </w:t>
      </w:r>
      <w:r w:rsidR="00BA407F">
        <w:rPr>
          <w:sz w:val="24"/>
          <w:szCs w:val="24"/>
        </w:rPr>
        <w:t xml:space="preserve">school </w:t>
      </w:r>
      <w:r w:rsidR="00D5396E" w:rsidRPr="008C01CE">
        <w:rPr>
          <w:sz w:val="24"/>
          <w:szCs w:val="24"/>
        </w:rPr>
        <w:t>decisions are driven by the need to ensure that the</w:t>
      </w:r>
      <w:r w:rsidR="00484C7F">
        <w:rPr>
          <w:sz w:val="24"/>
          <w:szCs w:val="24"/>
        </w:rPr>
        <w:t xml:space="preserve"> </w:t>
      </w:r>
      <w:r w:rsidR="00D5396E" w:rsidRPr="008C01CE">
        <w:rPr>
          <w:sz w:val="24"/>
          <w:szCs w:val="24"/>
        </w:rPr>
        <w:t>performance tables reflect a strong</w:t>
      </w:r>
      <w:r w:rsidR="002367D8">
        <w:rPr>
          <w:sz w:val="24"/>
          <w:szCs w:val="24"/>
        </w:rPr>
        <w:t>, positive</w:t>
      </w:r>
      <w:r w:rsidR="00D5396E" w:rsidRPr="008C01CE">
        <w:rPr>
          <w:sz w:val="24"/>
          <w:szCs w:val="24"/>
        </w:rPr>
        <w:t xml:space="preserve"> and developing position for the school</w:t>
      </w:r>
      <w:r w:rsidR="00CB794E">
        <w:rPr>
          <w:sz w:val="24"/>
          <w:szCs w:val="24"/>
        </w:rPr>
        <w:t>,</w:t>
      </w:r>
      <w:r w:rsidR="002367D8">
        <w:rPr>
          <w:sz w:val="24"/>
          <w:szCs w:val="24"/>
        </w:rPr>
        <w:t xml:space="preserve"> </w:t>
      </w:r>
      <w:r w:rsidR="003D5955">
        <w:rPr>
          <w:sz w:val="24"/>
          <w:szCs w:val="24"/>
        </w:rPr>
        <w:t xml:space="preserve">because </w:t>
      </w:r>
      <w:r w:rsidR="00D5396E" w:rsidRPr="008C01CE">
        <w:rPr>
          <w:sz w:val="24"/>
          <w:szCs w:val="24"/>
        </w:rPr>
        <w:t xml:space="preserve">a weak or </w:t>
      </w:r>
      <w:r w:rsidR="00484C7F" w:rsidRPr="008C01CE">
        <w:rPr>
          <w:sz w:val="24"/>
          <w:szCs w:val="24"/>
        </w:rPr>
        <w:t>de</w:t>
      </w:r>
      <w:r w:rsidR="00484C7F">
        <w:rPr>
          <w:sz w:val="24"/>
          <w:szCs w:val="24"/>
        </w:rPr>
        <w:t>c</w:t>
      </w:r>
      <w:r w:rsidR="00484C7F" w:rsidRPr="008C01CE">
        <w:rPr>
          <w:sz w:val="24"/>
          <w:szCs w:val="24"/>
        </w:rPr>
        <w:t>lin</w:t>
      </w:r>
      <w:r w:rsidR="00484C7F">
        <w:rPr>
          <w:sz w:val="24"/>
          <w:szCs w:val="24"/>
        </w:rPr>
        <w:t>ing</w:t>
      </w:r>
      <w:r w:rsidR="00D5396E" w:rsidRPr="008C01CE">
        <w:rPr>
          <w:sz w:val="24"/>
          <w:szCs w:val="24"/>
        </w:rPr>
        <w:t xml:space="preserve"> position could </w:t>
      </w:r>
      <w:r w:rsidR="00D93BC5">
        <w:rPr>
          <w:sz w:val="24"/>
          <w:szCs w:val="24"/>
        </w:rPr>
        <w:t>lead to reduc</w:t>
      </w:r>
      <w:r w:rsidR="003D5955">
        <w:rPr>
          <w:sz w:val="24"/>
          <w:szCs w:val="24"/>
        </w:rPr>
        <w:t xml:space="preserve">ed </w:t>
      </w:r>
      <w:r w:rsidR="00D93BC5">
        <w:rPr>
          <w:sz w:val="24"/>
          <w:szCs w:val="24"/>
        </w:rPr>
        <w:t>student</w:t>
      </w:r>
      <w:r w:rsidR="003D5955">
        <w:rPr>
          <w:sz w:val="24"/>
          <w:szCs w:val="24"/>
        </w:rPr>
        <w:t xml:space="preserve"> recruitment,</w:t>
      </w:r>
      <w:r w:rsidR="00D93BC5">
        <w:rPr>
          <w:sz w:val="24"/>
          <w:szCs w:val="24"/>
        </w:rPr>
        <w:t xml:space="preserve"> corresponding loss of funding and/or </w:t>
      </w:r>
      <w:r w:rsidR="00D5396E" w:rsidRPr="008C01CE">
        <w:rPr>
          <w:sz w:val="24"/>
          <w:szCs w:val="24"/>
        </w:rPr>
        <w:t>trigger an Ofsted inspection</w:t>
      </w:r>
      <w:r w:rsidR="003D5955">
        <w:rPr>
          <w:sz w:val="24"/>
          <w:szCs w:val="24"/>
        </w:rPr>
        <w:t xml:space="preserve"> and the risk of identification as a ‘failing school’</w:t>
      </w:r>
      <w:r w:rsidR="00D5396E" w:rsidRPr="008C01CE">
        <w:rPr>
          <w:sz w:val="24"/>
          <w:szCs w:val="24"/>
        </w:rPr>
        <w:t>. In light of this ever</w:t>
      </w:r>
      <w:r w:rsidR="00CB794E">
        <w:rPr>
          <w:sz w:val="24"/>
          <w:szCs w:val="24"/>
        </w:rPr>
        <w:t>-</w:t>
      </w:r>
      <w:r w:rsidR="00D5396E" w:rsidRPr="008C01CE">
        <w:rPr>
          <w:sz w:val="24"/>
          <w:szCs w:val="24"/>
        </w:rPr>
        <w:lastRenderedPageBreak/>
        <w:t>present theme, the following explicit coding categories were included in this a</w:t>
      </w:r>
      <w:r w:rsidR="002367D8">
        <w:rPr>
          <w:sz w:val="24"/>
          <w:szCs w:val="24"/>
        </w:rPr>
        <w:t>nalysis</w:t>
      </w:r>
      <w:r w:rsidR="00531625">
        <w:rPr>
          <w:sz w:val="24"/>
          <w:szCs w:val="24"/>
        </w:rPr>
        <w:t>,</w:t>
      </w:r>
      <w:r w:rsidR="00D5396E" w:rsidRPr="008C01CE">
        <w:rPr>
          <w:sz w:val="24"/>
          <w:szCs w:val="24"/>
        </w:rPr>
        <w:t xml:space="preserve"> </w:t>
      </w:r>
      <w:r w:rsidR="003D3B8F">
        <w:rPr>
          <w:sz w:val="24"/>
          <w:szCs w:val="24"/>
        </w:rPr>
        <w:t>Ofsted</w:t>
      </w:r>
      <w:r w:rsidR="00531625">
        <w:rPr>
          <w:sz w:val="24"/>
          <w:szCs w:val="24"/>
        </w:rPr>
        <w:t>,</w:t>
      </w:r>
      <w:r w:rsidR="003D3B8F">
        <w:rPr>
          <w:sz w:val="24"/>
          <w:szCs w:val="24"/>
        </w:rPr>
        <w:t xml:space="preserve"> </w:t>
      </w:r>
      <w:r w:rsidR="00D5396E" w:rsidRPr="008C01CE">
        <w:rPr>
          <w:sz w:val="24"/>
          <w:szCs w:val="24"/>
        </w:rPr>
        <w:t>political pressure</w:t>
      </w:r>
      <w:r w:rsidR="00531625">
        <w:rPr>
          <w:sz w:val="24"/>
          <w:szCs w:val="24"/>
        </w:rPr>
        <w:t xml:space="preserve"> and performance tables</w:t>
      </w:r>
      <w:r w:rsidR="00D5396E" w:rsidRPr="008C01CE">
        <w:rPr>
          <w:sz w:val="24"/>
          <w:szCs w:val="24"/>
        </w:rPr>
        <w:t xml:space="preserve">. </w:t>
      </w:r>
    </w:p>
    <w:p w14:paraId="56C4FEE2" w14:textId="77777777" w:rsidR="00CB794E" w:rsidRPr="00582F8F" w:rsidRDefault="00CB794E" w:rsidP="006364D3">
      <w:pPr>
        <w:tabs>
          <w:tab w:val="left" w:pos="8364"/>
          <w:tab w:val="left" w:pos="8647"/>
        </w:tabs>
        <w:spacing w:after="0" w:line="360" w:lineRule="auto"/>
        <w:rPr>
          <w:sz w:val="24"/>
          <w:szCs w:val="24"/>
        </w:rPr>
      </w:pPr>
    </w:p>
    <w:p w14:paraId="42EC993C" w14:textId="77F55394" w:rsidR="00450BEE" w:rsidRPr="00582F8F" w:rsidRDefault="00D5396E" w:rsidP="00484C7F">
      <w:pPr>
        <w:tabs>
          <w:tab w:val="left" w:pos="8647"/>
        </w:tabs>
        <w:spacing w:line="360" w:lineRule="auto"/>
        <w:rPr>
          <w:sz w:val="24"/>
          <w:szCs w:val="24"/>
        </w:rPr>
      </w:pPr>
      <w:r w:rsidRPr="008C01CE">
        <w:rPr>
          <w:sz w:val="24"/>
          <w:szCs w:val="24"/>
        </w:rPr>
        <w:t xml:space="preserve">Ofsted, </w:t>
      </w:r>
      <w:r w:rsidR="003D5955">
        <w:rPr>
          <w:sz w:val="24"/>
          <w:szCs w:val="24"/>
        </w:rPr>
        <w:t xml:space="preserve">designated </w:t>
      </w:r>
      <w:r w:rsidRPr="008C01CE">
        <w:rPr>
          <w:sz w:val="24"/>
          <w:szCs w:val="24"/>
        </w:rPr>
        <w:t xml:space="preserve">as a separate </w:t>
      </w:r>
      <w:r w:rsidR="003D5955">
        <w:rPr>
          <w:sz w:val="24"/>
          <w:szCs w:val="24"/>
        </w:rPr>
        <w:t xml:space="preserve">coded </w:t>
      </w:r>
      <w:r w:rsidRPr="008C01CE">
        <w:rPr>
          <w:sz w:val="24"/>
          <w:szCs w:val="24"/>
        </w:rPr>
        <w:t xml:space="preserve">category, was not explicitly </w:t>
      </w:r>
      <w:r w:rsidR="003D5955">
        <w:rPr>
          <w:sz w:val="24"/>
          <w:szCs w:val="24"/>
        </w:rPr>
        <w:t xml:space="preserve">or </w:t>
      </w:r>
      <w:r w:rsidR="003D5955" w:rsidRPr="008C01CE">
        <w:rPr>
          <w:sz w:val="24"/>
          <w:szCs w:val="24"/>
        </w:rPr>
        <w:t xml:space="preserve">frequency </w:t>
      </w:r>
      <w:r w:rsidRPr="008C01CE">
        <w:rPr>
          <w:sz w:val="24"/>
          <w:szCs w:val="24"/>
        </w:rPr>
        <w:t>discussed</w:t>
      </w:r>
      <w:r w:rsidR="00EF4C39">
        <w:rPr>
          <w:sz w:val="24"/>
          <w:szCs w:val="24"/>
        </w:rPr>
        <w:t xml:space="preserve"> by teachers.</w:t>
      </w:r>
      <w:r w:rsidRPr="008C01CE">
        <w:rPr>
          <w:sz w:val="24"/>
          <w:szCs w:val="24"/>
        </w:rPr>
        <w:t xml:space="preserve"> </w:t>
      </w:r>
      <w:r w:rsidR="003D5955">
        <w:rPr>
          <w:sz w:val="24"/>
          <w:szCs w:val="24"/>
        </w:rPr>
        <w:t>M</w:t>
      </w:r>
      <w:r w:rsidR="00D93BC5">
        <w:rPr>
          <w:sz w:val="24"/>
          <w:szCs w:val="24"/>
        </w:rPr>
        <w:t xml:space="preserve">ain references </w:t>
      </w:r>
      <w:r w:rsidR="003D5955">
        <w:rPr>
          <w:sz w:val="24"/>
          <w:szCs w:val="24"/>
        </w:rPr>
        <w:t xml:space="preserve">to Ofsted were </w:t>
      </w:r>
      <w:r w:rsidR="00D93BC5">
        <w:rPr>
          <w:sz w:val="24"/>
          <w:szCs w:val="24"/>
        </w:rPr>
        <w:t>made by the Deputies rather than H</w:t>
      </w:r>
      <w:r w:rsidR="00FF6D99">
        <w:rPr>
          <w:sz w:val="24"/>
          <w:szCs w:val="24"/>
        </w:rPr>
        <w:t>oD</w:t>
      </w:r>
      <w:r w:rsidR="00CB794E">
        <w:rPr>
          <w:sz w:val="24"/>
          <w:szCs w:val="24"/>
        </w:rPr>
        <w:t>s</w:t>
      </w:r>
      <w:r w:rsidR="000D4FBF">
        <w:rPr>
          <w:sz w:val="24"/>
          <w:szCs w:val="24"/>
        </w:rPr>
        <w:t>;</w:t>
      </w:r>
      <w:r w:rsidR="00C67163">
        <w:rPr>
          <w:sz w:val="24"/>
          <w:szCs w:val="24"/>
        </w:rPr>
        <w:t xml:space="preserve"> </w:t>
      </w:r>
      <w:r w:rsidRPr="008C01CE">
        <w:rPr>
          <w:sz w:val="24"/>
          <w:szCs w:val="24"/>
        </w:rPr>
        <w:t>league tables</w:t>
      </w:r>
      <w:r w:rsidR="00CB794E">
        <w:rPr>
          <w:sz w:val="24"/>
          <w:szCs w:val="24"/>
        </w:rPr>
        <w:t>,</w:t>
      </w:r>
      <w:r w:rsidRPr="008C01CE">
        <w:rPr>
          <w:sz w:val="24"/>
          <w:szCs w:val="24"/>
        </w:rPr>
        <w:t xml:space="preserve"> </w:t>
      </w:r>
      <w:r w:rsidR="00BE34DB">
        <w:rPr>
          <w:sz w:val="24"/>
          <w:szCs w:val="24"/>
        </w:rPr>
        <w:t>however</w:t>
      </w:r>
      <w:r w:rsidR="00CB794E">
        <w:rPr>
          <w:sz w:val="24"/>
          <w:szCs w:val="24"/>
        </w:rPr>
        <w:t>, were</w:t>
      </w:r>
      <w:r w:rsidR="00BE34DB">
        <w:rPr>
          <w:sz w:val="24"/>
          <w:szCs w:val="24"/>
        </w:rPr>
        <w:t xml:space="preserve"> </w:t>
      </w:r>
      <w:r w:rsidRPr="008C01CE">
        <w:rPr>
          <w:sz w:val="24"/>
          <w:szCs w:val="24"/>
        </w:rPr>
        <w:t>much more extensive</w:t>
      </w:r>
      <w:r w:rsidR="003D5955">
        <w:rPr>
          <w:sz w:val="24"/>
          <w:szCs w:val="24"/>
        </w:rPr>
        <w:t>ly discussed</w:t>
      </w:r>
      <w:r w:rsidR="00027122">
        <w:rPr>
          <w:sz w:val="24"/>
          <w:szCs w:val="24"/>
        </w:rPr>
        <w:t>.</w:t>
      </w:r>
      <w:r w:rsidR="00C67163">
        <w:rPr>
          <w:sz w:val="24"/>
          <w:szCs w:val="24"/>
        </w:rPr>
        <w:t xml:space="preserve"> </w:t>
      </w:r>
      <w:r>
        <w:rPr>
          <w:sz w:val="24"/>
          <w:szCs w:val="24"/>
        </w:rPr>
        <w:t>Th</w:t>
      </w:r>
      <w:r w:rsidR="00BE34DB">
        <w:rPr>
          <w:sz w:val="24"/>
          <w:szCs w:val="24"/>
        </w:rPr>
        <w:t>e EBac</w:t>
      </w:r>
      <w:r>
        <w:rPr>
          <w:sz w:val="24"/>
          <w:szCs w:val="24"/>
        </w:rPr>
        <w:t xml:space="preserve"> led to greater monitoring and guidance</w:t>
      </w:r>
      <w:r w:rsidR="00BE34DB">
        <w:rPr>
          <w:sz w:val="24"/>
          <w:szCs w:val="24"/>
        </w:rPr>
        <w:t xml:space="preserve"> </w:t>
      </w:r>
      <w:r>
        <w:rPr>
          <w:sz w:val="24"/>
          <w:szCs w:val="24"/>
        </w:rPr>
        <w:t xml:space="preserve">of the courses </w:t>
      </w:r>
      <w:r w:rsidR="00E034DF">
        <w:rPr>
          <w:sz w:val="24"/>
          <w:szCs w:val="24"/>
        </w:rPr>
        <w:t>and subjects</w:t>
      </w:r>
      <w:r w:rsidR="003D3B8F">
        <w:rPr>
          <w:sz w:val="24"/>
          <w:szCs w:val="24"/>
        </w:rPr>
        <w:t xml:space="preserve"> </w:t>
      </w:r>
      <w:r>
        <w:rPr>
          <w:sz w:val="24"/>
          <w:szCs w:val="24"/>
        </w:rPr>
        <w:t xml:space="preserve">that students </w:t>
      </w:r>
      <w:r w:rsidR="00BE34DB">
        <w:rPr>
          <w:sz w:val="24"/>
          <w:szCs w:val="24"/>
        </w:rPr>
        <w:t>chose</w:t>
      </w:r>
      <w:r>
        <w:rPr>
          <w:sz w:val="24"/>
          <w:szCs w:val="24"/>
        </w:rPr>
        <w:t xml:space="preserve">. </w:t>
      </w:r>
      <w:r w:rsidR="00484C7F">
        <w:rPr>
          <w:sz w:val="24"/>
          <w:szCs w:val="24"/>
        </w:rPr>
        <w:t>N</w:t>
      </w:r>
      <w:r w:rsidR="00450BEE">
        <w:rPr>
          <w:sz w:val="24"/>
          <w:szCs w:val="24"/>
        </w:rPr>
        <w:t>otion</w:t>
      </w:r>
      <w:r w:rsidR="00484C7F">
        <w:rPr>
          <w:sz w:val="24"/>
          <w:szCs w:val="24"/>
        </w:rPr>
        <w:t>s</w:t>
      </w:r>
      <w:r w:rsidR="00450BEE">
        <w:rPr>
          <w:sz w:val="24"/>
          <w:szCs w:val="24"/>
        </w:rPr>
        <w:t xml:space="preserve"> of student ability </w:t>
      </w:r>
      <w:r w:rsidR="00484C7F">
        <w:rPr>
          <w:sz w:val="24"/>
          <w:szCs w:val="24"/>
        </w:rPr>
        <w:t xml:space="preserve">as </w:t>
      </w:r>
      <w:r w:rsidR="003D3B8F">
        <w:rPr>
          <w:sz w:val="24"/>
          <w:szCs w:val="24"/>
        </w:rPr>
        <w:t>‘</w:t>
      </w:r>
      <w:r w:rsidR="00450BEE">
        <w:rPr>
          <w:sz w:val="24"/>
          <w:szCs w:val="24"/>
        </w:rPr>
        <w:t>capable</w:t>
      </w:r>
      <w:r w:rsidR="003D3B8F">
        <w:rPr>
          <w:sz w:val="24"/>
          <w:szCs w:val="24"/>
        </w:rPr>
        <w:t>’</w:t>
      </w:r>
      <w:r w:rsidR="00450BEE">
        <w:rPr>
          <w:sz w:val="24"/>
          <w:szCs w:val="24"/>
        </w:rPr>
        <w:t xml:space="preserve"> or </w:t>
      </w:r>
      <w:r w:rsidR="003D3B8F">
        <w:rPr>
          <w:sz w:val="24"/>
          <w:szCs w:val="24"/>
        </w:rPr>
        <w:t>‘</w:t>
      </w:r>
      <w:r w:rsidR="00450BEE">
        <w:rPr>
          <w:sz w:val="24"/>
          <w:szCs w:val="24"/>
        </w:rPr>
        <w:t>not capable</w:t>
      </w:r>
      <w:r w:rsidR="003D3B8F">
        <w:rPr>
          <w:sz w:val="24"/>
          <w:szCs w:val="24"/>
        </w:rPr>
        <w:t>’</w:t>
      </w:r>
      <w:r w:rsidR="00450BEE">
        <w:rPr>
          <w:sz w:val="24"/>
          <w:szCs w:val="24"/>
        </w:rPr>
        <w:t xml:space="preserve"> of achieving </w:t>
      </w:r>
      <w:r w:rsidR="00F53817">
        <w:rPr>
          <w:sz w:val="24"/>
          <w:szCs w:val="24"/>
        </w:rPr>
        <w:t>five</w:t>
      </w:r>
      <w:r w:rsidR="00450BEE">
        <w:rPr>
          <w:sz w:val="24"/>
          <w:szCs w:val="24"/>
        </w:rPr>
        <w:t xml:space="preserve"> or more A*-C </w:t>
      </w:r>
      <w:r w:rsidR="00F53817">
        <w:rPr>
          <w:sz w:val="24"/>
          <w:szCs w:val="24"/>
        </w:rPr>
        <w:t xml:space="preserve">grades at GCSE </w:t>
      </w:r>
      <w:r w:rsidR="00484C7F">
        <w:rPr>
          <w:sz w:val="24"/>
          <w:szCs w:val="24"/>
        </w:rPr>
        <w:t>were</w:t>
      </w:r>
      <w:r w:rsidR="00450BEE">
        <w:rPr>
          <w:sz w:val="24"/>
          <w:szCs w:val="24"/>
        </w:rPr>
        <w:t xml:space="preserve"> prominent within this theme, linking to the work of Hope (2013) </w:t>
      </w:r>
      <w:r w:rsidR="00E034DF">
        <w:rPr>
          <w:sz w:val="24"/>
          <w:szCs w:val="24"/>
        </w:rPr>
        <w:t>who engaged</w:t>
      </w:r>
      <w:r w:rsidR="00450BEE">
        <w:rPr>
          <w:sz w:val="24"/>
          <w:szCs w:val="24"/>
        </w:rPr>
        <w:t xml:space="preserve"> Foucault</w:t>
      </w:r>
      <w:r w:rsidR="00E034DF">
        <w:rPr>
          <w:sz w:val="24"/>
          <w:szCs w:val="24"/>
        </w:rPr>
        <w:t>’s thinking about governmentality</w:t>
      </w:r>
      <w:r w:rsidR="00450BEE">
        <w:rPr>
          <w:sz w:val="24"/>
          <w:szCs w:val="24"/>
        </w:rPr>
        <w:t xml:space="preserve"> in </w:t>
      </w:r>
      <w:r w:rsidR="00E034DF">
        <w:rPr>
          <w:sz w:val="24"/>
          <w:szCs w:val="24"/>
        </w:rPr>
        <w:t xml:space="preserve">his </w:t>
      </w:r>
      <w:r w:rsidR="00450BEE">
        <w:rPr>
          <w:sz w:val="24"/>
          <w:szCs w:val="24"/>
        </w:rPr>
        <w:t>school surveillance research</w:t>
      </w:r>
      <w:r w:rsidR="003D3B8F">
        <w:rPr>
          <w:sz w:val="24"/>
          <w:szCs w:val="24"/>
        </w:rPr>
        <w:t xml:space="preserve"> (see section 2.7)</w:t>
      </w:r>
      <w:r w:rsidR="00450BEE">
        <w:rPr>
          <w:sz w:val="24"/>
          <w:szCs w:val="24"/>
        </w:rPr>
        <w:t>. In addition</w:t>
      </w:r>
      <w:r w:rsidR="00F53817">
        <w:rPr>
          <w:sz w:val="24"/>
          <w:szCs w:val="24"/>
        </w:rPr>
        <w:t>,</w:t>
      </w:r>
      <w:r w:rsidR="00450BEE">
        <w:rPr>
          <w:sz w:val="24"/>
          <w:szCs w:val="24"/>
        </w:rPr>
        <w:t xml:space="preserve"> the work of Rose (1989) and Billington (2000) into the control and classification of children links to this theme.</w:t>
      </w:r>
    </w:p>
    <w:p w14:paraId="1926D589" w14:textId="0B42B658" w:rsidR="00D5396E" w:rsidRPr="00582F8F" w:rsidRDefault="00D5396E" w:rsidP="00D5396E">
      <w:pPr>
        <w:spacing w:line="360" w:lineRule="auto"/>
        <w:rPr>
          <w:sz w:val="24"/>
          <w:szCs w:val="24"/>
        </w:rPr>
      </w:pPr>
      <w:r w:rsidRPr="00DD0E50">
        <w:rPr>
          <w:sz w:val="24"/>
          <w:szCs w:val="24"/>
        </w:rPr>
        <w:t xml:space="preserve">Both </w:t>
      </w:r>
      <w:r w:rsidRPr="005A590D">
        <w:rPr>
          <w:sz w:val="24"/>
          <w:szCs w:val="24"/>
        </w:rPr>
        <w:t xml:space="preserve">Yellowfield and Redfield </w:t>
      </w:r>
      <w:r w:rsidR="003D5955" w:rsidRPr="005A590D">
        <w:rPr>
          <w:sz w:val="24"/>
          <w:szCs w:val="24"/>
        </w:rPr>
        <w:t xml:space="preserve">entered </w:t>
      </w:r>
      <w:r w:rsidRPr="005A590D">
        <w:rPr>
          <w:sz w:val="24"/>
          <w:szCs w:val="24"/>
        </w:rPr>
        <w:t xml:space="preserve">cohorts of students for Level 1 </w:t>
      </w:r>
      <w:r w:rsidR="00484C7F">
        <w:rPr>
          <w:sz w:val="24"/>
          <w:szCs w:val="24"/>
        </w:rPr>
        <w:t xml:space="preserve">and </w:t>
      </w:r>
      <w:r w:rsidRPr="005A590D">
        <w:rPr>
          <w:sz w:val="24"/>
          <w:szCs w:val="24"/>
        </w:rPr>
        <w:t>Entry level</w:t>
      </w:r>
      <w:r w:rsidR="00FF6D99">
        <w:rPr>
          <w:sz w:val="24"/>
          <w:szCs w:val="24"/>
        </w:rPr>
        <w:t xml:space="preserve"> qualifications</w:t>
      </w:r>
      <w:r w:rsidR="003D3B8F">
        <w:rPr>
          <w:sz w:val="24"/>
          <w:szCs w:val="24"/>
        </w:rPr>
        <w:t>,</w:t>
      </w:r>
      <w:r w:rsidRPr="005A590D">
        <w:rPr>
          <w:sz w:val="24"/>
          <w:szCs w:val="24"/>
        </w:rPr>
        <w:t xml:space="preserve"> </w:t>
      </w:r>
      <w:r w:rsidR="003D3B8F">
        <w:rPr>
          <w:sz w:val="24"/>
          <w:szCs w:val="24"/>
        </w:rPr>
        <w:t>albeit smaller number</w:t>
      </w:r>
      <w:r w:rsidR="00B0281D">
        <w:rPr>
          <w:sz w:val="24"/>
          <w:szCs w:val="24"/>
        </w:rPr>
        <w:t>s</w:t>
      </w:r>
      <w:r w:rsidR="003D3B8F">
        <w:rPr>
          <w:sz w:val="24"/>
          <w:szCs w:val="24"/>
        </w:rPr>
        <w:t xml:space="preserve"> than pre</w:t>
      </w:r>
      <w:r w:rsidR="00F53817">
        <w:rPr>
          <w:sz w:val="24"/>
          <w:szCs w:val="24"/>
        </w:rPr>
        <w:t>-</w:t>
      </w:r>
      <w:r w:rsidR="003D3B8F">
        <w:rPr>
          <w:sz w:val="24"/>
          <w:szCs w:val="24"/>
        </w:rPr>
        <w:t xml:space="preserve">EBac, </w:t>
      </w:r>
      <w:r w:rsidRPr="005A590D">
        <w:rPr>
          <w:sz w:val="24"/>
          <w:szCs w:val="24"/>
        </w:rPr>
        <w:t xml:space="preserve"> </w:t>
      </w:r>
      <w:r w:rsidR="003D5955">
        <w:rPr>
          <w:sz w:val="24"/>
          <w:szCs w:val="24"/>
        </w:rPr>
        <w:t xml:space="preserve">under the policy that </w:t>
      </w:r>
      <w:r w:rsidRPr="005A590D">
        <w:rPr>
          <w:sz w:val="24"/>
          <w:szCs w:val="24"/>
        </w:rPr>
        <w:t>a free choice</w:t>
      </w:r>
      <w:r w:rsidR="00B0281D">
        <w:rPr>
          <w:sz w:val="24"/>
          <w:szCs w:val="24"/>
        </w:rPr>
        <w:t xml:space="preserve"> of</w:t>
      </w:r>
      <w:r w:rsidRPr="005A590D">
        <w:rPr>
          <w:sz w:val="24"/>
          <w:szCs w:val="24"/>
        </w:rPr>
        <w:t xml:space="preserve"> courses w</w:t>
      </w:r>
      <w:r w:rsidR="003D5955">
        <w:rPr>
          <w:sz w:val="24"/>
          <w:szCs w:val="24"/>
        </w:rPr>
        <w:t>as</w:t>
      </w:r>
      <w:r w:rsidRPr="005A590D">
        <w:rPr>
          <w:sz w:val="24"/>
          <w:szCs w:val="24"/>
        </w:rPr>
        <w:t xml:space="preserve"> allowed </w:t>
      </w:r>
      <w:r w:rsidR="003D5955">
        <w:rPr>
          <w:sz w:val="24"/>
          <w:szCs w:val="24"/>
        </w:rPr>
        <w:t xml:space="preserve">because </w:t>
      </w:r>
      <w:r w:rsidRPr="005A590D">
        <w:rPr>
          <w:sz w:val="24"/>
          <w:szCs w:val="24"/>
        </w:rPr>
        <w:t>the</w:t>
      </w:r>
      <w:r w:rsidR="00B0281D">
        <w:rPr>
          <w:sz w:val="24"/>
          <w:szCs w:val="24"/>
        </w:rPr>
        <w:t>se students</w:t>
      </w:r>
      <w:r w:rsidRPr="005A590D">
        <w:rPr>
          <w:sz w:val="24"/>
          <w:szCs w:val="24"/>
        </w:rPr>
        <w:t xml:space="preserve"> would not count in the A*-C figures for the school. In contrast, Purplefield had taken the opposite decision and had closed down </w:t>
      </w:r>
      <w:r w:rsidR="00484C7F">
        <w:rPr>
          <w:sz w:val="24"/>
          <w:szCs w:val="24"/>
        </w:rPr>
        <w:t>such courses</w:t>
      </w:r>
      <w:r w:rsidR="003D3B8F">
        <w:rPr>
          <w:sz w:val="24"/>
          <w:szCs w:val="24"/>
        </w:rPr>
        <w:t xml:space="preserve"> so that all students had to </w:t>
      </w:r>
      <w:r w:rsidR="001D565B">
        <w:rPr>
          <w:sz w:val="24"/>
          <w:szCs w:val="24"/>
        </w:rPr>
        <w:t>study</w:t>
      </w:r>
      <w:r w:rsidR="003D3B8F">
        <w:rPr>
          <w:sz w:val="24"/>
          <w:szCs w:val="24"/>
        </w:rPr>
        <w:t xml:space="preserve"> courses that would </w:t>
      </w:r>
      <w:r w:rsidR="003D5955">
        <w:rPr>
          <w:sz w:val="24"/>
          <w:szCs w:val="24"/>
        </w:rPr>
        <w:t>‘</w:t>
      </w:r>
      <w:r w:rsidR="003D3B8F">
        <w:rPr>
          <w:sz w:val="24"/>
          <w:szCs w:val="24"/>
        </w:rPr>
        <w:t>count</w:t>
      </w:r>
      <w:r w:rsidR="003D5955">
        <w:rPr>
          <w:sz w:val="24"/>
          <w:szCs w:val="24"/>
        </w:rPr>
        <w:t>’</w:t>
      </w:r>
      <w:r w:rsidR="003D3B8F">
        <w:rPr>
          <w:sz w:val="24"/>
          <w:szCs w:val="24"/>
        </w:rPr>
        <w:t xml:space="preserve"> in the performance tables. In this way the curriculum decisions of all school</w:t>
      </w:r>
      <w:r w:rsidR="00B0281D">
        <w:rPr>
          <w:sz w:val="24"/>
          <w:szCs w:val="24"/>
        </w:rPr>
        <w:t>s</w:t>
      </w:r>
      <w:r w:rsidR="003D3B8F">
        <w:rPr>
          <w:sz w:val="24"/>
          <w:szCs w:val="24"/>
        </w:rPr>
        <w:t xml:space="preserve"> were determined or constrained by the rules surrounding performance tables</w:t>
      </w:r>
      <w:r w:rsidR="003D5955">
        <w:rPr>
          <w:sz w:val="24"/>
          <w:szCs w:val="24"/>
        </w:rPr>
        <w:t xml:space="preserve"> and </w:t>
      </w:r>
      <w:r w:rsidR="003D3B8F">
        <w:rPr>
          <w:sz w:val="24"/>
          <w:szCs w:val="24"/>
        </w:rPr>
        <w:t>wh</w:t>
      </w:r>
      <w:r w:rsidR="003D5955">
        <w:rPr>
          <w:sz w:val="24"/>
          <w:szCs w:val="24"/>
        </w:rPr>
        <w:t>ich</w:t>
      </w:r>
      <w:r w:rsidR="003D3B8F">
        <w:rPr>
          <w:sz w:val="24"/>
          <w:szCs w:val="24"/>
        </w:rPr>
        <w:t xml:space="preserve"> courses would be </w:t>
      </w:r>
      <w:r w:rsidR="00D8267D">
        <w:rPr>
          <w:sz w:val="24"/>
          <w:szCs w:val="24"/>
        </w:rPr>
        <w:t xml:space="preserve">counted </w:t>
      </w:r>
      <w:r w:rsidR="00F53817">
        <w:rPr>
          <w:sz w:val="24"/>
          <w:szCs w:val="24"/>
        </w:rPr>
        <w:t>and therefore</w:t>
      </w:r>
      <w:r w:rsidR="003D3B8F">
        <w:rPr>
          <w:sz w:val="24"/>
          <w:szCs w:val="24"/>
        </w:rPr>
        <w:t xml:space="preserve"> demonstrate school achievement</w:t>
      </w:r>
      <w:r w:rsidR="00F53817">
        <w:rPr>
          <w:sz w:val="24"/>
          <w:szCs w:val="24"/>
        </w:rPr>
        <w:t>,</w:t>
      </w:r>
      <w:r w:rsidR="003D3B8F">
        <w:rPr>
          <w:sz w:val="24"/>
          <w:szCs w:val="24"/>
        </w:rPr>
        <w:t xml:space="preserve"> rather than driven by the needs of individual students.</w:t>
      </w:r>
    </w:p>
    <w:p w14:paraId="7BAF9F0F" w14:textId="3046B2DD" w:rsidR="00D5396E" w:rsidRPr="00582F8F" w:rsidRDefault="00D5396E" w:rsidP="00D5396E">
      <w:pPr>
        <w:spacing w:line="360" w:lineRule="auto"/>
        <w:rPr>
          <w:sz w:val="24"/>
          <w:szCs w:val="24"/>
        </w:rPr>
      </w:pPr>
      <w:r w:rsidRPr="005A590D">
        <w:rPr>
          <w:sz w:val="24"/>
          <w:szCs w:val="24"/>
        </w:rPr>
        <w:t xml:space="preserve">Reference within the interviews to political pressure was mainly from the </w:t>
      </w:r>
      <w:r w:rsidR="00F53817">
        <w:rPr>
          <w:sz w:val="24"/>
          <w:szCs w:val="24"/>
        </w:rPr>
        <w:t>d</w:t>
      </w:r>
      <w:r w:rsidRPr="005A590D">
        <w:rPr>
          <w:sz w:val="24"/>
          <w:szCs w:val="24"/>
        </w:rPr>
        <w:t>eput</w:t>
      </w:r>
      <w:r w:rsidR="00027122">
        <w:rPr>
          <w:sz w:val="24"/>
          <w:szCs w:val="24"/>
        </w:rPr>
        <w:t>ies</w:t>
      </w:r>
      <w:r w:rsidR="00F53817">
        <w:rPr>
          <w:sz w:val="24"/>
          <w:szCs w:val="24"/>
        </w:rPr>
        <w:t>,</w:t>
      </w:r>
      <w:r w:rsidRPr="005A590D">
        <w:rPr>
          <w:sz w:val="24"/>
          <w:szCs w:val="24"/>
        </w:rPr>
        <w:t xml:space="preserve"> </w:t>
      </w:r>
      <w:r w:rsidR="00F53817">
        <w:rPr>
          <w:sz w:val="24"/>
          <w:szCs w:val="24"/>
        </w:rPr>
        <w:t xml:space="preserve">concerning </w:t>
      </w:r>
      <w:r w:rsidRPr="005A590D">
        <w:rPr>
          <w:sz w:val="24"/>
          <w:szCs w:val="24"/>
        </w:rPr>
        <w:t xml:space="preserve">the announcement of the EBac at a time </w:t>
      </w:r>
      <w:r w:rsidR="00E034DF">
        <w:rPr>
          <w:sz w:val="24"/>
          <w:szCs w:val="24"/>
        </w:rPr>
        <w:t>after</w:t>
      </w:r>
      <w:r w:rsidRPr="005A590D">
        <w:rPr>
          <w:sz w:val="24"/>
          <w:szCs w:val="24"/>
        </w:rPr>
        <w:t xml:space="preserve"> schools had </w:t>
      </w:r>
      <w:r w:rsidR="00F53817">
        <w:rPr>
          <w:sz w:val="24"/>
          <w:szCs w:val="24"/>
        </w:rPr>
        <w:t xml:space="preserve">already </w:t>
      </w:r>
      <w:r w:rsidR="00E034DF">
        <w:rPr>
          <w:sz w:val="24"/>
          <w:szCs w:val="24"/>
        </w:rPr>
        <w:t>embarked on</w:t>
      </w:r>
      <w:r w:rsidRPr="005A590D">
        <w:rPr>
          <w:sz w:val="24"/>
          <w:szCs w:val="24"/>
        </w:rPr>
        <w:t xml:space="preserve"> their option</w:t>
      </w:r>
      <w:r w:rsidR="00F53817">
        <w:rPr>
          <w:sz w:val="24"/>
          <w:szCs w:val="24"/>
        </w:rPr>
        <w:t>s</w:t>
      </w:r>
      <w:r w:rsidRPr="005A590D">
        <w:rPr>
          <w:sz w:val="24"/>
          <w:szCs w:val="24"/>
        </w:rPr>
        <w:t xml:space="preserve"> process f</w:t>
      </w:r>
      <w:r w:rsidR="007E7E0F">
        <w:rPr>
          <w:sz w:val="24"/>
          <w:szCs w:val="24"/>
        </w:rPr>
        <w:t>o</w:t>
      </w:r>
      <w:r w:rsidRPr="005A590D">
        <w:rPr>
          <w:sz w:val="24"/>
          <w:szCs w:val="24"/>
        </w:rPr>
        <w:t xml:space="preserve">r </w:t>
      </w:r>
      <w:r w:rsidR="00F60C79">
        <w:rPr>
          <w:sz w:val="24"/>
          <w:szCs w:val="24"/>
        </w:rPr>
        <w:t>September 2011.</w:t>
      </w:r>
      <w:r w:rsidRPr="005A590D">
        <w:rPr>
          <w:sz w:val="24"/>
          <w:szCs w:val="24"/>
        </w:rPr>
        <w:t xml:space="preserve"> This provided little time </w:t>
      </w:r>
      <w:r w:rsidR="00E034DF">
        <w:rPr>
          <w:sz w:val="24"/>
          <w:szCs w:val="24"/>
        </w:rPr>
        <w:t>to</w:t>
      </w:r>
      <w:r w:rsidR="00F60C79">
        <w:rPr>
          <w:sz w:val="24"/>
          <w:szCs w:val="24"/>
        </w:rPr>
        <w:t xml:space="preserve"> </w:t>
      </w:r>
      <w:r w:rsidRPr="005A590D">
        <w:rPr>
          <w:sz w:val="24"/>
          <w:szCs w:val="24"/>
        </w:rPr>
        <w:t>reflect</w:t>
      </w:r>
      <w:r w:rsidR="00E034DF">
        <w:rPr>
          <w:sz w:val="24"/>
          <w:szCs w:val="24"/>
        </w:rPr>
        <w:t xml:space="preserve"> carefully on options</w:t>
      </w:r>
      <w:r w:rsidRPr="005A590D">
        <w:rPr>
          <w:sz w:val="24"/>
          <w:szCs w:val="24"/>
        </w:rPr>
        <w:t xml:space="preserve"> or to change curriculum options.</w:t>
      </w:r>
      <w:r>
        <w:rPr>
          <w:sz w:val="24"/>
          <w:szCs w:val="24"/>
        </w:rPr>
        <w:t xml:space="preserve"> </w:t>
      </w:r>
      <w:r w:rsidRPr="005A590D">
        <w:rPr>
          <w:sz w:val="24"/>
          <w:szCs w:val="24"/>
        </w:rPr>
        <w:t xml:space="preserve">Pam </w:t>
      </w:r>
      <w:r w:rsidR="006364D3">
        <w:rPr>
          <w:sz w:val="24"/>
          <w:szCs w:val="24"/>
        </w:rPr>
        <w:t>(Bluefield/HoD/EBac)</w:t>
      </w:r>
      <w:r w:rsidR="0075787A">
        <w:rPr>
          <w:sz w:val="24"/>
          <w:szCs w:val="24"/>
        </w:rPr>
        <w:t xml:space="preserve"> </w:t>
      </w:r>
      <w:r w:rsidRPr="005A590D">
        <w:rPr>
          <w:sz w:val="24"/>
          <w:szCs w:val="24"/>
        </w:rPr>
        <w:t>was very vocal about her unhappiness at the retrospective EBac measure applied in the first year:</w:t>
      </w:r>
    </w:p>
    <w:p w14:paraId="1B760AE5" w14:textId="77777777" w:rsidR="00D5396E" w:rsidRPr="00582F8F" w:rsidRDefault="00D5396E" w:rsidP="00531995">
      <w:pPr>
        <w:spacing w:after="240" w:line="240" w:lineRule="auto"/>
        <w:ind w:left="357"/>
        <w:rPr>
          <w:sz w:val="24"/>
          <w:szCs w:val="24"/>
        </w:rPr>
      </w:pPr>
      <w:r w:rsidRPr="005A590D">
        <w:rPr>
          <w:sz w:val="24"/>
          <w:szCs w:val="24"/>
        </w:rPr>
        <w:t>I thought it was outrageous, absolutely outrageous for a government intent on promoting education as they claimed they were…to do something like that was just beyond belief. I can’t understand how you can set up a qualification and apply it retrospectively and not expect people to be offended by that (p.9).</w:t>
      </w:r>
    </w:p>
    <w:p w14:paraId="1A8CC431" w14:textId="07734F1E" w:rsidR="00D5396E" w:rsidRPr="00582F8F" w:rsidRDefault="00D5396E" w:rsidP="00D5396E">
      <w:pPr>
        <w:spacing w:line="360" w:lineRule="auto"/>
        <w:rPr>
          <w:sz w:val="24"/>
          <w:szCs w:val="24"/>
        </w:rPr>
      </w:pPr>
      <w:r w:rsidRPr="005A590D">
        <w:rPr>
          <w:sz w:val="24"/>
          <w:szCs w:val="24"/>
        </w:rPr>
        <w:lastRenderedPageBreak/>
        <w:t>While acknowledging that for Bluefield the EBac figure was very high and that this was a measure that “we came out of it looking pretty good” (p.9), Pam was concerned about the impact on other schools and the perceived unfairness of th</w:t>
      </w:r>
      <w:r w:rsidR="00E034DF">
        <w:rPr>
          <w:sz w:val="24"/>
          <w:szCs w:val="24"/>
        </w:rPr>
        <w:t>e</w:t>
      </w:r>
      <w:r w:rsidRPr="005A590D">
        <w:rPr>
          <w:sz w:val="24"/>
          <w:szCs w:val="24"/>
        </w:rPr>
        <w:t xml:space="preserve"> approach. </w:t>
      </w:r>
    </w:p>
    <w:p w14:paraId="1A8F86BF" w14:textId="532EAAEB" w:rsidR="007E7E0F" w:rsidRDefault="00484C7F" w:rsidP="00EF348C">
      <w:pPr>
        <w:pBdr>
          <w:top w:val="nil"/>
          <w:left w:val="nil"/>
          <w:bottom w:val="nil"/>
          <w:right w:val="nil"/>
          <w:between w:val="nil"/>
          <w:bar w:val="nil"/>
        </w:pBdr>
        <w:spacing w:line="360" w:lineRule="auto"/>
        <w:rPr>
          <w:bCs/>
          <w:sz w:val="24"/>
          <w:szCs w:val="24"/>
        </w:rPr>
      </w:pPr>
      <w:r>
        <w:rPr>
          <w:bCs/>
          <w:sz w:val="24"/>
          <w:szCs w:val="24"/>
        </w:rPr>
        <w:t>A</w:t>
      </w:r>
      <w:r w:rsidR="00C2770C">
        <w:rPr>
          <w:bCs/>
          <w:sz w:val="24"/>
          <w:szCs w:val="24"/>
        </w:rPr>
        <w:t>ll schools felt</w:t>
      </w:r>
      <w:r w:rsidR="004E6143">
        <w:rPr>
          <w:bCs/>
          <w:sz w:val="24"/>
          <w:szCs w:val="24"/>
        </w:rPr>
        <w:t xml:space="preserve"> </w:t>
      </w:r>
      <w:r w:rsidR="00B0281D">
        <w:rPr>
          <w:bCs/>
          <w:sz w:val="24"/>
          <w:szCs w:val="24"/>
        </w:rPr>
        <w:t>constrained by</w:t>
      </w:r>
      <w:r w:rsidR="00C2770C">
        <w:rPr>
          <w:bCs/>
          <w:sz w:val="24"/>
          <w:szCs w:val="24"/>
        </w:rPr>
        <w:t xml:space="preserve"> accountability measures. The changes to the performance tables appeared to be the biggest driver for curriculum </w:t>
      </w:r>
      <w:r w:rsidR="00B0281D">
        <w:rPr>
          <w:bCs/>
          <w:sz w:val="24"/>
          <w:szCs w:val="24"/>
        </w:rPr>
        <w:t>and examination entry polic</w:t>
      </w:r>
      <w:r w:rsidR="00F53817">
        <w:rPr>
          <w:bCs/>
          <w:sz w:val="24"/>
          <w:szCs w:val="24"/>
        </w:rPr>
        <w:t>ies</w:t>
      </w:r>
      <w:r w:rsidR="00B0281D">
        <w:rPr>
          <w:bCs/>
          <w:sz w:val="24"/>
          <w:szCs w:val="24"/>
        </w:rPr>
        <w:t xml:space="preserve"> and </w:t>
      </w:r>
      <w:r w:rsidR="00C2770C">
        <w:rPr>
          <w:bCs/>
          <w:sz w:val="24"/>
          <w:szCs w:val="24"/>
        </w:rPr>
        <w:t>change</w:t>
      </w:r>
      <w:r w:rsidR="00F53817">
        <w:rPr>
          <w:bCs/>
          <w:sz w:val="24"/>
          <w:szCs w:val="24"/>
        </w:rPr>
        <w:t>s</w:t>
      </w:r>
      <w:r w:rsidR="00AF38C1">
        <w:rPr>
          <w:bCs/>
          <w:sz w:val="24"/>
          <w:szCs w:val="24"/>
        </w:rPr>
        <w:t xml:space="preserve"> in practice</w:t>
      </w:r>
      <w:r w:rsidR="00C2770C">
        <w:rPr>
          <w:bCs/>
          <w:sz w:val="24"/>
          <w:szCs w:val="24"/>
        </w:rPr>
        <w:t>. The aim of the EBac policy was to ensure that all students were offered access to EBac subjects</w:t>
      </w:r>
      <w:r w:rsidR="00AF38C1">
        <w:rPr>
          <w:bCs/>
          <w:sz w:val="24"/>
          <w:szCs w:val="24"/>
        </w:rPr>
        <w:t>,</w:t>
      </w:r>
      <w:r w:rsidR="00C2770C">
        <w:rPr>
          <w:bCs/>
          <w:sz w:val="24"/>
          <w:szCs w:val="24"/>
        </w:rPr>
        <w:t xml:space="preserve"> </w:t>
      </w:r>
      <w:r w:rsidR="00CD368B">
        <w:rPr>
          <w:bCs/>
          <w:sz w:val="24"/>
          <w:szCs w:val="24"/>
        </w:rPr>
        <w:t>under</w:t>
      </w:r>
      <w:r w:rsidR="00C2770C">
        <w:rPr>
          <w:bCs/>
          <w:sz w:val="24"/>
          <w:szCs w:val="24"/>
        </w:rPr>
        <w:t xml:space="preserve"> the premise that these subject</w:t>
      </w:r>
      <w:r w:rsidR="00FE585A">
        <w:rPr>
          <w:bCs/>
          <w:sz w:val="24"/>
          <w:szCs w:val="24"/>
        </w:rPr>
        <w:t>s</w:t>
      </w:r>
      <w:r w:rsidR="00C2770C">
        <w:rPr>
          <w:bCs/>
          <w:sz w:val="24"/>
          <w:szCs w:val="24"/>
        </w:rPr>
        <w:t xml:space="preserve"> would allow access to a greater number of high</w:t>
      </w:r>
      <w:r w:rsidR="00AF38C1">
        <w:rPr>
          <w:bCs/>
          <w:sz w:val="24"/>
          <w:szCs w:val="24"/>
        </w:rPr>
        <w:t>-</w:t>
      </w:r>
      <w:r w:rsidR="00C2770C">
        <w:rPr>
          <w:bCs/>
          <w:sz w:val="24"/>
          <w:szCs w:val="24"/>
        </w:rPr>
        <w:t xml:space="preserve">status progression routes in the future. </w:t>
      </w:r>
      <w:r w:rsidR="00F76B2F">
        <w:rPr>
          <w:bCs/>
          <w:sz w:val="24"/>
          <w:szCs w:val="24"/>
        </w:rPr>
        <w:t>I</w:t>
      </w:r>
      <w:r w:rsidR="00C2770C">
        <w:rPr>
          <w:bCs/>
          <w:sz w:val="24"/>
          <w:szCs w:val="24"/>
        </w:rPr>
        <w:t>t became apparent during the interviews that the accountability measures were leading</w:t>
      </w:r>
      <w:r w:rsidR="00B0281D">
        <w:rPr>
          <w:bCs/>
          <w:sz w:val="24"/>
          <w:szCs w:val="24"/>
        </w:rPr>
        <w:t xml:space="preserve"> the schools</w:t>
      </w:r>
      <w:r w:rsidR="00C2770C">
        <w:rPr>
          <w:bCs/>
          <w:sz w:val="24"/>
          <w:szCs w:val="24"/>
        </w:rPr>
        <w:t xml:space="preserve"> to classify students according to perceived ability</w:t>
      </w:r>
      <w:r w:rsidR="00AF38C1">
        <w:rPr>
          <w:bCs/>
          <w:sz w:val="24"/>
          <w:szCs w:val="24"/>
        </w:rPr>
        <w:t xml:space="preserve">, which </w:t>
      </w:r>
      <w:r w:rsidR="00C2770C">
        <w:rPr>
          <w:bCs/>
          <w:sz w:val="24"/>
          <w:szCs w:val="24"/>
        </w:rPr>
        <w:t xml:space="preserve">decisions </w:t>
      </w:r>
      <w:r w:rsidR="00B0281D">
        <w:rPr>
          <w:bCs/>
          <w:sz w:val="24"/>
          <w:szCs w:val="24"/>
        </w:rPr>
        <w:t xml:space="preserve">such as EBac entry </w:t>
      </w:r>
      <w:r w:rsidR="00AF38C1">
        <w:rPr>
          <w:bCs/>
          <w:sz w:val="24"/>
          <w:szCs w:val="24"/>
        </w:rPr>
        <w:t xml:space="preserve">were increasingly being </w:t>
      </w:r>
      <w:r w:rsidR="00C2770C">
        <w:rPr>
          <w:bCs/>
          <w:sz w:val="24"/>
          <w:szCs w:val="24"/>
        </w:rPr>
        <w:t xml:space="preserve">based on. The emphasis on the grade C </w:t>
      </w:r>
      <w:r w:rsidR="00CD368B">
        <w:rPr>
          <w:bCs/>
          <w:sz w:val="24"/>
          <w:szCs w:val="24"/>
        </w:rPr>
        <w:t>and above</w:t>
      </w:r>
      <w:r w:rsidR="00AF38C1">
        <w:rPr>
          <w:bCs/>
          <w:sz w:val="24"/>
          <w:szCs w:val="24"/>
        </w:rPr>
        <w:t xml:space="preserve"> criteria</w:t>
      </w:r>
      <w:r w:rsidR="00CD368B">
        <w:rPr>
          <w:bCs/>
          <w:sz w:val="24"/>
          <w:szCs w:val="24"/>
        </w:rPr>
        <w:t xml:space="preserve"> </w:t>
      </w:r>
      <w:r w:rsidR="00C2770C">
        <w:rPr>
          <w:bCs/>
          <w:sz w:val="24"/>
          <w:szCs w:val="24"/>
        </w:rPr>
        <w:t xml:space="preserve">appeared to be </w:t>
      </w:r>
      <w:r w:rsidR="004D5759">
        <w:rPr>
          <w:bCs/>
          <w:sz w:val="24"/>
          <w:szCs w:val="24"/>
        </w:rPr>
        <w:t xml:space="preserve">an instrumental and technical </w:t>
      </w:r>
      <w:r w:rsidR="00C2770C">
        <w:rPr>
          <w:bCs/>
          <w:sz w:val="24"/>
          <w:szCs w:val="24"/>
        </w:rPr>
        <w:t xml:space="preserve">driver </w:t>
      </w:r>
      <w:r w:rsidR="00E034DF">
        <w:rPr>
          <w:bCs/>
          <w:sz w:val="24"/>
          <w:szCs w:val="24"/>
        </w:rPr>
        <w:t>behind</w:t>
      </w:r>
      <w:r w:rsidR="00C2770C">
        <w:rPr>
          <w:bCs/>
          <w:sz w:val="24"/>
          <w:szCs w:val="24"/>
        </w:rPr>
        <w:t xml:space="preserve"> many decisions</w:t>
      </w:r>
      <w:r w:rsidR="004D5759">
        <w:rPr>
          <w:bCs/>
          <w:sz w:val="24"/>
          <w:szCs w:val="24"/>
        </w:rPr>
        <w:t xml:space="preserve">, at the expense of the </w:t>
      </w:r>
      <w:r w:rsidR="00CD368B">
        <w:rPr>
          <w:bCs/>
          <w:sz w:val="24"/>
          <w:szCs w:val="24"/>
        </w:rPr>
        <w:t xml:space="preserve">goal </w:t>
      </w:r>
      <w:r w:rsidR="004D5759">
        <w:rPr>
          <w:bCs/>
          <w:sz w:val="24"/>
          <w:szCs w:val="24"/>
        </w:rPr>
        <w:t xml:space="preserve">of equal access to </w:t>
      </w:r>
      <w:r w:rsidR="00C2770C">
        <w:rPr>
          <w:bCs/>
          <w:sz w:val="24"/>
          <w:szCs w:val="24"/>
        </w:rPr>
        <w:t>all students to EBac subjects.</w:t>
      </w:r>
      <w:r w:rsidR="007E7E0F">
        <w:rPr>
          <w:bCs/>
          <w:sz w:val="24"/>
          <w:szCs w:val="24"/>
        </w:rPr>
        <w:t xml:space="preserve"> </w:t>
      </w:r>
      <w:r w:rsidR="00370676">
        <w:rPr>
          <w:bCs/>
          <w:sz w:val="24"/>
          <w:szCs w:val="24"/>
        </w:rPr>
        <w:t xml:space="preserve">This theme of equality is explored in more detail in </w:t>
      </w:r>
      <w:r w:rsidR="00CD368B">
        <w:rPr>
          <w:bCs/>
          <w:sz w:val="24"/>
          <w:szCs w:val="24"/>
        </w:rPr>
        <w:t xml:space="preserve">the </w:t>
      </w:r>
      <w:r w:rsidR="00370676">
        <w:rPr>
          <w:bCs/>
          <w:sz w:val="24"/>
          <w:szCs w:val="24"/>
        </w:rPr>
        <w:t xml:space="preserve">final </w:t>
      </w:r>
      <w:r w:rsidR="00CD368B">
        <w:rPr>
          <w:bCs/>
          <w:sz w:val="24"/>
          <w:szCs w:val="24"/>
        </w:rPr>
        <w:t>section</w:t>
      </w:r>
      <w:r w:rsidR="00370676">
        <w:rPr>
          <w:bCs/>
          <w:sz w:val="24"/>
          <w:szCs w:val="24"/>
        </w:rPr>
        <w:t>.</w:t>
      </w:r>
    </w:p>
    <w:p w14:paraId="254F4CD7" w14:textId="0FFC3BCF" w:rsidR="00D5396E" w:rsidRDefault="00EF348C" w:rsidP="00531995">
      <w:pPr>
        <w:pStyle w:val="Heading3"/>
      </w:pPr>
      <w:bookmarkStart w:id="100" w:name="_Toc452316383"/>
      <w:r>
        <w:t xml:space="preserve">4.4.5 </w:t>
      </w:r>
      <w:r w:rsidR="00D5396E" w:rsidRPr="000930A7">
        <w:t>Equality</w:t>
      </w:r>
      <w:bookmarkEnd w:id="100"/>
      <w:r w:rsidR="00D5396E" w:rsidRPr="005A590D">
        <w:t xml:space="preserve"> </w:t>
      </w:r>
    </w:p>
    <w:p w14:paraId="47087927" w14:textId="405FDA41" w:rsidR="00FE585A" w:rsidRDefault="00D5396E" w:rsidP="006364D3">
      <w:pPr>
        <w:spacing w:after="0" w:line="360" w:lineRule="auto"/>
        <w:rPr>
          <w:sz w:val="24"/>
          <w:szCs w:val="24"/>
        </w:rPr>
      </w:pPr>
      <w:r w:rsidRPr="005A590D">
        <w:rPr>
          <w:sz w:val="24"/>
          <w:szCs w:val="24"/>
        </w:rPr>
        <w:t xml:space="preserve">I </w:t>
      </w:r>
      <w:r w:rsidR="00370676">
        <w:rPr>
          <w:sz w:val="24"/>
          <w:szCs w:val="24"/>
        </w:rPr>
        <w:t>address my third research question</w:t>
      </w:r>
      <w:r w:rsidR="00CD368B">
        <w:rPr>
          <w:sz w:val="24"/>
          <w:szCs w:val="24"/>
        </w:rPr>
        <w:t>:</w:t>
      </w:r>
      <w:r w:rsidR="00370676">
        <w:rPr>
          <w:sz w:val="24"/>
          <w:szCs w:val="24"/>
        </w:rPr>
        <w:t xml:space="preserve"> </w:t>
      </w:r>
      <w:r w:rsidR="00CD368B">
        <w:rPr>
          <w:sz w:val="24"/>
          <w:szCs w:val="24"/>
        </w:rPr>
        <w:t>‘D</w:t>
      </w:r>
      <w:r w:rsidR="00370676">
        <w:rPr>
          <w:sz w:val="24"/>
          <w:szCs w:val="24"/>
        </w:rPr>
        <w:t>oes the EBac have implications for educational equality</w:t>
      </w:r>
      <w:r w:rsidR="00CD368B">
        <w:rPr>
          <w:sz w:val="24"/>
          <w:szCs w:val="24"/>
        </w:rPr>
        <w:t>?’</w:t>
      </w:r>
      <w:r w:rsidR="00370676">
        <w:rPr>
          <w:sz w:val="24"/>
          <w:szCs w:val="24"/>
        </w:rPr>
        <w:t xml:space="preserve"> via </w:t>
      </w:r>
      <w:r w:rsidR="001D2267">
        <w:rPr>
          <w:sz w:val="24"/>
          <w:szCs w:val="24"/>
        </w:rPr>
        <w:t xml:space="preserve">two </w:t>
      </w:r>
      <w:r w:rsidRPr="005A590D">
        <w:rPr>
          <w:sz w:val="24"/>
          <w:szCs w:val="24"/>
        </w:rPr>
        <w:t>discrete coding categories</w:t>
      </w:r>
      <w:r w:rsidR="00AF38C1">
        <w:rPr>
          <w:sz w:val="24"/>
          <w:szCs w:val="24"/>
        </w:rPr>
        <w:t>;</w:t>
      </w:r>
      <w:r w:rsidRPr="005A590D">
        <w:rPr>
          <w:sz w:val="24"/>
          <w:szCs w:val="24"/>
        </w:rPr>
        <w:t xml:space="preserve"> </w:t>
      </w:r>
      <w:r w:rsidR="001D2267">
        <w:rPr>
          <w:sz w:val="24"/>
          <w:szCs w:val="24"/>
        </w:rPr>
        <w:t>first</w:t>
      </w:r>
      <w:r w:rsidR="00AF38C1">
        <w:rPr>
          <w:sz w:val="24"/>
          <w:szCs w:val="24"/>
        </w:rPr>
        <w:t>ly</w:t>
      </w:r>
      <w:r w:rsidR="001D2267">
        <w:rPr>
          <w:sz w:val="24"/>
          <w:szCs w:val="24"/>
        </w:rPr>
        <w:t xml:space="preserve">, the </w:t>
      </w:r>
      <w:r w:rsidRPr="005A590D">
        <w:rPr>
          <w:sz w:val="24"/>
          <w:szCs w:val="24"/>
        </w:rPr>
        <w:t xml:space="preserve">concept of </w:t>
      </w:r>
      <w:r w:rsidR="00350EA4">
        <w:rPr>
          <w:sz w:val="24"/>
          <w:szCs w:val="24"/>
        </w:rPr>
        <w:t>‘</w:t>
      </w:r>
      <w:r w:rsidRPr="005A590D">
        <w:rPr>
          <w:sz w:val="24"/>
          <w:szCs w:val="24"/>
        </w:rPr>
        <w:t>appropriate</w:t>
      </w:r>
      <w:r w:rsidR="001D2267">
        <w:rPr>
          <w:sz w:val="24"/>
          <w:szCs w:val="24"/>
        </w:rPr>
        <w:t>ness</w:t>
      </w:r>
      <w:r w:rsidR="00350EA4">
        <w:rPr>
          <w:sz w:val="24"/>
          <w:szCs w:val="24"/>
        </w:rPr>
        <w:t>’</w:t>
      </w:r>
      <w:r w:rsidRPr="005A590D">
        <w:rPr>
          <w:sz w:val="24"/>
          <w:szCs w:val="24"/>
        </w:rPr>
        <w:t xml:space="preserve">, </w:t>
      </w:r>
      <w:r w:rsidR="001D2267">
        <w:rPr>
          <w:sz w:val="24"/>
          <w:szCs w:val="24"/>
        </w:rPr>
        <w:t>and second</w:t>
      </w:r>
      <w:r w:rsidR="00AF38C1">
        <w:rPr>
          <w:sz w:val="24"/>
          <w:szCs w:val="24"/>
        </w:rPr>
        <w:t>ly</w:t>
      </w:r>
      <w:r w:rsidR="001D2267">
        <w:rPr>
          <w:sz w:val="24"/>
          <w:szCs w:val="24"/>
        </w:rPr>
        <w:t xml:space="preserve">, </w:t>
      </w:r>
      <w:r w:rsidR="00CD368B">
        <w:rPr>
          <w:sz w:val="24"/>
          <w:szCs w:val="24"/>
        </w:rPr>
        <w:t>‘</w:t>
      </w:r>
      <w:r w:rsidR="00FE585A" w:rsidRPr="005A590D">
        <w:rPr>
          <w:sz w:val="24"/>
          <w:szCs w:val="24"/>
        </w:rPr>
        <w:t>winners and losers</w:t>
      </w:r>
      <w:r w:rsidR="00CD368B">
        <w:rPr>
          <w:sz w:val="24"/>
          <w:szCs w:val="24"/>
        </w:rPr>
        <w:t>’</w:t>
      </w:r>
      <w:r w:rsidRPr="005A590D">
        <w:rPr>
          <w:sz w:val="24"/>
          <w:szCs w:val="24"/>
        </w:rPr>
        <w:t xml:space="preserve">. </w:t>
      </w:r>
      <w:r w:rsidR="00F56F37">
        <w:rPr>
          <w:sz w:val="24"/>
          <w:szCs w:val="24"/>
        </w:rPr>
        <w:t>I also consider the implications of my identified typology in terms of the schools</w:t>
      </w:r>
      <w:r w:rsidR="00AF38C1">
        <w:rPr>
          <w:sz w:val="24"/>
          <w:szCs w:val="24"/>
        </w:rPr>
        <w:t>’</w:t>
      </w:r>
      <w:r w:rsidR="00F56F37">
        <w:rPr>
          <w:sz w:val="24"/>
          <w:szCs w:val="24"/>
        </w:rPr>
        <w:t xml:space="preserve"> responses to the EBac policy and the practice of equality in each school.</w:t>
      </w:r>
      <w:r w:rsidRPr="005A590D">
        <w:rPr>
          <w:sz w:val="24"/>
          <w:szCs w:val="24"/>
        </w:rPr>
        <w:t xml:space="preserve"> </w:t>
      </w:r>
    </w:p>
    <w:p w14:paraId="4A75BE79" w14:textId="77777777" w:rsidR="00AF38C1" w:rsidRDefault="00AF38C1" w:rsidP="006364D3">
      <w:pPr>
        <w:spacing w:after="0" w:line="360" w:lineRule="auto"/>
        <w:rPr>
          <w:sz w:val="24"/>
          <w:szCs w:val="24"/>
        </w:rPr>
      </w:pPr>
    </w:p>
    <w:p w14:paraId="7FBBB064" w14:textId="45913946" w:rsidR="002D2B32" w:rsidRDefault="00F56F37" w:rsidP="00D5396E">
      <w:pPr>
        <w:spacing w:line="360" w:lineRule="auto"/>
        <w:rPr>
          <w:sz w:val="24"/>
          <w:szCs w:val="24"/>
        </w:rPr>
      </w:pPr>
      <w:r>
        <w:rPr>
          <w:sz w:val="24"/>
          <w:szCs w:val="24"/>
        </w:rPr>
        <w:t>The EBac curriculum was felt by all in my sample to be an appropriate curriculum</w:t>
      </w:r>
      <w:r w:rsidR="00C85945">
        <w:rPr>
          <w:sz w:val="24"/>
          <w:szCs w:val="24"/>
        </w:rPr>
        <w:t xml:space="preserve"> </w:t>
      </w:r>
      <w:r>
        <w:rPr>
          <w:sz w:val="24"/>
          <w:szCs w:val="24"/>
        </w:rPr>
        <w:t xml:space="preserve">for a </w:t>
      </w:r>
      <w:r w:rsidR="00CD368B">
        <w:rPr>
          <w:sz w:val="24"/>
          <w:szCs w:val="24"/>
        </w:rPr>
        <w:t>‘</w:t>
      </w:r>
      <w:r>
        <w:rPr>
          <w:sz w:val="24"/>
          <w:szCs w:val="24"/>
        </w:rPr>
        <w:t>certain type</w:t>
      </w:r>
      <w:r w:rsidR="00CD368B">
        <w:rPr>
          <w:sz w:val="24"/>
          <w:szCs w:val="24"/>
        </w:rPr>
        <w:t>’</w:t>
      </w:r>
      <w:r>
        <w:rPr>
          <w:sz w:val="24"/>
          <w:szCs w:val="24"/>
        </w:rPr>
        <w:t xml:space="preserve"> of student</w:t>
      </w:r>
      <w:r w:rsidR="00AF38C1">
        <w:rPr>
          <w:sz w:val="24"/>
          <w:szCs w:val="24"/>
        </w:rPr>
        <w:t>,</w:t>
      </w:r>
      <w:r w:rsidR="00C85945">
        <w:rPr>
          <w:sz w:val="24"/>
          <w:szCs w:val="24"/>
        </w:rPr>
        <w:t xml:space="preserve"> </w:t>
      </w:r>
      <w:r w:rsidR="00370676">
        <w:rPr>
          <w:sz w:val="24"/>
          <w:szCs w:val="24"/>
        </w:rPr>
        <w:t>but</w:t>
      </w:r>
      <w:r w:rsidR="00C85945">
        <w:rPr>
          <w:sz w:val="24"/>
          <w:szCs w:val="24"/>
        </w:rPr>
        <w:t xml:space="preserve"> not all (see </w:t>
      </w:r>
      <w:r w:rsidR="00AF38C1">
        <w:rPr>
          <w:sz w:val="24"/>
          <w:szCs w:val="24"/>
        </w:rPr>
        <w:t>S</w:t>
      </w:r>
      <w:r w:rsidR="00C85945">
        <w:rPr>
          <w:sz w:val="24"/>
          <w:szCs w:val="24"/>
        </w:rPr>
        <w:t>ection 4.4.2)</w:t>
      </w:r>
      <w:r>
        <w:rPr>
          <w:sz w:val="24"/>
          <w:szCs w:val="24"/>
        </w:rPr>
        <w:t>.</w:t>
      </w:r>
      <w:r w:rsidR="00862592">
        <w:rPr>
          <w:sz w:val="24"/>
          <w:szCs w:val="24"/>
        </w:rPr>
        <w:t xml:space="preserve"> Th</w:t>
      </w:r>
      <w:r w:rsidR="00C85945">
        <w:rPr>
          <w:sz w:val="24"/>
          <w:szCs w:val="24"/>
        </w:rPr>
        <w:t>e EBac was described</w:t>
      </w:r>
      <w:r w:rsidR="00862592">
        <w:rPr>
          <w:sz w:val="24"/>
          <w:szCs w:val="24"/>
        </w:rPr>
        <w:t xml:space="preserve"> by Annie </w:t>
      </w:r>
      <w:r w:rsidR="00370676">
        <w:rPr>
          <w:sz w:val="24"/>
          <w:szCs w:val="24"/>
        </w:rPr>
        <w:t>(R</w:t>
      </w:r>
      <w:r w:rsidR="006C11E8">
        <w:rPr>
          <w:sz w:val="24"/>
          <w:szCs w:val="24"/>
        </w:rPr>
        <w:t>edfield</w:t>
      </w:r>
      <w:r w:rsidR="00370676">
        <w:rPr>
          <w:sz w:val="24"/>
          <w:szCs w:val="24"/>
        </w:rPr>
        <w:t xml:space="preserve">/HoD/EBac) </w:t>
      </w:r>
      <w:r w:rsidR="00862592">
        <w:rPr>
          <w:sz w:val="24"/>
          <w:szCs w:val="24"/>
        </w:rPr>
        <w:t>as no real change for academically able students</w:t>
      </w:r>
      <w:r w:rsidR="00AF38C1">
        <w:rPr>
          <w:sz w:val="24"/>
          <w:szCs w:val="24"/>
        </w:rPr>
        <w:t xml:space="preserve"> as</w:t>
      </w:r>
      <w:r w:rsidR="00862592">
        <w:rPr>
          <w:sz w:val="24"/>
          <w:szCs w:val="24"/>
        </w:rPr>
        <w:t xml:space="preserve"> “most students who are on the academic route take a balance of subjects” (p.7). </w:t>
      </w:r>
      <w:r w:rsidR="00370676">
        <w:rPr>
          <w:sz w:val="24"/>
          <w:szCs w:val="24"/>
        </w:rPr>
        <w:t>All sample schools offered</w:t>
      </w:r>
      <w:r w:rsidR="00862592">
        <w:rPr>
          <w:sz w:val="24"/>
          <w:szCs w:val="24"/>
        </w:rPr>
        <w:t xml:space="preserve"> the EBac, though Purplefield had to undergo the largest </w:t>
      </w:r>
      <w:r w:rsidR="00370676">
        <w:rPr>
          <w:sz w:val="24"/>
          <w:szCs w:val="24"/>
        </w:rPr>
        <w:t xml:space="preserve">curriculum </w:t>
      </w:r>
      <w:r w:rsidR="00862592">
        <w:rPr>
          <w:sz w:val="24"/>
          <w:szCs w:val="24"/>
        </w:rPr>
        <w:t xml:space="preserve">change, moving away from </w:t>
      </w:r>
      <w:r w:rsidR="00370676">
        <w:rPr>
          <w:sz w:val="24"/>
          <w:szCs w:val="24"/>
        </w:rPr>
        <w:t>a</w:t>
      </w:r>
      <w:r w:rsidR="00862592">
        <w:rPr>
          <w:sz w:val="24"/>
          <w:szCs w:val="24"/>
        </w:rPr>
        <w:t xml:space="preserve"> vocational</w:t>
      </w:r>
      <w:r w:rsidR="00370676">
        <w:rPr>
          <w:sz w:val="24"/>
          <w:szCs w:val="24"/>
        </w:rPr>
        <w:t>ly</w:t>
      </w:r>
      <w:r w:rsidR="00AF38C1">
        <w:rPr>
          <w:sz w:val="24"/>
          <w:szCs w:val="24"/>
        </w:rPr>
        <w:t>-</w:t>
      </w:r>
      <w:r w:rsidR="00862592">
        <w:rPr>
          <w:sz w:val="24"/>
          <w:szCs w:val="24"/>
        </w:rPr>
        <w:t xml:space="preserve">based KS4 </w:t>
      </w:r>
      <w:r w:rsidR="00370676">
        <w:rPr>
          <w:sz w:val="24"/>
          <w:szCs w:val="24"/>
        </w:rPr>
        <w:t xml:space="preserve">college </w:t>
      </w:r>
      <w:r w:rsidR="00862592">
        <w:rPr>
          <w:sz w:val="24"/>
          <w:szCs w:val="24"/>
        </w:rPr>
        <w:t>curriculum</w:t>
      </w:r>
      <w:r w:rsidR="00C85945">
        <w:rPr>
          <w:sz w:val="24"/>
          <w:szCs w:val="24"/>
        </w:rPr>
        <w:t xml:space="preserve"> </w:t>
      </w:r>
      <w:r w:rsidR="00862592">
        <w:rPr>
          <w:sz w:val="24"/>
          <w:szCs w:val="24"/>
        </w:rPr>
        <w:t>to a</w:t>
      </w:r>
      <w:r w:rsidR="00370676">
        <w:rPr>
          <w:sz w:val="24"/>
          <w:szCs w:val="24"/>
        </w:rPr>
        <w:t>n</w:t>
      </w:r>
      <w:r w:rsidR="00862592">
        <w:rPr>
          <w:sz w:val="24"/>
          <w:szCs w:val="24"/>
        </w:rPr>
        <w:t xml:space="preserve"> </w:t>
      </w:r>
      <w:r w:rsidR="00C85945">
        <w:rPr>
          <w:sz w:val="24"/>
          <w:szCs w:val="24"/>
        </w:rPr>
        <w:t xml:space="preserve">in-house </w:t>
      </w:r>
      <w:r w:rsidR="00862592">
        <w:rPr>
          <w:sz w:val="24"/>
          <w:szCs w:val="24"/>
        </w:rPr>
        <w:t xml:space="preserve">GCSE curriculum. </w:t>
      </w:r>
    </w:p>
    <w:p w14:paraId="572487DF" w14:textId="3A8EF01A" w:rsidR="00D5396E" w:rsidRDefault="00D5396E" w:rsidP="00D5396E">
      <w:pPr>
        <w:spacing w:line="360" w:lineRule="auto"/>
        <w:rPr>
          <w:sz w:val="24"/>
          <w:szCs w:val="24"/>
        </w:rPr>
      </w:pPr>
      <w:r w:rsidRPr="005A590D">
        <w:rPr>
          <w:sz w:val="24"/>
          <w:szCs w:val="24"/>
        </w:rPr>
        <w:t xml:space="preserve">When </w:t>
      </w:r>
      <w:r w:rsidR="00B52427">
        <w:rPr>
          <w:sz w:val="24"/>
          <w:szCs w:val="24"/>
        </w:rPr>
        <w:t xml:space="preserve">teachers </w:t>
      </w:r>
      <w:r w:rsidRPr="005A590D">
        <w:rPr>
          <w:sz w:val="24"/>
          <w:szCs w:val="24"/>
        </w:rPr>
        <w:t>discuss</w:t>
      </w:r>
      <w:r w:rsidR="00B52427">
        <w:rPr>
          <w:sz w:val="24"/>
          <w:szCs w:val="24"/>
        </w:rPr>
        <w:t>ed</w:t>
      </w:r>
      <w:r w:rsidRPr="005A590D">
        <w:rPr>
          <w:sz w:val="24"/>
          <w:szCs w:val="24"/>
        </w:rPr>
        <w:t xml:space="preserve"> issues of </w:t>
      </w:r>
      <w:r w:rsidR="00AF38C1">
        <w:rPr>
          <w:sz w:val="24"/>
          <w:szCs w:val="24"/>
        </w:rPr>
        <w:t>‘</w:t>
      </w:r>
      <w:r w:rsidRPr="005A590D">
        <w:rPr>
          <w:sz w:val="24"/>
          <w:szCs w:val="24"/>
        </w:rPr>
        <w:t>winners and losers</w:t>
      </w:r>
      <w:r w:rsidR="00AF38C1">
        <w:rPr>
          <w:sz w:val="24"/>
          <w:szCs w:val="24"/>
        </w:rPr>
        <w:t>’</w:t>
      </w:r>
      <w:r w:rsidRPr="005A590D">
        <w:rPr>
          <w:sz w:val="24"/>
          <w:szCs w:val="24"/>
        </w:rPr>
        <w:t xml:space="preserve"> of the EBac, children perceived to be </w:t>
      </w:r>
      <w:r w:rsidR="001A3BC6">
        <w:rPr>
          <w:sz w:val="24"/>
          <w:szCs w:val="24"/>
        </w:rPr>
        <w:t xml:space="preserve">the most </w:t>
      </w:r>
      <w:r>
        <w:rPr>
          <w:sz w:val="24"/>
          <w:szCs w:val="24"/>
        </w:rPr>
        <w:t xml:space="preserve">academic </w:t>
      </w:r>
      <w:r w:rsidR="001A3BC6">
        <w:rPr>
          <w:sz w:val="24"/>
          <w:szCs w:val="24"/>
        </w:rPr>
        <w:t xml:space="preserve">or ‘high ability’ </w:t>
      </w:r>
      <w:r>
        <w:rPr>
          <w:sz w:val="24"/>
          <w:szCs w:val="24"/>
        </w:rPr>
        <w:t>were perceived to be winners.</w:t>
      </w:r>
    </w:p>
    <w:p w14:paraId="2F7D5FF7" w14:textId="4AC48D1F" w:rsidR="00D5396E" w:rsidRDefault="00D5396E" w:rsidP="00D5396E">
      <w:pPr>
        <w:spacing w:line="240" w:lineRule="auto"/>
        <w:ind w:left="720"/>
        <w:rPr>
          <w:sz w:val="24"/>
          <w:szCs w:val="24"/>
        </w:rPr>
      </w:pPr>
      <w:r>
        <w:rPr>
          <w:sz w:val="24"/>
          <w:szCs w:val="24"/>
        </w:rPr>
        <w:lastRenderedPageBreak/>
        <w:t xml:space="preserve">If curricula nationally is lurching back….to a more traditional curriculum, students who have those more academic abilities are going to be more </w:t>
      </w:r>
      <w:r w:rsidR="003E0440">
        <w:rPr>
          <w:sz w:val="24"/>
          <w:szCs w:val="24"/>
        </w:rPr>
        <w:t>favoured</w:t>
      </w:r>
      <w:r>
        <w:rPr>
          <w:sz w:val="24"/>
          <w:szCs w:val="24"/>
        </w:rPr>
        <w:t xml:space="preserve"> by a curriculum like that, (Simon</w:t>
      </w:r>
      <w:r w:rsidR="00AF38C1">
        <w:rPr>
          <w:sz w:val="24"/>
          <w:szCs w:val="24"/>
        </w:rPr>
        <w:t>,</w:t>
      </w:r>
      <w:r w:rsidR="00AA27BE">
        <w:rPr>
          <w:sz w:val="24"/>
          <w:szCs w:val="24"/>
        </w:rPr>
        <w:t xml:space="preserve"> </w:t>
      </w:r>
      <w:r w:rsidR="006C11E8">
        <w:rPr>
          <w:sz w:val="24"/>
          <w:szCs w:val="24"/>
        </w:rPr>
        <w:t>Bluefield/DH</w:t>
      </w:r>
      <w:r>
        <w:rPr>
          <w:sz w:val="24"/>
          <w:szCs w:val="24"/>
        </w:rPr>
        <w:t>, p.18).</w:t>
      </w:r>
    </w:p>
    <w:p w14:paraId="363872F6" w14:textId="1E387E6B" w:rsidR="00D5396E" w:rsidRPr="00582F8F" w:rsidRDefault="00AA27BE" w:rsidP="00D5396E">
      <w:pPr>
        <w:spacing w:line="360" w:lineRule="auto"/>
        <w:rPr>
          <w:sz w:val="24"/>
          <w:szCs w:val="24"/>
        </w:rPr>
      </w:pPr>
      <w:r>
        <w:rPr>
          <w:sz w:val="24"/>
          <w:szCs w:val="24"/>
        </w:rPr>
        <w:t xml:space="preserve">Simon’s comment supports Bourdieu and Passeron’s (1977) thesis </w:t>
      </w:r>
      <w:r w:rsidR="00862592">
        <w:rPr>
          <w:sz w:val="24"/>
          <w:szCs w:val="24"/>
        </w:rPr>
        <w:t>t</w:t>
      </w:r>
      <w:r w:rsidR="00D5396E">
        <w:rPr>
          <w:sz w:val="24"/>
          <w:szCs w:val="24"/>
        </w:rPr>
        <w:t xml:space="preserve">hat middle class children who have </w:t>
      </w:r>
      <w:r w:rsidR="00862592">
        <w:rPr>
          <w:sz w:val="24"/>
          <w:szCs w:val="24"/>
        </w:rPr>
        <w:t>access to</w:t>
      </w:r>
      <w:r w:rsidR="00D5396E">
        <w:rPr>
          <w:sz w:val="24"/>
          <w:szCs w:val="24"/>
        </w:rPr>
        <w:t xml:space="preserve"> cultural capital</w:t>
      </w:r>
      <w:r w:rsidR="00573DD0">
        <w:rPr>
          <w:sz w:val="24"/>
          <w:szCs w:val="24"/>
        </w:rPr>
        <w:t xml:space="preserve"> </w:t>
      </w:r>
      <w:r w:rsidR="00B52427">
        <w:rPr>
          <w:sz w:val="24"/>
          <w:szCs w:val="24"/>
        </w:rPr>
        <w:t>are</w:t>
      </w:r>
      <w:r w:rsidR="00D5396E">
        <w:rPr>
          <w:sz w:val="24"/>
          <w:szCs w:val="24"/>
        </w:rPr>
        <w:t xml:space="preserve"> better able to </w:t>
      </w:r>
      <w:r w:rsidR="00B52427">
        <w:rPr>
          <w:sz w:val="24"/>
          <w:szCs w:val="24"/>
        </w:rPr>
        <w:t xml:space="preserve">learn </w:t>
      </w:r>
      <w:r w:rsidR="00D5396E">
        <w:rPr>
          <w:sz w:val="24"/>
          <w:szCs w:val="24"/>
        </w:rPr>
        <w:t xml:space="preserve">successfully with this style of </w:t>
      </w:r>
      <w:r w:rsidR="00862592">
        <w:rPr>
          <w:sz w:val="24"/>
          <w:szCs w:val="24"/>
        </w:rPr>
        <w:t xml:space="preserve">academic </w:t>
      </w:r>
      <w:r w:rsidR="00D5396E">
        <w:rPr>
          <w:sz w:val="24"/>
          <w:szCs w:val="24"/>
        </w:rPr>
        <w:t>curriculum.</w:t>
      </w:r>
      <w:r w:rsidR="003E0440">
        <w:rPr>
          <w:sz w:val="24"/>
          <w:szCs w:val="24"/>
        </w:rPr>
        <w:t xml:space="preserve"> </w:t>
      </w:r>
      <w:r w:rsidR="00862592">
        <w:rPr>
          <w:sz w:val="24"/>
          <w:szCs w:val="24"/>
        </w:rPr>
        <w:t>In contrast</w:t>
      </w:r>
      <w:r w:rsidR="00AF38C1">
        <w:rPr>
          <w:sz w:val="24"/>
          <w:szCs w:val="24"/>
        </w:rPr>
        <w:t>,</w:t>
      </w:r>
      <w:r w:rsidR="00862592">
        <w:rPr>
          <w:sz w:val="24"/>
          <w:szCs w:val="24"/>
        </w:rPr>
        <w:t xml:space="preserve"> c</w:t>
      </w:r>
      <w:r w:rsidR="00D5396E">
        <w:rPr>
          <w:sz w:val="24"/>
          <w:szCs w:val="24"/>
        </w:rPr>
        <w:t xml:space="preserve">hildren perceived to be </w:t>
      </w:r>
      <w:r w:rsidR="00D5396E" w:rsidRPr="005A590D">
        <w:rPr>
          <w:sz w:val="24"/>
          <w:szCs w:val="24"/>
        </w:rPr>
        <w:t xml:space="preserve">non-academic were </w:t>
      </w:r>
      <w:r w:rsidR="00862592">
        <w:rPr>
          <w:sz w:val="24"/>
          <w:szCs w:val="24"/>
        </w:rPr>
        <w:t xml:space="preserve">potential </w:t>
      </w:r>
      <w:r w:rsidR="00D5396E" w:rsidRPr="005A590D">
        <w:rPr>
          <w:sz w:val="24"/>
          <w:szCs w:val="24"/>
        </w:rPr>
        <w:t>losers. The</w:t>
      </w:r>
      <w:r w:rsidR="00EA5132">
        <w:rPr>
          <w:sz w:val="24"/>
          <w:szCs w:val="24"/>
        </w:rPr>
        <w:t xml:space="preserve"> </w:t>
      </w:r>
      <w:r w:rsidR="00D5396E" w:rsidRPr="005A590D">
        <w:rPr>
          <w:sz w:val="24"/>
          <w:szCs w:val="24"/>
        </w:rPr>
        <w:t xml:space="preserve">view was expressed that forcing students to </w:t>
      </w:r>
      <w:r w:rsidR="001D565B">
        <w:rPr>
          <w:sz w:val="24"/>
          <w:szCs w:val="24"/>
        </w:rPr>
        <w:t>study</w:t>
      </w:r>
      <w:r w:rsidR="00D5396E" w:rsidRPr="005A590D">
        <w:rPr>
          <w:sz w:val="24"/>
          <w:szCs w:val="24"/>
        </w:rPr>
        <w:t xml:space="preserve"> EBac </w:t>
      </w:r>
      <w:r w:rsidR="00B52427">
        <w:rPr>
          <w:sz w:val="24"/>
          <w:szCs w:val="24"/>
        </w:rPr>
        <w:t xml:space="preserve">subjects </w:t>
      </w:r>
      <w:r w:rsidR="00C85945">
        <w:rPr>
          <w:sz w:val="24"/>
          <w:szCs w:val="24"/>
        </w:rPr>
        <w:t>could be damaging</w:t>
      </w:r>
      <w:r w:rsidR="00D5396E" w:rsidRPr="005A590D">
        <w:rPr>
          <w:sz w:val="24"/>
          <w:szCs w:val="24"/>
        </w:rPr>
        <w:t xml:space="preserve">. Pam </w:t>
      </w:r>
      <w:r w:rsidR="00862592">
        <w:rPr>
          <w:sz w:val="24"/>
          <w:szCs w:val="24"/>
        </w:rPr>
        <w:t>(</w:t>
      </w:r>
      <w:r w:rsidR="00C85945">
        <w:rPr>
          <w:sz w:val="24"/>
          <w:szCs w:val="24"/>
        </w:rPr>
        <w:t>B</w:t>
      </w:r>
      <w:r w:rsidR="006364D3">
        <w:rPr>
          <w:sz w:val="24"/>
          <w:szCs w:val="24"/>
        </w:rPr>
        <w:t>luefield/HoD/EBac</w:t>
      </w:r>
      <w:r w:rsidR="00C85945">
        <w:rPr>
          <w:sz w:val="24"/>
          <w:szCs w:val="24"/>
        </w:rPr>
        <w:t xml:space="preserve">) </w:t>
      </w:r>
      <w:r w:rsidR="00D5396E" w:rsidRPr="005A590D">
        <w:rPr>
          <w:sz w:val="24"/>
          <w:szCs w:val="24"/>
        </w:rPr>
        <w:t xml:space="preserve">commented that: </w:t>
      </w:r>
    </w:p>
    <w:p w14:paraId="2E9F2421" w14:textId="22401726" w:rsidR="00D5396E" w:rsidRPr="00582F8F" w:rsidRDefault="00D5396E" w:rsidP="00C85945">
      <w:pPr>
        <w:tabs>
          <w:tab w:val="left" w:pos="8789"/>
        </w:tabs>
        <w:spacing w:line="240" w:lineRule="auto"/>
        <w:ind w:left="720"/>
        <w:rPr>
          <w:sz w:val="24"/>
          <w:szCs w:val="24"/>
        </w:rPr>
      </w:pPr>
      <w:r w:rsidRPr="005A590D">
        <w:rPr>
          <w:sz w:val="24"/>
          <w:szCs w:val="24"/>
        </w:rPr>
        <w:t>I think it is literally criminal because I can’t believe that the welfare of a child is at the heart of these changes. Why would you narrow the curriculum knowing that huge numbers of students are either going to be alienated because they just don’t want to do it, or disadvantage</w:t>
      </w:r>
      <w:r w:rsidR="00B52427">
        <w:rPr>
          <w:sz w:val="24"/>
          <w:szCs w:val="24"/>
        </w:rPr>
        <w:t>d</w:t>
      </w:r>
      <w:r w:rsidRPr="005A590D">
        <w:rPr>
          <w:sz w:val="24"/>
          <w:szCs w:val="24"/>
        </w:rPr>
        <w:t xml:space="preserve"> because they can’t do it? (p.18).</w:t>
      </w:r>
    </w:p>
    <w:p w14:paraId="6674B497" w14:textId="2C7403BE" w:rsidR="00C62BF6" w:rsidRDefault="00C85945" w:rsidP="00C85945">
      <w:pPr>
        <w:tabs>
          <w:tab w:val="left" w:pos="8789"/>
        </w:tabs>
        <w:spacing w:line="360" w:lineRule="auto"/>
        <w:rPr>
          <w:sz w:val="24"/>
          <w:szCs w:val="24"/>
        </w:rPr>
      </w:pPr>
      <w:r>
        <w:rPr>
          <w:sz w:val="24"/>
          <w:szCs w:val="24"/>
        </w:rPr>
        <w:t>Teachers were concerned that vocational qualifications appeared to be declining and that some students would find an academic curriculum both difficult to access and inappropriate for the career</w:t>
      </w:r>
      <w:r w:rsidR="00370676">
        <w:rPr>
          <w:sz w:val="24"/>
          <w:szCs w:val="24"/>
        </w:rPr>
        <w:t>s</w:t>
      </w:r>
      <w:r>
        <w:rPr>
          <w:sz w:val="24"/>
          <w:szCs w:val="24"/>
        </w:rPr>
        <w:t xml:space="preserve"> that they wished to pursue. </w:t>
      </w:r>
      <w:r w:rsidR="00D5396E" w:rsidRPr="005A590D">
        <w:rPr>
          <w:sz w:val="24"/>
          <w:szCs w:val="24"/>
        </w:rPr>
        <w:t>SEN</w:t>
      </w:r>
      <w:r w:rsidR="003E0440">
        <w:rPr>
          <w:sz w:val="24"/>
          <w:szCs w:val="24"/>
        </w:rPr>
        <w:t>D</w:t>
      </w:r>
      <w:r w:rsidR="00D5396E" w:rsidRPr="005A590D">
        <w:rPr>
          <w:sz w:val="24"/>
          <w:szCs w:val="24"/>
        </w:rPr>
        <w:t xml:space="preserve"> students and those </w:t>
      </w:r>
      <w:r w:rsidR="00B52427">
        <w:rPr>
          <w:sz w:val="24"/>
          <w:szCs w:val="24"/>
        </w:rPr>
        <w:t xml:space="preserve">considered to be </w:t>
      </w:r>
      <w:r w:rsidR="00D5396E" w:rsidRPr="005A590D">
        <w:rPr>
          <w:sz w:val="24"/>
          <w:szCs w:val="24"/>
        </w:rPr>
        <w:t>of low ability were felt to be disadvantaged both by the move away from vocational courses and the move towards examination</w:t>
      </w:r>
      <w:r w:rsidR="00AF38C1">
        <w:rPr>
          <w:sz w:val="24"/>
          <w:szCs w:val="24"/>
        </w:rPr>
        <w:t>-</w:t>
      </w:r>
      <w:r w:rsidR="00D5396E" w:rsidRPr="005A590D">
        <w:rPr>
          <w:sz w:val="24"/>
          <w:szCs w:val="24"/>
        </w:rPr>
        <w:t>based linear courses.</w:t>
      </w:r>
      <w:r w:rsidR="00D5396E" w:rsidRPr="005A590D">
        <w:rPr>
          <w:rFonts w:eastAsia="Times New Roman"/>
          <w:sz w:val="24"/>
          <w:szCs w:val="24"/>
          <w:vertAlign w:val="superscript"/>
        </w:rPr>
        <w:footnoteReference w:id="44"/>
      </w:r>
      <w:r w:rsidR="003E0440">
        <w:rPr>
          <w:sz w:val="24"/>
          <w:szCs w:val="24"/>
        </w:rPr>
        <w:t xml:space="preserve"> </w:t>
      </w:r>
    </w:p>
    <w:p w14:paraId="22641C10" w14:textId="64CF9EC9" w:rsidR="00C62BF6" w:rsidRDefault="00C62BF6" w:rsidP="00C62BF6">
      <w:pPr>
        <w:spacing w:line="240" w:lineRule="auto"/>
        <w:ind w:left="720"/>
        <w:rPr>
          <w:sz w:val="24"/>
          <w:szCs w:val="24"/>
        </w:rPr>
      </w:pPr>
      <w:r>
        <w:rPr>
          <w:sz w:val="24"/>
          <w:szCs w:val="24"/>
        </w:rPr>
        <w:t>Some students perhaps should be doing cooking and resistant materials and PE because that’s what they are really good at and that’s what they enjoy and that’s what they will do better if they do, (Richard, P</w:t>
      </w:r>
      <w:r w:rsidR="006364D3">
        <w:rPr>
          <w:sz w:val="24"/>
          <w:szCs w:val="24"/>
        </w:rPr>
        <w:t>urplefield</w:t>
      </w:r>
      <w:r>
        <w:rPr>
          <w:sz w:val="24"/>
          <w:szCs w:val="24"/>
        </w:rPr>
        <w:t>/EBac</w:t>
      </w:r>
      <w:r w:rsidR="00AF38C1">
        <w:rPr>
          <w:sz w:val="24"/>
          <w:szCs w:val="24"/>
        </w:rPr>
        <w:t>/</w:t>
      </w:r>
      <w:r>
        <w:rPr>
          <w:sz w:val="24"/>
          <w:szCs w:val="24"/>
        </w:rPr>
        <w:t xml:space="preserve">HoD p.13). </w:t>
      </w:r>
    </w:p>
    <w:p w14:paraId="2A39DAE2" w14:textId="048A91D5" w:rsidR="00D5396E" w:rsidRDefault="00C85945" w:rsidP="00C85945">
      <w:pPr>
        <w:tabs>
          <w:tab w:val="left" w:pos="8789"/>
        </w:tabs>
        <w:spacing w:line="360" w:lineRule="auto"/>
        <w:rPr>
          <w:sz w:val="24"/>
          <w:szCs w:val="24"/>
        </w:rPr>
      </w:pPr>
      <w:r w:rsidRPr="005A590D">
        <w:rPr>
          <w:sz w:val="24"/>
          <w:szCs w:val="24"/>
        </w:rPr>
        <w:t xml:space="preserve">Simon </w:t>
      </w:r>
      <w:r w:rsidR="00C62BF6">
        <w:rPr>
          <w:sz w:val="24"/>
          <w:szCs w:val="24"/>
        </w:rPr>
        <w:t>(B</w:t>
      </w:r>
      <w:r w:rsidR="006364D3">
        <w:rPr>
          <w:sz w:val="24"/>
          <w:szCs w:val="24"/>
        </w:rPr>
        <w:t>luefield</w:t>
      </w:r>
      <w:r w:rsidR="00C62BF6">
        <w:rPr>
          <w:sz w:val="24"/>
          <w:szCs w:val="24"/>
        </w:rPr>
        <w:t xml:space="preserve">/DH) </w:t>
      </w:r>
      <w:r>
        <w:rPr>
          <w:sz w:val="24"/>
          <w:szCs w:val="24"/>
        </w:rPr>
        <w:t xml:space="preserve">also </w:t>
      </w:r>
      <w:r w:rsidRPr="005A590D">
        <w:rPr>
          <w:sz w:val="24"/>
          <w:szCs w:val="24"/>
        </w:rPr>
        <w:t xml:space="preserve">made the point that </w:t>
      </w:r>
      <w:r>
        <w:rPr>
          <w:sz w:val="24"/>
          <w:szCs w:val="24"/>
        </w:rPr>
        <w:t>it is not just low</w:t>
      </w:r>
      <w:r w:rsidR="00AF38C1">
        <w:rPr>
          <w:sz w:val="24"/>
          <w:szCs w:val="24"/>
        </w:rPr>
        <w:t>er</w:t>
      </w:r>
      <w:r>
        <w:rPr>
          <w:sz w:val="24"/>
          <w:szCs w:val="24"/>
        </w:rPr>
        <w:t xml:space="preserve"> ability students who might lose under the EBac, </w:t>
      </w:r>
      <w:r w:rsidR="00AF38C1">
        <w:rPr>
          <w:sz w:val="24"/>
          <w:szCs w:val="24"/>
        </w:rPr>
        <w:t xml:space="preserve">but </w:t>
      </w:r>
      <w:r w:rsidRPr="005A590D">
        <w:rPr>
          <w:sz w:val="24"/>
          <w:szCs w:val="24"/>
        </w:rPr>
        <w:t>the midd</w:t>
      </w:r>
      <w:r w:rsidR="00534866">
        <w:rPr>
          <w:sz w:val="24"/>
          <w:szCs w:val="24"/>
        </w:rPr>
        <w:t xml:space="preserve">le ability students may </w:t>
      </w:r>
      <w:r w:rsidR="00AF38C1">
        <w:rPr>
          <w:sz w:val="24"/>
          <w:szCs w:val="24"/>
        </w:rPr>
        <w:t xml:space="preserve">also be </w:t>
      </w:r>
      <w:r w:rsidRPr="005A590D">
        <w:rPr>
          <w:sz w:val="24"/>
          <w:szCs w:val="24"/>
        </w:rPr>
        <w:t xml:space="preserve">disadvantaged because they may feel compelled to </w:t>
      </w:r>
      <w:r w:rsidR="001D565B">
        <w:rPr>
          <w:sz w:val="24"/>
          <w:szCs w:val="24"/>
        </w:rPr>
        <w:t>study</w:t>
      </w:r>
      <w:r w:rsidRPr="005A590D">
        <w:rPr>
          <w:sz w:val="24"/>
          <w:szCs w:val="24"/>
        </w:rPr>
        <w:t xml:space="preserve"> the EBac when they would really prefer to </w:t>
      </w:r>
      <w:r w:rsidR="001D565B">
        <w:rPr>
          <w:sz w:val="24"/>
          <w:szCs w:val="24"/>
        </w:rPr>
        <w:t>study</w:t>
      </w:r>
      <w:r w:rsidRPr="005A590D">
        <w:rPr>
          <w:sz w:val="24"/>
          <w:szCs w:val="24"/>
        </w:rPr>
        <w:t xml:space="preserve"> different </w:t>
      </w:r>
      <w:r w:rsidR="00534866">
        <w:rPr>
          <w:sz w:val="24"/>
          <w:szCs w:val="24"/>
        </w:rPr>
        <w:t xml:space="preserve">subject </w:t>
      </w:r>
      <w:r w:rsidRPr="005A590D">
        <w:rPr>
          <w:sz w:val="24"/>
          <w:szCs w:val="24"/>
        </w:rPr>
        <w:t>combination</w:t>
      </w:r>
      <w:r w:rsidR="001D565B">
        <w:rPr>
          <w:sz w:val="24"/>
          <w:szCs w:val="24"/>
        </w:rPr>
        <w:t>s</w:t>
      </w:r>
      <w:r w:rsidRPr="005A590D">
        <w:rPr>
          <w:sz w:val="24"/>
          <w:szCs w:val="24"/>
        </w:rPr>
        <w:t xml:space="preserve">. </w:t>
      </w:r>
      <w:r w:rsidR="00CD368B">
        <w:rPr>
          <w:sz w:val="24"/>
          <w:szCs w:val="24"/>
        </w:rPr>
        <w:t>Arts students were also viewed as lo</w:t>
      </w:r>
      <w:r w:rsidR="00534866">
        <w:rPr>
          <w:sz w:val="24"/>
          <w:szCs w:val="24"/>
        </w:rPr>
        <w:t>sers</w:t>
      </w:r>
      <w:r w:rsidR="00AF38C1">
        <w:rPr>
          <w:sz w:val="24"/>
          <w:szCs w:val="24"/>
        </w:rPr>
        <w:t>,</w:t>
      </w:r>
      <w:r w:rsidR="00534866">
        <w:rPr>
          <w:sz w:val="24"/>
          <w:szCs w:val="24"/>
        </w:rPr>
        <w:t xml:space="preserve"> as curriculum opportunities in th</w:t>
      </w:r>
      <w:r w:rsidR="00A93BD0">
        <w:rPr>
          <w:sz w:val="24"/>
          <w:szCs w:val="24"/>
        </w:rPr>
        <w:t>is</w:t>
      </w:r>
      <w:r w:rsidR="00534866">
        <w:rPr>
          <w:sz w:val="24"/>
          <w:szCs w:val="24"/>
        </w:rPr>
        <w:t xml:space="preserve"> area diminished. </w:t>
      </w:r>
      <w:r w:rsidR="00D143B0">
        <w:rPr>
          <w:sz w:val="24"/>
          <w:szCs w:val="24"/>
        </w:rPr>
        <w:t>Clarke’s (1988</w:t>
      </w:r>
      <w:r w:rsidR="003E0440">
        <w:rPr>
          <w:sz w:val="24"/>
          <w:szCs w:val="24"/>
        </w:rPr>
        <w:t>) label of “dataveillance</w:t>
      </w:r>
      <w:r w:rsidR="000F62C1">
        <w:rPr>
          <w:sz w:val="24"/>
          <w:szCs w:val="24"/>
        </w:rPr>
        <w:t>”</w:t>
      </w:r>
      <w:r w:rsidR="003E0440">
        <w:rPr>
          <w:sz w:val="24"/>
          <w:szCs w:val="24"/>
        </w:rPr>
        <w:t xml:space="preserve"> appears to play a part in this classification of students as </w:t>
      </w:r>
      <w:r>
        <w:rPr>
          <w:sz w:val="24"/>
          <w:szCs w:val="24"/>
        </w:rPr>
        <w:t>‘</w:t>
      </w:r>
      <w:r w:rsidR="003E0440">
        <w:rPr>
          <w:sz w:val="24"/>
          <w:szCs w:val="24"/>
        </w:rPr>
        <w:t>capable</w:t>
      </w:r>
      <w:r>
        <w:rPr>
          <w:sz w:val="24"/>
          <w:szCs w:val="24"/>
        </w:rPr>
        <w:t>’</w:t>
      </w:r>
      <w:r w:rsidR="003E0440">
        <w:rPr>
          <w:sz w:val="24"/>
          <w:szCs w:val="24"/>
        </w:rPr>
        <w:t xml:space="preserve"> or </w:t>
      </w:r>
      <w:r>
        <w:rPr>
          <w:sz w:val="24"/>
          <w:szCs w:val="24"/>
        </w:rPr>
        <w:t>‘</w:t>
      </w:r>
      <w:r w:rsidR="003E0440">
        <w:rPr>
          <w:sz w:val="24"/>
          <w:szCs w:val="24"/>
        </w:rPr>
        <w:t>not capable</w:t>
      </w:r>
      <w:r>
        <w:rPr>
          <w:sz w:val="24"/>
          <w:szCs w:val="24"/>
        </w:rPr>
        <w:t>’</w:t>
      </w:r>
      <w:r w:rsidR="003E0440">
        <w:rPr>
          <w:sz w:val="24"/>
          <w:szCs w:val="24"/>
        </w:rPr>
        <w:t xml:space="preserve">. </w:t>
      </w:r>
      <w:r w:rsidR="00A93BD0">
        <w:rPr>
          <w:sz w:val="24"/>
          <w:szCs w:val="24"/>
        </w:rPr>
        <w:t>A</w:t>
      </w:r>
      <w:r w:rsidR="003E0440">
        <w:rPr>
          <w:sz w:val="24"/>
          <w:szCs w:val="24"/>
        </w:rPr>
        <w:t>ll schools had predictive data on their students</w:t>
      </w:r>
      <w:r w:rsidR="00A93BD0">
        <w:rPr>
          <w:sz w:val="24"/>
          <w:szCs w:val="24"/>
        </w:rPr>
        <w:t>.</w:t>
      </w:r>
      <w:r w:rsidR="003E0440">
        <w:rPr>
          <w:sz w:val="24"/>
          <w:szCs w:val="24"/>
        </w:rPr>
        <w:t xml:space="preserve"> </w:t>
      </w:r>
      <w:r w:rsidR="00EA5132">
        <w:rPr>
          <w:sz w:val="24"/>
          <w:szCs w:val="24"/>
        </w:rPr>
        <w:t>T</w:t>
      </w:r>
      <w:r w:rsidR="003E0440">
        <w:rPr>
          <w:sz w:val="24"/>
          <w:szCs w:val="24"/>
        </w:rPr>
        <w:t xml:space="preserve">his data </w:t>
      </w:r>
      <w:r w:rsidR="00534866">
        <w:rPr>
          <w:sz w:val="24"/>
          <w:szCs w:val="24"/>
        </w:rPr>
        <w:t xml:space="preserve">appeared to </w:t>
      </w:r>
      <w:r w:rsidR="00EA5132">
        <w:rPr>
          <w:sz w:val="24"/>
          <w:szCs w:val="24"/>
        </w:rPr>
        <w:t xml:space="preserve">determine </w:t>
      </w:r>
      <w:r w:rsidR="00CD368B">
        <w:rPr>
          <w:sz w:val="24"/>
          <w:szCs w:val="24"/>
        </w:rPr>
        <w:t xml:space="preserve">which </w:t>
      </w:r>
      <w:r w:rsidR="00EA5132">
        <w:rPr>
          <w:sz w:val="24"/>
          <w:szCs w:val="24"/>
        </w:rPr>
        <w:t xml:space="preserve">students </w:t>
      </w:r>
      <w:r w:rsidR="00CD368B">
        <w:rPr>
          <w:sz w:val="24"/>
          <w:szCs w:val="24"/>
        </w:rPr>
        <w:t xml:space="preserve">were </w:t>
      </w:r>
      <w:r w:rsidR="00EA5132">
        <w:rPr>
          <w:sz w:val="24"/>
          <w:szCs w:val="24"/>
        </w:rPr>
        <w:t xml:space="preserve">considered capable of </w:t>
      </w:r>
      <w:r w:rsidR="00CD368B">
        <w:rPr>
          <w:sz w:val="24"/>
          <w:szCs w:val="24"/>
        </w:rPr>
        <w:t xml:space="preserve">achieving </w:t>
      </w:r>
      <w:r w:rsidR="00EA5132">
        <w:rPr>
          <w:sz w:val="24"/>
          <w:szCs w:val="24"/>
        </w:rPr>
        <w:t>the EBac</w:t>
      </w:r>
      <w:r w:rsidR="00B52427">
        <w:rPr>
          <w:sz w:val="24"/>
          <w:szCs w:val="24"/>
        </w:rPr>
        <w:t xml:space="preserve">, </w:t>
      </w:r>
      <w:r w:rsidR="00EA5132">
        <w:rPr>
          <w:sz w:val="24"/>
          <w:szCs w:val="24"/>
        </w:rPr>
        <w:t xml:space="preserve">in opposition </w:t>
      </w:r>
      <w:r w:rsidR="003E0440">
        <w:rPr>
          <w:sz w:val="24"/>
          <w:szCs w:val="24"/>
        </w:rPr>
        <w:t xml:space="preserve">to the </w:t>
      </w:r>
      <w:r w:rsidR="00AF38C1">
        <w:rPr>
          <w:sz w:val="24"/>
          <w:szCs w:val="24"/>
        </w:rPr>
        <w:t>g</w:t>
      </w:r>
      <w:r w:rsidR="00B52427">
        <w:rPr>
          <w:sz w:val="24"/>
          <w:szCs w:val="24"/>
        </w:rPr>
        <w:t>overnment</w:t>
      </w:r>
      <w:r w:rsidR="00AF38C1">
        <w:rPr>
          <w:sz w:val="24"/>
          <w:szCs w:val="24"/>
        </w:rPr>
        <w:t>-</w:t>
      </w:r>
      <w:r w:rsidR="003E0440">
        <w:rPr>
          <w:sz w:val="24"/>
          <w:szCs w:val="24"/>
        </w:rPr>
        <w:t>stated intentions</w:t>
      </w:r>
      <w:r w:rsidR="00EA5132">
        <w:rPr>
          <w:sz w:val="24"/>
          <w:szCs w:val="24"/>
        </w:rPr>
        <w:t xml:space="preserve"> </w:t>
      </w:r>
      <w:r w:rsidR="003E0440">
        <w:rPr>
          <w:sz w:val="24"/>
          <w:szCs w:val="24"/>
        </w:rPr>
        <w:t xml:space="preserve">that all students </w:t>
      </w:r>
      <w:r w:rsidR="00A93BD0">
        <w:rPr>
          <w:sz w:val="24"/>
          <w:szCs w:val="24"/>
        </w:rPr>
        <w:t>be</w:t>
      </w:r>
      <w:r w:rsidR="003E0440">
        <w:rPr>
          <w:sz w:val="24"/>
          <w:szCs w:val="24"/>
        </w:rPr>
        <w:t xml:space="preserve"> given the opportunity to </w:t>
      </w:r>
      <w:r w:rsidR="001D565B">
        <w:rPr>
          <w:sz w:val="24"/>
          <w:szCs w:val="24"/>
        </w:rPr>
        <w:t>study</w:t>
      </w:r>
      <w:r w:rsidR="003E0440">
        <w:rPr>
          <w:sz w:val="24"/>
          <w:szCs w:val="24"/>
        </w:rPr>
        <w:t xml:space="preserve"> EBac subjects.</w:t>
      </w:r>
      <w:r w:rsidR="00534866">
        <w:rPr>
          <w:sz w:val="24"/>
          <w:szCs w:val="24"/>
        </w:rPr>
        <w:t xml:space="preserve"> </w:t>
      </w:r>
    </w:p>
    <w:p w14:paraId="41105C43" w14:textId="4E89353C" w:rsidR="00D5396E" w:rsidRPr="00582F8F" w:rsidRDefault="00D5396E" w:rsidP="00B51EBE">
      <w:pPr>
        <w:tabs>
          <w:tab w:val="left" w:pos="8789"/>
        </w:tabs>
        <w:spacing w:line="360" w:lineRule="auto"/>
        <w:rPr>
          <w:sz w:val="24"/>
          <w:szCs w:val="24"/>
        </w:rPr>
      </w:pPr>
      <w:r w:rsidRPr="00496468">
        <w:rPr>
          <w:sz w:val="24"/>
          <w:szCs w:val="24"/>
        </w:rPr>
        <w:lastRenderedPageBreak/>
        <w:t xml:space="preserve">I was unable to discover </w:t>
      </w:r>
      <w:r w:rsidR="00B52427" w:rsidRPr="00496468">
        <w:rPr>
          <w:sz w:val="24"/>
          <w:szCs w:val="24"/>
        </w:rPr>
        <w:t xml:space="preserve">if </w:t>
      </w:r>
      <w:r w:rsidRPr="00496468">
        <w:rPr>
          <w:sz w:val="24"/>
          <w:szCs w:val="24"/>
        </w:rPr>
        <w:t>any groups of students</w:t>
      </w:r>
      <w:r w:rsidR="00AF38C1" w:rsidRPr="00AF38C1">
        <w:rPr>
          <w:sz w:val="24"/>
          <w:szCs w:val="24"/>
        </w:rPr>
        <w:t xml:space="preserve"> </w:t>
      </w:r>
      <w:r w:rsidR="00AF38C1" w:rsidRPr="00496468">
        <w:rPr>
          <w:sz w:val="24"/>
          <w:szCs w:val="24"/>
        </w:rPr>
        <w:t>had been impacted negatively or positively by the introduction of the EBac</w:t>
      </w:r>
      <w:r w:rsidRPr="00496468">
        <w:rPr>
          <w:sz w:val="24"/>
          <w:szCs w:val="24"/>
        </w:rPr>
        <w:t xml:space="preserve"> </w:t>
      </w:r>
      <w:r w:rsidR="00B52427" w:rsidRPr="00496468">
        <w:rPr>
          <w:sz w:val="24"/>
          <w:szCs w:val="24"/>
        </w:rPr>
        <w:t xml:space="preserve">on the basis of </w:t>
      </w:r>
      <w:r w:rsidRPr="00496468">
        <w:rPr>
          <w:sz w:val="24"/>
          <w:szCs w:val="24"/>
        </w:rPr>
        <w:t>social cl</w:t>
      </w:r>
      <w:r w:rsidR="00FF2C3B">
        <w:rPr>
          <w:sz w:val="24"/>
          <w:szCs w:val="24"/>
        </w:rPr>
        <w:t>ass, ethnicity, gender or SEND</w:t>
      </w:r>
      <w:r w:rsidRPr="00496468">
        <w:rPr>
          <w:sz w:val="24"/>
          <w:szCs w:val="24"/>
        </w:rPr>
        <w:t>. Instead</w:t>
      </w:r>
      <w:r w:rsidR="00B52427" w:rsidRPr="00496468">
        <w:rPr>
          <w:sz w:val="24"/>
          <w:szCs w:val="24"/>
        </w:rPr>
        <w:t>,</w:t>
      </w:r>
      <w:r w:rsidRPr="00496468">
        <w:rPr>
          <w:sz w:val="24"/>
          <w:szCs w:val="24"/>
        </w:rPr>
        <w:t xml:space="preserve"> all</w:t>
      </w:r>
      <w:r w:rsidR="00B52427" w:rsidRPr="00496468">
        <w:rPr>
          <w:sz w:val="24"/>
          <w:szCs w:val="24"/>
        </w:rPr>
        <w:t xml:space="preserve"> </w:t>
      </w:r>
      <w:r w:rsidRPr="00496468">
        <w:rPr>
          <w:sz w:val="24"/>
          <w:szCs w:val="24"/>
        </w:rPr>
        <w:t xml:space="preserve">interviewees </w:t>
      </w:r>
      <w:r w:rsidR="00FF2C3B">
        <w:rPr>
          <w:sz w:val="24"/>
          <w:szCs w:val="24"/>
        </w:rPr>
        <w:t xml:space="preserve">amended </w:t>
      </w:r>
      <w:r w:rsidR="00B52427" w:rsidRPr="00496468">
        <w:rPr>
          <w:sz w:val="24"/>
          <w:szCs w:val="24"/>
        </w:rPr>
        <w:t xml:space="preserve">my question and responded by </w:t>
      </w:r>
      <w:r w:rsidRPr="00496468">
        <w:rPr>
          <w:sz w:val="24"/>
          <w:szCs w:val="24"/>
        </w:rPr>
        <w:t>talk</w:t>
      </w:r>
      <w:r w:rsidR="00B52427" w:rsidRPr="00496468">
        <w:rPr>
          <w:sz w:val="24"/>
          <w:szCs w:val="24"/>
        </w:rPr>
        <w:t>ing</w:t>
      </w:r>
      <w:r w:rsidRPr="00496468">
        <w:rPr>
          <w:sz w:val="24"/>
          <w:szCs w:val="24"/>
        </w:rPr>
        <w:t xml:space="preserve"> about students of different </w:t>
      </w:r>
      <w:r w:rsidR="00D33CCC" w:rsidRPr="00496468">
        <w:rPr>
          <w:sz w:val="24"/>
          <w:szCs w:val="24"/>
        </w:rPr>
        <w:t>‘</w:t>
      </w:r>
      <w:r w:rsidRPr="00496468">
        <w:rPr>
          <w:sz w:val="24"/>
          <w:szCs w:val="24"/>
        </w:rPr>
        <w:t>abilities</w:t>
      </w:r>
      <w:r w:rsidR="00D33CCC" w:rsidRPr="00496468">
        <w:rPr>
          <w:sz w:val="24"/>
          <w:szCs w:val="24"/>
        </w:rPr>
        <w:t>’</w:t>
      </w:r>
      <w:r w:rsidRPr="00496468">
        <w:rPr>
          <w:sz w:val="24"/>
          <w:szCs w:val="24"/>
        </w:rPr>
        <w:t xml:space="preserve">. </w:t>
      </w:r>
      <w:r w:rsidR="00534866" w:rsidRPr="00496468">
        <w:rPr>
          <w:sz w:val="24"/>
          <w:szCs w:val="24"/>
        </w:rPr>
        <w:t xml:space="preserve">I argue that such a stance has been created by the </w:t>
      </w:r>
      <w:r w:rsidR="001D19CB">
        <w:rPr>
          <w:sz w:val="24"/>
          <w:szCs w:val="24"/>
        </w:rPr>
        <w:t>“datafication” (Clarke</w:t>
      </w:r>
      <w:r w:rsidR="00AF38C1">
        <w:rPr>
          <w:sz w:val="24"/>
          <w:szCs w:val="24"/>
        </w:rPr>
        <w:t>,</w:t>
      </w:r>
      <w:r w:rsidR="001D19CB">
        <w:rPr>
          <w:sz w:val="24"/>
          <w:szCs w:val="24"/>
        </w:rPr>
        <w:t xml:space="preserve"> 1988</w:t>
      </w:r>
      <w:r w:rsidR="00534866" w:rsidRPr="00496468">
        <w:rPr>
          <w:sz w:val="24"/>
          <w:szCs w:val="24"/>
        </w:rPr>
        <w:t>) of education, whereby academic ability as measured and predicted by tests has become the main way o</w:t>
      </w:r>
      <w:r w:rsidR="00C62BF6" w:rsidRPr="00496468">
        <w:rPr>
          <w:sz w:val="24"/>
          <w:szCs w:val="24"/>
        </w:rPr>
        <w:t xml:space="preserve">f </w:t>
      </w:r>
      <w:r w:rsidR="00CD368B" w:rsidRPr="00496468">
        <w:rPr>
          <w:sz w:val="24"/>
          <w:szCs w:val="24"/>
        </w:rPr>
        <w:t xml:space="preserve">identifying, </w:t>
      </w:r>
      <w:r w:rsidR="00C62BF6" w:rsidRPr="00496468">
        <w:rPr>
          <w:sz w:val="24"/>
          <w:szCs w:val="24"/>
        </w:rPr>
        <w:t>classifying</w:t>
      </w:r>
      <w:r w:rsidR="00CD368B" w:rsidRPr="00496468">
        <w:rPr>
          <w:sz w:val="24"/>
          <w:szCs w:val="24"/>
        </w:rPr>
        <w:t>, labelling</w:t>
      </w:r>
      <w:r w:rsidR="00AF38C1">
        <w:rPr>
          <w:sz w:val="24"/>
          <w:szCs w:val="24"/>
        </w:rPr>
        <w:t>,</w:t>
      </w:r>
      <w:r w:rsidR="00C62BF6" w:rsidRPr="00496468">
        <w:rPr>
          <w:sz w:val="24"/>
          <w:szCs w:val="24"/>
        </w:rPr>
        <w:t xml:space="preserve"> and discussing students</w:t>
      </w:r>
      <w:r w:rsidR="00534866" w:rsidRPr="00496468">
        <w:rPr>
          <w:sz w:val="24"/>
          <w:szCs w:val="24"/>
        </w:rPr>
        <w:t>.</w:t>
      </w:r>
      <w:r w:rsidR="00C62BF6" w:rsidRPr="00496468">
        <w:rPr>
          <w:sz w:val="24"/>
          <w:szCs w:val="24"/>
        </w:rPr>
        <w:t xml:space="preserve"> Such </w:t>
      </w:r>
      <w:r w:rsidR="00CD368B" w:rsidRPr="00496468">
        <w:rPr>
          <w:sz w:val="24"/>
          <w:szCs w:val="24"/>
        </w:rPr>
        <w:t xml:space="preserve">so-called </w:t>
      </w:r>
      <w:r w:rsidR="00B51EBE" w:rsidRPr="00496468">
        <w:rPr>
          <w:sz w:val="24"/>
          <w:szCs w:val="24"/>
        </w:rPr>
        <w:t>‘</w:t>
      </w:r>
      <w:r w:rsidR="00C62BF6" w:rsidRPr="00496468">
        <w:rPr>
          <w:sz w:val="24"/>
          <w:szCs w:val="24"/>
        </w:rPr>
        <w:t>objective</w:t>
      </w:r>
      <w:r w:rsidR="00B51EBE" w:rsidRPr="00496468">
        <w:rPr>
          <w:sz w:val="24"/>
          <w:szCs w:val="24"/>
        </w:rPr>
        <w:t>’</w:t>
      </w:r>
      <w:r w:rsidR="00C62BF6" w:rsidRPr="00496468">
        <w:rPr>
          <w:sz w:val="24"/>
          <w:szCs w:val="24"/>
        </w:rPr>
        <w:t xml:space="preserve"> data</w:t>
      </w:r>
      <w:r w:rsidR="008C5D71" w:rsidRPr="00496468">
        <w:rPr>
          <w:sz w:val="24"/>
          <w:szCs w:val="24"/>
        </w:rPr>
        <w:t xml:space="preserve"> on ‘ability’</w:t>
      </w:r>
      <w:r w:rsidR="00C62BF6" w:rsidRPr="00496468">
        <w:rPr>
          <w:sz w:val="24"/>
          <w:szCs w:val="24"/>
        </w:rPr>
        <w:t xml:space="preserve"> </w:t>
      </w:r>
      <w:r w:rsidR="00CD368B" w:rsidRPr="00496468">
        <w:rPr>
          <w:sz w:val="24"/>
          <w:szCs w:val="24"/>
        </w:rPr>
        <w:t xml:space="preserve">is </w:t>
      </w:r>
      <w:r w:rsidR="00C62BF6" w:rsidRPr="00496468">
        <w:rPr>
          <w:sz w:val="24"/>
          <w:szCs w:val="24"/>
        </w:rPr>
        <w:t>used to justify or explain social inequalities such as social class, ethnicity and gender</w:t>
      </w:r>
      <w:r w:rsidR="00CA7E29" w:rsidRPr="00496468">
        <w:rPr>
          <w:sz w:val="24"/>
          <w:szCs w:val="24"/>
        </w:rPr>
        <w:t xml:space="preserve">. </w:t>
      </w:r>
      <w:r w:rsidR="008C5D71" w:rsidRPr="00496468">
        <w:rPr>
          <w:sz w:val="24"/>
          <w:szCs w:val="24"/>
        </w:rPr>
        <w:t xml:space="preserve">This became apparent in </w:t>
      </w:r>
      <w:r w:rsidR="00CA7E29" w:rsidRPr="00496468">
        <w:rPr>
          <w:sz w:val="24"/>
          <w:szCs w:val="24"/>
        </w:rPr>
        <w:t>my study</w:t>
      </w:r>
      <w:r w:rsidR="00AF38C1">
        <w:rPr>
          <w:sz w:val="24"/>
          <w:szCs w:val="24"/>
        </w:rPr>
        <w:t xml:space="preserve">, </w:t>
      </w:r>
      <w:r w:rsidR="008C5D71" w:rsidRPr="00496468">
        <w:rPr>
          <w:sz w:val="24"/>
          <w:szCs w:val="24"/>
        </w:rPr>
        <w:t>as</w:t>
      </w:r>
      <w:r w:rsidR="00CA7E29" w:rsidRPr="00496468">
        <w:rPr>
          <w:sz w:val="24"/>
          <w:szCs w:val="24"/>
        </w:rPr>
        <w:t xml:space="preserve"> the notion of ‘</w:t>
      </w:r>
      <w:r w:rsidR="00C62BF6" w:rsidRPr="00496468">
        <w:rPr>
          <w:sz w:val="24"/>
          <w:szCs w:val="24"/>
        </w:rPr>
        <w:t>academic ability</w:t>
      </w:r>
      <w:r w:rsidR="00CA7E29" w:rsidRPr="00496468">
        <w:rPr>
          <w:sz w:val="24"/>
          <w:szCs w:val="24"/>
        </w:rPr>
        <w:t>’</w:t>
      </w:r>
      <w:r w:rsidR="00C62BF6" w:rsidRPr="00496468">
        <w:rPr>
          <w:sz w:val="24"/>
          <w:szCs w:val="24"/>
        </w:rPr>
        <w:t xml:space="preserve"> </w:t>
      </w:r>
      <w:r w:rsidR="008C5D71" w:rsidRPr="00496468">
        <w:rPr>
          <w:sz w:val="24"/>
          <w:szCs w:val="24"/>
        </w:rPr>
        <w:t>was presented as</w:t>
      </w:r>
      <w:r w:rsidR="00CD368B" w:rsidRPr="00496468">
        <w:rPr>
          <w:sz w:val="24"/>
          <w:szCs w:val="24"/>
        </w:rPr>
        <w:t xml:space="preserve"> </w:t>
      </w:r>
      <w:r w:rsidR="00C62BF6" w:rsidRPr="00496468">
        <w:rPr>
          <w:sz w:val="24"/>
          <w:szCs w:val="24"/>
        </w:rPr>
        <w:t xml:space="preserve">the main driver of educational outcomes </w:t>
      </w:r>
      <w:r w:rsidR="008C5D71" w:rsidRPr="00496468">
        <w:rPr>
          <w:sz w:val="24"/>
          <w:szCs w:val="24"/>
        </w:rPr>
        <w:t>with no discussion of the impact of</w:t>
      </w:r>
      <w:r w:rsidR="00C62BF6" w:rsidRPr="00496468">
        <w:rPr>
          <w:sz w:val="24"/>
          <w:szCs w:val="24"/>
        </w:rPr>
        <w:t xml:space="preserve"> social characteristics. </w:t>
      </w:r>
      <w:r w:rsidRPr="00496468">
        <w:rPr>
          <w:sz w:val="24"/>
          <w:szCs w:val="24"/>
        </w:rPr>
        <w:t>Gillborn</w:t>
      </w:r>
      <w:r w:rsidR="00C62BF6" w:rsidRPr="00496468">
        <w:rPr>
          <w:sz w:val="24"/>
          <w:szCs w:val="24"/>
        </w:rPr>
        <w:t xml:space="preserve"> (</w:t>
      </w:r>
      <w:r w:rsidR="00A93BD0" w:rsidRPr="00496468">
        <w:rPr>
          <w:sz w:val="24"/>
          <w:szCs w:val="24"/>
        </w:rPr>
        <w:t>2011</w:t>
      </w:r>
      <w:r w:rsidR="001D19CB">
        <w:rPr>
          <w:sz w:val="24"/>
          <w:szCs w:val="24"/>
        </w:rPr>
        <w:t>b</w:t>
      </w:r>
      <w:r w:rsidR="00C62BF6" w:rsidRPr="00496468">
        <w:rPr>
          <w:sz w:val="24"/>
          <w:szCs w:val="24"/>
        </w:rPr>
        <w:t xml:space="preserve">) </w:t>
      </w:r>
      <w:r w:rsidRPr="00496468">
        <w:rPr>
          <w:sz w:val="24"/>
          <w:szCs w:val="24"/>
        </w:rPr>
        <w:t>suggests</w:t>
      </w:r>
      <w:r w:rsidR="00AF38C1">
        <w:rPr>
          <w:sz w:val="24"/>
          <w:szCs w:val="24"/>
        </w:rPr>
        <w:t xml:space="preserve"> that</w:t>
      </w:r>
      <w:r w:rsidRPr="00496468">
        <w:rPr>
          <w:sz w:val="24"/>
          <w:szCs w:val="24"/>
        </w:rPr>
        <w:t xml:space="preserve"> ethnic minority students are more likely to be deemed </w:t>
      </w:r>
      <w:r w:rsidR="001F20ED" w:rsidRPr="00496468">
        <w:rPr>
          <w:sz w:val="24"/>
          <w:szCs w:val="24"/>
        </w:rPr>
        <w:t>‘</w:t>
      </w:r>
      <w:r w:rsidRPr="00496468">
        <w:rPr>
          <w:sz w:val="24"/>
          <w:szCs w:val="24"/>
        </w:rPr>
        <w:t>not appropriate</w:t>
      </w:r>
      <w:r w:rsidR="001F20ED" w:rsidRPr="00496468">
        <w:rPr>
          <w:sz w:val="24"/>
          <w:szCs w:val="24"/>
        </w:rPr>
        <w:t>’</w:t>
      </w:r>
      <w:r w:rsidRPr="00496468">
        <w:rPr>
          <w:sz w:val="24"/>
          <w:szCs w:val="24"/>
        </w:rPr>
        <w:t xml:space="preserve"> for EBac courses</w:t>
      </w:r>
      <w:r w:rsidR="00AF38C1">
        <w:rPr>
          <w:sz w:val="24"/>
          <w:szCs w:val="24"/>
        </w:rPr>
        <w:t>,</w:t>
      </w:r>
      <w:r w:rsidRPr="00496468">
        <w:rPr>
          <w:sz w:val="24"/>
          <w:szCs w:val="24"/>
        </w:rPr>
        <w:t xml:space="preserve"> </w:t>
      </w:r>
      <w:r w:rsidR="00C62BF6" w:rsidRPr="00496468">
        <w:rPr>
          <w:sz w:val="24"/>
          <w:szCs w:val="24"/>
        </w:rPr>
        <w:t xml:space="preserve">yet this </w:t>
      </w:r>
      <w:r w:rsidR="00CD368B" w:rsidRPr="00496468">
        <w:rPr>
          <w:sz w:val="24"/>
          <w:szCs w:val="24"/>
        </w:rPr>
        <w:t>is</w:t>
      </w:r>
      <w:r w:rsidR="00C62BF6" w:rsidRPr="00496468">
        <w:rPr>
          <w:sz w:val="24"/>
          <w:szCs w:val="24"/>
        </w:rPr>
        <w:t xml:space="preserve"> explained in terms </w:t>
      </w:r>
      <w:r w:rsidR="00CD368B" w:rsidRPr="00496468">
        <w:rPr>
          <w:sz w:val="24"/>
          <w:szCs w:val="24"/>
        </w:rPr>
        <w:t xml:space="preserve">of </w:t>
      </w:r>
      <w:r w:rsidR="00C62BF6" w:rsidRPr="00496468">
        <w:rPr>
          <w:sz w:val="24"/>
          <w:szCs w:val="24"/>
        </w:rPr>
        <w:t xml:space="preserve">their </w:t>
      </w:r>
      <w:r w:rsidR="00A07A06" w:rsidRPr="00496468">
        <w:rPr>
          <w:sz w:val="24"/>
          <w:szCs w:val="24"/>
        </w:rPr>
        <w:t>‘</w:t>
      </w:r>
      <w:r w:rsidR="00C62BF6" w:rsidRPr="00496468">
        <w:rPr>
          <w:sz w:val="24"/>
          <w:szCs w:val="24"/>
        </w:rPr>
        <w:t>ability</w:t>
      </w:r>
      <w:r w:rsidR="00A07A06" w:rsidRPr="00496468">
        <w:rPr>
          <w:sz w:val="24"/>
          <w:szCs w:val="24"/>
        </w:rPr>
        <w:t>’</w:t>
      </w:r>
      <w:r w:rsidR="00C62BF6" w:rsidRPr="00496468">
        <w:rPr>
          <w:sz w:val="24"/>
          <w:szCs w:val="24"/>
        </w:rPr>
        <w:t xml:space="preserve"> not their ethnicity.</w:t>
      </w:r>
      <w:r w:rsidRPr="00496468">
        <w:rPr>
          <w:sz w:val="24"/>
          <w:szCs w:val="24"/>
        </w:rPr>
        <w:t xml:space="preserve"> Likewise</w:t>
      </w:r>
      <w:r w:rsidR="00AF38C1">
        <w:rPr>
          <w:sz w:val="24"/>
          <w:szCs w:val="24"/>
        </w:rPr>
        <w:t>,</w:t>
      </w:r>
      <w:r w:rsidRPr="00496468">
        <w:rPr>
          <w:sz w:val="24"/>
          <w:szCs w:val="24"/>
        </w:rPr>
        <w:t xml:space="preserve"> teachers </w:t>
      </w:r>
      <w:r w:rsidR="00566311" w:rsidRPr="00496468">
        <w:rPr>
          <w:sz w:val="24"/>
          <w:szCs w:val="24"/>
        </w:rPr>
        <w:t xml:space="preserve">in my sample </w:t>
      </w:r>
      <w:r w:rsidRPr="00496468">
        <w:rPr>
          <w:sz w:val="24"/>
          <w:szCs w:val="24"/>
        </w:rPr>
        <w:t>assign</w:t>
      </w:r>
      <w:r w:rsidR="00566311" w:rsidRPr="00496468">
        <w:rPr>
          <w:sz w:val="24"/>
          <w:szCs w:val="24"/>
        </w:rPr>
        <w:t>ed</w:t>
      </w:r>
      <w:r w:rsidRPr="00496468">
        <w:rPr>
          <w:sz w:val="24"/>
          <w:szCs w:val="24"/>
        </w:rPr>
        <w:t xml:space="preserve"> a social class description to their school cohort</w:t>
      </w:r>
      <w:r w:rsidR="00AF38C1">
        <w:rPr>
          <w:sz w:val="24"/>
          <w:szCs w:val="24"/>
        </w:rPr>
        <w:t>, but made</w:t>
      </w:r>
      <w:r w:rsidRPr="00496468">
        <w:rPr>
          <w:sz w:val="24"/>
          <w:szCs w:val="24"/>
        </w:rPr>
        <w:t xml:space="preserve"> no reference to social class during the discussions </w:t>
      </w:r>
      <w:r w:rsidR="00566311" w:rsidRPr="00496468">
        <w:rPr>
          <w:sz w:val="24"/>
          <w:szCs w:val="24"/>
        </w:rPr>
        <w:t xml:space="preserve">about </w:t>
      </w:r>
      <w:r w:rsidRPr="00496468">
        <w:rPr>
          <w:sz w:val="24"/>
          <w:szCs w:val="24"/>
        </w:rPr>
        <w:t>student</w:t>
      </w:r>
      <w:r w:rsidR="00AF38C1">
        <w:rPr>
          <w:sz w:val="24"/>
          <w:szCs w:val="24"/>
        </w:rPr>
        <w:t>s’</w:t>
      </w:r>
      <w:r w:rsidRPr="00496468">
        <w:rPr>
          <w:sz w:val="24"/>
          <w:szCs w:val="24"/>
        </w:rPr>
        <w:t xml:space="preserve"> selecti</w:t>
      </w:r>
      <w:r w:rsidR="00566311" w:rsidRPr="00496468">
        <w:rPr>
          <w:sz w:val="24"/>
          <w:szCs w:val="24"/>
        </w:rPr>
        <w:t>on of</w:t>
      </w:r>
      <w:r w:rsidRPr="00496468">
        <w:rPr>
          <w:sz w:val="24"/>
          <w:szCs w:val="24"/>
        </w:rPr>
        <w:t xml:space="preserve"> courses</w:t>
      </w:r>
      <w:r w:rsidR="00D33CCC" w:rsidRPr="00496468">
        <w:rPr>
          <w:sz w:val="24"/>
          <w:szCs w:val="24"/>
        </w:rPr>
        <w:t>, individual students</w:t>
      </w:r>
      <w:r w:rsidRPr="00496468">
        <w:rPr>
          <w:sz w:val="24"/>
          <w:szCs w:val="24"/>
        </w:rPr>
        <w:t xml:space="preserve"> or winners or losers of the EBac. It may be that as Reay </w:t>
      </w:r>
      <w:r w:rsidR="00057C15" w:rsidRPr="00496468">
        <w:rPr>
          <w:sz w:val="24"/>
          <w:szCs w:val="24"/>
        </w:rPr>
        <w:t xml:space="preserve">(2006) </w:t>
      </w:r>
      <w:r w:rsidRPr="00496468">
        <w:rPr>
          <w:sz w:val="24"/>
          <w:szCs w:val="24"/>
        </w:rPr>
        <w:t>suggests</w:t>
      </w:r>
      <w:r w:rsidR="00DF1A65">
        <w:rPr>
          <w:sz w:val="24"/>
          <w:szCs w:val="24"/>
        </w:rPr>
        <w:t>,</w:t>
      </w:r>
      <w:r w:rsidRPr="00496468">
        <w:rPr>
          <w:sz w:val="24"/>
          <w:szCs w:val="24"/>
        </w:rPr>
        <w:t xml:space="preserve"> teachers have moved away from consideration of </w:t>
      </w:r>
      <w:r w:rsidR="00566311" w:rsidRPr="00496468">
        <w:rPr>
          <w:sz w:val="24"/>
          <w:szCs w:val="24"/>
        </w:rPr>
        <w:t>students</w:t>
      </w:r>
      <w:r w:rsidR="00DF1A65">
        <w:rPr>
          <w:sz w:val="24"/>
          <w:szCs w:val="24"/>
        </w:rPr>
        <w:t>’ social class</w:t>
      </w:r>
      <w:r w:rsidR="00566311" w:rsidRPr="00496468">
        <w:rPr>
          <w:sz w:val="24"/>
          <w:szCs w:val="24"/>
        </w:rPr>
        <w:t xml:space="preserve"> in </w:t>
      </w:r>
      <w:r w:rsidRPr="00496468">
        <w:rPr>
          <w:sz w:val="24"/>
          <w:szCs w:val="24"/>
        </w:rPr>
        <w:t xml:space="preserve">their work. </w:t>
      </w:r>
      <w:r w:rsidR="00D33CCC" w:rsidRPr="00496468">
        <w:rPr>
          <w:sz w:val="24"/>
          <w:szCs w:val="24"/>
        </w:rPr>
        <w:t xml:space="preserve">Reay argues that the lack of </w:t>
      </w:r>
      <w:r w:rsidR="00DF1A65">
        <w:rPr>
          <w:sz w:val="24"/>
          <w:szCs w:val="24"/>
        </w:rPr>
        <w:t xml:space="preserve">emphasis on </w:t>
      </w:r>
      <w:r w:rsidR="00D33CCC" w:rsidRPr="00496468">
        <w:rPr>
          <w:sz w:val="24"/>
          <w:szCs w:val="24"/>
        </w:rPr>
        <w:t xml:space="preserve">social class within teacher training is </w:t>
      </w:r>
      <w:r w:rsidR="00DF1A65">
        <w:rPr>
          <w:sz w:val="24"/>
          <w:szCs w:val="24"/>
        </w:rPr>
        <w:t>a</w:t>
      </w:r>
      <w:r w:rsidR="00D33CCC" w:rsidRPr="00496468">
        <w:rPr>
          <w:sz w:val="24"/>
          <w:szCs w:val="24"/>
        </w:rPr>
        <w:t xml:space="preserve"> key issue. I</w:t>
      </w:r>
      <w:r w:rsidR="00A07A06" w:rsidRPr="00496468">
        <w:rPr>
          <w:sz w:val="24"/>
          <w:szCs w:val="24"/>
        </w:rPr>
        <w:t xml:space="preserve"> </w:t>
      </w:r>
      <w:r w:rsidR="00DF1A65">
        <w:rPr>
          <w:sz w:val="24"/>
          <w:szCs w:val="24"/>
        </w:rPr>
        <w:t xml:space="preserve">also </w:t>
      </w:r>
      <w:r w:rsidR="00D33CCC" w:rsidRPr="00496468">
        <w:rPr>
          <w:sz w:val="24"/>
          <w:szCs w:val="24"/>
        </w:rPr>
        <w:t>argue that the lack of any school data directly relating to student social class is a</w:t>
      </w:r>
      <w:r w:rsidR="00DF1A65">
        <w:rPr>
          <w:sz w:val="24"/>
          <w:szCs w:val="24"/>
        </w:rPr>
        <w:t xml:space="preserve"> significant</w:t>
      </w:r>
      <w:r w:rsidR="00D33CCC" w:rsidRPr="00496468">
        <w:rPr>
          <w:sz w:val="24"/>
          <w:szCs w:val="24"/>
        </w:rPr>
        <w:t xml:space="preserve"> factor. While ethnicity and gender are categories of measurement and focus, teachers were </w:t>
      </w:r>
      <w:r w:rsidR="00FF2C3B">
        <w:rPr>
          <w:sz w:val="24"/>
          <w:szCs w:val="24"/>
        </w:rPr>
        <w:t xml:space="preserve">still </w:t>
      </w:r>
      <w:r w:rsidR="00D33CCC" w:rsidRPr="00496468">
        <w:rPr>
          <w:sz w:val="24"/>
          <w:szCs w:val="24"/>
        </w:rPr>
        <w:t xml:space="preserve">quick to assign ‘ability’ as the underlining explanation rather than enter into debates about the impact of racism and/or sexism on the educational choices of some students. </w:t>
      </w:r>
      <w:r w:rsidRPr="00496468">
        <w:rPr>
          <w:sz w:val="24"/>
          <w:szCs w:val="24"/>
        </w:rPr>
        <w:t>The school leaders identif</w:t>
      </w:r>
      <w:r w:rsidR="00566311" w:rsidRPr="00496468">
        <w:rPr>
          <w:sz w:val="24"/>
          <w:szCs w:val="24"/>
        </w:rPr>
        <w:t>ied</w:t>
      </w:r>
      <w:r w:rsidRPr="00496468">
        <w:rPr>
          <w:sz w:val="24"/>
          <w:szCs w:val="24"/>
        </w:rPr>
        <w:t xml:space="preserve"> winners and losers in terms of the </w:t>
      </w:r>
      <w:r w:rsidR="00566311" w:rsidRPr="00496468">
        <w:rPr>
          <w:sz w:val="24"/>
          <w:szCs w:val="24"/>
        </w:rPr>
        <w:t xml:space="preserve">curriculum policy </w:t>
      </w:r>
      <w:r w:rsidRPr="00496468">
        <w:rPr>
          <w:sz w:val="24"/>
          <w:szCs w:val="24"/>
        </w:rPr>
        <w:t>chang</w:t>
      </w:r>
      <w:r w:rsidR="00566311" w:rsidRPr="00496468">
        <w:rPr>
          <w:sz w:val="24"/>
          <w:szCs w:val="24"/>
        </w:rPr>
        <w:t>e</w:t>
      </w:r>
      <w:r w:rsidR="00DF1A65">
        <w:rPr>
          <w:sz w:val="24"/>
          <w:szCs w:val="24"/>
        </w:rPr>
        <w:t>,</w:t>
      </w:r>
      <w:r w:rsidRPr="00496468">
        <w:rPr>
          <w:sz w:val="24"/>
          <w:szCs w:val="24"/>
        </w:rPr>
        <w:t xml:space="preserve"> but </w:t>
      </w:r>
      <w:r w:rsidR="00566311" w:rsidRPr="00496468">
        <w:rPr>
          <w:sz w:val="24"/>
          <w:szCs w:val="24"/>
        </w:rPr>
        <w:t xml:space="preserve">drew only on the concept of ‘ability’ as the underlying factor determining who ‘wins’ and who </w:t>
      </w:r>
      <w:r w:rsidR="00DF1A65">
        <w:rPr>
          <w:sz w:val="24"/>
          <w:szCs w:val="24"/>
        </w:rPr>
        <w:t>‘</w:t>
      </w:r>
      <w:r w:rsidR="00566311" w:rsidRPr="00496468">
        <w:rPr>
          <w:sz w:val="24"/>
          <w:szCs w:val="24"/>
        </w:rPr>
        <w:t>loses’.</w:t>
      </w:r>
      <w:r w:rsidR="00566311">
        <w:rPr>
          <w:sz w:val="24"/>
          <w:szCs w:val="24"/>
        </w:rPr>
        <w:t xml:space="preserve"> </w:t>
      </w:r>
    </w:p>
    <w:p w14:paraId="2BB04D7C" w14:textId="7F5825F0" w:rsidR="00D5396E" w:rsidRDefault="00566311" w:rsidP="00D5396E">
      <w:pPr>
        <w:spacing w:line="360" w:lineRule="auto"/>
        <w:rPr>
          <w:sz w:val="24"/>
          <w:szCs w:val="24"/>
        </w:rPr>
      </w:pPr>
      <w:r>
        <w:rPr>
          <w:sz w:val="24"/>
          <w:szCs w:val="24"/>
        </w:rPr>
        <w:t>T</w:t>
      </w:r>
      <w:r w:rsidR="00D5396E" w:rsidRPr="005A590D">
        <w:rPr>
          <w:sz w:val="24"/>
          <w:szCs w:val="24"/>
        </w:rPr>
        <w:t xml:space="preserve">he interviews </w:t>
      </w:r>
      <w:r>
        <w:rPr>
          <w:sz w:val="24"/>
          <w:szCs w:val="24"/>
        </w:rPr>
        <w:t xml:space="preserve">revealed </w:t>
      </w:r>
      <w:r w:rsidR="00D5396E" w:rsidRPr="005A590D">
        <w:rPr>
          <w:sz w:val="24"/>
          <w:szCs w:val="24"/>
        </w:rPr>
        <w:t>teachers</w:t>
      </w:r>
      <w:r>
        <w:rPr>
          <w:sz w:val="24"/>
          <w:szCs w:val="24"/>
        </w:rPr>
        <w:t>’</w:t>
      </w:r>
      <w:r w:rsidR="00D5396E" w:rsidRPr="005A590D">
        <w:rPr>
          <w:sz w:val="24"/>
          <w:szCs w:val="24"/>
        </w:rPr>
        <w:t xml:space="preserve"> belie</w:t>
      </w:r>
      <w:r>
        <w:rPr>
          <w:sz w:val="24"/>
          <w:szCs w:val="24"/>
        </w:rPr>
        <w:t>fs</w:t>
      </w:r>
      <w:r w:rsidR="00D5396E" w:rsidRPr="005A590D">
        <w:rPr>
          <w:sz w:val="24"/>
          <w:szCs w:val="24"/>
        </w:rPr>
        <w:t xml:space="preserve"> that they continued to try to navigate the most appropriate path for their students through rapidly changing criteria and demands</w:t>
      </w:r>
      <w:r w:rsidR="00E17BF6">
        <w:rPr>
          <w:sz w:val="24"/>
          <w:szCs w:val="24"/>
        </w:rPr>
        <w:t>:</w:t>
      </w:r>
      <w:r w:rsidR="00D5396E" w:rsidRPr="005A590D">
        <w:rPr>
          <w:sz w:val="24"/>
          <w:szCs w:val="24"/>
        </w:rPr>
        <w:t xml:space="preserve"> </w:t>
      </w:r>
    </w:p>
    <w:p w14:paraId="25994B0A" w14:textId="7AF81971" w:rsidR="00D5396E" w:rsidRDefault="00D5396E" w:rsidP="00D5396E">
      <w:pPr>
        <w:spacing w:line="240" w:lineRule="auto"/>
        <w:ind w:left="720"/>
        <w:rPr>
          <w:sz w:val="24"/>
          <w:szCs w:val="24"/>
        </w:rPr>
      </w:pPr>
      <w:r>
        <w:rPr>
          <w:sz w:val="24"/>
          <w:szCs w:val="24"/>
        </w:rPr>
        <w:t>The students here still benefit from the creative subjects, they like hands on creative subjects. These options have closed down a little bit however we have tried to preserve this curriculum where possible, (Angela</w:t>
      </w:r>
      <w:r w:rsidR="00DF1A65">
        <w:rPr>
          <w:sz w:val="24"/>
          <w:szCs w:val="24"/>
        </w:rPr>
        <w:t>,</w:t>
      </w:r>
      <w:r w:rsidR="007A4993">
        <w:rPr>
          <w:sz w:val="24"/>
          <w:szCs w:val="24"/>
        </w:rPr>
        <w:t xml:space="preserve"> </w:t>
      </w:r>
      <w:r w:rsidR="006C11E8">
        <w:rPr>
          <w:sz w:val="24"/>
          <w:szCs w:val="24"/>
        </w:rPr>
        <w:t>Redfield/DH</w:t>
      </w:r>
      <w:r>
        <w:rPr>
          <w:sz w:val="24"/>
          <w:szCs w:val="24"/>
        </w:rPr>
        <w:t>, p.10).</w:t>
      </w:r>
    </w:p>
    <w:p w14:paraId="04E092EE" w14:textId="4FA38EB5" w:rsidR="00D5396E" w:rsidRDefault="00D5396E" w:rsidP="00D5396E">
      <w:pPr>
        <w:spacing w:line="240" w:lineRule="auto"/>
        <w:ind w:left="720"/>
        <w:rPr>
          <w:sz w:val="24"/>
          <w:szCs w:val="24"/>
        </w:rPr>
      </w:pPr>
      <w:r>
        <w:rPr>
          <w:sz w:val="24"/>
          <w:szCs w:val="24"/>
        </w:rPr>
        <w:t xml:space="preserve">My belief…the students should be doing things that engage, interest, motivate, challenge them, that keep them on task, that give them the best opportunity of </w:t>
      </w:r>
      <w:r>
        <w:rPr>
          <w:sz w:val="24"/>
          <w:szCs w:val="24"/>
        </w:rPr>
        <w:lastRenderedPageBreak/>
        <w:t>success and give them the opportunity to move onto what they want to do, (Susan</w:t>
      </w:r>
      <w:r w:rsidR="00DF1A65">
        <w:rPr>
          <w:sz w:val="24"/>
          <w:szCs w:val="24"/>
        </w:rPr>
        <w:t>,</w:t>
      </w:r>
      <w:r w:rsidR="007A4993">
        <w:rPr>
          <w:sz w:val="24"/>
          <w:szCs w:val="24"/>
        </w:rPr>
        <w:t xml:space="preserve"> </w:t>
      </w:r>
      <w:r w:rsidR="006364D3">
        <w:rPr>
          <w:sz w:val="24"/>
          <w:szCs w:val="24"/>
        </w:rPr>
        <w:t>Yellowfield/</w:t>
      </w:r>
      <w:r w:rsidR="007A4993">
        <w:rPr>
          <w:sz w:val="24"/>
          <w:szCs w:val="24"/>
        </w:rPr>
        <w:t>DH)</w:t>
      </w:r>
      <w:r>
        <w:rPr>
          <w:sz w:val="24"/>
          <w:szCs w:val="24"/>
        </w:rPr>
        <w:t>, p.16).</w:t>
      </w:r>
    </w:p>
    <w:p w14:paraId="36717533" w14:textId="50A691C4" w:rsidR="00D5396E" w:rsidRPr="001A3BC6" w:rsidRDefault="00D5396E" w:rsidP="00D5396E">
      <w:pPr>
        <w:spacing w:line="360" w:lineRule="auto"/>
        <w:rPr>
          <w:rFonts w:asciiTheme="minorHAnsi" w:hAnsiTheme="minorHAnsi" w:cstheme="minorHAnsi"/>
          <w:sz w:val="24"/>
          <w:szCs w:val="24"/>
        </w:rPr>
      </w:pPr>
      <w:r w:rsidRPr="005A590D">
        <w:rPr>
          <w:sz w:val="24"/>
          <w:szCs w:val="24"/>
        </w:rPr>
        <w:t>The moral purpose of the schools and the desire to do the best by the students was evident, even if on occasions short</w:t>
      </w:r>
      <w:r w:rsidR="00DF1A65">
        <w:rPr>
          <w:sz w:val="24"/>
          <w:szCs w:val="24"/>
        </w:rPr>
        <w:t>-</w:t>
      </w:r>
      <w:r w:rsidRPr="005A590D">
        <w:rPr>
          <w:sz w:val="24"/>
          <w:szCs w:val="24"/>
        </w:rPr>
        <w:t>term compromises had to be made in hope for longer term</w:t>
      </w:r>
      <w:r w:rsidR="007A4993">
        <w:rPr>
          <w:sz w:val="24"/>
          <w:szCs w:val="24"/>
        </w:rPr>
        <w:t xml:space="preserve"> benefits</w:t>
      </w:r>
      <w:r w:rsidR="00A93BD0">
        <w:rPr>
          <w:sz w:val="24"/>
          <w:szCs w:val="24"/>
        </w:rPr>
        <w:t>.</w:t>
      </w:r>
      <w:r w:rsidR="007A4993">
        <w:rPr>
          <w:sz w:val="24"/>
          <w:szCs w:val="24"/>
        </w:rPr>
        <w:t xml:space="preserve"> </w:t>
      </w:r>
    </w:p>
    <w:p w14:paraId="6B96A0D7" w14:textId="1E94992A" w:rsidR="00052646" w:rsidRDefault="002C1994" w:rsidP="00D5396E">
      <w:pPr>
        <w:spacing w:line="360" w:lineRule="auto"/>
        <w:rPr>
          <w:rFonts w:asciiTheme="minorHAnsi" w:hAnsiTheme="minorHAnsi" w:cstheme="minorHAnsi"/>
          <w:sz w:val="24"/>
          <w:szCs w:val="24"/>
        </w:rPr>
      </w:pPr>
      <w:r>
        <w:rPr>
          <w:rFonts w:asciiTheme="minorHAnsi" w:hAnsiTheme="minorHAnsi" w:cstheme="minorHAnsi"/>
          <w:sz w:val="24"/>
          <w:szCs w:val="24"/>
        </w:rPr>
        <w:t xml:space="preserve">My typologies reflect the </w:t>
      </w:r>
      <w:r w:rsidR="00D8267D">
        <w:rPr>
          <w:rFonts w:asciiTheme="minorHAnsi" w:hAnsiTheme="minorHAnsi" w:cstheme="minorHAnsi"/>
          <w:sz w:val="24"/>
          <w:szCs w:val="24"/>
        </w:rPr>
        <w:t xml:space="preserve">different </w:t>
      </w:r>
      <w:r>
        <w:rPr>
          <w:rFonts w:asciiTheme="minorHAnsi" w:hAnsiTheme="minorHAnsi" w:cstheme="minorHAnsi"/>
          <w:sz w:val="24"/>
          <w:szCs w:val="24"/>
        </w:rPr>
        <w:t>practice</w:t>
      </w:r>
      <w:r w:rsidR="00D8267D">
        <w:rPr>
          <w:rFonts w:asciiTheme="minorHAnsi" w:hAnsiTheme="minorHAnsi" w:cstheme="minorHAnsi"/>
          <w:sz w:val="24"/>
          <w:szCs w:val="24"/>
        </w:rPr>
        <w:t>s related to</w:t>
      </w:r>
      <w:r>
        <w:rPr>
          <w:rFonts w:asciiTheme="minorHAnsi" w:hAnsiTheme="minorHAnsi" w:cstheme="minorHAnsi"/>
          <w:sz w:val="24"/>
          <w:szCs w:val="24"/>
        </w:rPr>
        <w:t xml:space="preserve"> equality in </w:t>
      </w:r>
      <w:r w:rsidR="0081222E">
        <w:rPr>
          <w:rFonts w:asciiTheme="minorHAnsi" w:hAnsiTheme="minorHAnsi" w:cstheme="minorHAnsi"/>
          <w:sz w:val="24"/>
          <w:szCs w:val="24"/>
        </w:rPr>
        <w:t xml:space="preserve">each school in </w:t>
      </w:r>
      <w:r>
        <w:rPr>
          <w:rFonts w:asciiTheme="minorHAnsi" w:hAnsiTheme="minorHAnsi" w:cstheme="minorHAnsi"/>
          <w:sz w:val="24"/>
          <w:szCs w:val="24"/>
        </w:rPr>
        <w:t>relation to the EBac. Bluefield</w:t>
      </w:r>
      <w:r w:rsidR="00DF1A65">
        <w:rPr>
          <w:rFonts w:asciiTheme="minorHAnsi" w:hAnsiTheme="minorHAnsi" w:cstheme="minorHAnsi"/>
          <w:sz w:val="24"/>
          <w:szCs w:val="24"/>
        </w:rPr>
        <w:t>,</w:t>
      </w:r>
      <w:r>
        <w:rPr>
          <w:rFonts w:asciiTheme="minorHAnsi" w:hAnsiTheme="minorHAnsi" w:cstheme="minorHAnsi"/>
          <w:sz w:val="24"/>
          <w:szCs w:val="24"/>
        </w:rPr>
        <w:t xml:space="preserve"> as </w:t>
      </w:r>
      <w:r w:rsidR="00882EB9">
        <w:rPr>
          <w:rFonts w:asciiTheme="minorHAnsi" w:hAnsiTheme="minorHAnsi" w:cstheme="minorHAnsi"/>
          <w:sz w:val="24"/>
          <w:szCs w:val="24"/>
        </w:rPr>
        <w:t>accepting</w:t>
      </w:r>
      <w:r>
        <w:rPr>
          <w:rFonts w:asciiTheme="minorHAnsi" w:hAnsiTheme="minorHAnsi" w:cstheme="minorHAnsi"/>
          <w:sz w:val="24"/>
          <w:szCs w:val="24"/>
        </w:rPr>
        <w:t xml:space="preserve"> of the EBac</w:t>
      </w:r>
      <w:r w:rsidR="00DF1A65">
        <w:rPr>
          <w:rFonts w:asciiTheme="minorHAnsi" w:hAnsiTheme="minorHAnsi" w:cstheme="minorHAnsi"/>
          <w:sz w:val="24"/>
          <w:szCs w:val="24"/>
        </w:rPr>
        <w:t>,</w:t>
      </w:r>
      <w:r>
        <w:rPr>
          <w:rFonts w:asciiTheme="minorHAnsi" w:hAnsiTheme="minorHAnsi" w:cstheme="minorHAnsi"/>
          <w:sz w:val="24"/>
          <w:szCs w:val="24"/>
        </w:rPr>
        <w:t xml:space="preserve"> took an approach which appeared to be in line with the described academic nature and ethos of the school and academic aspirations of the students and parents. The majority of the students achieved high GCSE grades and went onto A</w:t>
      </w:r>
      <w:r w:rsidR="00DF1A65">
        <w:rPr>
          <w:rFonts w:asciiTheme="minorHAnsi" w:hAnsiTheme="minorHAnsi" w:cstheme="minorHAnsi"/>
          <w:sz w:val="24"/>
          <w:szCs w:val="24"/>
        </w:rPr>
        <w:t>-</w:t>
      </w:r>
      <w:r>
        <w:rPr>
          <w:rFonts w:asciiTheme="minorHAnsi" w:hAnsiTheme="minorHAnsi" w:cstheme="minorHAnsi"/>
          <w:sz w:val="24"/>
          <w:szCs w:val="24"/>
        </w:rPr>
        <w:t>Level</w:t>
      </w:r>
      <w:r w:rsidR="00DF1A65">
        <w:rPr>
          <w:rFonts w:asciiTheme="minorHAnsi" w:hAnsiTheme="minorHAnsi" w:cstheme="minorHAnsi"/>
          <w:sz w:val="24"/>
          <w:szCs w:val="24"/>
        </w:rPr>
        <w:t>,</w:t>
      </w:r>
      <w:r>
        <w:rPr>
          <w:rFonts w:asciiTheme="minorHAnsi" w:hAnsiTheme="minorHAnsi" w:cstheme="minorHAnsi"/>
          <w:sz w:val="24"/>
          <w:szCs w:val="24"/>
        </w:rPr>
        <w:t xml:space="preserve"> with a substantial number progressing to university each year. The EBac </w:t>
      </w:r>
      <w:r w:rsidR="00DF1A65">
        <w:rPr>
          <w:rFonts w:asciiTheme="minorHAnsi" w:hAnsiTheme="minorHAnsi" w:cstheme="minorHAnsi"/>
          <w:sz w:val="24"/>
          <w:szCs w:val="24"/>
        </w:rPr>
        <w:t xml:space="preserve">therefore </w:t>
      </w:r>
      <w:r>
        <w:rPr>
          <w:rFonts w:asciiTheme="minorHAnsi" w:hAnsiTheme="minorHAnsi" w:cstheme="minorHAnsi"/>
          <w:sz w:val="24"/>
          <w:szCs w:val="24"/>
        </w:rPr>
        <w:t>fit</w:t>
      </w:r>
      <w:r w:rsidR="00DF1A65">
        <w:rPr>
          <w:rFonts w:asciiTheme="minorHAnsi" w:hAnsiTheme="minorHAnsi" w:cstheme="minorHAnsi"/>
          <w:sz w:val="24"/>
          <w:szCs w:val="24"/>
        </w:rPr>
        <w:t>ted</w:t>
      </w:r>
      <w:r>
        <w:rPr>
          <w:rFonts w:asciiTheme="minorHAnsi" w:hAnsiTheme="minorHAnsi" w:cstheme="minorHAnsi"/>
          <w:sz w:val="24"/>
          <w:szCs w:val="24"/>
        </w:rPr>
        <w:t xml:space="preserve"> with</w:t>
      </w:r>
      <w:r w:rsidR="00A93BD0">
        <w:rPr>
          <w:rFonts w:asciiTheme="minorHAnsi" w:hAnsiTheme="minorHAnsi" w:cstheme="minorHAnsi"/>
          <w:sz w:val="24"/>
          <w:szCs w:val="24"/>
        </w:rPr>
        <w:t>in</w:t>
      </w:r>
      <w:r>
        <w:rPr>
          <w:rFonts w:asciiTheme="minorHAnsi" w:hAnsiTheme="minorHAnsi" w:cstheme="minorHAnsi"/>
          <w:sz w:val="24"/>
          <w:szCs w:val="24"/>
        </w:rPr>
        <w:t xml:space="preserve"> the existing school curriculum and the academic strength allowed expansion of subject choice to include a greater range of non-EBac subjects</w:t>
      </w:r>
      <w:r w:rsidR="00DF1A65">
        <w:rPr>
          <w:rFonts w:asciiTheme="minorHAnsi" w:hAnsiTheme="minorHAnsi" w:cstheme="minorHAnsi"/>
          <w:sz w:val="24"/>
          <w:szCs w:val="24"/>
        </w:rPr>
        <w:t>,</w:t>
      </w:r>
      <w:r>
        <w:rPr>
          <w:rFonts w:asciiTheme="minorHAnsi" w:hAnsiTheme="minorHAnsi" w:cstheme="minorHAnsi"/>
          <w:sz w:val="24"/>
          <w:szCs w:val="24"/>
        </w:rPr>
        <w:t xml:space="preserve"> </w:t>
      </w:r>
      <w:r w:rsidR="00A93BD0">
        <w:rPr>
          <w:rFonts w:asciiTheme="minorHAnsi" w:hAnsiTheme="minorHAnsi" w:cstheme="minorHAnsi"/>
          <w:sz w:val="24"/>
          <w:szCs w:val="24"/>
        </w:rPr>
        <w:t xml:space="preserve">including a </w:t>
      </w:r>
      <w:r>
        <w:rPr>
          <w:rFonts w:asciiTheme="minorHAnsi" w:hAnsiTheme="minorHAnsi" w:cstheme="minorHAnsi"/>
          <w:sz w:val="24"/>
          <w:szCs w:val="24"/>
        </w:rPr>
        <w:t xml:space="preserve">vocational option. The EBac did not </w:t>
      </w:r>
      <w:r w:rsidR="00A93BD0">
        <w:rPr>
          <w:rFonts w:asciiTheme="minorHAnsi" w:hAnsiTheme="minorHAnsi" w:cstheme="minorHAnsi"/>
          <w:sz w:val="24"/>
          <w:szCs w:val="24"/>
        </w:rPr>
        <w:t>exacerbate</w:t>
      </w:r>
      <w:r>
        <w:rPr>
          <w:rFonts w:asciiTheme="minorHAnsi" w:hAnsiTheme="minorHAnsi" w:cstheme="minorHAnsi"/>
          <w:sz w:val="24"/>
          <w:szCs w:val="24"/>
        </w:rPr>
        <w:t xml:space="preserve"> inequalities within th</w:t>
      </w:r>
      <w:r w:rsidR="00AB32AC">
        <w:rPr>
          <w:rFonts w:asciiTheme="minorHAnsi" w:hAnsiTheme="minorHAnsi" w:cstheme="minorHAnsi"/>
          <w:sz w:val="24"/>
          <w:szCs w:val="24"/>
        </w:rPr>
        <w:t>is</w:t>
      </w:r>
      <w:r>
        <w:rPr>
          <w:rFonts w:asciiTheme="minorHAnsi" w:hAnsiTheme="minorHAnsi" w:cstheme="minorHAnsi"/>
          <w:sz w:val="24"/>
          <w:szCs w:val="24"/>
        </w:rPr>
        <w:t xml:space="preserve"> school, though</w:t>
      </w:r>
      <w:r w:rsidR="00DF1A65">
        <w:rPr>
          <w:rFonts w:asciiTheme="minorHAnsi" w:hAnsiTheme="minorHAnsi" w:cstheme="minorHAnsi"/>
          <w:sz w:val="24"/>
          <w:szCs w:val="24"/>
        </w:rPr>
        <w:t xml:space="preserve"> </w:t>
      </w:r>
      <w:r>
        <w:rPr>
          <w:rFonts w:asciiTheme="minorHAnsi" w:hAnsiTheme="minorHAnsi" w:cstheme="minorHAnsi"/>
          <w:sz w:val="24"/>
          <w:szCs w:val="24"/>
        </w:rPr>
        <w:t>when compar</w:t>
      </w:r>
      <w:r w:rsidR="0081222E">
        <w:rPr>
          <w:rFonts w:asciiTheme="minorHAnsi" w:hAnsiTheme="minorHAnsi" w:cstheme="minorHAnsi"/>
          <w:sz w:val="24"/>
          <w:szCs w:val="24"/>
        </w:rPr>
        <w:t>ing Bluefield students</w:t>
      </w:r>
      <w:r w:rsidR="00DF1A65">
        <w:rPr>
          <w:rFonts w:asciiTheme="minorHAnsi" w:hAnsiTheme="minorHAnsi" w:cstheme="minorHAnsi"/>
          <w:sz w:val="24"/>
          <w:szCs w:val="24"/>
        </w:rPr>
        <w:t xml:space="preserve">, the </w:t>
      </w:r>
      <w:r w:rsidR="0081222E">
        <w:rPr>
          <w:rFonts w:asciiTheme="minorHAnsi" w:hAnsiTheme="minorHAnsi" w:cstheme="minorHAnsi"/>
          <w:sz w:val="24"/>
          <w:szCs w:val="24"/>
        </w:rPr>
        <w:t xml:space="preserve">curriculum choices offered and the results achieved </w:t>
      </w:r>
      <w:r w:rsidR="00DF1A65">
        <w:rPr>
          <w:rFonts w:asciiTheme="minorHAnsi" w:hAnsiTheme="minorHAnsi" w:cstheme="minorHAnsi"/>
          <w:sz w:val="24"/>
          <w:szCs w:val="24"/>
        </w:rPr>
        <w:t xml:space="preserve">there </w:t>
      </w:r>
      <w:r w:rsidR="0081222E">
        <w:rPr>
          <w:rFonts w:asciiTheme="minorHAnsi" w:hAnsiTheme="minorHAnsi" w:cstheme="minorHAnsi"/>
          <w:sz w:val="24"/>
          <w:szCs w:val="24"/>
        </w:rPr>
        <w:t>to</w:t>
      </w:r>
      <w:r>
        <w:rPr>
          <w:rFonts w:asciiTheme="minorHAnsi" w:hAnsiTheme="minorHAnsi" w:cstheme="minorHAnsi"/>
          <w:sz w:val="24"/>
          <w:szCs w:val="24"/>
        </w:rPr>
        <w:t xml:space="preserve"> </w:t>
      </w:r>
      <w:r w:rsidR="0081222E">
        <w:rPr>
          <w:rFonts w:asciiTheme="minorHAnsi" w:hAnsiTheme="minorHAnsi" w:cstheme="minorHAnsi"/>
          <w:sz w:val="24"/>
          <w:szCs w:val="24"/>
        </w:rPr>
        <w:t xml:space="preserve">those of students in </w:t>
      </w:r>
      <w:r>
        <w:rPr>
          <w:rFonts w:asciiTheme="minorHAnsi" w:hAnsiTheme="minorHAnsi" w:cstheme="minorHAnsi"/>
          <w:sz w:val="24"/>
          <w:szCs w:val="24"/>
        </w:rPr>
        <w:t>other schools</w:t>
      </w:r>
      <w:r w:rsidR="00DF1A65">
        <w:rPr>
          <w:rFonts w:asciiTheme="minorHAnsi" w:hAnsiTheme="minorHAnsi" w:cstheme="minorHAnsi"/>
          <w:sz w:val="24"/>
          <w:szCs w:val="24"/>
        </w:rPr>
        <w:t>, we may come to a different conclusion</w:t>
      </w:r>
      <w:r>
        <w:rPr>
          <w:rFonts w:asciiTheme="minorHAnsi" w:hAnsiTheme="minorHAnsi" w:cstheme="minorHAnsi"/>
          <w:sz w:val="24"/>
          <w:szCs w:val="24"/>
        </w:rPr>
        <w:t xml:space="preserve">. </w:t>
      </w:r>
    </w:p>
    <w:p w14:paraId="4A7AAAD1" w14:textId="3761BA08" w:rsidR="00052646" w:rsidRDefault="002C1994" w:rsidP="00D5396E">
      <w:pPr>
        <w:spacing w:line="360" w:lineRule="auto"/>
        <w:rPr>
          <w:sz w:val="24"/>
          <w:szCs w:val="24"/>
        </w:rPr>
      </w:pPr>
      <w:r>
        <w:rPr>
          <w:rFonts w:asciiTheme="minorHAnsi" w:hAnsiTheme="minorHAnsi" w:cstheme="minorHAnsi"/>
          <w:sz w:val="24"/>
          <w:szCs w:val="24"/>
        </w:rPr>
        <w:t>Yellowfield resist</w:t>
      </w:r>
      <w:r w:rsidR="00AB32AC">
        <w:rPr>
          <w:rFonts w:asciiTheme="minorHAnsi" w:hAnsiTheme="minorHAnsi" w:cstheme="minorHAnsi"/>
          <w:sz w:val="24"/>
          <w:szCs w:val="24"/>
        </w:rPr>
        <w:t xml:space="preserve">ed </w:t>
      </w:r>
      <w:r>
        <w:rPr>
          <w:rFonts w:asciiTheme="minorHAnsi" w:hAnsiTheme="minorHAnsi" w:cstheme="minorHAnsi"/>
          <w:sz w:val="24"/>
          <w:szCs w:val="24"/>
        </w:rPr>
        <w:t>the EBac and emphasised a desire to continue to offer the most appropriate curriculum to their students. This was</w:t>
      </w:r>
      <w:r w:rsidR="00DF1A65">
        <w:rPr>
          <w:rFonts w:asciiTheme="minorHAnsi" w:hAnsiTheme="minorHAnsi" w:cstheme="minorHAnsi"/>
          <w:sz w:val="24"/>
          <w:szCs w:val="24"/>
        </w:rPr>
        <w:t>,</w:t>
      </w:r>
      <w:r w:rsidR="00052646">
        <w:rPr>
          <w:rFonts w:asciiTheme="minorHAnsi" w:hAnsiTheme="minorHAnsi" w:cstheme="minorHAnsi"/>
          <w:sz w:val="24"/>
          <w:szCs w:val="24"/>
        </w:rPr>
        <w:t xml:space="preserve"> however</w:t>
      </w:r>
      <w:r w:rsidR="00DF1A65">
        <w:rPr>
          <w:rFonts w:asciiTheme="minorHAnsi" w:hAnsiTheme="minorHAnsi" w:cstheme="minorHAnsi"/>
          <w:sz w:val="24"/>
          <w:szCs w:val="24"/>
        </w:rPr>
        <w:t>,</w:t>
      </w:r>
      <w:r w:rsidR="00052646">
        <w:rPr>
          <w:rFonts w:asciiTheme="minorHAnsi" w:hAnsiTheme="minorHAnsi" w:cstheme="minorHAnsi"/>
          <w:sz w:val="24"/>
          <w:szCs w:val="24"/>
        </w:rPr>
        <w:t xml:space="preserve"> a pragmatic resistance</w:t>
      </w:r>
      <w:r w:rsidR="00DF1A65">
        <w:rPr>
          <w:rFonts w:asciiTheme="minorHAnsi" w:hAnsiTheme="minorHAnsi" w:cstheme="minorHAnsi"/>
          <w:sz w:val="24"/>
          <w:szCs w:val="24"/>
        </w:rPr>
        <w:t>;</w:t>
      </w:r>
      <w:r w:rsidR="00A93BD0">
        <w:rPr>
          <w:rFonts w:asciiTheme="minorHAnsi" w:hAnsiTheme="minorHAnsi" w:cstheme="minorHAnsi"/>
          <w:sz w:val="24"/>
          <w:szCs w:val="24"/>
        </w:rPr>
        <w:t xml:space="preserve"> they</w:t>
      </w:r>
      <w:r w:rsidR="00052646">
        <w:rPr>
          <w:rFonts w:asciiTheme="minorHAnsi" w:hAnsiTheme="minorHAnsi" w:cstheme="minorHAnsi"/>
          <w:sz w:val="24"/>
          <w:szCs w:val="24"/>
        </w:rPr>
        <w:t xml:space="preserve"> </w:t>
      </w:r>
      <w:r w:rsidR="00DF1A65">
        <w:rPr>
          <w:rFonts w:asciiTheme="minorHAnsi" w:hAnsiTheme="minorHAnsi" w:cstheme="minorHAnsi"/>
          <w:sz w:val="24"/>
          <w:szCs w:val="24"/>
        </w:rPr>
        <w:t xml:space="preserve">nonetheless </w:t>
      </w:r>
      <w:r w:rsidR="00052646">
        <w:rPr>
          <w:rFonts w:asciiTheme="minorHAnsi" w:hAnsiTheme="minorHAnsi" w:cstheme="minorHAnsi"/>
          <w:sz w:val="24"/>
          <w:szCs w:val="24"/>
        </w:rPr>
        <w:t>ensur</w:t>
      </w:r>
      <w:r w:rsidR="00A93BD0">
        <w:rPr>
          <w:rFonts w:asciiTheme="minorHAnsi" w:hAnsiTheme="minorHAnsi" w:cstheme="minorHAnsi"/>
          <w:sz w:val="24"/>
          <w:szCs w:val="24"/>
        </w:rPr>
        <w:t>ed</w:t>
      </w:r>
      <w:r w:rsidR="00052646">
        <w:rPr>
          <w:rFonts w:asciiTheme="minorHAnsi" w:hAnsiTheme="minorHAnsi" w:cstheme="minorHAnsi"/>
          <w:sz w:val="24"/>
          <w:szCs w:val="24"/>
        </w:rPr>
        <w:t xml:space="preserve"> that students were prepared and offered the EBac so as “not to disadvantage the students” (Susan</w:t>
      </w:r>
      <w:r w:rsidR="00DF1A65">
        <w:rPr>
          <w:rFonts w:asciiTheme="minorHAnsi" w:hAnsiTheme="minorHAnsi" w:cstheme="minorHAnsi"/>
          <w:sz w:val="24"/>
          <w:szCs w:val="24"/>
        </w:rPr>
        <w:t>,</w:t>
      </w:r>
      <w:r w:rsidR="00052646">
        <w:rPr>
          <w:rFonts w:asciiTheme="minorHAnsi" w:hAnsiTheme="minorHAnsi" w:cstheme="minorHAnsi"/>
          <w:sz w:val="24"/>
          <w:szCs w:val="24"/>
        </w:rPr>
        <w:t xml:space="preserve"> Y</w:t>
      </w:r>
      <w:r w:rsidR="006364D3">
        <w:rPr>
          <w:rFonts w:asciiTheme="minorHAnsi" w:hAnsiTheme="minorHAnsi" w:cstheme="minorHAnsi"/>
          <w:sz w:val="24"/>
          <w:szCs w:val="24"/>
        </w:rPr>
        <w:t>ellowfield</w:t>
      </w:r>
      <w:r w:rsidR="00052646">
        <w:rPr>
          <w:rFonts w:asciiTheme="minorHAnsi" w:hAnsiTheme="minorHAnsi" w:cstheme="minorHAnsi"/>
          <w:sz w:val="24"/>
          <w:szCs w:val="24"/>
        </w:rPr>
        <w:t>/DH</w:t>
      </w:r>
      <w:r w:rsidR="006364D3">
        <w:rPr>
          <w:rFonts w:asciiTheme="minorHAnsi" w:hAnsiTheme="minorHAnsi" w:cstheme="minorHAnsi"/>
          <w:sz w:val="24"/>
          <w:szCs w:val="24"/>
        </w:rPr>
        <w:t>,</w:t>
      </w:r>
      <w:r w:rsidR="00052646">
        <w:rPr>
          <w:rFonts w:asciiTheme="minorHAnsi" w:hAnsiTheme="minorHAnsi" w:cstheme="minorHAnsi"/>
          <w:sz w:val="24"/>
          <w:szCs w:val="24"/>
        </w:rPr>
        <w:t xml:space="preserve"> p.5).</w:t>
      </w:r>
      <w:r w:rsidR="00A93BD0">
        <w:rPr>
          <w:rFonts w:asciiTheme="minorHAnsi" w:hAnsiTheme="minorHAnsi" w:cstheme="minorHAnsi"/>
          <w:sz w:val="24"/>
          <w:szCs w:val="24"/>
        </w:rPr>
        <w:t xml:space="preserve"> </w:t>
      </w:r>
      <w:r w:rsidR="00052646" w:rsidRPr="00052646">
        <w:rPr>
          <w:sz w:val="24"/>
          <w:szCs w:val="24"/>
        </w:rPr>
        <w:t>In complying with the EBac</w:t>
      </w:r>
      <w:r w:rsidR="00052646">
        <w:rPr>
          <w:sz w:val="24"/>
          <w:szCs w:val="24"/>
        </w:rPr>
        <w:t>, Purplefield underwent the most radical curriculum change, closing down vocational routes and moving to a full EBac curriculum</w:t>
      </w:r>
      <w:r w:rsidR="00C414AF">
        <w:rPr>
          <w:sz w:val="24"/>
          <w:szCs w:val="24"/>
        </w:rPr>
        <w:t xml:space="preserve">. </w:t>
      </w:r>
      <w:r w:rsidR="00052646">
        <w:rPr>
          <w:sz w:val="24"/>
          <w:szCs w:val="24"/>
        </w:rPr>
        <w:t>This present</w:t>
      </w:r>
      <w:r w:rsidR="00DF1A65">
        <w:rPr>
          <w:sz w:val="24"/>
          <w:szCs w:val="24"/>
        </w:rPr>
        <w:t>ed</w:t>
      </w:r>
      <w:r w:rsidR="00052646">
        <w:rPr>
          <w:sz w:val="24"/>
          <w:szCs w:val="24"/>
        </w:rPr>
        <w:t xml:space="preserve"> an equality challenge for the school</w:t>
      </w:r>
      <w:r w:rsidR="00DF1A65">
        <w:rPr>
          <w:sz w:val="24"/>
          <w:szCs w:val="24"/>
        </w:rPr>
        <w:t>,</w:t>
      </w:r>
      <w:r w:rsidR="00052646">
        <w:rPr>
          <w:sz w:val="24"/>
          <w:szCs w:val="24"/>
        </w:rPr>
        <w:t xml:space="preserve"> as </w:t>
      </w:r>
      <w:r w:rsidR="00AB32AC">
        <w:rPr>
          <w:sz w:val="24"/>
          <w:szCs w:val="24"/>
        </w:rPr>
        <w:t xml:space="preserve">those studying at the time of the EBac policy </w:t>
      </w:r>
      <w:r w:rsidR="00052646">
        <w:rPr>
          <w:sz w:val="24"/>
          <w:szCs w:val="24"/>
        </w:rPr>
        <w:t xml:space="preserve">were presented with very different choices and experiences compared to previous students. </w:t>
      </w:r>
    </w:p>
    <w:p w14:paraId="399955BB" w14:textId="2708889D" w:rsidR="00052646" w:rsidRDefault="00052646" w:rsidP="00CA3A4A">
      <w:pPr>
        <w:spacing w:line="360" w:lineRule="auto"/>
        <w:rPr>
          <w:sz w:val="24"/>
          <w:szCs w:val="24"/>
        </w:rPr>
      </w:pPr>
      <w:r>
        <w:rPr>
          <w:sz w:val="24"/>
          <w:szCs w:val="24"/>
        </w:rPr>
        <w:t>Finally Redfield</w:t>
      </w:r>
      <w:r w:rsidR="00DF1A65">
        <w:rPr>
          <w:sz w:val="24"/>
          <w:szCs w:val="24"/>
        </w:rPr>
        <w:t>,</w:t>
      </w:r>
      <w:r>
        <w:rPr>
          <w:sz w:val="24"/>
          <w:szCs w:val="24"/>
        </w:rPr>
        <w:t xml:space="preserve"> with </w:t>
      </w:r>
      <w:r w:rsidR="00DF1A65">
        <w:rPr>
          <w:sz w:val="24"/>
          <w:szCs w:val="24"/>
        </w:rPr>
        <w:t xml:space="preserve">its </w:t>
      </w:r>
      <w:r>
        <w:rPr>
          <w:sz w:val="24"/>
          <w:szCs w:val="24"/>
        </w:rPr>
        <w:t>confused approach to the EBac</w:t>
      </w:r>
      <w:r w:rsidR="00DF1A65">
        <w:rPr>
          <w:sz w:val="24"/>
          <w:szCs w:val="24"/>
        </w:rPr>
        <w:t>,</w:t>
      </w:r>
      <w:r w:rsidR="00C414AF">
        <w:rPr>
          <w:sz w:val="24"/>
          <w:szCs w:val="24"/>
        </w:rPr>
        <w:t xml:space="preserve"> left many decisions to individual teachers</w:t>
      </w:r>
      <w:r w:rsidR="00DF1A65">
        <w:rPr>
          <w:sz w:val="24"/>
          <w:szCs w:val="24"/>
        </w:rPr>
        <w:t>,</w:t>
      </w:r>
      <w:r w:rsidR="00C414AF">
        <w:rPr>
          <w:sz w:val="24"/>
          <w:szCs w:val="24"/>
        </w:rPr>
        <w:t xml:space="preserve"> which ultimately undermined the </w:t>
      </w:r>
      <w:r w:rsidR="00F0252B">
        <w:rPr>
          <w:sz w:val="24"/>
          <w:szCs w:val="24"/>
        </w:rPr>
        <w:t>school</w:t>
      </w:r>
      <w:r w:rsidR="00AB32AC">
        <w:rPr>
          <w:sz w:val="24"/>
          <w:szCs w:val="24"/>
        </w:rPr>
        <w:t>’s</w:t>
      </w:r>
      <w:r w:rsidR="00F0252B">
        <w:rPr>
          <w:sz w:val="24"/>
          <w:szCs w:val="24"/>
        </w:rPr>
        <w:t xml:space="preserve"> </w:t>
      </w:r>
      <w:r w:rsidR="00AB32AC">
        <w:rPr>
          <w:sz w:val="24"/>
          <w:szCs w:val="24"/>
        </w:rPr>
        <w:t xml:space="preserve">stated </w:t>
      </w:r>
      <w:r w:rsidR="00C414AF">
        <w:rPr>
          <w:sz w:val="24"/>
          <w:szCs w:val="24"/>
        </w:rPr>
        <w:t xml:space="preserve">position </w:t>
      </w:r>
      <w:r w:rsidR="00955771">
        <w:rPr>
          <w:sz w:val="24"/>
          <w:szCs w:val="24"/>
        </w:rPr>
        <w:t xml:space="preserve">that </w:t>
      </w:r>
      <w:r w:rsidR="00AB32AC">
        <w:rPr>
          <w:sz w:val="24"/>
          <w:szCs w:val="24"/>
        </w:rPr>
        <w:t>the</w:t>
      </w:r>
      <w:r w:rsidR="0081222E">
        <w:rPr>
          <w:sz w:val="24"/>
          <w:szCs w:val="24"/>
        </w:rPr>
        <w:t xml:space="preserve"> </w:t>
      </w:r>
      <w:r w:rsidR="00C414AF">
        <w:rPr>
          <w:sz w:val="24"/>
          <w:szCs w:val="24"/>
        </w:rPr>
        <w:t xml:space="preserve">EBac </w:t>
      </w:r>
      <w:r w:rsidR="00F0252B">
        <w:rPr>
          <w:sz w:val="24"/>
          <w:szCs w:val="24"/>
        </w:rPr>
        <w:t>provid</w:t>
      </w:r>
      <w:r w:rsidR="00AB32AC">
        <w:rPr>
          <w:sz w:val="24"/>
          <w:szCs w:val="24"/>
        </w:rPr>
        <w:t>ed</w:t>
      </w:r>
      <w:r w:rsidR="00C414AF">
        <w:rPr>
          <w:sz w:val="24"/>
          <w:szCs w:val="24"/>
        </w:rPr>
        <w:t xml:space="preserve"> the academic pathway for the school. The inaccurate information</w:t>
      </w:r>
      <w:r w:rsidR="00F0252B">
        <w:rPr>
          <w:sz w:val="24"/>
          <w:szCs w:val="24"/>
        </w:rPr>
        <w:t xml:space="preserve"> </w:t>
      </w:r>
      <w:r w:rsidR="00C414AF">
        <w:rPr>
          <w:sz w:val="24"/>
          <w:szCs w:val="24"/>
        </w:rPr>
        <w:t xml:space="preserve">caused students to </w:t>
      </w:r>
      <w:r w:rsidR="001D565B">
        <w:rPr>
          <w:sz w:val="24"/>
          <w:szCs w:val="24"/>
        </w:rPr>
        <w:t>study</w:t>
      </w:r>
      <w:r w:rsidR="00C414AF">
        <w:rPr>
          <w:sz w:val="24"/>
          <w:szCs w:val="24"/>
        </w:rPr>
        <w:t xml:space="preserve"> the wrong courses</w:t>
      </w:r>
      <w:r w:rsidR="0081222E">
        <w:rPr>
          <w:sz w:val="24"/>
          <w:szCs w:val="24"/>
        </w:rPr>
        <w:t xml:space="preserve"> and</w:t>
      </w:r>
      <w:r w:rsidR="00C414AF">
        <w:rPr>
          <w:sz w:val="24"/>
          <w:szCs w:val="24"/>
        </w:rPr>
        <w:t xml:space="preserve"> the influence of teachers when directing or redirecting students to particular subjects create</w:t>
      </w:r>
      <w:r w:rsidR="00DF1A65">
        <w:rPr>
          <w:sz w:val="24"/>
          <w:szCs w:val="24"/>
        </w:rPr>
        <w:t>d</w:t>
      </w:r>
      <w:r w:rsidR="00C414AF">
        <w:rPr>
          <w:sz w:val="24"/>
          <w:szCs w:val="24"/>
        </w:rPr>
        <w:t xml:space="preserve"> unfairness and bias</w:t>
      </w:r>
      <w:r w:rsidR="0081222E">
        <w:rPr>
          <w:sz w:val="24"/>
          <w:szCs w:val="24"/>
        </w:rPr>
        <w:t xml:space="preserve"> in</w:t>
      </w:r>
      <w:r w:rsidR="00C414AF">
        <w:rPr>
          <w:sz w:val="24"/>
          <w:szCs w:val="24"/>
        </w:rPr>
        <w:t xml:space="preserve"> </w:t>
      </w:r>
      <w:r w:rsidR="0081222E">
        <w:rPr>
          <w:sz w:val="24"/>
          <w:szCs w:val="24"/>
        </w:rPr>
        <w:t xml:space="preserve">EBac </w:t>
      </w:r>
      <w:r w:rsidR="00C414AF">
        <w:rPr>
          <w:sz w:val="24"/>
          <w:szCs w:val="24"/>
        </w:rPr>
        <w:t>access.</w:t>
      </w:r>
    </w:p>
    <w:p w14:paraId="3541A393" w14:textId="77777777" w:rsidR="005260BE" w:rsidRDefault="005260BE" w:rsidP="00CA3A4A">
      <w:pPr>
        <w:spacing w:line="360" w:lineRule="auto"/>
        <w:rPr>
          <w:b/>
          <w:sz w:val="24"/>
          <w:szCs w:val="24"/>
        </w:rPr>
      </w:pPr>
    </w:p>
    <w:p w14:paraId="39A9FCF8" w14:textId="7101421A" w:rsidR="006F1E14" w:rsidRPr="00496468" w:rsidRDefault="00057C15" w:rsidP="00531995">
      <w:pPr>
        <w:pStyle w:val="Heading3"/>
      </w:pPr>
      <w:bookmarkStart w:id="101" w:name="_Toc452316384"/>
      <w:r w:rsidRPr="00496468">
        <w:lastRenderedPageBreak/>
        <w:t>4.4.6 Conclusion</w:t>
      </w:r>
      <w:bookmarkEnd w:id="101"/>
    </w:p>
    <w:p w14:paraId="01134310" w14:textId="2479154B" w:rsidR="00434C20" w:rsidRDefault="001275AB" w:rsidP="006364D3">
      <w:pPr>
        <w:tabs>
          <w:tab w:val="left" w:pos="8789"/>
        </w:tabs>
        <w:spacing w:after="0" w:line="360" w:lineRule="auto"/>
        <w:rPr>
          <w:sz w:val="24"/>
          <w:szCs w:val="24"/>
        </w:rPr>
      </w:pPr>
      <w:r w:rsidRPr="00496468">
        <w:rPr>
          <w:sz w:val="24"/>
          <w:szCs w:val="24"/>
        </w:rPr>
        <w:t xml:space="preserve">My </w:t>
      </w:r>
      <w:r w:rsidR="001F20ED" w:rsidRPr="00496468">
        <w:rPr>
          <w:sz w:val="24"/>
          <w:szCs w:val="24"/>
        </w:rPr>
        <w:t xml:space="preserve">analysis </w:t>
      </w:r>
      <w:r w:rsidR="00EF1DEF" w:rsidRPr="00496468">
        <w:rPr>
          <w:sz w:val="24"/>
          <w:szCs w:val="24"/>
        </w:rPr>
        <w:t>has</w:t>
      </w:r>
      <w:r w:rsidR="001F20ED" w:rsidRPr="00496468">
        <w:rPr>
          <w:sz w:val="24"/>
          <w:szCs w:val="24"/>
        </w:rPr>
        <w:t xml:space="preserve"> highlighted a number of key points in relation to my research aims and </w:t>
      </w:r>
      <w:r w:rsidR="0070052B" w:rsidRPr="00496468">
        <w:rPr>
          <w:sz w:val="24"/>
          <w:szCs w:val="24"/>
        </w:rPr>
        <w:t xml:space="preserve">questions concerning what is regarded as </w:t>
      </w:r>
      <w:r w:rsidR="00DF1A65">
        <w:rPr>
          <w:sz w:val="24"/>
          <w:szCs w:val="24"/>
        </w:rPr>
        <w:t>‘</w:t>
      </w:r>
      <w:r w:rsidR="0070052B" w:rsidRPr="00496468">
        <w:rPr>
          <w:sz w:val="24"/>
          <w:szCs w:val="24"/>
        </w:rPr>
        <w:t>legitimate</w:t>
      </w:r>
      <w:r w:rsidR="00DF1A65">
        <w:rPr>
          <w:sz w:val="24"/>
          <w:szCs w:val="24"/>
        </w:rPr>
        <w:t>’</w:t>
      </w:r>
      <w:r w:rsidR="0070052B" w:rsidRPr="00496468">
        <w:rPr>
          <w:sz w:val="24"/>
          <w:szCs w:val="24"/>
        </w:rPr>
        <w:t xml:space="preserve"> knowledge, who should be given access to </w:t>
      </w:r>
      <w:r w:rsidR="00DF1A65">
        <w:rPr>
          <w:sz w:val="24"/>
          <w:szCs w:val="24"/>
        </w:rPr>
        <w:t>it</w:t>
      </w:r>
      <w:r w:rsidR="0070052B" w:rsidRPr="00496468">
        <w:rPr>
          <w:sz w:val="24"/>
          <w:szCs w:val="24"/>
        </w:rPr>
        <w:t xml:space="preserve"> and</w:t>
      </w:r>
      <w:r w:rsidR="00496468">
        <w:rPr>
          <w:sz w:val="24"/>
          <w:szCs w:val="24"/>
        </w:rPr>
        <w:t xml:space="preserve"> if access divisions exist</w:t>
      </w:r>
      <w:r w:rsidR="00DF1A65">
        <w:rPr>
          <w:sz w:val="24"/>
          <w:szCs w:val="24"/>
        </w:rPr>
        <w:t>,</w:t>
      </w:r>
      <w:r w:rsidR="0070052B" w:rsidRPr="00496468">
        <w:rPr>
          <w:sz w:val="24"/>
          <w:szCs w:val="24"/>
        </w:rPr>
        <w:t xml:space="preserve"> what issues of equality </w:t>
      </w:r>
      <w:r w:rsidR="00496468">
        <w:rPr>
          <w:sz w:val="24"/>
          <w:szCs w:val="24"/>
        </w:rPr>
        <w:t xml:space="preserve">such </w:t>
      </w:r>
      <w:r w:rsidR="00955771" w:rsidRPr="00496468">
        <w:rPr>
          <w:sz w:val="24"/>
          <w:szCs w:val="24"/>
        </w:rPr>
        <w:t xml:space="preserve">differential </w:t>
      </w:r>
      <w:r w:rsidR="00AB5436" w:rsidRPr="00496468">
        <w:rPr>
          <w:sz w:val="24"/>
          <w:szCs w:val="24"/>
        </w:rPr>
        <w:t>access creates</w:t>
      </w:r>
      <w:r w:rsidRPr="00496468">
        <w:rPr>
          <w:sz w:val="24"/>
          <w:szCs w:val="24"/>
        </w:rPr>
        <w:t>.</w:t>
      </w:r>
      <w:r w:rsidR="0070052B" w:rsidRPr="00496468">
        <w:rPr>
          <w:sz w:val="24"/>
          <w:szCs w:val="24"/>
        </w:rPr>
        <w:t xml:space="preserve"> </w:t>
      </w:r>
      <w:r w:rsidRPr="00496468">
        <w:rPr>
          <w:sz w:val="24"/>
          <w:szCs w:val="24"/>
        </w:rPr>
        <w:t xml:space="preserve">In my discussion chapter </w:t>
      </w:r>
      <w:r w:rsidR="007B19AE" w:rsidRPr="00496468">
        <w:rPr>
          <w:sz w:val="24"/>
          <w:szCs w:val="24"/>
        </w:rPr>
        <w:t>to follow</w:t>
      </w:r>
      <w:r w:rsidR="00DF1A65">
        <w:rPr>
          <w:sz w:val="24"/>
          <w:szCs w:val="24"/>
        </w:rPr>
        <w:t>,</w:t>
      </w:r>
      <w:r w:rsidR="007B19AE" w:rsidRPr="00496468">
        <w:rPr>
          <w:sz w:val="24"/>
          <w:szCs w:val="24"/>
        </w:rPr>
        <w:t xml:space="preserve"> </w:t>
      </w:r>
      <w:r w:rsidRPr="00496468">
        <w:rPr>
          <w:sz w:val="24"/>
          <w:szCs w:val="24"/>
        </w:rPr>
        <w:t xml:space="preserve">I link </w:t>
      </w:r>
      <w:r w:rsidR="0070052B" w:rsidRPr="00496468">
        <w:rPr>
          <w:sz w:val="24"/>
          <w:szCs w:val="24"/>
        </w:rPr>
        <w:t>my CDA and interview analysis</w:t>
      </w:r>
      <w:r w:rsidR="007B19AE" w:rsidRPr="00496468">
        <w:rPr>
          <w:sz w:val="24"/>
          <w:szCs w:val="24"/>
        </w:rPr>
        <w:t xml:space="preserve"> results</w:t>
      </w:r>
      <w:r w:rsidR="0070052B" w:rsidRPr="00496468">
        <w:rPr>
          <w:sz w:val="24"/>
          <w:szCs w:val="24"/>
        </w:rPr>
        <w:t xml:space="preserve">, referring to the literature </w:t>
      </w:r>
      <w:r w:rsidR="00434C20" w:rsidRPr="00496468">
        <w:rPr>
          <w:sz w:val="24"/>
          <w:szCs w:val="24"/>
        </w:rPr>
        <w:t xml:space="preserve">and </w:t>
      </w:r>
      <w:r w:rsidR="00496468">
        <w:rPr>
          <w:sz w:val="24"/>
          <w:szCs w:val="24"/>
        </w:rPr>
        <w:t>issues arising from my research</w:t>
      </w:r>
      <w:r w:rsidR="00434C20" w:rsidRPr="00496468">
        <w:rPr>
          <w:sz w:val="24"/>
          <w:szCs w:val="24"/>
        </w:rPr>
        <w:t xml:space="preserve"> </w:t>
      </w:r>
      <w:r w:rsidR="001F20ED" w:rsidRPr="00496468">
        <w:rPr>
          <w:sz w:val="24"/>
          <w:szCs w:val="24"/>
        </w:rPr>
        <w:t xml:space="preserve">using Scheurich’s </w:t>
      </w:r>
      <w:r w:rsidR="00DF24E7">
        <w:rPr>
          <w:sz w:val="24"/>
          <w:szCs w:val="24"/>
        </w:rPr>
        <w:t xml:space="preserve">PA </w:t>
      </w:r>
      <w:r w:rsidR="001F20ED" w:rsidRPr="00496468">
        <w:rPr>
          <w:sz w:val="24"/>
          <w:szCs w:val="24"/>
        </w:rPr>
        <w:t xml:space="preserve">framework </w:t>
      </w:r>
      <w:r w:rsidRPr="00496468">
        <w:rPr>
          <w:sz w:val="24"/>
          <w:szCs w:val="24"/>
        </w:rPr>
        <w:t xml:space="preserve">in order to build </w:t>
      </w:r>
      <w:r w:rsidR="007B19AE" w:rsidRPr="00496468">
        <w:rPr>
          <w:sz w:val="24"/>
          <w:szCs w:val="24"/>
        </w:rPr>
        <w:t>a</w:t>
      </w:r>
      <w:r w:rsidRPr="00496468">
        <w:rPr>
          <w:sz w:val="24"/>
          <w:szCs w:val="24"/>
        </w:rPr>
        <w:t xml:space="preserve"> case for my conclusions. </w:t>
      </w:r>
      <w:r w:rsidR="00F24FBB" w:rsidRPr="00496468">
        <w:rPr>
          <w:sz w:val="24"/>
          <w:szCs w:val="24"/>
        </w:rPr>
        <w:t xml:space="preserve">The concept that </w:t>
      </w:r>
      <w:r w:rsidR="00EF1DEF" w:rsidRPr="00496468">
        <w:rPr>
          <w:sz w:val="24"/>
          <w:szCs w:val="24"/>
        </w:rPr>
        <w:t xml:space="preserve">has emerged </w:t>
      </w:r>
      <w:r w:rsidR="0070052B" w:rsidRPr="00496468">
        <w:rPr>
          <w:sz w:val="24"/>
          <w:szCs w:val="24"/>
        </w:rPr>
        <w:t>throughout</w:t>
      </w:r>
      <w:r w:rsidR="00EF1DEF" w:rsidRPr="00496468">
        <w:rPr>
          <w:sz w:val="24"/>
          <w:szCs w:val="24"/>
        </w:rPr>
        <w:t xml:space="preserve"> my analysis </w:t>
      </w:r>
      <w:r w:rsidR="00F24FBB" w:rsidRPr="00496468">
        <w:rPr>
          <w:sz w:val="24"/>
          <w:szCs w:val="24"/>
        </w:rPr>
        <w:t xml:space="preserve">is that </w:t>
      </w:r>
      <w:r w:rsidR="00434C20" w:rsidRPr="00496468">
        <w:rPr>
          <w:sz w:val="24"/>
          <w:szCs w:val="24"/>
        </w:rPr>
        <w:t xml:space="preserve">of ‘ability’ </w:t>
      </w:r>
      <w:r w:rsidR="00496468">
        <w:rPr>
          <w:sz w:val="24"/>
          <w:szCs w:val="24"/>
        </w:rPr>
        <w:t xml:space="preserve">influencing </w:t>
      </w:r>
      <w:r w:rsidR="00434C20" w:rsidRPr="00496468">
        <w:rPr>
          <w:sz w:val="24"/>
          <w:szCs w:val="24"/>
        </w:rPr>
        <w:t>teacher</w:t>
      </w:r>
      <w:r w:rsidR="00DF1A65">
        <w:rPr>
          <w:sz w:val="24"/>
          <w:szCs w:val="24"/>
        </w:rPr>
        <w:t>s’</w:t>
      </w:r>
      <w:r w:rsidR="00434C20" w:rsidRPr="00496468">
        <w:rPr>
          <w:sz w:val="24"/>
          <w:szCs w:val="24"/>
        </w:rPr>
        <w:t xml:space="preserve"> assessment and decision making about students. I explore </w:t>
      </w:r>
      <w:r w:rsidR="00AD56C4" w:rsidRPr="00496468">
        <w:rPr>
          <w:sz w:val="24"/>
          <w:szCs w:val="24"/>
        </w:rPr>
        <w:t xml:space="preserve">the concept of </w:t>
      </w:r>
      <w:r w:rsidR="00434C20" w:rsidRPr="00496468">
        <w:rPr>
          <w:sz w:val="24"/>
          <w:szCs w:val="24"/>
        </w:rPr>
        <w:t xml:space="preserve">‘ability’ using </w:t>
      </w:r>
      <w:r w:rsidR="00F24FBB" w:rsidRPr="00496468">
        <w:rPr>
          <w:sz w:val="24"/>
          <w:szCs w:val="24"/>
        </w:rPr>
        <w:t xml:space="preserve">Foucault’s </w:t>
      </w:r>
      <w:r w:rsidR="00DF1A65">
        <w:rPr>
          <w:sz w:val="24"/>
          <w:szCs w:val="24"/>
        </w:rPr>
        <w:t xml:space="preserve">concept of </w:t>
      </w:r>
      <w:r w:rsidR="00F24FBB" w:rsidRPr="00496468">
        <w:rPr>
          <w:sz w:val="24"/>
          <w:szCs w:val="24"/>
        </w:rPr>
        <w:t>governmentality</w:t>
      </w:r>
      <w:r w:rsidR="00DF1A65">
        <w:rPr>
          <w:sz w:val="24"/>
          <w:szCs w:val="24"/>
        </w:rPr>
        <w:t>,</w:t>
      </w:r>
      <w:r w:rsidR="0070052B" w:rsidRPr="00496468">
        <w:rPr>
          <w:sz w:val="24"/>
          <w:szCs w:val="24"/>
        </w:rPr>
        <w:t xml:space="preserve"> which I have articulated </w:t>
      </w:r>
      <w:r w:rsidR="00434C20" w:rsidRPr="00496468">
        <w:rPr>
          <w:sz w:val="24"/>
          <w:szCs w:val="24"/>
        </w:rPr>
        <w:t xml:space="preserve">within my study </w:t>
      </w:r>
      <w:r w:rsidR="00AD56C4" w:rsidRPr="00496468">
        <w:rPr>
          <w:sz w:val="24"/>
          <w:szCs w:val="24"/>
        </w:rPr>
        <w:t>through three frameworks</w:t>
      </w:r>
      <w:r w:rsidR="00DF1A65">
        <w:rPr>
          <w:sz w:val="24"/>
          <w:szCs w:val="24"/>
        </w:rPr>
        <w:t>, namely</w:t>
      </w:r>
      <w:r w:rsidR="00AD56C4" w:rsidRPr="00496468">
        <w:rPr>
          <w:sz w:val="24"/>
          <w:szCs w:val="24"/>
        </w:rPr>
        <w:t xml:space="preserve"> </w:t>
      </w:r>
      <w:r w:rsidR="001D19CB">
        <w:rPr>
          <w:sz w:val="24"/>
          <w:szCs w:val="24"/>
        </w:rPr>
        <w:t>Clarke’s ‘datafication’ (1988</w:t>
      </w:r>
      <w:r w:rsidR="0070052B" w:rsidRPr="00496468">
        <w:rPr>
          <w:sz w:val="24"/>
          <w:szCs w:val="24"/>
        </w:rPr>
        <w:t xml:space="preserve">), Rose’s discussion of </w:t>
      </w:r>
      <w:r w:rsidR="00434C20" w:rsidRPr="00496468">
        <w:rPr>
          <w:sz w:val="24"/>
          <w:szCs w:val="24"/>
        </w:rPr>
        <w:t>self-surveillance</w:t>
      </w:r>
      <w:r w:rsidR="0070052B" w:rsidRPr="00496468">
        <w:rPr>
          <w:sz w:val="24"/>
          <w:szCs w:val="24"/>
        </w:rPr>
        <w:t xml:space="preserve"> and internalised behaviour (1999) and Billington’s </w:t>
      </w:r>
      <w:r w:rsidR="00434C20" w:rsidRPr="00496468">
        <w:rPr>
          <w:sz w:val="24"/>
          <w:szCs w:val="24"/>
        </w:rPr>
        <w:t>labelling</w:t>
      </w:r>
      <w:r w:rsidR="0070052B" w:rsidRPr="00496468">
        <w:rPr>
          <w:sz w:val="24"/>
          <w:szCs w:val="24"/>
        </w:rPr>
        <w:t xml:space="preserve"> of children (2000)</w:t>
      </w:r>
      <w:r w:rsidR="00A07A06" w:rsidRPr="00496468">
        <w:rPr>
          <w:sz w:val="24"/>
          <w:szCs w:val="24"/>
        </w:rPr>
        <w:t xml:space="preserve">. I also consider recent </w:t>
      </w:r>
      <w:r w:rsidR="00AD56C4" w:rsidRPr="00496468">
        <w:rPr>
          <w:sz w:val="24"/>
          <w:szCs w:val="24"/>
        </w:rPr>
        <w:t xml:space="preserve">research </w:t>
      </w:r>
      <w:r w:rsidR="00A07A06" w:rsidRPr="00496468">
        <w:rPr>
          <w:sz w:val="24"/>
          <w:szCs w:val="24"/>
        </w:rPr>
        <w:t xml:space="preserve"> </w:t>
      </w:r>
      <w:r w:rsidR="00AD56C4" w:rsidRPr="00496468">
        <w:rPr>
          <w:sz w:val="24"/>
          <w:szCs w:val="24"/>
        </w:rPr>
        <w:t xml:space="preserve"> about</w:t>
      </w:r>
      <w:r w:rsidR="00A07A06" w:rsidRPr="00496468">
        <w:rPr>
          <w:sz w:val="24"/>
          <w:szCs w:val="24"/>
        </w:rPr>
        <w:t xml:space="preserve"> the impact of neoliberal global policy approaches</w:t>
      </w:r>
      <w:r w:rsidR="00DF1A65">
        <w:rPr>
          <w:sz w:val="24"/>
          <w:szCs w:val="24"/>
        </w:rPr>
        <w:t>,</w:t>
      </w:r>
      <w:r w:rsidR="00A07A06" w:rsidRPr="00496468">
        <w:rPr>
          <w:sz w:val="24"/>
          <w:szCs w:val="24"/>
        </w:rPr>
        <w:t xml:space="preserve"> which focus on high-stakes testing</w:t>
      </w:r>
      <w:r w:rsidR="00AD56C4" w:rsidRPr="00496468">
        <w:rPr>
          <w:sz w:val="24"/>
          <w:szCs w:val="24"/>
        </w:rPr>
        <w:t xml:space="preserve"> (Lingard </w:t>
      </w:r>
      <w:r w:rsidR="00DF1A65">
        <w:rPr>
          <w:sz w:val="24"/>
          <w:szCs w:val="24"/>
        </w:rPr>
        <w:t>and</w:t>
      </w:r>
      <w:r w:rsidR="00AD56C4" w:rsidRPr="00496468">
        <w:rPr>
          <w:sz w:val="24"/>
          <w:szCs w:val="24"/>
        </w:rPr>
        <w:t xml:space="preserve"> Sellar, 2013; Lingard et al</w:t>
      </w:r>
      <w:r w:rsidR="00DF1A65">
        <w:rPr>
          <w:sz w:val="24"/>
          <w:szCs w:val="24"/>
        </w:rPr>
        <w:t>.</w:t>
      </w:r>
      <w:r w:rsidR="00AD56C4" w:rsidRPr="00496468">
        <w:rPr>
          <w:sz w:val="24"/>
          <w:szCs w:val="24"/>
        </w:rPr>
        <w:t>, 2013</w:t>
      </w:r>
      <w:r w:rsidR="00DF1A65">
        <w:rPr>
          <w:sz w:val="24"/>
          <w:szCs w:val="24"/>
        </w:rPr>
        <w:t>;</w:t>
      </w:r>
      <w:r w:rsidR="0075787A">
        <w:rPr>
          <w:sz w:val="24"/>
          <w:szCs w:val="24"/>
        </w:rPr>
        <w:t xml:space="preserve"> </w:t>
      </w:r>
      <w:r w:rsidR="00AD56C4" w:rsidRPr="00496468">
        <w:rPr>
          <w:sz w:val="24"/>
          <w:szCs w:val="24"/>
        </w:rPr>
        <w:t>2014; Ball et al</w:t>
      </w:r>
      <w:r w:rsidR="00DF1A65">
        <w:rPr>
          <w:sz w:val="24"/>
          <w:szCs w:val="24"/>
        </w:rPr>
        <w:t>.</w:t>
      </w:r>
      <w:r w:rsidR="00AD56C4" w:rsidRPr="00496468">
        <w:rPr>
          <w:sz w:val="24"/>
          <w:szCs w:val="24"/>
        </w:rPr>
        <w:t>, 2012</w:t>
      </w:r>
      <w:r w:rsidR="00DF1A65">
        <w:rPr>
          <w:sz w:val="24"/>
          <w:szCs w:val="24"/>
        </w:rPr>
        <w:t xml:space="preserve">; </w:t>
      </w:r>
      <w:r w:rsidR="00AD56C4" w:rsidRPr="00496468">
        <w:rPr>
          <w:sz w:val="24"/>
          <w:szCs w:val="24"/>
        </w:rPr>
        <w:t>Angus, 2012)</w:t>
      </w:r>
      <w:r w:rsidR="00F24FBB" w:rsidRPr="00496468">
        <w:rPr>
          <w:sz w:val="24"/>
          <w:szCs w:val="24"/>
        </w:rPr>
        <w:t xml:space="preserve">. I consider how the surveillance and control of schools may have created a situation whereby the </w:t>
      </w:r>
      <w:r w:rsidR="00496468">
        <w:rPr>
          <w:sz w:val="24"/>
          <w:szCs w:val="24"/>
        </w:rPr>
        <w:t xml:space="preserve">goals </w:t>
      </w:r>
      <w:r w:rsidR="00F24FBB" w:rsidRPr="00496468">
        <w:rPr>
          <w:sz w:val="24"/>
          <w:szCs w:val="24"/>
        </w:rPr>
        <w:t xml:space="preserve">of the EBac policy could not be </w:t>
      </w:r>
      <w:r w:rsidR="00AD56C4" w:rsidRPr="00496468">
        <w:rPr>
          <w:sz w:val="24"/>
          <w:szCs w:val="24"/>
        </w:rPr>
        <w:t xml:space="preserve">achieved </w:t>
      </w:r>
      <w:r w:rsidR="00F24FBB" w:rsidRPr="00496468">
        <w:rPr>
          <w:sz w:val="24"/>
          <w:szCs w:val="24"/>
        </w:rPr>
        <w:t>due to the nature of control exerted by</w:t>
      </w:r>
      <w:r w:rsidR="0054306F">
        <w:rPr>
          <w:sz w:val="24"/>
          <w:szCs w:val="24"/>
        </w:rPr>
        <w:t xml:space="preserve"> </w:t>
      </w:r>
      <w:r w:rsidR="00F24FBB" w:rsidRPr="00496468">
        <w:rPr>
          <w:sz w:val="24"/>
          <w:szCs w:val="24"/>
        </w:rPr>
        <w:t>performance measures</w:t>
      </w:r>
      <w:r w:rsidR="0054306F">
        <w:rPr>
          <w:sz w:val="24"/>
          <w:szCs w:val="24"/>
        </w:rPr>
        <w:t>, of which the EBac is one</w:t>
      </w:r>
      <w:r w:rsidR="00F24FBB" w:rsidRPr="00496468">
        <w:rPr>
          <w:sz w:val="24"/>
          <w:szCs w:val="24"/>
        </w:rPr>
        <w:t>.</w:t>
      </w:r>
      <w:r w:rsidR="00434C20" w:rsidRPr="00496468">
        <w:rPr>
          <w:sz w:val="24"/>
          <w:szCs w:val="24"/>
        </w:rPr>
        <w:t xml:space="preserve"> In </w:t>
      </w:r>
      <w:r w:rsidR="0054306F">
        <w:rPr>
          <w:sz w:val="24"/>
          <w:szCs w:val="24"/>
        </w:rPr>
        <w:t>C</w:t>
      </w:r>
      <w:r w:rsidR="00434C20" w:rsidRPr="00496468">
        <w:rPr>
          <w:sz w:val="24"/>
          <w:szCs w:val="24"/>
        </w:rPr>
        <w:t>hapter 5</w:t>
      </w:r>
      <w:r w:rsidR="0054306F">
        <w:rPr>
          <w:sz w:val="24"/>
          <w:szCs w:val="24"/>
        </w:rPr>
        <w:t>,</w:t>
      </w:r>
      <w:r w:rsidR="00434C20" w:rsidRPr="00496468">
        <w:rPr>
          <w:sz w:val="24"/>
          <w:szCs w:val="24"/>
        </w:rPr>
        <w:t xml:space="preserve"> I </w:t>
      </w:r>
      <w:r w:rsidR="00AD56C4" w:rsidRPr="00496468">
        <w:rPr>
          <w:sz w:val="24"/>
          <w:szCs w:val="24"/>
        </w:rPr>
        <w:t xml:space="preserve">also </w:t>
      </w:r>
      <w:r w:rsidR="00434C20" w:rsidRPr="00496468">
        <w:rPr>
          <w:sz w:val="24"/>
          <w:szCs w:val="24"/>
        </w:rPr>
        <w:t xml:space="preserve">apply Scheurich’s </w:t>
      </w:r>
      <w:r w:rsidR="00DF24E7">
        <w:rPr>
          <w:sz w:val="24"/>
          <w:szCs w:val="24"/>
        </w:rPr>
        <w:t xml:space="preserve">PA </w:t>
      </w:r>
      <w:r w:rsidR="00434C20" w:rsidRPr="00496468">
        <w:rPr>
          <w:sz w:val="24"/>
          <w:szCs w:val="24"/>
        </w:rPr>
        <w:t xml:space="preserve">framework to my analysis and explore the </w:t>
      </w:r>
      <w:r w:rsidR="00A07A06" w:rsidRPr="00496468">
        <w:rPr>
          <w:sz w:val="24"/>
          <w:szCs w:val="24"/>
        </w:rPr>
        <w:t>concept of ‘ability’ within a discourse</w:t>
      </w:r>
      <w:r w:rsidR="005B7DFE" w:rsidRPr="00496468">
        <w:rPr>
          <w:sz w:val="24"/>
          <w:szCs w:val="24"/>
        </w:rPr>
        <w:t xml:space="preserve"> of testing and accountability.</w:t>
      </w:r>
      <w:r w:rsidR="00A07A06">
        <w:rPr>
          <w:sz w:val="24"/>
          <w:szCs w:val="24"/>
        </w:rPr>
        <w:t xml:space="preserve"> </w:t>
      </w:r>
    </w:p>
    <w:p w14:paraId="65BA84A7" w14:textId="2AF7C102" w:rsidR="00EF348C" w:rsidRDefault="00FF29E1" w:rsidP="00531995">
      <w:pPr>
        <w:pStyle w:val="Heading1"/>
        <w:jc w:val="center"/>
      </w:pPr>
      <w:r>
        <w:rPr>
          <w:sz w:val="24"/>
          <w:szCs w:val="24"/>
        </w:rPr>
        <w:br w:type="page"/>
      </w:r>
      <w:bookmarkStart w:id="102" w:name="_Toc452316385"/>
      <w:r w:rsidR="00504915" w:rsidRPr="00496468">
        <w:lastRenderedPageBreak/>
        <w:t xml:space="preserve">Chapter 5 </w:t>
      </w:r>
      <w:r w:rsidR="00430729" w:rsidRPr="00496468">
        <w:t>–</w:t>
      </w:r>
      <w:r w:rsidR="00504915" w:rsidRPr="00496468">
        <w:t xml:space="preserve"> Discussion</w:t>
      </w:r>
      <w:bookmarkEnd w:id="102"/>
    </w:p>
    <w:p w14:paraId="5DD6D5CD" w14:textId="70F54C5D" w:rsidR="00430729" w:rsidRPr="00C935C5" w:rsidRDefault="00430729" w:rsidP="00531995">
      <w:pPr>
        <w:pStyle w:val="Heading2"/>
      </w:pPr>
      <w:bookmarkStart w:id="103" w:name="_Toc452316386"/>
      <w:r w:rsidRPr="00C935C5">
        <w:t>5.1 Introduction and aim</w:t>
      </w:r>
      <w:bookmarkEnd w:id="103"/>
    </w:p>
    <w:p w14:paraId="7DDD0793" w14:textId="1447C0DB" w:rsidR="009F144A" w:rsidRDefault="00C935C5" w:rsidP="00B6050F">
      <w:pPr>
        <w:pStyle w:val="ListParagraph"/>
        <w:tabs>
          <w:tab w:val="left" w:pos="7655"/>
          <w:tab w:val="left" w:pos="8789"/>
        </w:tabs>
        <w:spacing w:line="360" w:lineRule="auto"/>
        <w:ind w:left="0"/>
        <w:rPr>
          <w:sz w:val="24"/>
          <w:szCs w:val="24"/>
        </w:rPr>
      </w:pPr>
      <w:r w:rsidRPr="00C935C5">
        <w:rPr>
          <w:sz w:val="24"/>
          <w:szCs w:val="24"/>
        </w:rPr>
        <w:t xml:space="preserve">This chapter </w:t>
      </w:r>
      <w:r w:rsidR="008225C6">
        <w:rPr>
          <w:sz w:val="24"/>
          <w:szCs w:val="24"/>
        </w:rPr>
        <w:t>brings</w:t>
      </w:r>
      <w:r w:rsidR="00430729" w:rsidRPr="00C935C5">
        <w:rPr>
          <w:sz w:val="24"/>
          <w:szCs w:val="24"/>
        </w:rPr>
        <w:t xml:space="preserve"> together key findings from </w:t>
      </w:r>
      <w:r w:rsidR="004D3079">
        <w:rPr>
          <w:sz w:val="24"/>
          <w:szCs w:val="24"/>
        </w:rPr>
        <w:t xml:space="preserve">the </w:t>
      </w:r>
      <w:r w:rsidR="008225C6">
        <w:rPr>
          <w:sz w:val="24"/>
          <w:szCs w:val="24"/>
        </w:rPr>
        <w:t>CDA</w:t>
      </w:r>
      <w:r w:rsidR="00430729" w:rsidRPr="00C935C5">
        <w:rPr>
          <w:sz w:val="24"/>
          <w:szCs w:val="24"/>
        </w:rPr>
        <w:t xml:space="preserve"> and semi-structured interviews</w:t>
      </w:r>
      <w:r w:rsidR="00974AAC" w:rsidRPr="00C935C5">
        <w:rPr>
          <w:sz w:val="24"/>
          <w:szCs w:val="24"/>
        </w:rPr>
        <w:t xml:space="preserve"> </w:t>
      </w:r>
      <w:r w:rsidR="00900B4A">
        <w:rPr>
          <w:sz w:val="24"/>
          <w:szCs w:val="24"/>
        </w:rPr>
        <w:t xml:space="preserve">in connection with </w:t>
      </w:r>
      <w:r w:rsidR="00974AAC" w:rsidRPr="00C935C5">
        <w:rPr>
          <w:sz w:val="24"/>
          <w:szCs w:val="24"/>
        </w:rPr>
        <w:t>my</w:t>
      </w:r>
      <w:r w:rsidR="00900B4A">
        <w:rPr>
          <w:sz w:val="24"/>
          <w:szCs w:val="24"/>
        </w:rPr>
        <w:t xml:space="preserve"> research questions, </w:t>
      </w:r>
      <w:r w:rsidR="00974AAC" w:rsidRPr="00C935C5">
        <w:rPr>
          <w:sz w:val="24"/>
          <w:szCs w:val="24"/>
        </w:rPr>
        <w:t>literature</w:t>
      </w:r>
      <w:r w:rsidR="00A10E78">
        <w:rPr>
          <w:sz w:val="24"/>
          <w:szCs w:val="24"/>
        </w:rPr>
        <w:t xml:space="preserve"> </w:t>
      </w:r>
      <w:r w:rsidR="00974AAC" w:rsidRPr="00C935C5">
        <w:rPr>
          <w:sz w:val="24"/>
          <w:szCs w:val="24"/>
        </w:rPr>
        <w:t>and theoretical framework.</w:t>
      </w:r>
      <w:r w:rsidRPr="00C935C5">
        <w:rPr>
          <w:sz w:val="24"/>
          <w:szCs w:val="24"/>
        </w:rPr>
        <w:t xml:space="preserve"> </w:t>
      </w:r>
      <w:r w:rsidR="00A10E78">
        <w:rPr>
          <w:sz w:val="24"/>
          <w:szCs w:val="24"/>
        </w:rPr>
        <w:t xml:space="preserve">In the first section I apply </w:t>
      </w:r>
      <w:r w:rsidR="002533B3">
        <w:rPr>
          <w:sz w:val="24"/>
          <w:szCs w:val="24"/>
        </w:rPr>
        <w:t>Scheurich’s P</w:t>
      </w:r>
      <w:r w:rsidR="00C60788">
        <w:rPr>
          <w:sz w:val="24"/>
          <w:szCs w:val="24"/>
        </w:rPr>
        <w:t>A</w:t>
      </w:r>
      <w:r w:rsidR="00DF24E7">
        <w:rPr>
          <w:sz w:val="24"/>
          <w:szCs w:val="24"/>
        </w:rPr>
        <w:t xml:space="preserve"> </w:t>
      </w:r>
      <w:r w:rsidR="004D3079">
        <w:rPr>
          <w:sz w:val="24"/>
          <w:szCs w:val="24"/>
        </w:rPr>
        <w:t xml:space="preserve">framework </w:t>
      </w:r>
      <w:r w:rsidR="00BA2A2E">
        <w:rPr>
          <w:sz w:val="24"/>
          <w:szCs w:val="24"/>
        </w:rPr>
        <w:t xml:space="preserve">(see </w:t>
      </w:r>
      <w:r w:rsidR="002F06A3">
        <w:rPr>
          <w:sz w:val="24"/>
          <w:szCs w:val="24"/>
        </w:rPr>
        <w:t>S</w:t>
      </w:r>
      <w:r w:rsidR="00BA2A2E">
        <w:rPr>
          <w:sz w:val="24"/>
          <w:szCs w:val="24"/>
        </w:rPr>
        <w:t xml:space="preserve">ection 2.6.3) </w:t>
      </w:r>
      <w:r w:rsidR="00A10E78">
        <w:rPr>
          <w:sz w:val="24"/>
          <w:szCs w:val="24"/>
        </w:rPr>
        <w:t xml:space="preserve">as </w:t>
      </w:r>
      <w:r w:rsidR="004D3079">
        <w:rPr>
          <w:sz w:val="24"/>
          <w:szCs w:val="24"/>
        </w:rPr>
        <w:t>a</w:t>
      </w:r>
      <w:r w:rsidR="00A10E78">
        <w:rPr>
          <w:sz w:val="24"/>
          <w:szCs w:val="24"/>
        </w:rPr>
        <w:t xml:space="preserve"> unifying device for my </w:t>
      </w:r>
      <w:r w:rsidR="008225C6">
        <w:rPr>
          <w:sz w:val="24"/>
          <w:szCs w:val="24"/>
        </w:rPr>
        <w:t>analysis</w:t>
      </w:r>
      <w:r w:rsidR="003955B6">
        <w:rPr>
          <w:sz w:val="24"/>
          <w:szCs w:val="24"/>
        </w:rPr>
        <w:t xml:space="preserve"> </w:t>
      </w:r>
      <w:r w:rsidR="004D3079">
        <w:rPr>
          <w:sz w:val="24"/>
          <w:szCs w:val="24"/>
        </w:rPr>
        <w:t xml:space="preserve">with respect to </w:t>
      </w:r>
      <w:r w:rsidR="003955B6">
        <w:rPr>
          <w:sz w:val="24"/>
          <w:szCs w:val="24"/>
        </w:rPr>
        <w:t>the constitution and implementation of the EBac</w:t>
      </w:r>
      <w:r w:rsidR="00A10E78">
        <w:rPr>
          <w:sz w:val="24"/>
          <w:szCs w:val="24"/>
        </w:rPr>
        <w:t xml:space="preserve">. </w:t>
      </w:r>
      <w:r w:rsidR="004D3079">
        <w:rPr>
          <w:sz w:val="24"/>
          <w:szCs w:val="24"/>
        </w:rPr>
        <w:t xml:space="preserve">In </w:t>
      </w:r>
      <w:r w:rsidR="0082470D">
        <w:rPr>
          <w:sz w:val="24"/>
          <w:szCs w:val="24"/>
        </w:rPr>
        <w:t>S</w:t>
      </w:r>
      <w:r w:rsidR="001A76CC">
        <w:rPr>
          <w:sz w:val="24"/>
          <w:szCs w:val="24"/>
        </w:rPr>
        <w:t>ection</w:t>
      </w:r>
      <w:r w:rsidR="00142956">
        <w:rPr>
          <w:sz w:val="24"/>
          <w:szCs w:val="24"/>
        </w:rPr>
        <w:t xml:space="preserve"> two</w:t>
      </w:r>
      <w:r w:rsidR="00ED715E">
        <w:rPr>
          <w:sz w:val="24"/>
          <w:szCs w:val="24"/>
        </w:rPr>
        <w:t xml:space="preserve"> </w:t>
      </w:r>
      <w:r w:rsidR="004D3079">
        <w:rPr>
          <w:sz w:val="24"/>
          <w:szCs w:val="24"/>
        </w:rPr>
        <w:t xml:space="preserve">I </w:t>
      </w:r>
      <w:r w:rsidR="001A76CC">
        <w:rPr>
          <w:sz w:val="24"/>
          <w:szCs w:val="24"/>
        </w:rPr>
        <w:t>critique</w:t>
      </w:r>
      <w:r w:rsidR="004D3079">
        <w:rPr>
          <w:sz w:val="24"/>
          <w:szCs w:val="24"/>
        </w:rPr>
        <w:t xml:space="preserve"> </w:t>
      </w:r>
      <w:r w:rsidR="008225C6">
        <w:rPr>
          <w:sz w:val="24"/>
          <w:szCs w:val="24"/>
        </w:rPr>
        <w:t xml:space="preserve">and </w:t>
      </w:r>
      <w:r w:rsidR="001A76CC">
        <w:rPr>
          <w:sz w:val="24"/>
          <w:szCs w:val="24"/>
        </w:rPr>
        <w:t xml:space="preserve">develop Scheurich’s </w:t>
      </w:r>
      <w:r w:rsidR="00DF24E7">
        <w:rPr>
          <w:sz w:val="24"/>
          <w:szCs w:val="24"/>
        </w:rPr>
        <w:t>PA</w:t>
      </w:r>
      <w:r w:rsidR="001A76CC">
        <w:rPr>
          <w:sz w:val="24"/>
          <w:szCs w:val="24"/>
        </w:rPr>
        <w:t xml:space="preserve"> in light of my </w:t>
      </w:r>
      <w:r w:rsidR="00900B4A">
        <w:rPr>
          <w:sz w:val="24"/>
          <w:szCs w:val="24"/>
        </w:rPr>
        <w:t>own research</w:t>
      </w:r>
      <w:r w:rsidR="008225C6">
        <w:rPr>
          <w:sz w:val="24"/>
          <w:szCs w:val="24"/>
        </w:rPr>
        <w:t xml:space="preserve"> e</w:t>
      </w:r>
      <w:r w:rsidR="001A76CC">
        <w:rPr>
          <w:sz w:val="24"/>
          <w:szCs w:val="24"/>
        </w:rPr>
        <w:t xml:space="preserve">xperiences. </w:t>
      </w:r>
      <w:r w:rsidR="00630B6F">
        <w:rPr>
          <w:sz w:val="24"/>
          <w:szCs w:val="24"/>
        </w:rPr>
        <w:t>I</w:t>
      </w:r>
      <w:r w:rsidR="0082470D">
        <w:rPr>
          <w:sz w:val="24"/>
          <w:szCs w:val="24"/>
        </w:rPr>
        <w:t>n the final section</w:t>
      </w:r>
      <w:r w:rsidR="00284B7F">
        <w:rPr>
          <w:sz w:val="24"/>
          <w:szCs w:val="24"/>
        </w:rPr>
        <w:t>,</w:t>
      </w:r>
      <w:r w:rsidR="00630B6F">
        <w:rPr>
          <w:sz w:val="24"/>
          <w:szCs w:val="24"/>
        </w:rPr>
        <w:t xml:space="preserve"> </w:t>
      </w:r>
      <w:r w:rsidR="0082470D">
        <w:rPr>
          <w:sz w:val="24"/>
          <w:szCs w:val="24"/>
        </w:rPr>
        <w:t>I</w:t>
      </w:r>
      <w:r w:rsidR="00630B6F">
        <w:rPr>
          <w:sz w:val="24"/>
          <w:szCs w:val="24"/>
        </w:rPr>
        <w:t xml:space="preserve"> consider</w:t>
      </w:r>
      <w:r w:rsidR="006D4175">
        <w:rPr>
          <w:sz w:val="24"/>
          <w:szCs w:val="24"/>
        </w:rPr>
        <w:t xml:space="preserve"> </w:t>
      </w:r>
      <w:r w:rsidR="0082470D">
        <w:rPr>
          <w:sz w:val="24"/>
          <w:szCs w:val="24"/>
        </w:rPr>
        <w:t xml:space="preserve">the </w:t>
      </w:r>
      <w:r w:rsidR="006D4175">
        <w:rPr>
          <w:sz w:val="24"/>
          <w:szCs w:val="24"/>
        </w:rPr>
        <w:t xml:space="preserve">notions of ‘ability’ linked to </w:t>
      </w:r>
      <w:r w:rsidR="005B7DFE">
        <w:rPr>
          <w:sz w:val="24"/>
          <w:szCs w:val="24"/>
        </w:rPr>
        <w:t>accountability</w:t>
      </w:r>
      <w:r w:rsidR="006D4175">
        <w:rPr>
          <w:sz w:val="24"/>
          <w:szCs w:val="24"/>
        </w:rPr>
        <w:t xml:space="preserve"> evident in </w:t>
      </w:r>
      <w:r w:rsidR="00B90537">
        <w:rPr>
          <w:sz w:val="24"/>
          <w:szCs w:val="24"/>
        </w:rPr>
        <w:t>n</w:t>
      </w:r>
      <w:r w:rsidR="006D4175">
        <w:rPr>
          <w:sz w:val="24"/>
          <w:szCs w:val="24"/>
        </w:rPr>
        <w:t>eoliberal education policies.</w:t>
      </w:r>
      <w:r w:rsidR="00900B4A">
        <w:rPr>
          <w:sz w:val="24"/>
          <w:szCs w:val="24"/>
        </w:rPr>
        <w:t xml:space="preserve"> I engage with</w:t>
      </w:r>
      <w:r w:rsidR="006D4175">
        <w:rPr>
          <w:sz w:val="24"/>
          <w:szCs w:val="24"/>
        </w:rPr>
        <w:t xml:space="preserve"> Foucault’s discussion</w:t>
      </w:r>
      <w:r w:rsidR="0082470D">
        <w:rPr>
          <w:sz w:val="24"/>
          <w:szCs w:val="24"/>
        </w:rPr>
        <w:t>s</w:t>
      </w:r>
      <w:r w:rsidR="006D4175">
        <w:rPr>
          <w:sz w:val="24"/>
          <w:szCs w:val="24"/>
        </w:rPr>
        <w:t xml:space="preserve"> </w:t>
      </w:r>
      <w:r w:rsidR="0082470D">
        <w:rPr>
          <w:sz w:val="24"/>
          <w:szCs w:val="24"/>
        </w:rPr>
        <w:t>about</w:t>
      </w:r>
      <w:r w:rsidR="006D4175">
        <w:rPr>
          <w:sz w:val="24"/>
          <w:szCs w:val="24"/>
        </w:rPr>
        <w:t xml:space="preserve"> </w:t>
      </w:r>
      <w:r w:rsidR="00D530C1">
        <w:rPr>
          <w:sz w:val="24"/>
          <w:szCs w:val="24"/>
        </w:rPr>
        <w:t>power to illuminate</w:t>
      </w:r>
      <w:r w:rsidR="006D4175">
        <w:rPr>
          <w:sz w:val="24"/>
          <w:szCs w:val="24"/>
        </w:rPr>
        <w:t xml:space="preserve"> </w:t>
      </w:r>
      <w:r w:rsidR="00900B4A">
        <w:rPr>
          <w:sz w:val="24"/>
          <w:szCs w:val="24"/>
        </w:rPr>
        <w:t xml:space="preserve">how </w:t>
      </w:r>
      <w:r w:rsidR="006D4175">
        <w:rPr>
          <w:sz w:val="24"/>
          <w:szCs w:val="24"/>
        </w:rPr>
        <w:t>‘datafication’</w:t>
      </w:r>
      <w:r w:rsidR="00D530C1">
        <w:rPr>
          <w:sz w:val="24"/>
          <w:szCs w:val="24"/>
        </w:rPr>
        <w:t xml:space="preserve"> </w:t>
      </w:r>
      <w:r w:rsidR="00CF68A0">
        <w:rPr>
          <w:sz w:val="24"/>
          <w:szCs w:val="24"/>
        </w:rPr>
        <w:t>using high</w:t>
      </w:r>
      <w:r w:rsidR="00B90537">
        <w:rPr>
          <w:sz w:val="24"/>
          <w:szCs w:val="24"/>
        </w:rPr>
        <w:t>-</w:t>
      </w:r>
      <w:r w:rsidR="00CF68A0">
        <w:rPr>
          <w:sz w:val="24"/>
          <w:szCs w:val="24"/>
        </w:rPr>
        <w:t xml:space="preserve">stake tests </w:t>
      </w:r>
      <w:r w:rsidR="00D530C1">
        <w:rPr>
          <w:sz w:val="24"/>
          <w:szCs w:val="24"/>
        </w:rPr>
        <w:t xml:space="preserve">as </w:t>
      </w:r>
      <w:r w:rsidR="006D4175">
        <w:rPr>
          <w:sz w:val="24"/>
          <w:szCs w:val="24"/>
        </w:rPr>
        <w:t>a technology of governance ensur</w:t>
      </w:r>
      <w:r w:rsidR="00900B4A">
        <w:rPr>
          <w:sz w:val="24"/>
          <w:szCs w:val="24"/>
        </w:rPr>
        <w:t>es</w:t>
      </w:r>
      <w:r w:rsidR="006D4175">
        <w:rPr>
          <w:sz w:val="24"/>
          <w:szCs w:val="24"/>
        </w:rPr>
        <w:t xml:space="preserve"> that individual students and teachers are self-governing </w:t>
      </w:r>
      <w:r w:rsidR="00D530C1">
        <w:rPr>
          <w:sz w:val="24"/>
          <w:szCs w:val="24"/>
        </w:rPr>
        <w:t xml:space="preserve">within the EBac </w:t>
      </w:r>
      <w:r w:rsidR="005B7DFE">
        <w:rPr>
          <w:sz w:val="24"/>
          <w:szCs w:val="24"/>
        </w:rPr>
        <w:t>policy</w:t>
      </w:r>
      <w:r w:rsidR="006D4175">
        <w:rPr>
          <w:sz w:val="24"/>
          <w:szCs w:val="24"/>
        </w:rPr>
        <w:t xml:space="preserve">. </w:t>
      </w:r>
    </w:p>
    <w:p w14:paraId="63667870" w14:textId="0AE47E3A" w:rsidR="009F144A" w:rsidRPr="000206E0" w:rsidRDefault="009F144A" w:rsidP="00531995">
      <w:pPr>
        <w:pStyle w:val="Heading2"/>
      </w:pPr>
      <w:bookmarkStart w:id="104" w:name="_Toc452316387"/>
      <w:r w:rsidRPr="000206E0">
        <w:t xml:space="preserve">5.2. </w:t>
      </w:r>
      <w:r w:rsidR="0061611A">
        <w:t xml:space="preserve">A consideration of </w:t>
      </w:r>
      <w:r w:rsidRPr="000206E0">
        <w:t xml:space="preserve">EBac </w:t>
      </w:r>
      <w:r w:rsidR="004402B7">
        <w:t>p</w:t>
      </w:r>
      <w:r w:rsidRPr="000206E0">
        <w:t>olicy a</w:t>
      </w:r>
      <w:r w:rsidR="002316EB" w:rsidRPr="000206E0">
        <w:t>rchaeology</w:t>
      </w:r>
      <w:bookmarkEnd w:id="104"/>
    </w:p>
    <w:p w14:paraId="2F6F7354" w14:textId="685B6B6E" w:rsidR="003F7579" w:rsidRDefault="008F56E1" w:rsidP="002533B3">
      <w:pPr>
        <w:spacing w:after="0" w:line="360" w:lineRule="auto"/>
        <w:rPr>
          <w:rFonts w:cs="Calibri"/>
          <w:sz w:val="24"/>
        </w:rPr>
      </w:pPr>
      <w:r>
        <w:rPr>
          <w:rFonts w:cs="Calibri"/>
          <w:sz w:val="24"/>
        </w:rPr>
        <w:t xml:space="preserve">Scheurich’s </w:t>
      </w:r>
      <w:r w:rsidR="00DF24E7">
        <w:rPr>
          <w:rFonts w:cs="Calibri"/>
          <w:sz w:val="24"/>
        </w:rPr>
        <w:t>PA</w:t>
      </w:r>
      <w:r>
        <w:rPr>
          <w:rFonts w:cs="Calibri"/>
          <w:sz w:val="24"/>
        </w:rPr>
        <w:t xml:space="preserve"> provides a framework </w:t>
      </w:r>
      <w:r w:rsidR="00346051">
        <w:rPr>
          <w:rFonts w:cs="Calibri"/>
          <w:sz w:val="24"/>
        </w:rPr>
        <w:t xml:space="preserve">for </w:t>
      </w:r>
      <w:r w:rsidR="00346051" w:rsidRPr="00561854">
        <w:rPr>
          <w:rFonts w:cs="Calibri"/>
          <w:sz w:val="24"/>
        </w:rPr>
        <w:t>i</w:t>
      </w:r>
      <w:r w:rsidR="00346051">
        <w:rPr>
          <w:rFonts w:cs="Calibri"/>
          <w:sz w:val="24"/>
        </w:rPr>
        <w:t>dentifying</w:t>
      </w:r>
      <w:r w:rsidRPr="00561854">
        <w:rPr>
          <w:rFonts w:cs="Calibri"/>
          <w:sz w:val="24"/>
        </w:rPr>
        <w:t xml:space="preserve"> </w:t>
      </w:r>
      <w:r w:rsidR="00346051">
        <w:rPr>
          <w:rFonts w:cs="Calibri"/>
          <w:sz w:val="24"/>
        </w:rPr>
        <w:t xml:space="preserve">socially constructed </w:t>
      </w:r>
      <w:r w:rsidR="00346051" w:rsidRPr="00561854">
        <w:rPr>
          <w:rFonts w:cs="Calibri"/>
          <w:sz w:val="24"/>
        </w:rPr>
        <w:t>problems</w:t>
      </w:r>
      <w:r w:rsidRPr="00561854">
        <w:rPr>
          <w:rFonts w:cs="Calibri"/>
          <w:sz w:val="24"/>
        </w:rPr>
        <w:t xml:space="preserve"> </w:t>
      </w:r>
      <w:r w:rsidR="001B6194">
        <w:rPr>
          <w:rFonts w:cs="Calibri"/>
          <w:sz w:val="24"/>
        </w:rPr>
        <w:t xml:space="preserve">for </w:t>
      </w:r>
      <w:r w:rsidR="00346051">
        <w:rPr>
          <w:rFonts w:cs="Calibri"/>
          <w:sz w:val="24"/>
        </w:rPr>
        <w:t xml:space="preserve">which </w:t>
      </w:r>
      <w:r w:rsidR="001B6194" w:rsidRPr="00561854">
        <w:rPr>
          <w:rFonts w:cs="Calibri"/>
          <w:sz w:val="24"/>
        </w:rPr>
        <w:t>supposedly logical</w:t>
      </w:r>
      <w:r w:rsidR="001B6194">
        <w:rPr>
          <w:rFonts w:cs="Calibri"/>
          <w:sz w:val="24"/>
        </w:rPr>
        <w:t xml:space="preserve"> and inevitable</w:t>
      </w:r>
      <w:r w:rsidR="001B6194" w:rsidRPr="00561854">
        <w:rPr>
          <w:rFonts w:cs="Calibri"/>
          <w:sz w:val="24"/>
        </w:rPr>
        <w:t xml:space="preserve"> polic</w:t>
      </w:r>
      <w:r w:rsidR="001B6194">
        <w:rPr>
          <w:rFonts w:cs="Calibri"/>
          <w:sz w:val="24"/>
        </w:rPr>
        <w:t xml:space="preserve">ies provide </w:t>
      </w:r>
      <w:r w:rsidR="00900B4A">
        <w:rPr>
          <w:rFonts w:cs="Calibri"/>
          <w:sz w:val="24"/>
        </w:rPr>
        <w:t xml:space="preserve">appropriate </w:t>
      </w:r>
      <w:r w:rsidRPr="00561854">
        <w:rPr>
          <w:rFonts w:cs="Calibri"/>
          <w:sz w:val="24"/>
        </w:rPr>
        <w:t xml:space="preserve">solutions. </w:t>
      </w:r>
      <w:r w:rsidR="00346051">
        <w:rPr>
          <w:rFonts w:cs="Calibri"/>
          <w:sz w:val="24"/>
        </w:rPr>
        <w:t xml:space="preserve">The framework identifies four arenas of study: </w:t>
      </w:r>
      <w:r w:rsidR="004402B7">
        <w:rPr>
          <w:rFonts w:cs="Calibri"/>
          <w:sz w:val="24"/>
        </w:rPr>
        <w:t>A</w:t>
      </w:r>
      <w:r w:rsidR="00346051">
        <w:rPr>
          <w:rFonts w:cs="Calibri"/>
          <w:sz w:val="24"/>
        </w:rPr>
        <w:t xml:space="preserve">rena 1, </w:t>
      </w:r>
      <w:r w:rsidR="00346051" w:rsidRPr="00F949A0">
        <w:rPr>
          <w:rFonts w:asciiTheme="minorHAnsi" w:hAnsiTheme="minorHAnsi" w:cstheme="minorHAnsi"/>
          <w:sz w:val="24"/>
          <w:szCs w:val="24"/>
        </w:rPr>
        <w:t>the education/social problem arena</w:t>
      </w:r>
      <w:r w:rsidR="00346051">
        <w:rPr>
          <w:rFonts w:cs="Calibri"/>
          <w:sz w:val="24"/>
        </w:rPr>
        <w:t xml:space="preserve">; </w:t>
      </w:r>
      <w:r w:rsidR="004402B7">
        <w:rPr>
          <w:rFonts w:cs="Calibri"/>
          <w:sz w:val="24"/>
        </w:rPr>
        <w:t>A</w:t>
      </w:r>
      <w:r w:rsidR="00346051">
        <w:rPr>
          <w:rFonts w:cs="Calibri"/>
          <w:sz w:val="24"/>
        </w:rPr>
        <w:t xml:space="preserve">rena 2, </w:t>
      </w:r>
      <w:r w:rsidR="00346051" w:rsidRPr="00561854">
        <w:rPr>
          <w:rFonts w:cs="Calibri"/>
          <w:sz w:val="24"/>
        </w:rPr>
        <w:t>the social regularities arena</w:t>
      </w:r>
      <w:r w:rsidR="00142956">
        <w:rPr>
          <w:rFonts w:cs="Calibri"/>
          <w:sz w:val="24"/>
        </w:rPr>
        <w:t>,</w:t>
      </w:r>
      <w:r w:rsidR="00900B4A">
        <w:rPr>
          <w:rFonts w:cs="Calibri"/>
          <w:sz w:val="24"/>
        </w:rPr>
        <w:t xml:space="preserve"> </w:t>
      </w:r>
      <w:r w:rsidR="00346051">
        <w:rPr>
          <w:rFonts w:cs="Calibri"/>
          <w:sz w:val="24"/>
        </w:rPr>
        <w:t>grids</w:t>
      </w:r>
      <w:r w:rsidR="00346051" w:rsidRPr="00561854">
        <w:rPr>
          <w:rFonts w:cs="Calibri"/>
          <w:sz w:val="24"/>
        </w:rPr>
        <w:t xml:space="preserve"> of social regularities which exist across and between all social problems</w:t>
      </w:r>
      <w:r w:rsidR="00346051">
        <w:rPr>
          <w:rFonts w:cs="Calibri"/>
          <w:sz w:val="24"/>
        </w:rPr>
        <w:t xml:space="preserve">; </w:t>
      </w:r>
      <w:r w:rsidR="004402B7">
        <w:rPr>
          <w:rFonts w:cs="Calibri"/>
          <w:sz w:val="24"/>
        </w:rPr>
        <w:t>A</w:t>
      </w:r>
      <w:r w:rsidR="00346051">
        <w:rPr>
          <w:rFonts w:cs="Calibri"/>
          <w:sz w:val="24"/>
        </w:rPr>
        <w:t>rena 3,</w:t>
      </w:r>
      <w:r w:rsidR="00346051" w:rsidRPr="00561854">
        <w:rPr>
          <w:rFonts w:cs="Calibri"/>
          <w:sz w:val="24"/>
        </w:rPr>
        <w:t xml:space="preserve"> the policy solution arena </w:t>
      </w:r>
      <w:r w:rsidR="00900B4A">
        <w:rPr>
          <w:rFonts w:cs="Calibri"/>
          <w:sz w:val="24"/>
        </w:rPr>
        <w:t xml:space="preserve">which </w:t>
      </w:r>
      <w:r w:rsidR="00346051" w:rsidRPr="00561854">
        <w:rPr>
          <w:rFonts w:cs="Calibri"/>
          <w:sz w:val="24"/>
        </w:rPr>
        <w:t xml:space="preserve">aims to uncover possible legitimate policy solutions </w:t>
      </w:r>
      <w:r w:rsidR="005B7DFE" w:rsidRPr="00561854">
        <w:rPr>
          <w:rFonts w:cs="Calibri"/>
          <w:sz w:val="24"/>
        </w:rPr>
        <w:t>occur</w:t>
      </w:r>
      <w:r w:rsidR="005B7DFE">
        <w:rPr>
          <w:rFonts w:cs="Calibri"/>
          <w:sz w:val="24"/>
        </w:rPr>
        <w:t>ring</w:t>
      </w:r>
      <w:r w:rsidR="00346051" w:rsidRPr="00561854">
        <w:rPr>
          <w:rFonts w:cs="Calibri"/>
          <w:sz w:val="24"/>
        </w:rPr>
        <w:t xml:space="preserve"> within the given social regularities</w:t>
      </w:r>
      <w:r w:rsidR="0082470D">
        <w:rPr>
          <w:rFonts w:cs="Calibri"/>
          <w:sz w:val="24"/>
        </w:rPr>
        <w:t>,</w:t>
      </w:r>
      <w:r w:rsidR="00346051">
        <w:rPr>
          <w:rFonts w:cs="Calibri"/>
          <w:sz w:val="24"/>
        </w:rPr>
        <w:t xml:space="preserve"> and </w:t>
      </w:r>
      <w:r w:rsidR="004402B7">
        <w:rPr>
          <w:rFonts w:cs="Calibri"/>
          <w:sz w:val="24"/>
        </w:rPr>
        <w:t>A</w:t>
      </w:r>
      <w:r w:rsidR="00346051">
        <w:rPr>
          <w:rFonts w:cs="Calibri"/>
          <w:sz w:val="24"/>
        </w:rPr>
        <w:t xml:space="preserve">rena 4, </w:t>
      </w:r>
      <w:r w:rsidR="00346051" w:rsidRPr="00561854">
        <w:rPr>
          <w:rFonts w:cs="Calibri"/>
          <w:sz w:val="24"/>
        </w:rPr>
        <w:t>the policy studies arena</w:t>
      </w:r>
      <w:r w:rsidR="00346051">
        <w:rPr>
          <w:rFonts w:cs="Calibri"/>
          <w:sz w:val="24"/>
        </w:rPr>
        <w:t xml:space="preserve">. I have </w:t>
      </w:r>
      <w:r w:rsidR="00A60A10">
        <w:rPr>
          <w:rFonts w:cs="Calibri"/>
          <w:sz w:val="24"/>
        </w:rPr>
        <w:t xml:space="preserve">engaged Scheurich’s </w:t>
      </w:r>
      <w:r w:rsidR="00346051">
        <w:rPr>
          <w:rFonts w:cs="Calibri"/>
          <w:sz w:val="24"/>
        </w:rPr>
        <w:t>four arenas</w:t>
      </w:r>
      <w:r w:rsidR="00A60A10">
        <w:rPr>
          <w:rFonts w:cs="Calibri"/>
          <w:sz w:val="24"/>
        </w:rPr>
        <w:t xml:space="preserve"> in the analysis of</w:t>
      </w:r>
      <w:r w:rsidR="00032876">
        <w:rPr>
          <w:rFonts w:cs="Calibri"/>
          <w:sz w:val="24"/>
        </w:rPr>
        <w:t xml:space="preserve"> the EBac policy </w:t>
      </w:r>
      <w:r w:rsidR="00A60A10">
        <w:rPr>
          <w:rFonts w:cs="Calibri"/>
          <w:sz w:val="24"/>
        </w:rPr>
        <w:t xml:space="preserve">through </w:t>
      </w:r>
      <w:r w:rsidR="00346051">
        <w:rPr>
          <w:rFonts w:cs="Calibri"/>
          <w:sz w:val="24"/>
        </w:rPr>
        <w:t xml:space="preserve">the </w:t>
      </w:r>
      <w:r w:rsidR="005B7DFE">
        <w:rPr>
          <w:rFonts w:cs="Calibri"/>
          <w:sz w:val="24"/>
        </w:rPr>
        <w:t>CDA</w:t>
      </w:r>
      <w:r w:rsidR="00346051">
        <w:rPr>
          <w:rFonts w:cs="Calibri"/>
          <w:sz w:val="24"/>
        </w:rPr>
        <w:t xml:space="preserve"> and semi-structured interviews</w:t>
      </w:r>
      <w:r w:rsidR="00766FBC">
        <w:rPr>
          <w:rFonts w:cs="Calibri"/>
          <w:sz w:val="24"/>
        </w:rPr>
        <w:t xml:space="preserve">. </w:t>
      </w:r>
      <w:r w:rsidR="00A60A10">
        <w:rPr>
          <w:rFonts w:cs="Calibri"/>
          <w:sz w:val="24"/>
        </w:rPr>
        <w:t>In the following section</w:t>
      </w:r>
      <w:r w:rsidR="0082470D">
        <w:rPr>
          <w:rFonts w:cs="Calibri"/>
          <w:sz w:val="24"/>
        </w:rPr>
        <w:t>,</w:t>
      </w:r>
      <w:r w:rsidR="00A60A10">
        <w:rPr>
          <w:rFonts w:cs="Calibri"/>
          <w:sz w:val="24"/>
        </w:rPr>
        <w:t xml:space="preserve"> I </w:t>
      </w:r>
      <w:r w:rsidR="00630B6F">
        <w:rPr>
          <w:rFonts w:cs="Calibri"/>
          <w:sz w:val="24"/>
        </w:rPr>
        <w:t>consider</w:t>
      </w:r>
      <w:r w:rsidR="00766FBC">
        <w:rPr>
          <w:rFonts w:cs="Calibri"/>
          <w:sz w:val="24"/>
        </w:rPr>
        <w:t xml:space="preserve"> each arena </w:t>
      </w:r>
      <w:r w:rsidR="00A60A10">
        <w:rPr>
          <w:rFonts w:cs="Calibri"/>
          <w:sz w:val="24"/>
        </w:rPr>
        <w:t xml:space="preserve">to </w:t>
      </w:r>
      <w:r w:rsidR="004F0781">
        <w:rPr>
          <w:rFonts w:cs="Calibri"/>
          <w:sz w:val="24"/>
        </w:rPr>
        <w:t>discuss</w:t>
      </w:r>
      <w:r w:rsidR="00766FBC">
        <w:rPr>
          <w:rFonts w:cs="Calibri"/>
          <w:sz w:val="24"/>
        </w:rPr>
        <w:t xml:space="preserve"> </w:t>
      </w:r>
      <w:r w:rsidR="00032876">
        <w:rPr>
          <w:rFonts w:cs="Calibri"/>
          <w:sz w:val="24"/>
        </w:rPr>
        <w:t>my</w:t>
      </w:r>
      <w:r w:rsidR="00766FBC">
        <w:rPr>
          <w:rFonts w:cs="Calibri"/>
          <w:sz w:val="24"/>
        </w:rPr>
        <w:t xml:space="preserve"> key findings</w:t>
      </w:r>
      <w:r w:rsidR="00D27BF7">
        <w:rPr>
          <w:rFonts w:cs="Calibri"/>
          <w:sz w:val="24"/>
        </w:rPr>
        <w:t xml:space="preserve"> (see </w:t>
      </w:r>
      <w:r w:rsidR="00284B7F">
        <w:rPr>
          <w:rFonts w:cs="Calibri"/>
          <w:sz w:val="24"/>
        </w:rPr>
        <w:t>A</w:t>
      </w:r>
      <w:r w:rsidR="00D27BF7">
        <w:rPr>
          <w:rFonts w:cs="Calibri"/>
          <w:sz w:val="24"/>
        </w:rPr>
        <w:t>ppendix 9</w:t>
      </w:r>
      <w:r w:rsidR="0082470D">
        <w:rPr>
          <w:rFonts w:cs="Calibri"/>
          <w:sz w:val="24"/>
        </w:rPr>
        <w:t>,</w:t>
      </w:r>
      <w:r w:rsidR="00630B6F">
        <w:rPr>
          <w:rFonts w:cs="Calibri"/>
          <w:sz w:val="24"/>
        </w:rPr>
        <w:t xml:space="preserve"> </w:t>
      </w:r>
      <w:r w:rsidR="00284B7F">
        <w:rPr>
          <w:rFonts w:cs="Calibri"/>
          <w:sz w:val="24"/>
        </w:rPr>
        <w:t>which presents</w:t>
      </w:r>
      <w:r w:rsidR="00A60A10">
        <w:rPr>
          <w:rFonts w:cs="Calibri"/>
          <w:sz w:val="24"/>
        </w:rPr>
        <w:t xml:space="preserve"> </w:t>
      </w:r>
      <w:r w:rsidR="004F0781">
        <w:rPr>
          <w:rFonts w:cs="Calibri"/>
          <w:sz w:val="24"/>
        </w:rPr>
        <w:t xml:space="preserve">tables </w:t>
      </w:r>
      <w:r w:rsidR="00BC161F">
        <w:rPr>
          <w:rFonts w:cs="Calibri"/>
          <w:sz w:val="24"/>
        </w:rPr>
        <w:t>for each arena</w:t>
      </w:r>
      <w:r w:rsidR="00284B7F">
        <w:rPr>
          <w:rFonts w:cs="Calibri"/>
          <w:sz w:val="24"/>
        </w:rPr>
        <w:t>,</w:t>
      </w:r>
      <w:r w:rsidR="00BC161F">
        <w:rPr>
          <w:rFonts w:cs="Calibri"/>
          <w:sz w:val="24"/>
        </w:rPr>
        <w:t xml:space="preserve"> </w:t>
      </w:r>
      <w:r w:rsidR="004F0781">
        <w:rPr>
          <w:rFonts w:cs="Calibri"/>
          <w:sz w:val="24"/>
        </w:rPr>
        <w:t xml:space="preserve">including key aspects </w:t>
      </w:r>
      <w:r w:rsidR="00766FBC">
        <w:rPr>
          <w:rFonts w:cs="Calibri"/>
          <w:sz w:val="24"/>
        </w:rPr>
        <w:t>identif</w:t>
      </w:r>
      <w:r w:rsidR="00630B6F">
        <w:rPr>
          <w:rFonts w:cs="Calibri"/>
          <w:sz w:val="24"/>
        </w:rPr>
        <w:t>i</w:t>
      </w:r>
      <w:r w:rsidR="004F0781">
        <w:rPr>
          <w:rFonts w:cs="Calibri"/>
          <w:sz w:val="24"/>
        </w:rPr>
        <w:t xml:space="preserve">ed and </w:t>
      </w:r>
      <w:r w:rsidR="00766FBC">
        <w:rPr>
          <w:rFonts w:cs="Calibri"/>
          <w:sz w:val="24"/>
        </w:rPr>
        <w:t xml:space="preserve">the </w:t>
      </w:r>
      <w:r w:rsidR="00F709DA">
        <w:rPr>
          <w:rFonts w:cs="Calibri"/>
          <w:sz w:val="24"/>
        </w:rPr>
        <w:t>reference</w:t>
      </w:r>
      <w:r w:rsidR="00766FBC">
        <w:rPr>
          <w:rFonts w:cs="Calibri"/>
          <w:sz w:val="24"/>
        </w:rPr>
        <w:t xml:space="preserve"> within </w:t>
      </w:r>
      <w:r w:rsidR="00032876">
        <w:rPr>
          <w:rFonts w:cs="Calibri"/>
          <w:sz w:val="24"/>
        </w:rPr>
        <w:t>the</w:t>
      </w:r>
      <w:r w:rsidR="00766FBC">
        <w:rPr>
          <w:rFonts w:cs="Calibri"/>
          <w:sz w:val="24"/>
        </w:rPr>
        <w:t xml:space="preserve"> thesis</w:t>
      </w:r>
      <w:r w:rsidR="004F0781">
        <w:rPr>
          <w:rFonts w:cs="Calibri"/>
          <w:sz w:val="24"/>
        </w:rPr>
        <w:t>)</w:t>
      </w:r>
      <w:r w:rsidR="00766FBC">
        <w:rPr>
          <w:rFonts w:cs="Calibri"/>
          <w:sz w:val="24"/>
        </w:rPr>
        <w:t xml:space="preserve">. </w:t>
      </w:r>
    </w:p>
    <w:p w14:paraId="273701C4" w14:textId="76D7482B" w:rsidR="0063140E" w:rsidRDefault="00706E6F" w:rsidP="00B6050F">
      <w:p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Arena 1 links to my first research question in terms of what the EBac policy </w:t>
      </w:r>
      <w:r w:rsidR="00284B7F">
        <w:rPr>
          <w:rFonts w:asciiTheme="minorHAnsi" w:hAnsiTheme="minorHAnsi" w:cstheme="minorHAnsi"/>
          <w:sz w:val="24"/>
          <w:szCs w:val="24"/>
        </w:rPr>
        <w:t xml:space="preserve">is </w:t>
      </w:r>
      <w:r>
        <w:rPr>
          <w:rFonts w:asciiTheme="minorHAnsi" w:hAnsiTheme="minorHAnsi" w:cstheme="minorHAnsi"/>
          <w:sz w:val="24"/>
          <w:szCs w:val="24"/>
        </w:rPr>
        <w:t xml:space="preserve">and how and why it </w:t>
      </w:r>
      <w:r w:rsidR="00284B7F">
        <w:rPr>
          <w:rFonts w:asciiTheme="minorHAnsi" w:hAnsiTheme="minorHAnsi" w:cstheme="minorHAnsi"/>
          <w:sz w:val="24"/>
          <w:szCs w:val="24"/>
        </w:rPr>
        <w:t xml:space="preserve">was </w:t>
      </w:r>
      <w:r>
        <w:rPr>
          <w:rFonts w:asciiTheme="minorHAnsi" w:hAnsiTheme="minorHAnsi" w:cstheme="minorHAnsi"/>
          <w:sz w:val="24"/>
          <w:szCs w:val="24"/>
        </w:rPr>
        <w:t xml:space="preserve">introduced at this particular time. Arena 1 is where the education/social problem resides </w:t>
      </w:r>
      <w:r w:rsidR="00A60A10">
        <w:rPr>
          <w:rFonts w:asciiTheme="minorHAnsi" w:hAnsiTheme="minorHAnsi" w:cstheme="minorHAnsi"/>
          <w:sz w:val="24"/>
          <w:szCs w:val="24"/>
        </w:rPr>
        <w:t>and where</w:t>
      </w:r>
      <w:r>
        <w:rPr>
          <w:rFonts w:asciiTheme="minorHAnsi" w:hAnsiTheme="minorHAnsi" w:cstheme="minorHAnsi"/>
          <w:sz w:val="24"/>
          <w:szCs w:val="24"/>
        </w:rPr>
        <w:t xml:space="preserve"> investigation of the social construction behind the problem</w:t>
      </w:r>
      <w:r w:rsidR="00A60A10">
        <w:rPr>
          <w:rFonts w:asciiTheme="minorHAnsi" w:hAnsiTheme="minorHAnsi" w:cstheme="minorHAnsi"/>
          <w:sz w:val="24"/>
          <w:szCs w:val="24"/>
        </w:rPr>
        <w:t xml:space="preserve"> takes place</w:t>
      </w:r>
      <w:r>
        <w:rPr>
          <w:rFonts w:asciiTheme="minorHAnsi" w:hAnsiTheme="minorHAnsi" w:cstheme="minorHAnsi"/>
          <w:sz w:val="24"/>
          <w:szCs w:val="24"/>
        </w:rPr>
        <w:t>.</w:t>
      </w:r>
      <w:r w:rsidR="0036525C">
        <w:rPr>
          <w:rFonts w:asciiTheme="minorHAnsi" w:hAnsiTheme="minorHAnsi" w:cstheme="minorHAnsi"/>
          <w:sz w:val="24"/>
          <w:szCs w:val="24"/>
        </w:rPr>
        <w:t xml:space="preserve"> </w:t>
      </w:r>
      <w:r w:rsidR="004F0781">
        <w:rPr>
          <w:rFonts w:asciiTheme="minorHAnsi" w:hAnsiTheme="minorHAnsi" w:cstheme="minorHAnsi"/>
          <w:sz w:val="24"/>
          <w:szCs w:val="24"/>
        </w:rPr>
        <w:t>My findings reflect</w:t>
      </w:r>
      <w:r w:rsidR="00533160">
        <w:rPr>
          <w:rFonts w:asciiTheme="minorHAnsi" w:hAnsiTheme="minorHAnsi" w:cstheme="minorHAnsi"/>
          <w:sz w:val="24"/>
          <w:szCs w:val="24"/>
        </w:rPr>
        <w:t xml:space="preserve"> how </w:t>
      </w:r>
      <w:r w:rsidR="000C3FA4">
        <w:rPr>
          <w:rFonts w:asciiTheme="minorHAnsi" w:hAnsiTheme="minorHAnsi" w:cstheme="minorHAnsi"/>
          <w:sz w:val="24"/>
          <w:szCs w:val="24"/>
        </w:rPr>
        <w:t>concern over a perceived decline in educational standards</w:t>
      </w:r>
      <w:r w:rsidR="00284B7F">
        <w:rPr>
          <w:rFonts w:asciiTheme="minorHAnsi" w:hAnsiTheme="minorHAnsi" w:cstheme="minorHAnsi"/>
          <w:sz w:val="24"/>
          <w:szCs w:val="24"/>
        </w:rPr>
        <w:t>,</w:t>
      </w:r>
      <w:r w:rsidR="000C3FA4">
        <w:rPr>
          <w:rFonts w:asciiTheme="minorHAnsi" w:hAnsiTheme="minorHAnsi" w:cstheme="minorHAnsi"/>
          <w:sz w:val="24"/>
          <w:szCs w:val="24"/>
        </w:rPr>
        <w:t xml:space="preserve"> using international measures and </w:t>
      </w:r>
      <w:r w:rsidR="00A60A10">
        <w:rPr>
          <w:rFonts w:asciiTheme="minorHAnsi" w:hAnsiTheme="minorHAnsi" w:cstheme="minorHAnsi"/>
          <w:sz w:val="24"/>
          <w:szCs w:val="24"/>
        </w:rPr>
        <w:t xml:space="preserve">the </w:t>
      </w:r>
      <w:r w:rsidR="000C3FA4">
        <w:rPr>
          <w:rFonts w:asciiTheme="minorHAnsi" w:hAnsiTheme="minorHAnsi" w:cstheme="minorHAnsi"/>
          <w:sz w:val="24"/>
          <w:szCs w:val="24"/>
        </w:rPr>
        <w:t xml:space="preserve">widening gap between disadvantaged students and others within </w:t>
      </w:r>
      <w:r w:rsidR="00A60A10">
        <w:rPr>
          <w:rFonts w:asciiTheme="minorHAnsi" w:hAnsiTheme="minorHAnsi" w:cstheme="minorHAnsi"/>
          <w:sz w:val="24"/>
          <w:szCs w:val="24"/>
        </w:rPr>
        <w:t>England</w:t>
      </w:r>
      <w:r w:rsidR="00284B7F">
        <w:rPr>
          <w:rFonts w:asciiTheme="minorHAnsi" w:hAnsiTheme="minorHAnsi" w:cstheme="minorHAnsi"/>
          <w:sz w:val="24"/>
          <w:szCs w:val="24"/>
        </w:rPr>
        <w:t>,</w:t>
      </w:r>
      <w:r w:rsidR="000C3FA4">
        <w:rPr>
          <w:rFonts w:asciiTheme="minorHAnsi" w:hAnsiTheme="minorHAnsi" w:cstheme="minorHAnsi"/>
          <w:sz w:val="24"/>
          <w:szCs w:val="24"/>
        </w:rPr>
        <w:t xml:space="preserve"> became the focus for the new Coalition </w:t>
      </w:r>
      <w:r w:rsidR="00F709DA">
        <w:rPr>
          <w:rFonts w:asciiTheme="minorHAnsi" w:hAnsiTheme="minorHAnsi" w:cstheme="minorHAnsi"/>
          <w:sz w:val="24"/>
          <w:szCs w:val="24"/>
        </w:rPr>
        <w:t>g</w:t>
      </w:r>
      <w:r w:rsidR="000C3FA4">
        <w:rPr>
          <w:rFonts w:asciiTheme="minorHAnsi" w:hAnsiTheme="minorHAnsi" w:cstheme="minorHAnsi"/>
          <w:sz w:val="24"/>
          <w:szCs w:val="24"/>
        </w:rPr>
        <w:t>overnment.</w:t>
      </w:r>
      <w:r w:rsidR="0031067E">
        <w:rPr>
          <w:rFonts w:asciiTheme="minorHAnsi" w:hAnsiTheme="minorHAnsi" w:cstheme="minorHAnsi"/>
          <w:sz w:val="24"/>
          <w:szCs w:val="24"/>
        </w:rPr>
        <w:t xml:space="preserve"> </w:t>
      </w:r>
      <w:r w:rsidR="00CF68A0">
        <w:rPr>
          <w:rFonts w:asciiTheme="minorHAnsi" w:hAnsiTheme="minorHAnsi" w:cstheme="minorHAnsi"/>
          <w:sz w:val="24"/>
          <w:szCs w:val="24"/>
        </w:rPr>
        <w:t xml:space="preserve">These concerns were </w:t>
      </w:r>
      <w:r w:rsidR="0047544A">
        <w:rPr>
          <w:rFonts w:asciiTheme="minorHAnsi" w:hAnsiTheme="minorHAnsi" w:cstheme="minorHAnsi"/>
          <w:sz w:val="24"/>
          <w:szCs w:val="24"/>
        </w:rPr>
        <w:t>illustrated by</w:t>
      </w:r>
      <w:r w:rsidR="00462F4E">
        <w:rPr>
          <w:rFonts w:asciiTheme="minorHAnsi" w:hAnsiTheme="minorHAnsi" w:cstheme="minorHAnsi"/>
          <w:sz w:val="24"/>
          <w:szCs w:val="24"/>
        </w:rPr>
        <w:t xml:space="preserve"> </w:t>
      </w:r>
      <w:r w:rsidR="00CF68A0">
        <w:rPr>
          <w:rFonts w:asciiTheme="minorHAnsi" w:hAnsiTheme="minorHAnsi" w:cstheme="minorHAnsi"/>
          <w:sz w:val="24"/>
          <w:szCs w:val="24"/>
        </w:rPr>
        <w:t xml:space="preserve">the perception that the curriculum in some schools had become dominated by </w:t>
      </w:r>
      <w:r w:rsidR="00CF68A0">
        <w:rPr>
          <w:rFonts w:asciiTheme="minorHAnsi" w:hAnsiTheme="minorHAnsi" w:cstheme="minorHAnsi"/>
          <w:sz w:val="24"/>
          <w:szCs w:val="24"/>
        </w:rPr>
        <w:lastRenderedPageBreak/>
        <w:t>vocational qualifications</w:t>
      </w:r>
      <w:r w:rsidR="0082470D">
        <w:rPr>
          <w:rFonts w:asciiTheme="minorHAnsi" w:hAnsiTheme="minorHAnsi" w:cstheme="minorHAnsi"/>
          <w:sz w:val="24"/>
          <w:szCs w:val="24"/>
        </w:rPr>
        <w:t xml:space="preserve"> attracting a </w:t>
      </w:r>
      <w:r w:rsidR="00CF68A0">
        <w:rPr>
          <w:rFonts w:asciiTheme="minorHAnsi" w:hAnsiTheme="minorHAnsi" w:cstheme="minorHAnsi"/>
          <w:sz w:val="24"/>
          <w:szCs w:val="24"/>
        </w:rPr>
        <w:t>high number of performance points</w:t>
      </w:r>
      <w:r w:rsidR="0063140E">
        <w:rPr>
          <w:rFonts w:asciiTheme="minorHAnsi" w:hAnsiTheme="minorHAnsi" w:cstheme="minorHAnsi"/>
          <w:sz w:val="24"/>
          <w:szCs w:val="24"/>
        </w:rPr>
        <w:t xml:space="preserve"> but not offer</w:t>
      </w:r>
      <w:r w:rsidR="0082470D">
        <w:rPr>
          <w:rFonts w:asciiTheme="minorHAnsi" w:hAnsiTheme="minorHAnsi" w:cstheme="minorHAnsi"/>
          <w:sz w:val="24"/>
          <w:szCs w:val="24"/>
        </w:rPr>
        <w:t>ing</w:t>
      </w:r>
      <w:r w:rsidR="0063140E">
        <w:rPr>
          <w:rFonts w:asciiTheme="minorHAnsi" w:hAnsiTheme="minorHAnsi" w:cstheme="minorHAnsi"/>
          <w:sz w:val="24"/>
          <w:szCs w:val="24"/>
        </w:rPr>
        <w:t xml:space="preserve"> clear progression routes </w:t>
      </w:r>
      <w:r w:rsidR="00D114D6">
        <w:rPr>
          <w:rFonts w:asciiTheme="minorHAnsi" w:hAnsiTheme="minorHAnsi" w:cstheme="minorHAnsi"/>
          <w:sz w:val="24"/>
          <w:szCs w:val="24"/>
        </w:rPr>
        <w:t>in</w:t>
      </w:r>
      <w:r w:rsidR="00462F4E">
        <w:rPr>
          <w:rFonts w:asciiTheme="minorHAnsi" w:hAnsiTheme="minorHAnsi" w:cstheme="minorHAnsi"/>
          <w:sz w:val="24"/>
          <w:szCs w:val="24"/>
        </w:rPr>
        <w:t>to</w:t>
      </w:r>
      <w:r w:rsidR="00496468">
        <w:rPr>
          <w:rFonts w:asciiTheme="minorHAnsi" w:hAnsiTheme="minorHAnsi" w:cstheme="minorHAnsi"/>
          <w:sz w:val="24"/>
          <w:szCs w:val="24"/>
        </w:rPr>
        <w:t xml:space="preserve"> </w:t>
      </w:r>
      <w:r w:rsidR="00BA2A2E">
        <w:rPr>
          <w:rFonts w:asciiTheme="minorHAnsi" w:hAnsiTheme="minorHAnsi" w:cstheme="minorHAnsi"/>
          <w:sz w:val="24"/>
          <w:szCs w:val="24"/>
        </w:rPr>
        <w:t>further</w:t>
      </w:r>
      <w:r w:rsidR="00496468">
        <w:rPr>
          <w:rFonts w:asciiTheme="minorHAnsi" w:hAnsiTheme="minorHAnsi" w:cstheme="minorHAnsi"/>
          <w:sz w:val="24"/>
          <w:szCs w:val="24"/>
        </w:rPr>
        <w:t xml:space="preserve"> study or </w:t>
      </w:r>
      <w:r w:rsidR="00BA2A2E">
        <w:rPr>
          <w:rFonts w:asciiTheme="minorHAnsi" w:hAnsiTheme="minorHAnsi" w:cstheme="minorHAnsi"/>
          <w:sz w:val="24"/>
          <w:szCs w:val="24"/>
        </w:rPr>
        <w:t xml:space="preserve">high-status </w:t>
      </w:r>
      <w:r w:rsidR="00496468">
        <w:rPr>
          <w:rFonts w:asciiTheme="minorHAnsi" w:hAnsiTheme="minorHAnsi" w:cstheme="minorHAnsi"/>
          <w:sz w:val="24"/>
          <w:szCs w:val="24"/>
        </w:rPr>
        <w:t xml:space="preserve">careers </w:t>
      </w:r>
      <w:r w:rsidR="0063140E">
        <w:rPr>
          <w:rFonts w:asciiTheme="minorHAnsi" w:hAnsiTheme="minorHAnsi" w:cstheme="minorHAnsi"/>
          <w:sz w:val="24"/>
          <w:szCs w:val="24"/>
        </w:rPr>
        <w:t>(Wolf</w:t>
      </w:r>
      <w:r w:rsidR="0082470D">
        <w:rPr>
          <w:rFonts w:asciiTheme="minorHAnsi" w:hAnsiTheme="minorHAnsi" w:cstheme="minorHAnsi"/>
          <w:sz w:val="24"/>
          <w:szCs w:val="24"/>
        </w:rPr>
        <w:t>,</w:t>
      </w:r>
      <w:r w:rsidR="0063140E">
        <w:rPr>
          <w:rFonts w:asciiTheme="minorHAnsi" w:hAnsiTheme="minorHAnsi" w:cstheme="minorHAnsi"/>
          <w:sz w:val="24"/>
          <w:szCs w:val="24"/>
        </w:rPr>
        <w:t xml:space="preserve"> 2011). Th</w:t>
      </w:r>
      <w:r w:rsidR="00496468">
        <w:rPr>
          <w:rFonts w:asciiTheme="minorHAnsi" w:hAnsiTheme="minorHAnsi" w:cstheme="minorHAnsi"/>
          <w:sz w:val="24"/>
          <w:szCs w:val="24"/>
        </w:rPr>
        <w:t xml:space="preserve">e move to a </w:t>
      </w:r>
      <w:r w:rsidR="00D114D6">
        <w:rPr>
          <w:rFonts w:asciiTheme="minorHAnsi" w:hAnsiTheme="minorHAnsi" w:cstheme="minorHAnsi"/>
          <w:sz w:val="24"/>
          <w:szCs w:val="24"/>
        </w:rPr>
        <w:t>vocational curriculum</w:t>
      </w:r>
      <w:r w:rsidR="0063140E">
        <w:rPr>
          <w:rFonts w:asciiTheme="minorHAnsi" w:hAnsiTheme="minorHAnsi" w:cstheme="minorHAnsi"/>
          <w:sz w:val="24"/>
          <w:szCs w:val="24"/>
        </w:rPr>
        <w:t xml:space="preserve"> </w:t>
      </w:r>
      <w:r w:rsidR="00D114D6">
        <w:rPr>
          <w:rFonts w:asciiTheme="minorHAnsi" w:hAnsiTheme="minorHAnsi" w:cstheme="minorHAnsi"/>
          <w:sz w:val="24"/>
          <w:szCs w:val="24"/>
        </w:rPr>
        <w:t>correspond</w:t>
      </w:r>
      <w:r w:rsidR="00284B7F">
        <w:rPr>
          <w:rFonts w:asciiTheme="minorHAnsi" w:hAnsiTheme="minorHAnsi" w:cstheme="minorHAnsi"/>
          <w:sz w:val="24"/>
          <w:szCs w:val="24"/>
        </w:rPr>
        <w:t>ed with a</w:t>
      </w:r>
      <w:r w:rsidR="00D114D6">
        <w:rPr>
          <w:rFonts w:asciiTheme="minorHAnsi" w:hAnsiTheme="minorHAnsi" w:cstheme="minorHAnsi"/>
          <w:sz w:val="24"/>
          <w:szCs w:val="24"/>
        </w:rPr>
        <w:t xml:space="preserve"> </w:t>
      </w:r>
      <w:r w:rsidR="0063140E">
        <w:rPr>
          <w:rFonts w:asciiTheme="minorHAnsi" w:hAnsiTheme="minorHAnsi" w:cstheme="minorHAnsi"/>
          <w:sz w:val="24"/>
          <w:szCs w:val="24"/>
        </w:rPr>
        <w:t>reduction in the number of students taking academic subjects</w:t>
      </w:r>
      <w:r w:rsidR="00284B7F">
        <w:rPr>
          <w:rFonts w:asciiTheme="minorHAnsi" w:hAnsiTheme="minorHAnsi" w:cstheme="minorHAnsi"/>
          <w:sz w:val="24"/>
          <w:szCs w:val="24"/>
        </w:rPr>
        <w:t>,</w:t>
      </w:r>
      <w:r w:rsidR="0063140E">
        <w:rPr>
          <w:rFonts w:asciiTheme="minorHAnsi" w:hAnsiTheme="minorHAnsi" w:cstheme="minorHAnsi"/>
          <w:sz w:val="24"/>
          <w:szCs w:val="24"/>
        </w:rPr>
        <w:t xml:space="preserve"> such as </w:t>
      </w:r>
      <w:r w:rsidR="0082470D">
        <w:rPr>
          <w:rFonts w:asciiTheme="minorHAnsi" w:hAnsiTheme="minorHAnsi" w:cstheme="minorHAnsi"/>
          <w:sz w:val="24"/>
          <w:szCs w:val="24"/>
        </w:rPr>
        <w:t>l</w:t>
      </w:r>
      <w:r w:rsidR="0063140E">
        <w:rPr>
          <w:rFonts w:asciiTheme="minorHAnsi" w:hAnsiTheme="minorHAnsi" w:cstheme="minorHAnsi"/>
          <w:sz w:val="24"/>
          <w:szCs w:val="24"/>
        </w:rPr>
        <w:t>anguages, History and Geography</w:t>
      </w:r>
      <w:r w:rsidR="00284B7F">
        <w:rPr>
          <w:rFonts w:asciiTheme="minorHAnsi" w:hAnsiTheme="minorHAnsi" w:cstheme="minorHAnsi"/>
          <w:sz w:val="24"/>
          <w:szCs w:val="24"/>
        </w:rPr>
        <w:t xml:space="preserve">, </w:t>
      </w:r>
      <w:r w:rsidR="00A57029">
        <w:rPr>
          <w:rFonts w:asciiTheme="minorHAnsi" w:hAnsiTheme="minorHAnsi" w:cstheme="minorHAnsi"/>
          <w:sz w:val="24"/>
          <w:szCs w:val="24"/>
        </w:rPr>
        <w:t>which</w:t>
      </w:r>
      <w:r w:rsidR="00D114D6">
        <w:rPr>
          <w:rFonts w:asciiTheme="minorHAnsi" w:hAnsiTheme="minorHAnsi" w:cstheme="minorHAnsi"/>
          <w:sz w:val="24"/>
          <w:szCs w:val="24"/>
        </w:rPr>
        <w:t xml:space="preserve"> was interpreted by the government as a sign that the curriculum was not as academically challenging as it had </w:t>
      </w:r>
      <w:r w:rsidR="00284B7F">
        <w:rPr>
          <w:rFonts w:asciiTheme="minorHAnsi" w:hAnsiTheme="minorHAnsi" w:cstheme="minorHAnsi"/>
          <w:sz w:val="24"/>
          <w:szCs w:val="24"/>
        </w:rPr>
        <w:t xml:space="preserve">previously </w:t>
      </w:r>
      <w:r w:rsidR="00D114D6">
        <w:rPr>
          <w:rFonts w:asciiTheme="minorHAnsi" w:hAnsiTheme="minorHAnsi" w:cstheme="minorHAnsi"/>
          <w:sz w:val="24"/>
          <w:szCs w:val="24"/>
        </w:rPr>
        <w:t>been</w:t>
      </w:r>
      <w:r w:rsidR="0063140E">
        <w:rPr>
          <w:rFonts w:asciiTheme="minorHAnsi" w:hAnsiTheme="minorHAnsi" w:cstheme="minorHAnsi"/>
          <w:sz w:val="24"/>
          <w:szCs w:val="24"/>
        </w:rPr>
        <w:t>.</w:t>
      </w:r>
      <w:r w:rsidR="00CF68A0">
        <w:rPr>
          <w:rFonts w:asciiTheme="minorHAnsi" w:hAnsiTheme="minorHAnsi" w:cstheme="minorHAnsi"/>
          <w:sz w:val="24"/>
          <w:szCs w:val="24"/>
        </w:rPr>
        <w:t xml:space="preserve"> </w:t>
      </w:r>
      <w:r w:rsidR="0031067E">
        <w:rPr>
          <w:rFonts w:asciiTheme="minorHAnsi" w:hAnsiTheme="minorHAnsi" w:cstheme="minorHAnsi"/>
          <w:sz w:val="24"/>
          <w:szCs w:val="24"/>
        </w:rPr>
        <w:t xml:space="preserve">This </w:t>
      </w:r>
      <w:r w:rsidR="0047544A">
        <w:rPr>
          <w:rFonts w:asciiTheme="minorHAnsi" w:hAnsiTheme="minorHAnsi" w:cstheme="minorHAnsi"/>
          <w:sz w:val="24"/>
          <w:szCs w:val="24"/>
        </w:rPr>
        <w:t xml:space="preserve">belief </w:t>
      </w:r>
      <w:r w:rsidR="0031067E">
        <w:rPr>
          <w:rFonts w:asciiTheme="minorHAnsi" w:hAnsiTheme="minorHAnsi" w:cstheme="minorHAnsi"/>
          <w:sz w:val="24"/>
          <w:szCs w:val="24"/>
        </w:rPr>
        <w:t xml:space="preserve">was </w:t>
      </w:r>
      <w:r w:rsidR="0047544A">
        <w:rPr>
          <w:rFonts w:asciiTheme="minorHAnsi" w:hAnsiTheme="minorHAnsi" w:cstheme="minorHAnsi"/>
          <w:sz w:val="24"/>
          <w:szCs w:val="24"/>
        </w:rPr>
        <w:t>clearly</w:t>
      </w:r>
      <w:r w:rsidR="0031067E">
        <w:rPr>
          <w:rFonts w:asciiTheme="minorHAnsi" w:hAnsiTheme="minorHAnsi" w:cstheme="minorHAnsi"/>
          <w:sz w:val="24"/>
          <w:szCs w:val="24"/>
        </w:rPr>
        <w:t xml:space="preserve"> evident within the policy documents </w:t>
      </w:r>
      <w:r w:rsidR="006038B8">
        <w:rPr>
          <w:rFonts w:asciiTheme="minorHAnsi" w:hAnsiTheme="minorHAnsi" w:cstheme="minorHAnsi"/>
          <w:sz w:val="24"/>
          <w:szCs w:val="24"/>
        </w:rPr>
        <w:t>analysed</w:t>
      </w:r>
      <w:r w:rsidR="000C3FA4">
        <w:rPr>
          <w:rFonts w:asciiTheme="minorHAnsi" w:hAnsiTheme="minorHAnsi" w:cstheme="minorHAnsi"/>
          <w:sz w:val="24"/>
          <w:szCs w:val="24"/>
        </w:rPr>
        <w:t xml:space="preserve"> (</w:t>
      </w:r>
      <w:r w:rsidR="00037985">
        <w:rPr>
          <w:rFonts w:asciiTheme="minorHAnsi" w:hAnsiTheme="minorHAnsi" w:cstheme="minorHAnsi"/>
          <w:sz w:val="24"/>
          <w:szCs w:val="24"/>
        </w:rPr>
        <w:t>section 4.9</w:t>
      </w:r>
      <w:r w:rsidR="00AD04A4">
        <w:rPr>
          <w:rFonts w:asciiTheme="minorHAnsi" w:hAnsiTheme="minorHAnsi" w:cstheme="minorHAnsi"/>
          <w:sz w:val="24"/>
          <w:szCs w:val="24"/>
        </w:rPr>
        <w:t>) a</w:t>
      </w:r>
      <w:r w:rsidR="0031067E">
        <w:rPr>
          <w:rFonts w:asciiTheme="minorHAnsi" w:hAnsiTheme="minorHAnsi" w:cstheme="minorHAnsi"/>
          <w:sz w:val="24"/>
          <w:szCs w:val="24"/>
        </w:rPr>
        <w:t xml:space="preserve">nd </w:t>
      </w:r>
      <w:r w:rsidR="0047544A">
        <w:rPr>
          <w:rFonts w:asciiTheme="minorHAnsi" w:hAnsiTheme="minorHAnsi" w:cstheme="minorHAnsi"/>
          <w:sz w:val="24"/>
          <w:szCs w:val="24"/>
        </w:rPr>
        <w:t xml:space="preserve">also </w:t>
      </w:r>
      <w:r w:rsidR="0031067E">
        <w:rPr>
          <w:rFonts w:asciiTheme="minorHAnsi" w:hAnsiTheme="minorHAnsi" w:cstheme="minorHAnsi"/>
          <w:sz w:val="24"/>
          <w:szCs w:val="24"/>
        </w:rPr>
        <w:t xml:space="preserve">by </w:t>
      </w:r>
      <w:r w:rsidR="002533B3">
        <w:rPr>
          <w:rFonts w:asciiTheme="minorHAnsi" w:hAnsiTheme="minorHAnsi" w:cstheme="minorHAnsi"/>
          <w:sz w:val="24"/>
          <w:szCs w:val="24"/>
        </w:rPr>
        <w:t xml:space="preserve">some </w:t>
      </w:r>
      <w:r w:rsidR="0031067E">
        <w:rPr>
          <w:rFonts w:asciiTheme="minorHAnsi" w:hAnsiTheme="minorHAnsi" w:cstheme="minorHAnsi"/>
          <w:sz w:val="24"/>
          <w:szCs w:val="24"/>
        </w:rPr>
        <w:t>teachers</w:t>
      </w:r>
      <w:r w:rsidR="0047544A">
        <w:rPr>
          <w:rFonts w:asciiTheme="minorHAnsi" w:hAnsiTheme="minorHAnsi" w:cstheme="minorHAnsi"/>
          <w:sz w:val="24"/>
          <w:szCs w:val="24"/>
        </w:rPr>
        <w:t xml:space="preserve">. </w:t>
      </w:r>
      <w:r w:rsidR="00AD04A4">
        <w:rPr>
          <w:rFonts w:asciiTheme="minorHAnsi" w:hAnsiTheme="minorHAnsi" w:cstheme="minorHAnsi"/>
          <w:sz w:val="24"/>
          <w:szCs w:val="24"/>
        </w:rPr>
        <w:t>Simon (B</w:t>
      </w:r>
      <w:r w:rsidR="006C11E8">
        <w:rPr>
          <w:rFonts w:asciiTheme="minorHAnsi" w:hAnsiTheme="minorHAnsi" w:cstheme="minorHAnsi"/>
          <w:sz w:val="24"/>
          <w:szCs w:val="24"/>
        </w:rPr>
        <w:t>luefield</w:t>
      </w:r>
      <w:r w:rsidR="00AD04A4">
        <w:rPr>
          <w:rFonts w:asciiTheme="minorHAnsi" w:hAnsiTheme="minorHAnsi" w:cstheme="minorHAnsi"/>
          <w:sz w:val="24"/>
          <w:szCs w:val="24"/>
        </w:rPr>
        <w:t>/DH p.120)</w:t>
      </w:r>
      <w:r w:rsidR="00462F4E">
        <w:rPr>
          <w:rFonts w:asciiTheme="minorHAnsi" w:hAnsiTheme="minorHAnsi" w:cstheme="minorHAnsi"/>
          <w:sz w:val="24"/>
          <w:szCs w:val="24"/>
        </w:rPr>
        <w:t xml:space="preserve">, </w:t>
      </w:r>
      <w:r w:rsidR="0047544A">
        <w:rPr>
          <w:rFonts w:asciiTheme="minorHAnsi" w:hAnsiTheme="minorHAnsi" w:cstheme="minorHAnsi"/>
          <w:sz w:val="24"/>
          <w:szCs w:val="24"/>
        </w:rPr>
        <w:t>for example, believes</w:t>
      </w:r>
      <w:r w:rsidR="00AD04A4">
        <w:rPr>
          <w:rFonts w:asciiTheme="minorHAnsi" w:hAnsiTheme="minorHAnsi" w:cstheme="minorHAnsi"/>
          <w:sz w:val="24"/>
          <w:szCs w:val="24"/>
        </w:rPr>
        <w:t xml:space="preserve"> the academic nature of the EBac support</w:t>
      </w:r>
      <w:r w:rsidR="0047544A">
        <w:rPr>
          <w:rFonts w:asciiTheme="minorHAnsi" w:hAnsiTheme="minorHAnsi" w:cstheme="minorHAnsi"/>
          <w:sz w:val="24"/>
          <w:szCs w:val="24"/>
        </w:rPr>
        <w:t>s</w:t>
      </w:r>
      <w:r w:rsidR="00AD04A4">
        <w:rPr>
          <w:rFonts w:asciiTheme="minorHAnsi" w:hAnsiTheme="minorHAnsi" w:cstheme="minorHAnsi"/>
          <w:sz w:val="24"/>
          <w:szCs w:val="24"/>
        </w:rPr>
        <w:t xml:space="preserve"> student progression</w:t>
      </w:r>
      <w:r w:rsidR="00462F4E">
        <w:rPr>
          <w:rFonts w:asciiTheme="minorHAnsi" w:hAnsiTheme="minorHAnsi" w:cstheme="minorHAnsi"/>
          <w:sz w:val="24"/>
          <w:szCs w:val="24"/>
        </w:rPr>
        <w:t xml:space="preserve"> f</w:t>
      </w:r>
      <w:r w:rsidR="00D114D6">
        <w:rPr>
          <w:rFonts w:asciiTheme="minorHAnsi" w:hAnsiTheme="minorHAnsi" w:cstheme="minorHAnsi"/>
          <w:sz w:val="24"/>
          <w:szCs w:val="24"/>
        </w:rPr>
        <w:t>rom school</w:t>
      </w:r>
      <w:r w:rsidR="00462F4E">
        <w:rPr>
          <w:rFonts w:asciiTheme="minorHAnsi" w:hAnsiTheme="minorHAnsi" w:cstheme="minorHAnsi"/>
          <w:sz w:val="24"/>
          <w:szCs w:val="24"/>
        </w:rPr>
        <w:t xml:space="preserve"> to </w:t>
      </w:r>
      <w:r w:rsidR="00D114D6">
        <w:rPr>
          <w:rFonts w:asciiTheme="minorHAnsi" w:hAnsiTheme="minorHAnsi" w:cstheme="minorHAnsi"/>
          <w:sz w:val="24"/>
          <w:szCs w:val="24"/>
        </w:rPr>
        <w:t>university</w:t>
      </w:r>
      <w:r w:rsidR="0031067E">
        <w:rPr>
          <w:rFonts w:asciiTheme="minorHAnsi" w:hAnsiTheme="minorHAnsi" w:cstheme="minorHAnsi"/>
          <w:sz w:val="24"/>
          <w:szCs w:val="24"/>
        </w:rPr>
        <w:t xml:space="preserve">. </w:t>
      </w:r>
    </w:p>
    <w:p w14:paraId="15D3A66B" w14:textId="77777777" w:rsidR="00B6050F" w:rsidRDefault="00B6050F" w:rsidP="00B6050F">
      <w:pPr>
        <w:spacing w:after="0" w:line="360" w:lineRule="auto"/>
        <w:rPr>
          <w:rFonts w:asciiTheme="minorHAnsi" w:hAnsiTheme="minorHAnsi" w:cstheme="minorHAnsi"/>
          <w:sz w:val="24"/>
          <w:szCs w:val="24"/>
        </w:rPr>
      </w:pPr>
    </w:p>
    <w:p w14:paraId="4498DC1A" w14:textId="69B0AF7E" w:rsidR="00706E6F" w:rsidRDefault="00462F4E" w:rsidP="00B6050F">
      <w:pPr>
        <w:spacing w:after="0" w:line="360" w:lineRule="auto"/>
        <w:rPr>
          <w:rFonts w:asciiTheme="minorHAnsi" w:hAnsiTheme="minorHAnsi" w:cstheme="minorHAnsi"/>
          <w:sz w:val="24"/>
          <w:szCs w:val="24"/>
        </w:rPr>
      </w:pPr>
      <w:r>
        <w:rPr>
          <w:rFonts w:asciiTheme="minorHAnsi" w:hAnsiTheme="minorHAnsi" w:cstheme="minorHAnsi"/>
          <w:sz w:val="24"/>
          <w:szCs w:val="24"/>
        </w:rPr>
        <w:t>The</w:t>
      </w:r>
      <w:r w:rsidR="00D114D6">
        <w:rPr>
          <w:rFonts w:asciiTheme="minorHAnsi" w:hAnsiTheme="minorHAnsi" w:cstheme="minorHAnsi"/>
          <w:sz w:val="24"/>
          <w:szCs w:val="24"/>
        </w:rPr>
        <w:t xml:space="preserve"> </w:t>
      </w:r>
      <w:r w:rsidR="00BB3BB3">
        <w:rPr>
          <w:rFonts w:asciiTheme="minorHAnsi" w:hAnsiTheme="minorHAnsi" w:cstheme="minorHAnsi"/>
          <w:sz w:val="24"/>
          <w:szCs w:val="24"/>
        </w:rPr>
        <w:t>new</w:t>
      </w:r>
      <w:r>
        <w:rPr>
          <w:rFonts w:asciiTheme="minorHAnsi" w:hAnsiTheme="minorHAnsi" w:cstheme="minorHAnsi"/>
          <w:sz w:val="24"/>
          <w:szCs w:val="24"/>
        </w:rPr>
        <w:t xml:space="preserve">ly formed Coalition </w:t>
      </w:r>
      <w:r w:rsidR="00D114D6">
        <w:rPr>
          <w:rFonts w:asciiTheme="minorHAnsi" w:hAnsiTheme="minorHAnsi" w:cstheme="minorHAnsi"/>
          <w:sz w:val="24"/>
          <w:szCs w:val="24"/>
        </w:rPr>
        <w:t>g</w:t>
      </w:r>
      <w:r w:rsidR="00BB3BB3">
        <w:rPr>
          <w:rFonts w:asciiTheme="minorHAnsi" w:hAnsiTheme="minorHAnsi" w:cstheme="minorHAnsi"/>
          <w:sz w:val="24"/>
          <w:szCs w:val="24"/>
        </w:rPr>
        <w:t xml:space="preserve">overnment </w:t>
      </w:r>
      <w:r>
        <w:rPr>
          <w:rFonts w:asciiTheme="minorHAnsi" w:hAnsiTheme="minorHAnsi" w:cstheme="minorHAnsi"/>
          <w:sz w:val="24"/>
          <w:szCs w:val="24"/>
        </w:rPr>
        <w:t xml:space="preserve">faced an </w:t>
      </w:r>
      <w:r w:rsidR="0024060B">
        <w:rPr>
          <w:rFonts w:asciiTheme="minorHAnsi" w:hAnsiTheme="minorHAnsi" w:cstheme="minorHAnsi"/>
          <w:sz w:val="24"/>
          <w:szCs w:val="24"/>
        </w:rPr>
        <w:t>urgent necessity for</w:t>
      </w:r>
      <w:r w:rsidR="00BB3BB3">
        <w:rPr>
          <w:rFonts w:asciiTheme="minorHAnsi" w:hAnsiTheme="minorHAnsi" w:cstheme="minorHAnsi"/>
          <w:sz w:val="24"/>
          <w:szCs w:val="24"/>
        </w:rPr>
        <w:t xml:space="preserve"> new ideas and</w:t>
      </w:r>
      <w:r w:rsidR="0061611A">
        <w:rPr>
          <w:rFonts w:asciiTheme="minorHAnsi" w:hAnsiTheme="minorHAnsi" w:cstheme="minorHAnsi"/>
          <w:sz w:val="24"/>
          <w:szCs w:val="24"/>
        </w:rPr>
        <w:t xml:space="preserve"> </w:t>
      </w:r>
      <w:r w:rsidR="00BB3BB3">
        <w:rPr>
          <w:rFonts w:asciiTheme="minorHAnsi" w:hAnsiTheme="minorHAnsi" w:cstheme="minorHAnsi"/>
          <w:sz w:val="24"/>
          <w:szCs w:val="24"/>
        </w:rPr>
        <w:t>direction</w:t>
      </w:r>
      <w:r w:rsidR="0061611A">
        <w:rPr>
          <w:rFonts w:asciiTheme="minorHAnsi" w:hAnsiTheme="minorHAnsi" w:cstheme="minorHAnsi"/>
          <w:sz w:val="24"/>
          <w:szCs w:val="24"/>
        </w:rPr>
        <w:t>s</w:t>
      </w:r>
      <w:r w:rsidR="00BB3BB3">
        <w:rPr>
          <w:rFonts w:asciiTheme="minorHAnsi" w:hAnsiTheme="minorHAnsi" w:cstheme="minorHAnsi"/>
          <w:sz w:val="24"/>
          <w:szCs w:val="24"/>
        </w:rPr>
        <w:t xml:space="preserve"> </w:t>
      </w:r>
      <w:r w:rsidR="00533160">
        <w:rPr>
          <w:rFonts w:asciiTheme="minorHAnsi" w:hAnsiTheme="minorHAnsi" w:cstheme="minorHAnsi"/>
          <w:sz w:val="24"/>
          <w:szCs w:val="24"/>
        </w:rPr>
        <w:t>ar</w:t>
      </w:r>
      <w:r>
        <w:rPr>
          <w:rFonts w:asciiTheme="minorHAnsi" w:hAnsiTheme="minorHAnsi" w:cstheme="minorHAnsi"/>
          <w:sz w:val="24"/>
          <w:szCs w:val="24"/>
        </w:rPr>
        <w:t>ising</w:t>
      </w:r>
      <w:r w:rsidR="00533160">
        <w:rPr>
          <w:rFonts w:asciiTheme="minorHAnsi" w:hAnsiTheme="minorHAnsi" w:cstheme="minorHAnsi"/>
          <w:sz w:val="24"/>
          <w:szCs w:val="24"/>
        </w:rPr>
        <w:t xml:space="preserve"> out of</w:t>
      </w:r>
      <w:r w:rsidR="0067568B">
        <w:rPr>
          <w:rFonts w:asciiTheme="minorHAnsi" w:hAnsiTheme="minorHAnsi" w:cstheme="minorHAnsi"/>
          <w:sz w:val="24"/>
          <w:szCs w:val="24"/>
        </w:rPr>
        <w:t>,</w:t>
      </w:r>
      <w:r w:rsidR="00533160">
        <w:rPr>
          <w:rFonts w:asciiTheme="minorHAnsi" w:hAnsiTheme="minorHAnsi" w:cstheme="minorHAnsi"/>
          <w:sz w:val="24"/>
          <w:szCs w:val="24"/>
        </w:rPr>
        <w:t xml:space="preserve"> and as a response to</w:t>
      </w:r>
      <w:r w:rsidR="0067568B">
        <w:rPr>
          <w:rFonts w:asciiTheme="minorHAnsi" w:hAnsiTheme="minorHAnsi" w:cstheme="minorHAnsi"/>
          <w:sz w:val="24"/>
          <w:szCs w:val="24"/>
        </w:rPr>
        <w:t>,</w:t>
      </w:r>
      <w:r w:rsidR="00533160">
        <w:rPr>
          <w:rFonts w:asciiTheme="minorHAnsi" w:hAnsiTheme="minorHAnsi" w:cstheme="minorHAnsi"/>
          <w:sz w:val="24"/>
          <w:szCs w:val="24"/>
        </w:rPr>
        <w:t xml:space="preserve"> </w:t>
      </w:r>
      <w:r w:rsidR="00BB3BB3">
        <w:rPr>
          <w:rFonts w:asciiTheme="minorHAnsi" w:hAnsiTheme="minorHAnsi" w:cstheme="minorHAnsi"/>
          <w:sz w:val="24"/>
          <w:szCs w:val="24"/>
        </w:rPr>
        <w:t xml:space="preserve">the </w:t>
      </w:r>
      <w:r w:rsidR="00533160">
        <w:rPr>
          <w:rFonts w:asciiTheme="minorHAnsi" w:hAnsiTheme="minorHAnsi" w:cstheme="minorHAnsi"/>
          <w:sz w:val="24"/>
          <w:szCs w:val="24"/>
        </w:rPr>
        <w:t xml:space="preserve">identification </w:t>
      </w:r>
      <w:r w:rsidR="00BB3BB3">
        <w:rPr>
          <w:rFonts w:asciiTheme="minorHAnsi" w:hAnsiTheme="minorHAnsi" w:cstheme="minorHAnsi"/>
          <w:sz w:val="24"/>
          <w:szCs w:val="24"/>
        </w:rPr>
        <w:t>of</w:t>
      </w:r>
      <w:r w:rsidR="00533160">
        <w:rPr>
          <w:rFonts w:asciiTheme="minorHAnsi" w:hAnsiTheme="minorHAnsi" w:cstheme="minorHAnsi"/>
          <w:sz w:val="24"/>
          <w:szCs w:val="24"/>
        </w:rPr>
        <w:t xml:space="preserve"> poor </w:t>
      </w:r>
      <w:r w:rsidR="00BB3BB3">
        <w:rPr>
          <w:rFonts w:asciiTheme="minorHAnsi" w:hAnsiTheme="minorHAnsi" w:cstheme="minorHAnsi"/>
          <w:sz w:val="24"/>
          <w:szCs w:val="24"/>
        </w:rPr>
        <w:t xml:space="preserve">educational standards as </w:t>
      </w:r>
      <w:r>
        <w:rPr>
          <w:rFonts w:asciiTheme="minorHAnsi" w:hAnsiTheme="minorHAnsi" w:cstheme="minorHAnsi"/>
          <w:sz w:val="24"/>
          <w:szCs w:val="24"/>
        </w:rPr>
        <w:t>‘</w:t>
      </w:r>
      <w:r w:rsidR="00037985">
        <w:rPr>
          <w:rFonts w:asciiTheme="minorHAnsi" w:hAnsiTheme="minorHAnsi" w:cstheme="minorHAnsi"/>
          <w:sz w:val="24"/>
          <w:szCs w:val="24"/>
        </w:rPr>
        <w:t>the</w:t>
      </w:r>
      <w:r>
        <w:rPr>
          <w:rFonts w:asciiTheme="minorHAnsi" w:hAnsiTheme="minorHAnsi" w:cstheme="minorHAnsi"/>
          <w:sz w:val="24"/>
          <w:szCs w:val="24"/>
        </w:rPr>
        <w:t>’</w:t>
      </w:r>
      <w:r w:rsidR="00037985">
        <w:rPr>
          <w:rFonts w:asciiTheme="minorHAnsi" w:hAnsiTheme="minorHAnsi" w:cstheme="minorHAnsi"/>
          <w:sz w:val="24"/>
          <w:szCs w:val="24"/>
        </w:rPr>
        <w:t xml:space="preserve"> problem</w:t>
      </w:r>
      <w:r w:rsidR="00BB3BB3">
        <w:rPr>
          <w:rFonts w:asciiTheme="minorHAnsi" w:hAnsiTheme="minorHAnsi" w:cstheme="minorHAnsi"/>
          <w:sz w:val="24"/>
          <w:szCs w:val="24"/>
        </w:rPr>
        <w:t xml:space="preserve">. </w:t>
      </w:r>
      <w:r w:rsidR="00533160">
        <w:rPr>
          <w:rFonts w:asciiTheme="minorHAnsi" w:hAnsiTheme="minorHAnsi" w:cstheme="minorHAnsi"/>
          <w:sz w:val="24"/>
          <w:szCs w:val="24"/>
        </w:rPr>
        <w:t xml:space="preserve">CDA highlighted </w:t>
      </w:r>
      <w:r w:rsidR="00BB3BB3">
        <w:rPr>
          <w:rFonts w:asciiTheme="minorHAnsi" w:hAnsiTheme="minorHAnsi" w:cstheme="minorHAnsi"/>
          <w:sz w:val="24"/>
          <w:szCs w:val="24"/>
        </w:rPr>
        <w:t>a</w:t>
      </w:r>
      <w:r w:rsidR="00533160">
        <w:rPr>
          <w:rFonts w:asciiTheme="minorHAnsi" w:hAnsiTheme="minorHAnsi" w:cstheme="minorHAnsi"/>
          <w:sz w:val="24"/>
          <w:szCs w:val="24"/>
        </w:rPr>
        <w:t>n</w:t>
      </w:r>
      <w:r w:rsidR="00BB3BB3">
        <w:rPr>
          <w:rFonts w:asciiTheme="minorHAnsi" w:hAnsiTheme="minorHAnsi" w:cstheme="minorHAnsi"/>
          <w:sz w:val="24"/>
          <w:szCs w:val="24"/>
        </w:rPr>
        <w:t xml:space="preserve"> ‘historical’ basis to the problem, creating the reader as the ‘in group’, within a TINA discourse</w:t>
      </w:r>
      <w:r w:rsidR="00787DBC">
        <w:rPr>
          <w:rFonts w:asciiTheme="minorHAnsi" w:hAnsiTheme="minorHAnsi" w:cstheme="minorHAnsi"/>
          <w:sz w:val="24"/>
          <w:szCs w:val="24"/>
        </w:rPr>
        <w:t xml:space="preserve"> (Fairclough</w:t>
      </w:r>
      <w:r w:rsidR="00A57029">
        <w:rPr>
          <w:rFonts w:asciiTheme="minorHAnsi" w:hAnsiTheme="minorHAnsi" w:cstheme="minorHAnsi"/>
          <w:sz w:val="24"/>
          <w:szCs w:val="24"/>
        </w:rPr>
        <w:t>,</w:t>
      </w:r>
      <w:r w:rsidR="000206E0">
        <w:rPr>
          <w:rFonts w:asciiTheme="minorHAnsi" w:hAnsiTheme="minorHAnsi" w:cstheme="minorHAnsi"/>
          <w:sz w:val="24"/>
          <w:szCs w:val="24"/>
        </w:rPr>
        <w:t xml:space="preserve"> </w:t>
      </w:r>
      <w:r w:rsidR="006038B8">
        <w:rPr>
          <w:rFonts w:asciiTheme="minorHAnsi" w:hAnsiTheme="minorHAnsi" w:cstheme="minorHAnsi"/>
          <w:sz w:val="24"/>
          <w:szCs w:val="24"/>
        </w:rPr>
        <w:t>2003</w:t>
      </w:r>
      <w:r w:rsidR="00787DBC">
        <w:rPr>
          <w:rFonts w:asciiTheme="minorHAnsi" w:hAnsiTheme="minorHAnsi" w:cstheme="minorHAnsi"/>
          <w:sz w:val="24"/>
          <w:szCs w:val="24"/>
        </w:rPr>
        <w:t>)</w:t>
      </w:r>
      <w:r w:rsidR="00BB3BB3">
        <w:rPr>
          <w:rFonts w:asciiTheme="minorHAnsi" w:hAnsiTheme="minorHAnsi" w:cstheme="minorHAnsi"/>
          <w:sz w:val="24"/>
          <w:szCs w:val="24"/>
        </w:rPr>
        <w:t>, thereby presenting as inevitable</w:t>
      </w:r>
      <w:r w:rsidR="0067568B">
        <w:rPr>
          <w:rFonts w:asciiTheme="minorHAnsi" w:hAnsiTheme="minorHAnsi" w:cstheme="minorHAnsi"/>
          <w:sz w:val="24"/>
          <w:szCs w:val="24"/>
        </w:rPr>
        <w:t>,</w:t>
      </w:r>
      <w:r w:rsidR="00BB3BB3">
        <w:rPr>
          <w:rFonts w:asciiTheme="minorHAnsi" w:hAnsiTheme="minorHAnsi" w:cstheme="minorHAnsi"/>
          <w:sz w:val="24"/>
          <w:szCs w:val="24"/>
        </w:rPr>
        <w:t xml:space="preserve"> and logical</w:t>
      </w:r>
      <w:r w:rsidR="0067568B">
        <w:rPr>
          <w:rFonts w:asciiTheme="minorHAnsi" w:hAnsiTheme="minorHAnsi" w:cstheme="minorHAnsi"/>
          <w:sz w:val="24"/>
          <w:szCs w:val="24"/>
        </w:rPr>
        <w:t>,</w:t>
      </w:r>
      <w:r w:rsidR="00BB3BB3">
        <w:rPr>
          <w:rFonts w:asciiTheme="minorHAnsi" w:hAnsiTheme="minorHAnsi" w:cstheme="minorHAnsi"/>
          <w:sz w:val="24"/>
          <w:szCs w:val="24"/>
        </w:rPr>
        <w:t xml:space="preserve"> the </w:t>
      </w:r>
      <w:r w:rsidR="006038B8">
        <w:rPr>
          <w:rFonts w:asciiTheme="minorHAnsi" w:hAnsiTheme="minorHAnsi" w:cstheme="minorHAnsi"/>
          <w:sz w:val="24"/>
          <w:szCs w:val="24"/>
        </w:rPr>
        <w:t xml:space="preserve">stated </w:t>
      </w:r>
      <w:r w:rsidR="00BB3BB3">
        <w:rPr>
          <w:rFonts w:asciiTheme="minorHAnsi" w:hAnsiTheme="minorHAnsi" w:cstheme="minorHAnsi"/>
          <w:sz w:val="24"/>
          <w:szCs w:val="24"/>
        </w:rPr>
        <w:t xml:space="preserve">policy </w:t>
      </w:r>
      <w:r w:rsidR="003B408E">
        <w:rPr>
          <w:rFonts w:asciiTheme="minorHAnsi" w:hAnsiTheme="minorHAnsi" w:cstheme="minorHAnsi"/>
          <w:sz w:val="24"/>
          <w:szCs w:val="24"/>
        </w:rPr>
        <w:t>responses</w:t>
      </w:r>
      <w:r w:rsidR="008A152E">
        <w:rPr>
          <w:rFonts w:asciiTheme="minorHAnsi" w:hAnsiTheme="minorHAnsi" w:cstheme="minorHAnsi"/>
          <w:sz w:val="24"/>
          <w:szCs w:val="24"/>
        </w:rPr>
        <w:t>.</w:t>
      </w:r>
      <w:r w:rsidR="00BB3BB3">
        <w:rPr>
          <w:rFonts w:asciiTheme="minorHAnsi" w:hAnsiTheme="minorHAnsi" w:cstheme="minorHAnsi"/>
          <w:sz w:val="24"/>
          <w:szCs w:val="24"/>
        </w:rPr>
        <w:t xml:space="preserve"> </w:t>
      </w:r>
      <w:r w:rsidR="00564FA5">
        <w:rPr>
          <w:rFonts w:asciiTheme="minorHAnsi" w:hAnsiTheme="minorHAnsi" w:cstheme="minorHAnsi"/>
          <w:sz w:val="24"/>
          <w:szCs w:val="24"/>
        </w:rPr>
        <w:t xml:space="preserve">The Coalition </w:t>
      </w:r>
      <w:r w:rsidR="003B408E">
        <w:rPr>
          <w:rFonts w:asciiTheme="minorHAnsi" w:hAnsiTheme="minorHAnsi" w:cstheme="minorHAnsi"/>
          <w:sz w:val="24"/>
          <w:szCs w:val="24"/>
        </w:rPr>
        <w:t xml:space="preserve">government </w:t>
      </w:r>
      <w:r w:rsidR="00564FA5">
        <w:rPr>
          <w:rFonts w:asciiTheme="minorHAnsi" w:hAnsiTheme="minorHAnsi" w:cstheme="minorHAnsi"/>
          <w:sz w:val="24"/>
          <w:szCs w:val="24"/>
        </w:rPr>
        <w:t xml:space="preserve">wanted a clear change of direction from </w:t>
      </w:r>
      <w:r>
        <w:rPr>
          <w:rFonts w:asciiTheme="minorHAnsi" w:hAnsiTheme="minorHAnsi" w:cstheme="minorHAnsi"/>
          <w:sz w:val="24"/>
          <w:szCs w:val="24"/>
        </w:rPr>
        <w:t xml:space="preserve">that of </w:t>
      </w:r>
      <w:r w:rsidR="00564FA5">
        <w:rPr>
          <w:rFonts w:asciiTheme="minorHAnsi" w:hAnsiTheme="minorHAnsi" w:cstheme="minorHAnsi"/>
          <w:sz w:val="24"/>
          <w:szCs w:val="24"/>
        </w:rPr>
        <w:t>the previous government</w:t>
      </w:r>
      <w:r w:rsidR="00A14AC9">
        <w:rPr>
          <w:rFonts w:asciiTheme="minorHAnsi" w:hAnsiTheme="minorHAnsi" w:cstheme="minorHAnsi"/>
          <w:sz w:val="24"/>
          <w:szCs w:val="24"/>
        </w:rPr>
        <w:t>,</w:t>
      </w:r>
      <w:r w:rsidR="00564FA5">
        <w:rPr>
          <w:rFonts w:asciiTheme="minorHAnsi" w:hAnsiTheme="minorHAnsi" w:cstheme="minorHAnsi"/>
          <w:sz w:val="24"/>
          <w:szCs w:val="24"/>
        </w:rPr>
        <w:t xml:space="preserve"> who </w:t>
      </w:r>
      <w:r w:rsidR="00A14AC9">
        <w:rPr>
          <w:rFonts w:asciiTheme="minorHAnsi" w:hAnsiTheme="minorHAnsi" w:cstheme="minorHAnsi"/>
          <w:sz w:val="24"/>
          <w:szCs w:val="24"/>
        </w:rPr>
        <w:t xml:space="preserve">had </w:t>
      </w:r>
      <w:r w:rsidR="00564FA5">
        <w:rPr>
          <w:rFonts w:asciiTheme="minorHAnsi" w:hAnsiTheme="minorHAnsi" w:cstheme="minorHAnsi"/>
          <w:sz w:val="24"/>
          <w:szCs w:val="24"/>
        </w:rPr>
        <w:t>placed importance on vocational qualifications</w:t>
      </w:r>
      <w:r>
        <w:rPr>
          <w:rFonts w:asciiTheme="minorHAnsi" w:hAnsiTheme="minorHAnsi" w:cstheme="minorHAnsi"/>
          <w:sz w:val="24"/>
          <w:szCs w:val="24"/>
        </w:rPr>
        <w:t>, flexibility</w:t>
      </w:r>
      <w:r w:rsidR="00564FA5">
        <w:rPr>
          <w:rFonts w:asciiTheme="minorHAnsi" w:hAnsiTheme="minorHAnsi" w:cstheme="minorHAnsi"/>
          <w:sz w:val="24"/>
          <w:szCs w:val="24"/>
        </w:rPr>
        <w:t xml:space="preserve"> and alternative curriculum pathways. These were </w:t>
      </w:r>
      <w:r>
        <w:rPr>
          <w:rFonts w:asciiTheme="minorHAnsi" w:hAnsiTheme="minorHAnsi" w:cstheme="minorHAnsi"/>
          <w:sz w:val="24"/>
          <w:szCs w:val="24"/>
        </w:rPr>
        <w:t xml:space="preserve">believed by the Coalition </w:t>
      </w:r>
      <w:r w:rsidR="00564FA5">
        <w:rPr>
          <w:rFonts w:asciiTheme="minorHAnsi" w:hAnsiTheme="minorHAnsi" w:cstheme="minorHAnsi"/>
          <w:sz w:val="24"/>
          <w:szCs w:val="24"/>
        </w:rPr>
        <w:t xml:space="preserve">to be confusing and </w:t>
      </w:r>
      <w:r w:rsidR="003B408E">
        <w:rPr>
          <w:rFonts w:asciiTheme="minorHAnsi" w:hAnsiTheme="minorHAnsi" w:cstheme="minorHAnsi"/>
          <w:sz w:val="24"/>
          <w:szCs w:val="24"/>
        </w:rPr>
        <w:t xml:space="preserve">less academically challenging </w:t>
      </w:r>
      <w:r w:rsidR="00564FA5">
        <w:rPr>
          <w:rFonts w:asciiTheme="minorHAnsi" w:hAnsiTheme="minorHAnsi" w:cstheme="minorHAnsi"/>
          <w:sz w:val="24"/>
          <w:szCs w:val="24"/>
        </w:rPr>
        <w:t>than GCSEs</w:t>
      </w:r>
      <w:r w:rsidR="00A14AC9">
        <w:rPr>
          <w:rFonts w:asciiTheme="minorHAnsi" w:hAnsiTheme="minorHAnsi" w:cstheme="minorHAnsi"/>
          <w:sz w:val="24"/>
          <w:szCs w:val="24"/>
        </w:rPr>
        <w:t>,</w:t>
      </w:r>
      <w:r w:rsidR="00564FA5">
        <w:rPr>
          <w:rFonts w:asciiTheme="minorHAnsi" w:hAnsiTheme="minorHAnsi" w:cstheme="minorHAnsi"/>
          <w:sz w:val="24"/>
          <w:szCs w:val="24"/>
        </w:rPr>
        <w:t xml:space="preserve"> which had led to some schools attempting to use certain qualifications to boost their position on the performance tables</w:t>
      </w:r>
      <w:r w:rsidR="00037985">
        <w:rPr>
          <w:rFonts w:asciiTheme="minorHAnsi" w:hAnsiTheme="minorHAnsi" w:cstheme="minorHAnsi"/>
          <w:sz w:val="24"/>
          <w:szCs w:val="24"/>
        </w:rPr>
        <w:t xml:space="preserve"> (Wolf</w:t>
      </w:r>
      <w:r w:rsidR="00A14AC9">
        <w:rPr>
          <w:rFonts w:asciiTheme="minorHAnsi" w:hAnsiTheme="minorHAnsi" w:cstheme="minorHAnsi"/>
          <w:sz w:val="24"/>
          <w:szCs w:val="24"/>
        </w:rPr>
        <w:t>,</w:t>
      </w:r>
      <w:r w:rsidR="00037985">
        <w:rPr>
          <w:rFonts w:asciiTheme="minorHAnsi" w:hAnsiTheme="minorHAnsi" w:cstheme="minorHAnsi"/>
          <w:sz w:val="24"/>
          <w:szCs w:val="24"/>
        </w:rPr>
        <w:t xml:space="preserve"> 2011)</w:t>
      </w:r>
      <w:r w:rsidR="00564FA5">
        <w:rPr>
          <w:rFonts w:asciiTheme="minorHAnsi" w:hAnsiTheme="minorHAnsi" w:cstheme="minorHAnsi"/>
          <w:sz w:val="24"/>
          <w:szCs w:val="24"/>
        </w:rPr>
        <w:t xml:space="preserve">. </w:t>
      </w:r>
      <w:r w:rsidR="0067568B">
        <w:rPr>
          <w:rFonts w:asciiTheme="minorHAnsi" w:hAnsiTheme="minorHAnsi" w:cstheme="minorHAnsi"/>
          <w:sz w:val="24"/>
          <w:szCs w:val="24"/>
        </w:rPr>
        <w:t>T</w:t>
      </w:r>
      <w:r w:rsidR="00564FA5">
        <w:rPr>
          <w:rFonts w:asciiTheme="minorHAnsi" w:hAnsiTheme="minorHAnsi" w:cstheme="minorHAnsi"/>
          <w:sz w:val="24"/>
          <w:szCs w:val="24"/>
        </w:rPr>
        <w:t>he government wished to increase the rigour of GCSE qualifications in order to strengthen performance</w:t>
      </w:r>
      <w:r w:rsidR="0067568B">
        <w:rPr>
          <w:rFonts w:asciiTheme="minorHAnsi" w:hAnsiTheme="minorHAnsi" w:cstheme="minorHAnsi"/>
          <w:sz w:val="24"/>
          <w:szCs w:val="24"/>
        </w:rPr>
        <w:t xml:space="preserve"> and t</w:t>
      </w:r>
      <w:r w:rsidR="000667DF">
        <w:rPr>
          <w:rFonts w:asciiTheme="minorHAnsi" w:hAnsiTheme="minorHAnsi" w:cstheme="minorHAnsi"/>
          <w:sz w:val="24"/>
          <w:szCs w:val="24"/>
        </w:rPr>
        <w:t>he</w:t>
      </w:r>
      <w:r w:rsidR="0067568B">
        <w:rPr>
          <w:rFonts w:asciiTheme="minorHAnsi" w:hAnsiTheme="minorHAnsi" w:cstheme="minorHAnsi"/>
          <w:sz w:val="24"/>
          <w:szCs w:val="24"/>
        </w:rPr>
        <w:t>y also</w:t>
      </w:r>
      <w:r w:rsidR="000667DF">
        <w:rPr>
          <w:rFonts w:asciiTheme="minorHAnsi" w:hAnsiTheme="minorHAnsi" w:cstheme="minorHAnsi"/>
          <w:sz w:val="24"/>
          <w:szCs w:val="24"/>
        </w:rPr>
        <w:t xml:space="preserve"> inten</w:t>
      </w:r>
      <w:r w:rsidR="0067568B">
        <w:rPr>
          <w:rFonts w:asciiTheme="minorHAnsi" w:hAnsiTheme="minorHAnsi" w:cstheme="minorHAnsi"/>
          <w:sz w:val="24"/>
          <w:szCs w:val="24"/>
        </w:rPr>
        <w:t>ded</w:t>
      </w:r>
      <w:r w:rsidR="008A152E">
        <w:rPr>
          <w:rFonts w:asciiTheme="minorHAnsi" w:hAnsiTheme="minorHAnsi" w:cstheme="minorHAnsi"/>
          <w:sz w:val="24"/>
          <w:szCs w:val="24"/>
        </w:rPr>
        <w:t xml:space="preserve"> </w:t>
      </w:r>
      <w:r>
        <w:rPr>
          <w:rFonts w:asciiTheme="minorHAnsi" w:hAnsiTheme="minorHAnsi" w:cstheme="minorHAnsi"/>
          <w:sz w:val="24"/>
          <w:szCs w:val="24"/>
        </w:rPr>
        <w:t xml:space="preserve">to </w:t>
      </w:r>
      <w:r w:rsidR="000667DF">
        <w:rPr>
          <w:rFonts w:asciiTheme="minorHAnsi" w:hAnsiTheme="minorHAnsi" w:cstheme="minorHAnsi"/>
          <w:sz w:val="24"/>
          <w:szCs w:val="24"/>
        </w:rPr>
        <w:t xml:space="preserve">increase entries </w:t>
      </w:r>
      <w:r>
        <w:rPr>
          <w:rFonts w:asciiTheme="minorHAnsi" w:hAnsiTheme="minorHAnsi" w:cstheme="minorHAnsi"/>
          <w:sz w:val="24"/>
          <w:szCs w:val="24"/>
        </w:rPr>
        <w:t xml:space="preserve">for certain academic subjects </w:t>
      </w:r>
      <w:r w:rsidR="000667DF">
        <w:rPr>
          <w:rFonts w:asciiTheme="minorHAnsi" w:hAnsiTheme="minorHAnsi" w:cstheme="minorHAnsi"/>
          <w:sz w:val="24"/>
          <w:szCs w:val="24"/>
        </w:rPr>
        <w:t>at GCSE</w:t>
      </w:r>
      <w:r w:rsidR="00564FA5">
        <w:rPr>
          <w:rFonts w:asciiTheme="minorHAnsi" w:hAnsiTheme="minorHAnsi" w:cstheme="minorHAnsi"/>
          <w:sz w:val="24"/>
          <w:szCs w:val="24"/>
        </w:rPr>
        <w:t xml:space="preserve">. All of this would be </w:t>
      </w:r>
      <w:r w:rsidR="00037985">
        <w:rPr>
          <w:rFonts w:asciiTheme="minorHAnsi" w:hAnsiTheme="minorHAnsi" w:cstheme="minorHAnsi"/>
          <w:sz w:val="24"/>
          <w:szCs w:val="24"/>
        </w:rPr>
        <w:t>assessed</w:t>
      </w:r>
      <w:r w:rsidR="00564FA5">
        <w:rPr>
          <w:rFonts w:asciiTheme="minorHAnsi" w:hAnsiTheme="minorHAnsi" w:cstheme="minorHAnsi"/>
          <w:sz w:val="24"/>
          <w:szCs w:val="24"/>
        </w:rPr>
        <w:t xml:space="preserve"> </w:t>
      </w:r>
      <w:r w:rsidR="00037985">
        <w:rPr>
          <w:rFonts w:asciiTheme="minorHAnsi" w:hAnsiTheme="minorHAnsi" w:cstheme="minorHAnsi"/>
          <w:sz w:val="24"/>
          <w:szCs w:val="24"/>
        </w:rPr>
        <w:t>via</w:t>
      </w:r>
      <w:r w:rsidR="00564FA5">
        <w:rPr>
          <w:rFonts w:asciiTheme="minorHAnsi" w:hAnsiTheme="minorHAnsi" w:cstheme="minorHAnsi"/>
          <w:sz w:val="24"/>
          <w:szCs w:val="24"/>
        </w:rPr>
        <w:t xml:space="preserve"> increased accountability using Ofsted and performance tables</w:t>
      </w:r>
      <w:r w:rsidR="0067568B">
        <w:rPr>
          <w:rFonts w:asciiTheme="minorHAnsi" w:hAnsiTheme="minorHAnsi" w:cstheme="minorHAnsi"/>
          <w:sz w:val="24"/>
          <w:szCs w:val="24"/>
        </w:rPr>
        <w:t>,</w:t>
      </w:r>
      <w:r w:rsidR="000667DF">
        <w:rPr>
          <w:rFonts w:asciiTheme="minorHAnsi" w:hAnsiTheme="minorHAnsi" w:cstheme="minorHAnsi"/>
          <w:sz w:val="24"/>
          <w:szCs w:val="24"/>
        </w:rPr>
        <w:t xml:space="preserve"> whilst operating under the premise of </w:t>
      </w:r>
      <w:r w:rsidR="00C60788">
        <w:rPr>
          <w:rFonts w:asciiTheme="minorHAnsi" w:hAnsiTheme="minorHAnsi" w:cstheme="minorHAnsi"/>
          <w:sz w:val="24"/>
          <w:szCs w:val="24"/>
        </w:rPr>
        <w:t>h</w:t>
      </w:r>
      <w:r w:rsidR="000667DF">
        <w:rPr>
          <w:rFonts w:asciiTheme="minorHAnsi" w:hAnsiTheme="minorHAnsi" w:cstheme="minorHAnsi"/>
          <w:sz w:val="24"/>
          <w:szCs w:val="24"/>
        </w:rPr>
        <w:t>eadteachers having more freedoms</w:t>
      </w:r>
      <w:r w:rsidR="00D71419">
        <w:rPr>
          <w:rFonts w:asciiTheme="minorHAnsi" w:hAnsiTheme="minorHAnsi" w:cstheme="minorHAnsi"/>
          <w:sz w:val="24"/>
          <w:szCs w:val="24"/>
        </w:rPr>
        <w:t xml:space="preserve"> (DfE 2010</w:t>
      </w:r>
      <w:r w:rsidR="000667DF">
        <w:rPr>
          <w:rFonts w:asciiTheme="minorHAnsi" w:hAnsiTheme="minorHAnsi" w:cstheme="minorHAnsi"/>
          <w:sz w:val="24"/>
          <w:szCs w:val="24"/>
        </w:rPr>
        <w:t>)</w:t>
      </w:r>
      <w:r w:rsidR="00564FA5">
        <w:rPr>
          <w:rFonts w:asciiTheme="minorHAnsi" w:hAnsiTheme="minorHAnsi" w:cstheme="minorHAnsi"/>
          <w:sz w:val="24"/>
          <w:szCs w:val="24"/>
        </w:rPr>
        <w:t>.</w:t>
      </w:r>
    </w:p>
    <w:p w14:paraId="309C44C2" w14:textId="77777777" w:rsidR="00B6050F" w:rsidRDefault="00B6050F" w:rsidP="004A4B62">
      <w:pPr>
        <w:spacing w:line="360" w:lineRule="auto"/>
        <w:rPr>
          <w:b/>
          <w:sz w:val="24"/>
          <w:szCs w:val="24"/>
        </w:rPr>
      </w:pPr>
    </w:p>
    <w:p w14:paraId="73C3D22E" w14:textId="13C13C6E" w:rsidR="00315FA1" w:rsidRDefault="00706E6F" w:rsidP="00B6050F">
      <w:pPr>
        <w:spacing w:after="0" w:line="360" w:lineRule="auto"/>
        <w:rPr>
          <w:rFonts w:asciiTheme="minorHAnsi" w:hAnsiTheme="minorHAnsi" w:cstheme="minorHAnsi"/>
          <w:sz w:val="24"/>
          <w:szCs w:val="24"/>
        </w:rPr>
      </w:pPr>
      <w:r>
        <w:rPr>
          <w:rFonts w:asciiTheme="minorHAnsi" w:hAnsiTheme="minorHAnsi" w:cstheme="minorHAnsi"/>
          <w:sz w:val="24"/>
          <w:szCs w:val="24"/>
        </w:rPr>
        <w:t>Arena 2 focuses on grids of social regularities which exist across and between a given social problem</w:t>
      </w:r>
      <w:r w:rsidR="004A4B62">
        <w:rPr>
          <w:rFonts w:asciiTheme="minorHAnsi" w:hAnsiTheme="minorHAnsi" w:cstheme="minorHAnsi"/>
          <w:sz w:val="24"/>
          <w:szCs w:val="24"/>
        </w:rPr>
        <w:t>. T</w:t>
      </w:r>
      <w:r>
        <w:rPr>
          <w:rFonts w:asciiTheme="minorHAnsi" w:hAnsiTheme="minorHAnsi" w:cstheme="minorHAnsi"/>
          <w:sz w:val="24"/>
          <w:szCs w:val="24"/>
        </w:rPr>
        <w:t xml:space="preserve">he intention of </w:t>
      </w:r>
      <w:r w:rsidR="00DF24E7">
        <w:rPr>
          <w:rFonts w:asciiTheme="minorHAnsi" w:hAnsiTheme="minorHAnsi" w:cstheme="minorHAnsi"/>
          <w:sz w:val="24"/>
          <w:szCs w:val="24"/>
        </w:rPr>
        <w:t xml:space="preserve">PA </w:t>
      </w:r>
      <w:r>
        <w:rPr>
          <w:rFonts w:asciiTheme="minorHAnsi" w:hAnsiTheme="minorHAnsi" w:cstheme="minorHAnsi"/>
          <w:sz w:val="24"/>
          <w:szCs w:val="24"/>
        </w:rPr>
        <w:t>is to uncover these grids and make them explicit.</w:t>
      </w:r>
      <w:r w:rsidR="004F0781">
        <w:rPr>
          <w:rFonts w:asciiTheme="minorHAnsi" w:hAnsiTheme="minorHAnsi" w:cstheme="minorHAnsi"/>
          <w:sz w:val="24"/>
          <w:szCs w:val="24"/>
        </w:rPr>
        <w:t xml:space="preserve"> </w:t>
      </w:r>
      <w:r w:rsidR="009765FF">
        <w:rPr>
          <w:rFonts w:asciiTheme="minorHAnsi" w:hAnsiTheme="minorHAnsi" w:cstheme="minorHAnsi"/>
          <w:sz w:val="24"/>
          <w:szCs w:val="24"/>
        </w:rPr>
        <w:t>Scheurich identified this arena as the most complex</w:t>
      </w:r>
      <w:r w:rsidR="00895043">
        <w:rPr>
          <w:rFonts w:asciiTheme="minorHAnsi" w:hAnsiTheme="minorHAnsi" w:cstheme="minorHAnsi"/>
          <w:sz w:val="24"/>
          <w:szCs w:val="24"/>
        </w:rPr>
        <w:t>, terming it</w:t>
      </w:r>
      <w:r w:rsidR="00462F4E">
        <w:rPr>
          <w:rFonts w:asciiTheme="minorHAnsi" w:hAnsiTheme="minorHAnsi" w:cstheme="minorHAnsi"/>
          <w:sz w:val="24"/>
          <w:szCs w:val="24"/>
        </w:rPr>
        <w:t xml:space="preserve"> </w:t>
      </w:r>
      <w:r w:rsidR="009765FF">
        <w:rPr>
          <w:rFonts w:asciiTheme="minorHAnsi" w:hAnsiTheme="minorHAnsi" w:cstheme="minorHAnsi"/>
          <w:sz w:val="24"/>
          <w:szCs w:val="24"/>
        </w:rPr>
        <w:t>a “mobile metaphor” (1994, p.313). Whil</w:t>
      </w:r>
      <w:r w:rsidR="00A14AC9">
        <w:rPr>
          <w:rFonts w:asciiTheme="minorHAnsi" w:hAnsiTheme="minorHAnsi" w:cstheme="minorHAnsi"/>
          <w:sz w:val="24"/>
          <w:szCs w:val="24"/>
        </w:rPr>
        <w:t>st it is</w:t>
      </w:r>
      <w:r w:rsidR="009765FF">
        <w:rPr>
          <w:rFonts w:asciiTheme="minorHAnsi" w:hAnsiTheme="minorHAnsi" w:cstheme="minorHAnsi"/>
          <w:sz w:val="24"/>
          <w:szCs w:val="24"/>
        </w:rPr>
        <w:t xml:space="preserve"> complex</w:t>
      </w:r>
      <w:r w:rsidR="006038B8">
        <w:rPr>
          <w:rFonts w:asciiTheme="minorHAnsi" w:hAnsiTheme="minorHAnsi" w:cstheme="minorHAnsi"/>
          <w:sz w:val="24"/>
          <w:szCs w:val="24"/>
        </w:rPr>
        <w:t>,</w:t>
      </w:r>
      <w:r w:rsidR="009765FF">
        <w:rPr>
          <w:rFonts w:asciiTheme="minorHAnsi" w:hAnsiTheme="minorHAnsi" w:cstheme="minorHAnsi"/>
          <w:sz w:val="24"/>
          <w:szCs w:val="24"/>
        </w:rPr>
        <w:t xml:space="preserve"> this arena allow</w:t>
      </w:r>
      <w:r w:rsidR="004A4B62">
        <w:rPr>
          <w:rFonts w:asciiTheme="minorHAnsi" w:hAnsiTheme="minorHAnsi" w:cstheme="minorHAnsi"/>
          <w:sz w:val="24"/>
          <w:szCs w:val="24"/>
        </w:rPr>
        <w:t>s</w:t>
      </w:r>
      <w:r w:rsidR="009765FF">
        <w:rPr>
          <w:rFonts w:asciiTheme="minorHAnsi" w:hAnsiTheme="minorHAnsi" w:cstheme="minorHAnsi"/>
          <w:sz w:val="24"/>
          <w:szCs w:val="24"/>
        </w:rPr>
        <w:t xml:space="preserve"> for reflection on </w:t>
      </w:r>
      <w:r w:rsidR="004A4B62">
        <w:rPr>
          <w:rFonts w:asciiTheme="minorHAnsi" w:hAnsiTheme="minorHAnsi" w:cstheme="minorHAnsi"/>
          <w:sz w:val="24"/>
          <w:szCs w:val="24"/>
        </w:rPr>
        <w:t>intersecting elements</w:t>
      </w:r>
      <w:r w:rsidR="009765FF">
        <w:rPr>
          <w:rFonts w:asciiTheme="minorHAnsi" w:hAnsiTheme="minorHAnsi" w:cstheme="minorHAnsi"/>
          <w:sz w:val="24"/>
          <w:szCs w:val="24"/>
        </w:rPr>
        <w:t xml:space="preserve"> and institutions </w:t>
      </w:r>
      <w:r w:rsidR="004A4B62">
        <w:rPr>
          <w:rFonts w:asciiTheme="minorHAnsi" w:hAnsiTheme="minorHAnsi" w:cstheme="minorHAnsi"/>
          <w:sz w:val="24"/>
          <w:szCs w:val="24"/>
        </w:rPr>
        <w:t>which</w:t>
      </w:r>
      <w:r w:rsidR="00FF29E1">
        <w:rPr>
          <w:rFonts w:asciiTheme="minorHAnsi" w:hAnsiTheme="minorHAnsi" w:cstheme="minorHAnsi"/>
          <w:sz w:val="24"/>
          <w:szCs w:val="24"/>
        </w:rPr>
        <w:t xml:space="preserve"> </w:t>
      </w:r>
      <w:r w:rsidR="009765FF">
        <w:rPr>
          <w:rFonts w:asciiTheme="minorHAnsi" w:hAnsiTheme="minorHAnsi" w:cstheme="minorHAnsi"/>
          <w:sz w:val="24"/>
          <w:szCs w:val="24"/>
        </w:rPr>
        <w:t xml:space="preserve">combine </w:t>
      </w:r>
      <w:r w:rsidR="00FF29E1">
        <w:rPr>
          <w:rFonts w:asciiTheme="minorHAnsi" w:hAnsiTheme="minorHAnsi" w:cstheme="minorHAnsi"/>
          <w:sz w:val="24"/>
          <w:szCs w:val="24"/>
        </w:rPr>
        <w:t>to identify</w:t>
      </w:r>
      <w:r w:rsidR="009765FF">
        <w:rPr>
          <w:rFonts w:asciiTheme="minorHAnsi" w:hAnsiTheme="minorHAnsi" w:cstheme="minorHAnsi"/>
          <w:sz w:val="24"/>
          <w:szCs w:val="24"/>
        </w:rPr>
        <w:t xml:space="preserve"> </w:t>
      </w:r>
      <w:r w:rsidR="005B12F6">
        <w:rPr>
          <w:rFonts w:asciiTheme="minorHAnsi" w:hAnsiTheme="minorHAnsi" w:cstheme="minorHAnsi"/>
          <w:sz w:val="24"/>
          <w:szCs w:val="24"/>
        </w:rPr>
        <w:t>a</w:t>
      </w:r>
      <w:r w:rsidR="009765FF">
        <w:rPr>
          <w:rFonts w:asciiTheme="minorHAnsi" w:hAnsiTheme="minorHAnsi" w:cstheme="minorHAnsi"/>
          <w:sz w:val="24"/>
          <w:szCs w:val="24"/>
        </w:rPr>
        <w:t xml:space="preserve"> </w:t>
      </w:r>
      <w:r w:rsidR="005B12F6">
        <w:rPr>
          <w:rFonts w:asciiTheme="minorHAnsi" w:hAnsiTheme="minorHAnsi" w:cstheme="minorHAnsi"/>
          <w:sz w:val="24"/>
          <w:szCs w:val="24"/>
        </w:rPr>
        <w:t>specific problem</w:t>
      </w:r>
      <w:r w:rsidR="00A14AC9">
        <w:rPr>
          <w:rFonts w:asciiTheme="minorHAnsi" w:hAnsiTheme="minorHAnsi" w:cstheme="minorHAnsi"/>
          <w:sz w:val="24"/>
          <w:szCs w:val="24"/>
        </w:rPr>
        <w:t xml:space="preserve"> that needs attention</w:t>
      </w:r>
      <w:r w:rsidR="006038B8">
        <w:rPr>
          <w:rFonts w:asciiTheme="minorHAnsi" w:hAnsiTheme="minorHAnsi" w:cstheme="minorHAnsi"/>
          <w:sz w:val="24"/>
          <w:szCs w:val="24"/>
        </w:rPr>
        <w:t>, in this</w:t>
      </w:r>
      <w:r w:rsidR="00D43B93" w:rsidRPr="00D43B93">
        <w:rPr>
          <w:rFonts w:asciiTheme="minorHAnsi" w:hAnsiTheme="minorHAnsi" w:cstheme="minorHAnsi"/>
          <w:sz w:val="24"/>
          <w:szCs w:val="24"/>
        </w:rPr>
        <w:t xml:space="preserve"> </w:t>
      </w:r>
      <w:r w:rsidR="00D43B93">
        <w:rPr>
          <w:rFonts w:asciiTheme="minorHAnsi" w:hAnsiTheme="minorHAnsi" w:cstheme="minorHAnsi"/>
          <w:sz w:val="24"/>
          <w:szCs w:val="24"/>
        </w:rPr>
        <w:t>case</w:t>
      </w:r>
      <w:r w:rsidR="00895043">
        <w:rPr>
          <w:rFonts w:asciiTheme="minorHAnsi" w:hAnsiTheme="minorHAnsi" w:cstheme="minorHAnsi"/>
          <w:sz w:val="24"/>
          <w:szCs w:val="24"/>
        </w:rPr>
        <w:t xml:space="preserve"> </w:t>
      </w:r>
      <w:r w:rsidR="005B12F6">
        <w:rPr>
          <w:rFonts w:asciiTheme="minorHAnsi" w:hAnsiTheme="minorHAnsi" w:cstheme="minorHAnsi"/>
          <w:sz w:val="24"/>
          <w:szCs w:val="24"/>
        </w:rPr>
        <w:t xml:space="preserve">low </w:t>
      </w:r>
      <w:r w:rsidR="006038B8">
        <w:rPr>
          <w:rFonts w:asciiTheme="minorHAnsi" w:hAnsiTheme="minorHAnsi" w:cstheme="minorHAnsi"/>
          <w:sz w:val="24"/>
          <w:szCs w:val="24"/>
        </w:rPr>
        <w:t>educational standards</w:t>
      </w:r>
      <w:r w:rsidR="009765FF">
        <w:rPr>
          <w:rFonts w:asciiTheme="minorHAnsi" w:hAnsiTheme="minorHAnsi" w:cstheme="minorHAnsi"/>
          <w:sz w:val="24"/>
          <w:szCs w:val="24"/>
        </w:rPr>
        <w:t xml:space="preserve">. Scheurich commented that the grid of regularities “attunes its </w:t>
      </w:r>
      <w:r w:rsidR="009765FF">
        <w:rPr>
          <w:rFonts w:asciiTheme="minorHAnsi" w:hAnsiTheme="minorHAnsi" w:cstheme="minorHAnsi"/>
          <w:sz w:val="24"/>
          <w:szCs w:val="24"/>
        </w:rPr>
        <w:lastRenderedPageBreak/>
        <w:t>listeners to hear (see)</w:t>
      </w:r>
      <w:r w:rsidR="00D114D6">
        <w:rPr>
          <w:rFonts w:asciiTheme="minorHAnsi" w:hAnsiTheme="minorHAnsi" w:cstheme="minorHAnsi"/>
          <w:sz w:val="24"/>
          <w:szCs w:val="24"/>
        </w:rPr>
        <w:t xml:space="preserve"> </w:t>
      </w:r>
      <w:r w:rsidR="00EE3C4F">
        <w:rPr>
          <w:rFonts w:asciiTheme="minorHAnsi" w:hAnsiTheme="minorHAnsi" w:cstheme="minorHAnsi"/>
          <w:sz w:val="24"/>
          <w:szCs w:val="24"/>
        </w:rPr>
        <w:t>[</w:t>
      </w:r>
      <w:r w:rsidR="00D114D6">
        <w:rPr>
          <w:rFonts w:asciiTheme="minorHAnsi" w:hAnsiTheme="minorHAnsi" w:cstheme="minorHAnsi"/>
          <w:sz w:val="24"/>
          <w:szCs w:val="24"/>
        </w:rPr>
        <w:t>sic</w:t>
      </w:r>
      <w:r w:rsidR="00EE3C4F">
        <w:rPr>
          <w:rFonts w:asciiTheme="minorHAnsi" w:hAnsiTheme="minorHAnsi" w:cstheme="minorHAnsi"/>
          <w:sz w:val="24"/>
          <w:szCs w:val="24"/>
        </w:rPr>
        <w:t>]</w:t>
      </w:r>
      <w:r w:rsidR="009765FF">
        <w:rPr>
          <w:rFonts w:asciiTheme="minorHAnsi" w:hAnsiTheme="minorHAnsi" w:cstheme="minorHAnsi"/>
          <w:sz w:val="24"/>
          <w:szCs w:val="24"/>
        </w:rPr>
        <w:t xml:space="preserve"> a particular frequency (the problem group) and constitutes the frequency (the problem group) itself</w:t>
      </w:r>
      <w:r w:rsidR="006038B8">
        <w:rPr>
          <w:rFonts w:asciiTheme="minorHAnsi" w:hAnsiTheme="minorHAnsi" w:cstheme="minorHAnsi"/>
          <w:sz w:val="24"/>
          <w:szCs w:val="24"/>
        </w:rPr>
        <w:t>”</w:t>
      </w:r>
      <w:r w:rsidR="009765FF">
        <w:rPr>
          <w:rFonts w:asciiTheme="minorHAnsi" w:hAnsiTheme="minorHAnsi" w:cstheme="minorHAnsi"/>
          <w:sz w:val="24"/>
          <w:szCs w:val="24"/>
        </w:rPr>
        <w:t xml:space="preserve"> (1994, p.308). </w:t>
      </w:r>
      <w:r w:rsidR="00BC161F">
        <w:rPr>
          <w:rFonts w:asciiTheme="minorHAnsi" w:hAnsiTheme="minorHAnsi" w:cstheme="minorHAnsi"/>
          <w:sz w:val="24"/>
          <w:szCs w:val="24"/>
        </w:rPr>
        <w:t>My study identifies a range of</w:t>
      </w:r>
      <w:r w:rsidR="006038B8">
        <w:rPr>
          <w:rFonts w:asciiTheme="minorHAnsi" w:hAnsiTheme="minorHAnsi" w:cstheme="minorHAnsi"/>
          <w:sz w:val="24"/>
          <w:szCs w:val="24"/>
        </w:rPr>
        <w:t xml:space="preserve"> </w:t>
      </w:r>
      <w:r w:rsidR="009765FF">
        <w:rPr>
          <w:rFonts w:asciiTheme="minorHAnsi" w:hAnsiTheme="minorHAnsi" w:cstheme="minorHAnsi"/>
          <w:sz w:val="24"/>
          <w:szCs w:val="24"/>
        </w:rPr>
        <w:t>intersecting</w:t>
      </w:r>
      <w:r w:rsidR="00895043">
        <w:rPr>
          <w:rFonts w:asciiTheme="minorHAnsi" w:hAnsiTheme="minorHAnsi" w:cstheme="minorHAnsi"/>
          <w:sz w:val="24"/>
          <w:szCs w:val="24"/>
        </w:rPr>
        <w:t>,</w:t>
      </w:r>
      <w:r w:rsidR="009765FF">
        <w:rPr>
          <w:rFonts w:asciiTheme="minorHAnsi" w:hAnsiTheme="minorHAnsi" w:cstheme="minorHAnsi"/>
          <w:sz w:val="24"/>
          <w:szCs w:val="24"/>
        </w:rPr>
        <w:t xml:space="preserve"> and sometimes contradictory</w:t>
      </w:r>
      <w:r w:rsidR="00895043">
        <w:rPr>
          <w:rFonts w:asciiTheme="minorHAnsi" w:hAnsiTheme="minorHAnsi" w:cstheme="minorHAnsi"/>
          <w:sz w:val="24"/>
          <w:szCs w:val="24"/>
        </w:rPr>
        <w:t>,</w:t>
      </w:r>
      <w:r w:rsidR="009765FF">
        <w:rPr>
          <w:rFonts w:asciiTheme="minorHAnsi" w:hAnsiTheme="minorHAnsi" w:cstheme="minorHAnsi"/>
          <w:sz w:val="24"/>
          <w:szCs w:val="24"/>
        </w:rPr>
        <w:t xml:space="preserve"> </w:t>
      </w:r>
      <w:r w:rsidR="00517ADE">
        <w:rPr>
          <w:rFonts w:asciiTheme="minorHAnsi" w:hAnsiTheme="minorHAnsi" w:cstheme="minorHAnsi"/>
          <w:sz w:val="24"/>
          <w:szCs w:val="24"/>
        </w:rPr>
        <w:t>grids</w:t>
      </w:r>
      <w:r w:rsidR="009765FF">
        <w:rPr>
          <w:rFonts w:asciiTheme="minorHAnsi" w:hAnsiTheme="minorHAnsi" w:cstheme="minorHAnsi"/>
          <w:sz w:val="24"/>
          <w:szCs w:val="24"/>
        </w:rPr>
        <w:t xml:space="preserve"> that coalesce to </w:t>
      </w:r>
      <w:r w:rsidR="004A4B62">
        <w:rPr>
          <w:rFonts w:asciiTheme="minorHAnsi" w:hAnsiTheme="minorHAnsi" w:cstheme="minorHAnsi"/>
          <w:sz w:val="24"/>
          <w:szCs w:val="24"/>
        </w:rPr>
        <w:t>highlight</w:t>
      </w:r>
      <w:r w:rsidR="009765FF">
        <w:rPr>
          <w:rFonts w:asciiTheme="minorHAnsi" w:hAnsiTheme="minorHAnsi" w:cstheme="minorHAnsi"/>
          <w:sz w:val="24"/>
          <w:szCs w:val="24"/>
        </w:rPr>
        <w:t xml:space="preserve"> the </w:t>
      </w:r>
      <w:r w:rsidR="00A37192">
        <w:rPr>
          <w:rFonts w:asciiTheme="minorHAnsi" w:hAnsiTheme="minorHAnsi" w:cstheme="minorHAnsi"/>
          <w:sz w:val="24"/>
          <w:szCs w:val="24"/>
        </w:rPr>
        <w:t xml:space="preserve">stated problem of </w:t>
      </w:r>
      <w:r w:rsidR="005B12F6">
        <w:rPr>
          <w:rFonts w:asciiTheme="minorHAnsi" w:hAnsiTheme="minorHAnsi" w:cstheme="minorHAnsi"/>
          <w:sz w:val="24"/>
          <w:szCs w:val="24"/>
        </w:rPr>
        <w:t xml:space="preserve">low </w:t>
      </w:r>
      <w:r w:rsidR="00A37192">
        <w:rPr>
          <w:rFonts w:asciiTheme="minorHAnsi" w:hAnsiTheme="minorHAnsi" w:cstheme="minorHAnsi"/>
          <w:sz w:val="24"/>
          <w:szCs w:val="24"/>
        </w:rPr>
        <w:t>educational standards particularly for th</w:t>
      </w:r>
      <w:r w:rsidR="004A4B62">
        <w:rPr>
          <w:rFonts w:asciiTheme="minorHAnsi" w:hAnsiTheme="minorHAnsi" w:cstheme="minorHAnsi"/>
          <w:sz w:val="24"/>
          <w:szCs w:val="24"/>
        </w:rPr>
        <w:t>e</w:t>
      </w:r>
      <w:r w:rsidR="00A37192">
        <w:rPr>
          <w:rFonts w:asciiTheme="minorHAnsi" w:hAnsiTheme="minorHAnsi" w:cstheme="minorHAnsi"/>
          <w:sz w:val="24"/>
          <w:szCs w:val="24"/>
        </w:rPr>
        <w:t xml:space="preserve"> disadvantaged</w:t>
      </w:r>
      <w:r w:rsidR="0063140E">
        <w:rPr>
          <w:rFonts w:asciiTheme="minorHAnsi" w:hAnsiTheme="minorHAnsi" w:cstheme="minorHAnsi"/>
          <w:sz w:val="24"/>
          <w:szCs w:val="24"/>
        </w:rPr>
        <w:t xml:space="preserve">, the increase in </w:t>
      </w:r>
      <w:r w:rsidR="00462F4E">
        <w:rPr>
          <w:rFonts w:asciiTheme="minorHAnsi" w:hAnsiTheme="minorHAnsi" w:cstheme="minorHAnsi"/>
          <w:sz w:val="24"/>
          <w:szCs w:val="24"/>
        </w:rPr>
        <w:t xml:space="preserve">uptake of </w:t>
      </w:r>
      <w:r w:rsidR="0063140E">
        <w:rPr>
          <w:rFonts w:asciiTheme="minorHAnsi" w:hAnsiTheme="minorHAnsi" w:cstheme="minorHAnsi"/>
          <w:sz w:val="24"/>
          <w:szCs w:val="24"/>
        </w:rPr>
        <w:t>vocational qualifications and decline in popularity of some subjects</w:t>
      </w:r>
      <w:r w:rsidR="00D27BF7">
        <w:rPr>
          <w:rFonts w:asciiTheme="minorHAnsi" w:hAnsiTheme="minorHAnsi" w:cstheme="minorHAnsi"/>
          <w:sz w:val="24"/>
          <w:szCs w:val="24"/>
        </w:rPr>
        <w:t xml:space="preserve"> (see </w:t>
      </w:r>
      <w:r w:rsidR="00296E5C">
        <w:rPr>
          <w:rFonts w:asciiTheme="minorHAnsi" w:hAnsiTheme="minorHAnsi" w:cstheme="minorHAnsi"/>
          <w:sz w:val="24"/>
          <w:szCs w:val="24"/>
        </w:rPr>
        <w:t>T</w:t>
      </w:r>
      <w:r w:rsidR="00142956">
        <w:rPr>
          <w:rFonts w:asciiTheme="minorHAnsi" w:hAnsiTheme="minorHAnsi" w:cstheme="minorHAnsi"/>
          <w:sz w:val="24"/>
          <w:szCs w:val="24"/>
        </w:rPr>
        <w:t>able 4</w:t>
      </w:r>
      <w:r w:rsidR="00D27BF7">
        <w:rPr>
          <w:rFonts w:asciiTheme="minorHAnsi" w:hAnsiTheme="minorHAnsi" w:cstheme="minorHAnsi"/>
          <w:sz w:val="24"/>
          <w:szCs w:val="24"/>
        </w:rPr>
        <w:t xml:space="preserve"> </w:t>
      </w:r>
      <w:r w:rsidR="00296E5C">
        <w:rPr>
          <w:rFonts w:asciiTheme="minorHAnsi" w:hAnsiTheme="minorHAnsi" w:cstheme="minorHAnsi"/>
          <w:sz w:val="24"/>
          <w:szCs w:val="24"/>
        </w:rPr>
        <w:t>A</w:t>
      </w:r>
      <w:r w:rsidR="00D27BF7">
        <w:rPr>
          <w:rFonts w:asciiTheme="minorHAnsi" w:hAnsiTheme="minorHAnsi" w:cstheme="minorHAnsi"/>
          <w:sz w:val="24"/>
          <w:szCs w:val="24"/>
        </w:rPr>
        <w:t>ppendix 9</w:t>
      </w:r>
      <w:r w:rsidR="00A2096F">
        <w:rPr>
          <w:rFonts w:asciiTheme="minorHAnsi" w:hAnsiTheme="minorHAnsi" w:cstheme="minorHAnsi"/>
          <w:sz w:val="24"/>
          <w:szCs w:val="24"/>
        </w:rPr>
        <w:t>)</w:t>
      </w:r>
      <w:r w:rsidR="00A37192">
        <w:rPr>
          <w:rFonts w:asciiTheme="minorHAnsi" w:hAnsiTheme="minorHAnsi" w:cstheme="minorHAnsi"/>
          <w:sz w:val="24"/>
          <w:szCs w:val="24"/>
        </w:rPr>
        <w:t>. The CDA demonstrate</w:t>
      </w:r>
      <w:r w:rsidR="00462F4E">
        <w:rPr>
          <w:rFonts w:asciiTheme="minorHAnsi" w:hAnsiTheme="minorHAnsi" w:cstheme="minorHAnsi"/>
          <w:sz w:val="24"/>
          <w:szCs w:val="24"/>
        </w:rPr>
        <w:t>s</w:t>
      </w:r>
      <w:r w:rsidR="00A37192">
        <w:rPr>
          <w:rFonts w:asciiTheme="minorHAnsi" w:hAnsiTheme="minorHAnsi" w:cstheme="minorHAnsi"/>
          <w:sz w:val="24"/>
          <w:szCs w:val="24"/>
        </w:rPr>
        <w:t xml:space="preserve"> that the traditional areas of educational inequality of gender</w:t>
      </w:r>
      <w:r w:rsidR="005B12F6">
        <w:rPr>
          <w:rFonts w:asciiTheme="minorHAnsi" w:hAnsiTheme="minorHAnsi" w:cstheme="minorHAnsi"/>
          <w:sz w:val="24"/>
          <w:szCs w:val="24"/>
        </w:rPr>
        <w:t xml:space="preserve"> and</w:t>
      </w:r>
      <w:r w:rsidR="00A37192">
        <w:rPr>
          <w:rFonts w:asciiTheme="minorHAnsi" w:hAnsiTheme="minorHAnsi" w:cstheme="minorHAnsi"/>
          <w:sz w:val="24"/>
          <w:szCs w:val="24"/>
        </w:rPr>
        <w:t xml:space="preserve"> ethnicity </w:t>
      </w:r>
      <w:r w:rsidR="005B12F6">
        <w:rPr>
          <w:rFonts w:asciiTheme="minorHAnsi" w:hAnsiTheme="minorHAnsi" w:cstheme="minorHAnsi"/>
          <w:sz w:val="24"/>
          <w:szCs w:val="24"/>
        </w:rPr>
        <w:t>made a</w:t>
      </w:r>
      <w:r w:rsidR="00A37192">
        <w:rPr>
          <w:rFonts w:asciiTheme="minorHAnsi" w:hAnsiTheme="minorHAnsi" w:cstheme="minorHAnsi"/>
          <w:sz w:val="24"/>
          <w:szCs w:val="24"/>
        </w:rPr>
        <w:t xml:space="preserve"> limited </w:t>
      </w:r>
      <w:r w:rsidR="005B12F6">
        <w:rPr>
          <w:rFonts w:asciiTheme="minorHAnsi" w:hAnsiTheme="minorHAnsi" w:cstheme="minorHAnsi"/>
          <w:sz w:val="24"/>
          <w:szCs w:val="24"/>
        </w:rPr>
        <w:t>contribution to the construction of</w:t>
      </w:r>
      <w:r w:rsidR="00A37192">
        <w:rPr>
          <w:rFonts w:asciiTheme="minorHAnsi" w:hAnsiTheme="minorHAnsi" w:cstheme="minorHAnsi"/>
          <w:sz w:val="24"/>
          <w:szCs w:val="24"/>
        </w:rPr>
        <w:t xml:space="preserve"> the policy and </w:t>
      </w:r>
      <w:r w:rsidR="00296E5C">
        <w:rPr>
          <w:rFonts w:asciiTheme="minorHAnsi" w:hAnsiTheme="minorHAnsi" w:cstheme="minorHAnsi"/>
          <w:sz w:val="24"/>
          <w:szCs w:val="24"/>
        </w:rPr>
        <w:t xml:space="preserve">that </w:t>
      </w:r>
      <w:r w:rsidR="00A37192">
        <w:rPr>
          <w:rFonts w:asciiTheme="minorHAnsi" w:hAnsiTheme="minorHAnsi" w:cstheme="minorHAnsi"/>
          <w:sz w:val="24"/>
          <w:szCs w:val="24"/>
        </w:rPr>
        <w:t>social class</w:t>
      </w:r>
      <w:r w:rsidR="00296E5C">
        <w:rPr>
          <w:rFonts w:asciiTheme="minorHAnsi" w:hAnsiTheme="minorHAnsi" w:cstheme="minorHAnsi"/>
          <w:sz w:val="24"/>
          <w:szCs w:val="24"/>
        </w:rPr>
        <w:t>,</w:t>
      </w:r>
      <w:r w:rsidR="00A37192">
        <w:rPr>
          <w:rFonts w:asciiTheme="minorHAnsi" w:hAnsiTheme="minorHAnsi" w:cstheme="minorHAnsi"/>
          <w:sz w:val="24"/>
          <w:szCs w:val="24"/>
        </w:rPr>
        <w:t xml:space="preserve"> whil</w:t>
      </w:r>
      <w:r w:rsidR="000F7877">
        <w:rPr>
          <w:rFonts w:asciiTheme="minorHAnsi" w:hAnsiTheme="minorHAnsi" w:cstheme="minorHAnsi"/>
          <w:sz w:val="24"/>
          <w:szCs w:val="24"/>
        </w:rPr>
        <w:t>st</w:t>
      </w:r>
      <w:r w:rsidR="00A37192">
        <w:rPr>
          <w:rFonts w:asciiTheme="minorHAnsi" w:hAnsiTheme="minorHAnsi" w:cstheme="minorHAnsi"/>
          <w:sz w:val="24"/>
          <w:szCs w:val="24"/>
        </w:rPr>
        <w:t xml:space="preserve"> referred to</w:t>
      </w:r>
      <w:r w:rsidR="00EE3C4F">
        <w:rPr>
          <w:rFonts w:asciiTheme="minorHAnsi" w:hAnsiTheme="minorHAnsi" w:cstheme="minorHAnsi"/>
          <w:sz w:val="24"/>
          <w:szCs w:val="24"/>
        </w:rPr>
        <w:t xml:space="preserve"> in terms of social mobility and the gap between rich and poor</w:t>
      </w:r>
      <w:r w:rsidR="00A2096F">
        <w:rPr>
          <w:rFonts w:asciiTheme="minorHAnsi" w:hAnsiTheme="minorHAnsi" w:cstheme="minorHAnsi"/>
          <w:sz w:val="24"/>
          <w:szCs w:val="24"/>
        </w:rPr>
        <w:t>,</w:t>
      </w:r>
      <w:r w:rsidR="00A37192">
        <w:rPr>
          <w:rFonts w:asciiTheme="minorHAnsi" w:hAnsiTheme="minorHAnsi" w:cstheme="minorHAnsi"/>
          <w:sz w:val="24"/>
          <w:szCs w:val="24"/>
        </w:rPr>
        <w:t xml:space="preserve"> has </w:t>
      </w:r>
      <w:r w:rsidR="00296E5C">
        <w:rPr>
          <w:rFonts w:asciiTheme="minorHAnsi" w:hAnsiTheme="minorHAnsi" w:cstheme="minorHAnsi"/>
          <w:sz w:val="24"/>
          <w:szCs w:val="24"/>
        </w:rPr>
        <w:t>indeed</w:t>
      </w:r>
      <w:r w:rsidR="00A37192">
        <w:rPr>
          <w:rFonts w:asciiTheme="minorHAnsi" w:hAnsiTheme="minorHAnsi" w:cstheme="minorHAnsi"/>
          <w:sz w:val="24"/>
          <w:szCs w:val="24"/>
        </w:rPr>
        <w:t xml:space="preserve"> been reclassified as </w:t>
      </w:r>
      <w:r w:rsidR="005B12F6">
        <w:rPr>
          <w:rFonts w:asciiTheme="minorHAnsi" w:hAnsiTheme="minorHAnsi" w:cstheme="minorHAnsi"/>
          <w:sz w:val="24"/>
          <w:szCs w:val="24"/>
        </w:rPr>
        <w:t>‘</w:t>
      </w:r>
      <w:r w:rsidR="00A37192">
        <w:rPr>
          <w:rFonts w:asciiTheme="minorHAnsi" w:hAnsiTheme="minorHAnsi" w:cstheme="minorHAnsi"/>
          <w:sz w:val="24"/>
          <w:szCs w:val="24"/>
        </w:rPr>
        <w:t>disadvantaged</w:t>
      </w:r>
      <w:r w:rsidR="005B12F6">
        <w:rPr>
          <w:rFonts w:asciiTheme="minorHAnsi" w:hAnsiTheme="minorHAnsi" w:cstheme="minorHAnsi"/>
          <w:sz w:val="24"/>
          <w:szCs w:val="24"/>
        </w:rPr>
        <w:t>’</w:t>
      </w:r>
      <w:r w:rsidR="00A37192">
        <w:rPr>
          <w:rFonts w:asciiTheme="minorHAnsi" w:hAnsiTheme="minorHAnsi" w:cstheme="minorHAnsi"/>
          <w:sz w:val="24"/>
          <w:szCs w:val="24"/>
        </w:rPr>
        <w:t xml:space="preserve"> using FSM. </w:t>
      </w:r>
      <w:r w:rsidR="00787DBC">
        <w:rPr>
          <w:rFonts w:asciiTheme="minorHAnsi" w:hAnsiTheme="minorHAnsi" w:cstheme="minorHAnsi"/>
          <w:sz w:val="24"/>
          <w:szCs w:val="24"/>
        </w:rPr>
        <w:t>Reay (</w:t>
      </w:r>
      <w:r w:rsidR="003D3806">
        <w:rPr>
          <w:rFonts w:asciiTheme="minorHAnsi" w:hAnsiTheme="minorHAnsi" w:cstheme="minorHAnsi"/>
          <w:sz w:val="24"/>
          <w:szCs w:val="24"/>
        </w:rPr>
        <w:t>2006</w:t>
      </w:r>
      <w:r w:rsidR="00787DBC">
        <w:rPr>
          <w:rFonts w:asciiTheme="minorHAnsi" w:hAnsiTheme="minorHAnsi" w:cstheme="minorHAnsi"/>
          <w:sz w:val="24"/>
          <w:szCs w:val="24"/>
        </w:rPr>
        <w:t>) and Gillborn (</w:t>
      </w:r>
      <w:r w:rsidR="003D3806">
        <w:rPr>
          <w:rFonts w:asciiTheme="minorHAnsi" w:hAnsiTheme="minorHAnsi" w:cstheme="minorHAnsi"/>
          <w:sz w:val="24"/>
          <w:szCs w:val="24"/>
        </w:rPr>
        <w:t>2011</w:t>
      </w:r>
      <w:r w:rsidR="00910597">
        <w:rPr>
          <w:rFonts w:asciiTheme="minorHAnsi" w:hAnsiTheme="minorHAnsi" w:cstheme="minorHAnsi"/>
          <w:sz w:val="24"/>
          <w:szCs w:val="24"/>
        </w:rPr>
        <w:t>b</w:t>
      </w:r>
      <w:r w:rsidR="00787DBC">
        <w:rPr>
          <w:rFonts w:asciiTheme="minorHAnsi" w:hAnsiTheme="minorHAnsi" w:cstheme="minorHAnsi"/>
          <w:sz w:val="24"/>
          <w:szCs w:val="24"/>
        </w:rPr>
        <w:t xml:space="preserve">) </w:t>
      </w:r>
      <w:r w:rsidR="00462F4E">
        <w:rPr>
          <w:rFonts w:asciiTheme="minorHAnsi" w:hAnsiTheme="minorHAnsi" w:cstheme="minorHAnsi"/>
          <w:sz w:val="24"/>
          <w:szCs w:val="24"/>
        </w:rPr>
        <w:t xml:space="preserve">support this claim by </w:t>
      </w:r>
      <w:r w:rsidR="00787DBC">
        <w:rPr>
          <w:rFonts w:asciiTheme="minorHAnsi" w:hAnsiTheme="minorHAnsi" w:cstheme="minorHAnsi"/>
          <w:sz w:val="24"/>
          <w:szCs w:val="24"/>
        </w:rPr>
        <w:t>argu</w:t>
      </w:r>
      <w:r w:rsidR="00462F4E">
        <w:rPr>
          <w:rFonts w:asciiTheme="minorHAnsi" w:hAnsiTheme="minorHAnsi" w:cstheme="minorHAnsi"/>
          <w:sz w:val="24"/>
          <w:szCs w:val="24"/>
        </w:rPr>
        <w:t>ing</w:t>
      </w:r>
      <w:r w:rsidR="00787DBC">
        <w:rPr>
          <w:rFonts w:asciiTheme="minorHAnsi" w:hAnsiTheme="minorHAnsi" w:cstheme="minorHAnsi"/>
          <w:sz w:val="24"/>
          <w:szCs w:val="24"/>
        </w:rPr>
        <w:t xml:space="preserve"> that social class and ethnicity are becoming marginalised as educational problems by </w:t>
      </w:r>
      <w:r w:rsidR="000F7877">
        <w:rPr>
          <w:rFonts w:asciiTheme="minorHAnsi" w:hAnsiTheme="minorHAnsi" w:cstheme="minorHAnsi"/>
          <w:sz w:val="24"/>
          <w:szCs w:val="24"/>
        </w:rPr>
        <w:t xml:space="preserve">both </w:t>
      </w:r>
      <w:r w:rsidR="00787DBC">
        <w:rPr>
          <w:rFonts w:asciiTheme="minorHAnsi" w:hAnsiTheme="minorHAnsi" w:cstheme="minorHAnsi"/>
          <w:sz w:val="24"/>
          <w:szCs w:val="24"/>
        </w:rPr>
        <w:t>governments and</w:t>
      </w:r>
      <w:r w:rsidR="005B12F6">
        <w:rPr>
          <w:rFonts w:asciiTheme="minorHAnsi" w:hAnsiTheme="minorHAnsi" w:cstheme="minorHAnsi"/>
          <w:sz w:val="24"/>
          <w:szCs w:val="24"/>
        </w:rPr>
        <w:t xml:space="preserve"> </w:t>
      </w:r>
      <w:r w:rsidR="00787DBC">
        <w:rPr>
          <w:rFonts w:asciiTheme="minorHAnsi" w:hAnsiTheme="minorHAnsi" w:cstheme="minorHAnsi"/>
          <w:sz w:val="24"/>
          <w:szCs w:val="24"/>
        </w:rPr>
        <w:t xml:space="preserve">teachers. </w:t>
      </w:r>
      <w:r w:rsidR="00A37192">
        <w:rPr>
          <w:rFonts w:asciiTheme="minorHAnsi" w:hAnsiTheme="minorHAnsi" w:cstheme="minorHAnsi"/>
          <w:sz w:val="24"/>
          <w:szCs w:val="24"/>
        </w:rPr>
        <w:t xml:space="preserve">This reclassification </w:t>
      </w:r>
      <w:r w:rsidR="00787DBC">
        <w:rPr>
          <w:rFonts w:asciiTheme="minorHAnsi" w:hAnsiTheme="minorHAnsi" w:cstheme="minorHAnsi"/>
          <w:sz w:val="24"/>
          <w:szCs w:val="24"/>
        </w:rPr>
        <w:t xml:space="preserve">of inequality </w:t>
      </w:r>
      <w:r w:rsidR="00A37192">
        <w:rPr>
          <w:rFonts w:asciiTheme="minorHAnsi" w:hAnsiTheme="minorHAnsi" w:cstheme="minorHAnsi"/>
          <w:sz w:val="24"/>
          <w:szCs w:val="24"/>
        </w:rPr>
        <w:t xml:space="preserve">was </w:t>
      </w:r>
      <w:r w:rsidR="004A4B62">
        <w:rPr>
          <w:rFonts w:asciiTheme="minorHAnsi" w:hAnsiTheme="minorHAnsi" w:cstheme="minorHAnsi"/>
          <w:sz w:val="24"/>
          <w:szCs w:val="24"/>
        </w:rPr>
        <w:t>evident</w:t>
      </w:r>
      <w:r w:rsidR="00A37192">
        <w:rPr>
          <w:rFonts w:asciiTheme="minorHAnsi" w:hAnsiTheme="minorHAnsi" w:cstheme="minorHAnsi"/>
          <w:sz w:val="24"/>
          <w:szCs w:val="24"/>
        </w:rPr>
        <w:t xml:space="preserve"> in </w:t>
      </w:r>
      <w:r w:rsidR="004A4B62">
        <w:rPr>
          <w:rFonts w:asciiTheme="minorHAnsi" w:hAnsiTheme="minorHAnsi" w:cstheme="minorHAnsi"/>
          <w:sz w:val="24"/>
          <w:szCs w:val="24"/>
        </w:rPr>
        <w:t xml:space="preserve">the </w:t>
      </w:r>
      <w:r w:rsidR="00A37192">
        <w:rPr>
          <w:rFonts w:asciiTheme="minorHAnsi" w:hAnsiTheme="minorHAnsi" w:cstheme="minorHAnsi"/>
          <w:sz w:val="24"/>
          <w:szCs w:val="24"/>
        </w:rPr>
        <w:t>interviews</w:t>
      </w:r>
      <w:r w:rsidR="004A4B62">
        <w:rPr>
          <w:rFonts w:asciiTheme="minorHAnsi" w:hAnsiTheme="minorHAnsi" w:cstheme="minorHAnsi"/>
          <w:sz w:val="24"/>
          <w:szCs w:val="24"/>
        </w:rPr>
        <w:t xml:space="preserve"> </w:t>
      </w:r>
      <w:r w:rsidR="00A2096F">
        <w:rPr>
          <w:rFonts w:asciiTheme="minorHAnsi" w:hAnsiTheme="minorHAnsi" w:cstheme="minorHAnsi"/>
          <w:sz w:val="24"/>
          <w:szCs w:val="24"/>
        </w:rPr>
        <w:t>with a</w:t>
      </w:r>
      <w:r w:rsidR="00A37192">
        <w:rPr>
          <w:rFonts w:asciiTheme="minorHAnsi" w:hAnsiTheme="minorHAnsi" w:cstheme="minorHAnsi"/>
          <w:sz w:val="24"/>
          <w:szCs w:val="24"/>
        </w:rPr>
        <w:t xml:space="preserve"> focus on </w:t>
      </w:r>
      <w:r w:rsidR="005B12F6">
        <w:rPr>
          <w:rFonts w:asciiTheme="minorHAnsi" w:hAnsiTheme="minorHAnsi" w:cstheme="minorHAnsi"/>
          <w:sz w:val="24"/>
          <w:szCs w:val="24"/>
        </w:rPr>
        <w:t>the notion of ‘</w:t>
      </w:r>
      <w:r w:rsidR="00A37192">
        <w:rPr>
          <w:rFonts w:asciiTheme="minorHAnsi" w:hAnsiTheme="minorHAnsi" w:cstheme="minorHAnsi"/>
          <w:sz w:val="24"/>
          <w:szCs w:val="24"/>
        </w:rPr>
        <w:t>ability</w:t>
      </w:r>
      <w:r w:rsidR="005B12F6">
        <w:rPr>
          <w:rFonts w:asciiTheme="minorHAnsi" w:hAnsiTheme="minorHAnsi" w:cstheme="minorHAnsi"/>
          <w:sz w:val="24"/>
          <w:szCs w:val="24"/>
        </w:rPr>
        <w:t>’</w:t>
      </w:r>
      <w:r w:rsidR="00A37192">
        <w:rPr>
          <w:rFonts w:asciiTheme="minorHAnsi" w:hAnsiTheme="minorHAnsi" w:cstheme="minorHAnsi"/>
          <w:sz w:val="24"/>
          <w:szCs w:val="24"/>
        </w:rPr>
        <w:t xml:space="preserve"> rather than</w:t>
      </w:r>
      <w:r w:rsidR="005B12F6">
        <w:rPr>
          <w:rFonts w:asciiTheme="minorHAnsi" w:hAnsiTheme="minorHAnsi" w:cstheme="minorHAnsi"/>
          <w:sz w:val="24"/>
          <w:szCs w:val="24"/>
        </w:rPr>
        <w:t xml:space="preserve"> </w:t>
      </w:r>
      <w:r w:rsidR="00787DBC">
        <w:rPr>
          <w:rFonts w:asciiTheme="minorHAnsi" w:hAnsiTheme="minorHAnsi" w:cstheme="minorHAnsi"/>
          <w:sz w:val="24"/>
          <w:szCs w:val="24"/>
        </w:rPr>
        <w:t>other</w:t>
      </w:r>
      <w:r w:rsidR="00A37192">
        <w:rPr>
          <w:rFonts w:asciiTheme="minorHAnsi" w:hAnsiTheme="minorHAnsi" w:cstheme="minorHAnsi"/>
          <w:sz w:val="24"/>
          <w:szCs w:val="24"/>
        </w:rPr>
        <w:t xml:space="preserve"> social characteristics</w:t>
      </w:r>
      <w:r w:rsidR="00ED1C8A">
        <w:rPr>
          <w:rFonts w:asciiTheme="minorHAnsi" w:hAnsiTheme="minorHAnsi" w:cstheme="minorHAnsi"/>
          <w:sz w:val="24"/>
          <w:szCs w:val="24"/>
        </w:rPr>
        <w:t xml:space="preserve"> </w:t>
      </w:r>
      <w:r w:rsidR="00296E5C">
        <w:rPr>
          <w:rFonts w:asciiTheme="minorHAnsi" w:hAnsiTheme="minorHAnsi" w:cstheme="minorHAnsi"/>
          <w:sz w:val="24"/>
          <w:szCs w:val="24"/>
        </w:rPr>
        <w:t>such as</w:t>
      </w:r>
      <w:r w:rsidR="000F7877">
        <w:rPr>
          <w:rFonts w:asciiTheme="minorHAnsi" w:hAnsiTheme="minorHAnsi" w:cstheme="minorHAnsi"/>
          <w:sz w:val="24"/>
          <w:szCs w:val="24"/>
        </w:rPr>
        <w:t xml:space="preserve"> gender</w:t>
      </w:r>
      <w:r w:rsidR="00296E5C">
        <w:rPr>
          <w:rFonts w:asciiTheme="minorHAnsi" w:hAnsiTheme="minorHAnsi" w:cstheme="minorHAnsi"/>
          <w:sz w:val="24"/>
          <w:szCs w:val="24"/>
        </w:rPr>
        <w:t xml:space="preserve">, </w:t>
      </w:r>
      <w:r w:rsidR="000F7877">
        <w:rPr>
          <w:rFonts w:asciiTheme="minorHAnsi" w:hAnsiTheme="minorHAnsi" w:cstheme="minorHAnsi"/>
          <w:sz w:val="24"/>
          <w:szCs w:val="24"/>
        </w:rPr>
        <w:t>ethnicity</w:t>
      </w:r>
      <w:r w:rsidR="00296E5C">
        <w:rPr>
          <w:rFonts w:asciiTheme="minorHAnsi" w:hAnsiTheme="minorHAnsi" w:cstheme="minorHAnsi"/>
          <w:sz w:val="24"/>
          <w:szCs w:val="24"/>
        </w:rPr>
        <w:t xml:space="preserve">, </w:t>
      </w:r>
      <w:r w:rsidR="000F7877">
        <w:rPr>
          <w:rFonts w:asciiTheme="minorHAnsi" w:hAnsiTheme="minorHAnsi" w:cstheme="minorHAnsi"/>
          <w:sz w:val="24"/>
          <w:szCs w:val="24"/>
        </w:rPr>
        <w:t>race</w:t>
      </w:r>
      <w:r w:rsidR="00296E5C">
        <w:rPr>
          <w:rFonts w:asciiTheme="minorHAnsi" w:hAnsiTheme="minorHAnsi" w:cstheme="minorHAnsi"/>
          <w:sz w:val="24"/>
          <w:szCs w:val="24"/>
        </w:rPr>
        <w:t xml:space="preserve">, and </w:t>
      </w:r>
      <w:r w:rsidR="000F7877">
        <w:rPr>
          <w:rFonts w:asciiTheme="minorHAnsi" w:hAnsiTheme="minorHAnsi" w:cstheme="minorHAnsi"/>
          <w:sz w:val="24"/>
          <w:szCs w:val="24"/>
        </w:rPr>
        <w:t xml:space="preserve">social class </w:t>
      </w:r>
      <w:r w:rsidR="00ED1C8A">
        <w:rPr>
          <w:rFonts w:asciiTheme="minorHAnsi" w:hAnsiTheme="minorHAnsi" w:cstheme="minorHAnsi"/>
          <w:sz w:val="24"/>
          <w:szCs w:val="24"/>
        </w:rPr>
        <w:t>(</w:t>
      </w:r>
      <w:r w:rsidR="00A14AC9">
        <w:rPr>
          <w:rFonts w:asciiTheme="minorHAnsi" w:hAnsiTheme="minorHAnsi" w:cstheme="minorHAnsi"/>
          <w:sz w:val="24"/>
          <w:szCs w:val="24"/>
        </w:rPr>
        <w:t>S</w:t>
      </w:r>
      <w:r w:rsidR="0063140E">
        <w:rPr>
          <w:rFonts w:asciiTheme="minorHAnsi" w:hAnsiTheme="minorHAnsi" w:cstheme="minorHAnsi"/>
          <w:sz w:val="24"/>
          <w:szCs w:val="24"/>
        </w:rPr>
        <w:t>ection 4.4.5</w:t>
      </w:r>
      <w:r w:rsidR="00ED1C8A">
        <w:rPr>
          <w:rFonts w:asciiTheme="minorHAnsi" w:hAnsiTheme="minorHAnsi" w:cstheme="minorHAnsi"/>
          <w:sz w:val="24"/>
          <w:szCs w:val="24"/>
        </w:rPr>
        <w:t>)</w:t>
      </w:r>
      <w:r w:rsidR="00A37192">
        <w:rPr>
          <w:rFonts w:asciiTheme="minorHAnsi" w:hAnsiTheme="minorHAnsi" w:cstheme="minorHAnsi"/>
          <w:sz w:val="24"/>
          <w:szCs w:val="24"/>
        </w:rPr>
        <w:t xml:space="preserve">. </w:t>
      </w:r>
      <w:r w:rsidR="00A2096F">
        <w:rPr>
          <w:rFonts w:asciiTheme="minorHAnsi" w:hAnsiTheme="minorHAnsi" w:cstheme="minorHAnsi"/>
          <w:sz w:val="24"/>
          <w:szCs w:val="24"/>
        </w:rPr>
        <w:t>T</w:t>
      </w:r>
      <w:r w:rsidR="005B12F6">
        <w:rPr>
          <w:rFonts w:asciiTheme="minorHAnsi" w:hAnsiTheme="minorHAnsi" w:cstheme="minorHAnsi"/>
          <w:sz w:val="24"/>
          <w:szCs w:val="24"/>
        </w:rPr>
        <w:t xml:space="preserve">his re-alignment </w:t>
      </w:r>
      <w:r w:rsidR="000F7877">
        <w:rPr>
          <w:rFonts w:asciiTheme="minorHAnsi" w:hAnsiTheme="minorHAnsi" w:cstheme="minorHAnsi"/>
          <w:sz w:val="24"/>
          <w:szCs w:val="24"/>
        </w:rPr>
        <w:t xml:space="preserve">or reconstitution </w:t>
      </w:r>
      <w:r w:rsidR="005B12F6">
        <w:rPr>
          <w:rFonts w:asciiTheme="minorHAnsi" w:hAnsiTheme="minorHAnsi" w:cstheme="minorHAnsi"/>
          <w:sz w:val="24"/>
          <w:szCs w:val="24"/>
        </w:rPr>
        <w:t xml:space="preserve">of factors </w:t>
      </w:r>
      <w:r w:rsidR="000F7877">
        <w:rPr>
          <w:rFonts w:asciiTheme="minorHAnsi" w:hAnsiTheme="minorHAnsi" w:cstheme="minorHAnsi"/>
          <w:sz w:val="24"/>
          <w:szCs w:val="24"/>
        </w:rPr>
        <w:t xml:space="preserve">supposedly contributing to poor standards </w:t>
      </w:r>
      <w:r w:rsidR="00A37192">
        <w:rPr>
          <w:rFonts w:asciiTheme="minorHAnsi" w:hAnsiTheme="minorHAnsi" w:cstheme="minorHAnsi"/>
          <w:sz w:val="24"/>
          <w:szCs w:val="24"/>
        </w:rPr>
        <w:t>remove</w:t>
      </w:r>
      <w:r w:rsidR="007D4C62">
        <w:rPr>
          <w:rFonts w:asciiTheme="minorHAnsi" w:hAnsiTheme="minorHAnsi" w:cstheme="minorHAnsi"/>
          <w:sz w:val="24"/>
          <w:szCs w:val="24"/>
        </w:rPr>
        <w:t>s</w:t>
      </w:r>
      <w:r w:rsidR="00A37192">
        <w:rPr>
          <w:rFonts w:asciiTheme="minorHAnsi" w:hAnsiTheme="minorHAnsi" w:cstheme="minorHAnsi"/>
          <w:sz w:val="24"/>
          <w:szCs w:val="24"/>
        </w:rPr>
        <w:t xml:space="preserve"> the ne</w:t>
      </w:r>
      <w:r w:rsidR="005B12F6">
        <w:rPr>
          <w:rFonts w:asciiTheme="minorHAnsi" w:hAnsiTheme="minorHAnsi" w:cstheme="minorHAnsi"/>
          <w:sz w:val="24"/>
          <w:szCs w:val="24"/>
        </w:rPr>
        <w:t>cessity</w:t>
      </w:r>
      <w:r w:rsidR="00A37192">
        <w:rPr>
          <w:rFonts w:asciiTheme="minorHAnsi" w:hAnsiTheme="minorHAnsi" w:cstheme="minorHAnsi"/>
          <w:sz w:val="24"/>
          <w:szCs w:val="24"/>
        </w:rPr>
        <w:t xml:space="preserve"> for teachers to consider</w:t>
      </w:r>
      <w:r w:rsidR="005B12F6">
        <w:rPr>
          <w:rFonts w:asciiTheme="minorHAnsi" w:hAnsiTheme="minorHAnsi" w:cstheme="minorHAnsi"/>
          <w:sz w:val="24"/>
          <w:szCs w:val="24"/>
        </w:rPr>
        <w:t xml:space="preserve"> </w:t>
      </w:r>
      <w:r w:rsidR="00A37192">
        <w:rPr>
          <w:rFonts w:asciiTheme="minorHAnsi" w:hAnsiTheme="minorHAnsi" w:cstheme="minorHAnsi"/>
          <w:sz w:val="24"/>
          <w:szCs w:val="24"/>
        </w:rPr>
        <w:t xml:space="preserve">the impact of social characteristics </w:t>
      </w:r>
      <w:r w:rsidR="003D3806">
        <w:rPr>
          <w:rFonts w:asciiTheme="minorHAnsi" w:hAnsiTheme="minorHAnsi" w:cstheme="minorHAnsi"/>
          <w:sz w:val="24"/>
          <w:szCs w:val="24"/>
        </w:rPr>
        <w:t xml:space="preserve">such as social class, gender and ethnicity </w:t>
      </w:r>
      <w:r w:rsidR="0024060B">
        <w:rPr>
          <w:rFonts w:asciiTheme="minorHAnsi" w:hAnsiTheme="minorHAnsi" w:cstheme="minorHAnsi"/>
          <w:sz w:val="24"/>
          <w:szCs w:val="24"/>
        </w:rPr>
        <w:t>on access to</w:t>
      </w:r>
      <w:r w:rsidR="00296E5C">
        <w:rPr>
          <w:rFonts w:asciiTheme="minorHAnsi" w:hAnsiTheme="minorHAnsi" w:cstheme="minorHAnsi"/>
          <w:sz w:val="24"/>
          <w:szCs w:val="24"/>
        </w:rPr>
        <w:t>,</w:t>
      </w:r>
      <w:r w:rsidR="0024060B">
        <w:rPr>
          <w:rFonts w:asciiTheme="minorHAnsi" w:hAnsiTheme="minorHAnsi" w:cstheme="minorHAnsi"/>
          <w:sz w:val="24"/>
          <w:szCs w:val="24"/>
        </w:rPr>
        <w:t xml:space="preserve"> and success within</w:t>
      </w:r>
      <w:r w:rsidR="00296E5C">
        <w:rPr>
          <w:rFonts w:asciiTheme="minorHAnsi" w:hAnsiTheme="minorHAnsi" w:cstheme="minorHAnsi"/>
          <w:sz w:val="24"/>
          <w:szCs w:val="24"/>
        </w:rPr>
        <w:t>,</w:t>
      </w:r>
      <w:r w:rsidR="0024060B">
        <w:rPr>
          <w:rFonts w:asciiTheme="minorHAnsi" w:hAnsiTheme="minorHAnsi" w:cstheme="minorHAnsi"/>
          <w:sz w:val="24"/>
          <w:szCs w:val="24"/>
        </w:rPr>
        <w:t xml:space="preserve"> the EBac</w:t>
      </w:r>
      <w:r w:rsidR="005B12F6">
        <w:rPr>
          <w:rFonts w:asciiTheme="minorHAnsi" w:hAnsiTheme="minorHAnsi" w:cstheme="minorHAnsi"/>
          <w:sz w:val="24"/>
          <w:szCs w:val="24"/>
        </w:rPr>
        <w:t>. T</w:t>
      </w:r>
      <w:r w:rsidR="00A37192">
        <w:rPr>
          <w:rFonts w:asciiTheme="minorHAnsi" w:hAnsiTheme="minorHAnsi" w:cstheme="minorHAnsi"/>
          <w:sz w:val="24"/>
          <w:szCs w:val="24"/>
        </w:rPr>
        <w:t xml:space="preserve">he problem </w:t>
      </w:r>
      <w:r w:rsidR="005B12F6">
        <w:rPr>
          <w:rFonts w:asciiTheme="minorHAnsi" w:hAnsiTheme="minorHAnsi" w:cstheme="minorHAnsi"/>
          <w:sz w:val="24"/>
          <w:szCs w:val="24"/>
        </w:rPr>
        <w:t xml:space="preserve">was reframed </w:t>
      </w:r>
      <w:r w:rsidR="00A37192">
        <w:rPr>
          <w:rFonts w:asciiTheme="minorHAnsi" w:hAnsiTheme="minorHAnsi" w:cstheme="minorHAnsi"/>
          <w:sz w:val="24"/>
          <w:szCs w:val="24"/>
        </w:rPr>
        <w:t>around a</w:t>
      </w:r>
      <w:r w:rsidR="007D4C62">
        <w:rPr>
          <w:rFonts w:asciiTheme="minorHAnsi" w:hAnsiTheme="minorHAnsi" w:cstheme="minorHAnsi"/>
          <w:sz w:val="24"/>
          <w:szCs w:val="24"/>
        </w:rPr>
        <w:t xml:space="preserve"> </w:t>
      </w:r>
      <w:r w:rsidR="00A37192">
        <w:rPr>
          <w:rFonts w:asciiTheme="minorHAnsi" w:hAnsiTheme="minorHAnsi" w:cstheme="minorHAnsi"/>
          <w:sz w:val="24"/>
          <w:szCs w:val="24"/>
        </w:rPr>
        <w:t>dis</w:t>
      </w:r>
      <w:r w:rsidR="005B12F6">
        <w:rPr>
          <w:rFonts w:asciiTheme="minorHAnsi" w:hAnsiTheme="minorHAnsi" w:cstheme="minorHAnsi"/>
          <w:sz w:val="24"/>
          <w:szCs w:val="24"/>
        </w:rPr>
        <w:t xml:space="preserve">course of </w:t>
      </w:r>
      <w:r w:rsidR="007D4C62">
        <w:rPr>
          <w:rFonts w:asciiTheme="minorHAnsi" w:hAnsiTheme="minorHAnsi" w:cstheme="minorHAnsi"/>
          <w:sz w:val="24"/>
          <w:szCs w:val="24"/>
        </w:rPr>
        <w:t>academic ‘ability’</w:t>
      </w:r>
      <w:r w:rsidR="00ED1C8A">
        <w:rPr>
          <w:rFonts w:asciiTheme="minorHAnsi" w:hAnsiTheme="minorHAnsi" w:cstheme="minorHAnsi"/>
          <w:sz w:val="24"/>
          <w:szCs w:val="24"/>
        </w:rPr>
        <w:t>.</w:t>
      </w:r>
      <w:r w:rsidR="00787DBC">
        <w:rPr>
          <w:rFonts w:asciiTheme="minorHAnsi" w:hAnsiTheme="minorHAnsi" w:cstheme="minorHAnsi"/>
          <w:sz w:val="24"/>
          <w:szCs w:val="24"/>
        </w:rPr>
        <w:t xml:space="preserve"> </w:t>
      </w:r>
    </w:p>
    <w:p w14:paraId="7974035D" w14:textId="77777777" w:rsidR="00B6050F" w:rsidRDefault="00B6050F" w:rsidP="00B6050F">
      <w:pPr>
        <w:spacing w:after="0" w:line="360" w:lineRule="auto"/>
        <w:rPr>
          <w:b/>
          <w:sz w:val="24"/>
          <w:szCs w:val="24"/>
        </w:rPr>
      </w:pPr>
    </w:p>
    <w:p w14:paraId="06B2B02C" w14:textId="2E7710D8" w:rsidR="00037247" w:rsidRDefault="00706E6F" w:rsidP="00B6050F">
      <w:pPr>
        <w:tabs>
          <w:tab w:val="left" w:pos="7797"/>
        </w:tabs>
        <w:spacing w:after="0" w:line="360" w:lineRule="auto"/>
        <w:rPr>
          <w:rFonts w:asciiTheme="minorHAnsi" w:hAnsiTheme="minorHAnsi" w:cstheme="minorHAnsi"/>
          <w:sz w:val="24"/>
          <w:szCs w:val="24"/>
        </w:rPr>
      </w:pPr>
      <w:r>
        <w:rPr>
          <w:rFonts w:asciiTheme="minorHAnsi" w:hAnsiTheme="minorHAnsi" w:cstheme="minorHAnsi"/>
          <w:sz w:val="24"/>
          <w:szCs w:val="24"/>
        </w:rPr>
        <w:t xml:space="preserve">The third arena </w:t>
      </w:r>
      <w:r w:rsidR="00296E5C">
        <w:rPr>
          <w:rFonts w:asciiTheme="minorHAnsi" w:hAnsiTheme="minorHAnsi" w:cstheme="minorHAnsi"/>
          <w:sz w:val="24"/>
          <w:szCs w:val="24"/>
        </w:rPr>
        <w:t>(</w:t>
      </w:r>
      <w:r w:rsidR="000F7877">
        <w:rPr>
          <w:rFonts w:asciiTheme="minorHAnsi" w:hAnsiTheme="minorHAnsi" w:cstheme="minorHAnsi"/>
          <w:sz w:val="24"/>
          <w:szCs w:val="24"/>
        </w:rPr>
        <w:t xml:space="preserve">or </w:t>
      </w:r>
      <w:r>
        <w:rPr>
          <w:rFonts w:asciiTheme="minorHAnsi" w:hAnsiTheme="minorHAnsi" w:cstheme="minorHAnsi"/>
          <w:sz w:val="24"/>
          <w:szCs w:val="24"/>
        </w:rPr>
        <w:t>policy solution arena</w:t>
      </w:r>
      <w:r w:rsidR="00296E5C">
        <w:rPr>
          <w:rFonts w:asciiTheme="minorHAnsi" w:hAnsiTheme="minorHAnsi" w:cstheme="minorHAnsi"/>
          <w:sz w:val="24"/>
          <w:szCs w:val="24"/>
        </w:rPr>
        <w:t>)</w:t>
      </w:r>
      <w:r>
        <w:rPr>
          <w:rFonts w:asciiTheme="minorHAnsi" w:hAnsiTheme="minorHAnsi" w:cstheme="minorHAnsi"/>
          <w:sz w:val="24"/>
          <w:szCs w:val="24"/>
        </w:rPr>
        <w:t xml:space="preserve"> aims to uncover the possible policy solutions </w:t>
      </w:r>
      <w:r w:rsidR="002533B3">
        <w:rPr>
          <w:rFonts w:asciiTheme="minorHAnsi" w:hAnsiTheme="minorHAnsi" w:cstheme="minorHAnsi"/>
          <w:sz w:val="24"/>
          <w:szCs w:val="24"/>
        </w:rPr>
        <w:t>occurring</w:t>
      </w:r>
      <w:r>
        <w:rPr>
          <w:rFonts w:asciiTheme="minorHAnsi" w:hAnsiTheme="minorHAnsi" w:cstheme="minorHAnsi"/>
          <w:sz w:val="24"/>
          <w:szCs w:val="24"/>
        </w:rPr>
        <w:t xml:space="preserve"> within identified social regularities</w:t>
      </w:r>
      <w:r w:rsidR="000F3D51">
        <w:rPr>
          <w:rFonts w:asciiTheme="minorHAnsi" w:hAnsiTheme="minorHAnsi" w:cstheme="minorHAnsi"/>
          <w:sz w:val="24"/>
          <w:szCs w:val="24"/>
        </w:rPr>
        <w:t xml:space="preserve"> and aris</w:t>
      </w:r>
      <w:r w:rsidR="00A14AC9">
        <w:rPr>
          <w:rFonts w:asciiTheme="minorHAnsi" w:hAnsiTheme="minorHAnsi" w:cstheme="minorHAnsi"/>
          <w:sz w:val="24"/>
          <w:szCs w:val="24"/>
        </w:rPr>
        <w:t>ing</w:t>
      </w:r>
      <w:r w:rsidR="000F3D51">
        <w:rPr>
          <w:rFonts w:asciiTheme="minorHAnsi" w:hAnsiTheme="minorHAnsi" w:cstheme="minorHAnsi"/>
          <w:sz w:val="24"/>
          <w:szCs w:val="24"/>
        </w:rPr>
        <w:t xml:space="preserve"> from identified educational problems</w:t>
      </w:r>
      <w:r>
        <w:rPr>
          <w:rFonts w:asciiTheme="minorHAnsi" w:hAnsiTheme="minorHAnsi" w:cstheme="minorHAnsi"/>
          <w:sz w:val="24"/>
          <w:szCs w:val="24"/>
        </w:rPr>
        <w:t>.</w:t>
      </w:r>
      <w:r w:rsidR="0063140E">
        <w:rPr>
          <w:rFonts w:asciiTheme="minorHAnsi" w:hAnsiTheme="minorHAnsi" w:cstheme="minorHAnsi"/>
          <w:sz w:val="24"/>
          <w:szCs w:val="24"/>
        </w:rPr>
        <w:t xml:space="preserve"> </w:t>
      </w:r>
      <w:r w:rsidR="000603F4">
        <w:rPr>
          <w:rFonts w:asciiTheme="minorHAnsi" w:hAnsiTheme="minorHAnsi" w:cstheme="minorHAnsi"/>
          <w:sz w:val="24"/>
          <w:szCs w:val="24"/>
        </w:rPr>
        <w:t xml:space="preserve">Scheurich argues that the policy solutions </w:t>
      </w:r>
      <w:r w:rsidR="00C1111B">
        <w:rPr>
          <w:rFonts w:asciiTheme="minorHAnsi" w:hAnsiTheme="minorHAnsi" w:cstheme="minorHAnsi"/>
          <w:sz w:val="24"/>
          <w:szCs w:val="24"/>
        </w:rPr>
        <w:t xml:space="preserve">arising from the constitution of the problems </w:t>
      </w:r>
      <w:r w:rsidR="000603F4">
        <w:rPr>
          <w:rFonts w:asciiTheme="minorHAnsi" w:hAnsiTheme="minorHAnsi" w:cstheme="minorHAnsi"/>
          <w:sz w:val="24"/>
          <w:szCs w:val="24"/>
        </w:rPr>
        <w:t xml:space="preserve">are shaped </w:t>
      </w:r>
      <w:r w:rsidR="00C1111B">
        <w:rPr>
          <w:rFonts w:asciiTheme="minorHAnsi" w:hAnsiTheme="minorHAnsi" w:cstheme="minorHAnsi"/>
          <w:sz w:val="24"/>
          <w:szCs w:val="24"/>
        </w:rPr>
        <w:t xml:space="preserve">by influences operating in </w:t>
      </w:r>
      <w:r w:rsidR="000603F4">
        <w:rPr>
          <w:rFonts w:asciiTheme="minorHAnsi" w:hAnsiTheme="minorHAnsi" w:cstheme="minorHAnsi"/>
          <w:sz w:val="24"/>
          <w:szCs w:val="24"/>
        </w:rPr>
        <w:t>the intersecti</w:t>
      </w:r>
      <w:r w:rsidR="00C1111B">
        <w:rPr>
          <w:rFonts w:asciiTheme="minorHAnsi" w:hAnsiTheme="minorHAnsi" w:cstheme="minorHAnsi"/>
          <w:sz w:val="24"/>
          <w:szCs w:val="24"/>
        </w:rPr>
        <w:t>ons</w:t>
      </w:r>
      <w:r w:rsidR="000603F4">
        <w:rPr>
          <w:rFonts w:asciiTheme="minorHAnsi" w:hAnsiTheme="minorHAnsi" w:cstheme="minorHAnsi"/>
          <w:sz w:val="24"/>
          <w:szCs w:val="24"/>
        </w:rPr>
        <w:t xml:space="preserve"> of the grid of social regularities</w:t>
      </w:r>
      <w:r w:rsidR="000150C9">
        <w:rPr>
          <w:rFonts w:asciiTheme="minorHAnsi" w:hAnsiTheme="minorHAnsi" w:cstheme="minorHAnsi"/>
          <w:sz w:val="24"/>
          <w:szCs w:val="24"/>
        </w:rPr>
        <w:t xml:space="preserve"> in Arena </w:t>
      </w:r>
      <w:r w:rsidR="00BE25E5">
        <w:rPr>
          <w:rFonts w:asciiTheme="minorHAnsi" w:hAnsiTheme="minorHAnsi" w:cstheme="minorHAnsi"/>
          <w:sz w:val="24"/>
          <w:szCs w:val="24"/>
        </w:rPr>
        <w:t>2</w:t>
      </w:r>
      <w:r w:rsidR="00037247">
        <w:rPr>
          <w:rFonts w:asciiTheme="minorHAnsi" w:hAnsiTheme="minorHAnsi" w:cstheme="minorHAnsi"/>
          <w:sz w:val="24"/>
          <w:szCs w:val="24"/>
        </w:rPr>
        <w:t>.</w:t>
      </w:r>
      <w:r w:rsidR="00296E5C">
        <w:rPr>
          <w:rFonts w:asciiTheme="minorHAnsi" w:hAnsiTheme="minorHAnsi" w:cstheme="minorHAnsi"/>
          <w:sz w:val="24"/>
          <w:szCs w:val="24"/>
        </w:rPr>
        <w:t xml:space="preserve"> </w:t>
      </w:r>
      <w:r w:rsidR="000603F4">
        <w:rPr>
          <w:rFonts w:asciiTheme="minorHAnsi" w:hAnsiTheme="minorHAnsi" w:cstheme="minorHAnsi"/>
          <w:sz w:val="24"/>
          <w:szCs w:val="24"/>
        </w:rPr>
        <w:t>The grid privilege</w:t>
      </w:r>
      <w:r w:rsidR="00A14AC9">
        <w:rPr>
          <w:rFonts w:asciiTheme="minorHAnsi" w:hAnsiTheme="minorHAnsi" w:cstheme="minorHAnsi"/>
          <w:sz w:val="24"/>
          <w:szCs w:val="24"/>
        </w:rPr>
        <w:t>s</w:t>
      </w:r>
      <w:r w:rsidR="000603F4">
        <w:rPr>
          <w:rFonts w:asciiTheme="minorHAnsi" w:hAnsiTheme="minorHAnsi" w:cstheme="minorHAnsi"/>
          <w:sz w:val="24"/>
          <w:szCs w:val="24"/>
        </w:rPr>
        <w:t xml:space="preserve"> some solutions and obscure</w:t>
      </w:r>
      <w:r w:rsidR="00A14AC9">
        <w:rPr>
          <w:rFonts w:asciiTheme="minorHAnsi" w:hAnsiTheme="minorHAnsi" w:cstheme="minorHAnsi"/>
          <w:sz w:val="24"/>
          <w:szCs w:val="24"/>
        </w:rPr>
        <w:t>s</w:t>
      </w:r>
      <w:r w:rsidR="000603F4">
        <w:rPr>
          <w:rFonts w:asciiTheme="minorHAnsi" w:hAnsiTheme="minorHAnsi" w:cstheme="minorHAnsi"/>
          <w:sz w:val="24"/>
          <w:szCs w:val="24"/>
        </w:rPr>
        <w:t xml:space="preserve"> others. </w:t>
      </w:r>
      <w:r w:rsidR="00BA2A2E">
        <w:rPr>
          <w:rFonts w:asciiTheme="minorHAnsi" w:hAnsiTheme="minorHAnsi" w:cstheme="minorHAnsi"/>
          <w:sz w:val="24"/>
          <w:szCs w:val="24"/>
        </w:rPr>
        <w:t>My research</w:t>
      </w:r>
      <w:r w:rsidR="0063140E">
        <w:rPr>
          <w:rFonts w:asciiTheme="minorHAnsi" w:hAnsiTheme="minorHAnsi" w:cstheme="minorHAnsi"/>
          <w:sz w:val="24"/>
          <w:szCs w:val="24"/>
        </w:rPr>
        <w:t xml:space="preserve"> highlights</w:t>
      </w:r>
      <w:r w:rsidR="00037247">
        <w:rPr>
          <w:rFonts w:asciiTheme="minorHAnsi" w:hAnsiTheme="minorHAnsi" w:cstheme="minorHAnsi"/>
          <w:sz w:val="24"/>
          <w:szCs w:val="24"/>
        </w:rPr>
        <w:t xml:space="preserve"> a set of intended consequences</w:t>
      </w:r>
      <w:r w:rsidR="00A14AC9">
        <w:rPr>
          <w:rFonts w:asciiTheme="minorHAnsi" w:hAnsiTheme="minorHAnsi" w:cstheme="minorHAnsi"/>
          <w:sz w:val="24"/>
          <w:szCs w:val="24"/>
        </w:rPr>
        <w:t>,</w:t>
      </w:r>
      <w:r w:rsidR="00037247">
        <w:rPr>
          <w:rFonts w:asciiTheme="minorHAnsi" w:hAnsiTheme="minorHAnsi" w:cstheme="minorHAnsi"/>
          <w:sz w:val="24"/>
          <w:szCs w:val="24"/>
        </w:rPr>
        <w:t xml:space="preserve"> </w:t>
      </w:r>
      <w:r w:rsidR="0063140E">
        <w:rPr>
          <w:rFonts w:asciiTheme="minorHAnsi" w:hAnsiTheme="minorHAnsi" w:cstheme="minorHAnsi"/>
          <w:sz w:val="24"/>
          <w:szCs w:val="24"/>
        </w:rPr>
        <w:t xml:space="preserve">such as increased GCSE </w:t>
      </w:r>
      <w:r w:rsidR="00815AC8">
        <w:rPr>
          <w:rFonts w:asciiTheme="minorHAnsi" w:hAnsiTheme="minorHAnsi" w:cstheme="minorHAnsi"/>
          <w:sz w:val="24"/>
          <w:szCs w:val="24"/>
        </w:rPr>
        <w:t>entries for some subjects</w:t>
      </w:r>
      <w:r w:rsidR="00A14AC9" w:rsidRPr="00A14AC9">
        <w:rPr>
          <w:rFonts w:asciiTheme="minorHAnsi" w:hAnsiTheme="minorHAnsi" w:cstheme="minorHAnsi"/>
          <w:sz w:val="24"/>
          <w:szCs w:val="24"/>
        </w:rPr>
        <w:t xml:space="preserve"> </w:t>
      </w:r>
      <w:r w:rsidR="00A14AC9">
        <w:rPr>
          <w:rFonts w:asciiTheme="minorHAnsi" w:hAnsiTheme="minorHAnsi" w:cstheme="minorHAnsi"/>
          <w:sz w:val="24"/>
          <w:szCs w:val="24"/>
        </w:rPr>
        <w:t>as articulated in the EBac policy documents,</w:t>
      </w:r>
      <w:r w:rsidR="0063140E">
        <w:rPr>
          <w:rFonts w:asciiTheme="minorHAnsi" w:hAnsiTheme="minorHAnsi" w:cstheme="minorHAnsi"/>
          <w:sz w:val="24"/>
          <w:szCs w:val="24"/>
        </w:rPr>
        <w:t xml:space="preserve"> </w:t>
      </w:r>
      <w:r w:rsidR="00037247">
        <w:rPr>
          <w:rFonts w:asciiTheme="minorHAnsi" w:hAnsiTheme="minorHAnsi" w:cstheme="minorHAnsi"/>
          <w:sz w:val="24"/>
          <w:szCs w:val="24"/>
        </w:rPr>
        <w:t xml:space="preserve">but also a range of unintended consequences which serve to weaken or even diametrically oppose the stated intentions. </w:t>
      </w:r>
      <w:r w:rsidR="00A14AC9">
        <w:rPr>
          <w:rFonts w:asciiTheme="minorHAnsi" w:hAnsiTheme="minorHAnsi" w:cstheme="minorHAnsi"/>
          <w:sz w:val="24"/>
          <w:szCs w:val="24"/>
        </w:rPr>
        <w:t>A</w:t>
      </w:r>
      <w:r w:rsidR="00037247">
        <w:rPr>
          <w:rFonts w:asciiTheme="minorHAnsi" w:hAnsiTheme="minorHAnsi" w:cstheme="minorHAnsi"/>
          <w:sz w:val="24"/>
          <w:szCs w:val="24"/>
        </w:rPr>
        <w:t>ccountability measures, pressures and outcomes</w:t>
      </w:r>
      <w:r w:rsidR="00A14AC9">
        <w:rPr>
          <w:rFonts w:asciiTheme="minorHAnsi" w:hAnsiTheme="minorHAnsi" w:cstheme="minorHAnsi"/>
          <w:sz w:val="24"/>
          <w:szCs w:val="24"/>
        </w:rPr>
        <w:t>, for instance,</w:t>
      </w:r>
      <w:r w:rsidR="00037247">
        <w:rPr>
          <w:rFonts w:asciiTheme="minorHAnsi" w:hAnsiTheme="minorHAnsi" w:cstheme="minorHAnsi"/>
          <w:sz w:val="24"/>
          <w:szCs w:val="24"/>
        </w:rPr>
        <w:t xml:space="preserve"> are so great that some schools and teachers (Redfield and Purplefield) redirected students away from EBac subjects </w:t>
      </w:r>
      <w:r w:rsidR="00296E5C">
        <w:rPr>
          <w:rFonts w:asciiTheme="minorHAnsi" w:hAnsiTheme="minorHAnsi" w:cstheme="minorHAnsi"/>
          <w:sz w:val="24"/>
          <w:szCs w:val="24"/>
        </w:rPr>
        <w:t xml:space="preserve">either </w:t>
      </w:r>
      <w:r w:rsidR="00142956">
        <w:rPr>
          <w:rFonts w:asciiTheme="minorHAnsi" w:hAnsiTheme="minorHAnsi" w:cstheme="minorHAnsi"/>
          <w:sz w:val="24"/>
          <w:szCs w:val="24"/>
        </w:rPr>
        <w:t>through persuasion (p.115) or course changes (p.111</w:t>
      </w:r>
      <w:r w:rsidR="00037247">
        <w:rPr>
          <w:rFonts w:asciiTheme="minorHAnsi" w:hAnsiTheme="minorHAnsi" w:cstheme="minorHAnsi"/>
          <w:sz w:val="24"/>
          <w:szCs w:val="24"/>
        </w:rPr>
        <w:t>)</w:t>
      </w:r>
      <w:r w:rsidR="000F7877">
        <w:rPr>
          <w:rFonts w:asciiTheme="minorHAnsi" w:hAnsiTheme="minorHAnsi" w:cstheme="minorHAnsi"/>
          <w:sz w:val="24"/>
          <w:szCs w:val="24"/>
        </w:rPr>
        <w:t>,</w:t>
      </w:r>
      <w:r w:rsidR="00037247">
        <w:rPr>
          <w:rFonts w:asciiTheme="minorHAnsi" w:hAnsiTheme="minorHAnsi" w:cstheme="minorHAnsi"/>
          <w:sz w:val="24"/>
          <w:szCs w:val="24"/>
        </w:rPr>
        <w:t xml:space="preserve"> </w:t>
      </w:r>
      <w:r w:rsidR="000F7877">
        <w:rPr>
          <w:rFonts w:asciiTheme="minorHAnsi" w:hAnsiTheme="minorHAnsi" w:cstheme="minorHAnsi"/>
          <w:sz w:val="24"/>
          <w:szCs w:val="24"/>
        </w:rPr>
        <w:t>resul</w:t>
      </w:r>
      <w:r w:rsidR="00A14AC9">
        <w:rPr>
          <w:rFonts w:asciiTheme="minorHAnsi" w:hAnsiTheme="minorHAnsi" w:cstheme="minorHAnsi"/>
          <w:sz w:val="24"/>
          <w:szCs w:val="24"/>
        </w:rPr>
        <w:t>ting</w:t>
      </w:r>
      <w:r w:rsidR="000F7877">
        <w:rPr>
          <w:rFonts w:asciiTheme="minorHAnsi" w:hAnsiTheme="minorHAnsi" w:cstheme="minorHAnsi"/>
          <w:sz w:val="24"/>
          <w:szCs w:val="24"/>
        </w:rPr>
        <w:t xml:space="preserve"> </w:t>
      </w:r>
      <w:r w:rsidR="00A14AC9">
        <w:rPr>
          <w:rFonts w:asciiTheme="minorHAnsi" w:hAnsiTheme="minorHAnsi" w:cstheme="minorHAnsi"/>
          <w:sz w:val="24"/>
          <w:szCs w:val="24"/>
        </w:rPr>
        <w:t>in some</w:t>
      </w:r>
      <w:r w:rsidR="000F7877">
        <w:rPr>
          <w:rFonts w:asciiTheme="minorHAnsi" w:hAnsiTheme="minorHAnsi" w:cstheme="minorHAnsi"/>
          <w:sz w:val="24"/>
          <w:szCs w:val="24"/>
        </w:rPr>
        <w:t xml:space="preserve"> </w:t>
      </w:r>
      <w:r w:rsidR="00037247">
        <w:rPr>
          <w:rFonts w:asciiTheme="minorHAnsi" w:hAnsiTheme="minorHAnsi" w:cstheme="minorHAnsi"/>
          <w:sz w:val="24"/>
          <w:szCs w:val="24"/>
        </w:rPr>
        <w:t xml:space="preserve">students not </w:t>
      </w:r>
      <w:r w:rsidR="00A14AC9">
        <w:rPr>
          <w:rFonts w:asciiTheme="minorHAnsi" w:hAnsiTheme="minorHAnsi" w:cstheme="minorHAnsi"/>
          <w:sz w:val="24"/>
          <w:szCs w:val="24"/>
        </w:rPr>
        <w:t xml:space="preserve">being </w:t>
      </w:r>
      <w:r w:rsidR="000F3D51">
        <w:rPr>
          <w:rFonts w:asciiTheme="minorHAnsi" w:hAnsiTheme="minorHAnsi" w:cstheme="minorHAnsi"/>
          <w:sz w:val="24"/>
          <w:szCs w:val="24"/>
        </w:rPr>
        <w:t xml:space="preserve">able to study </w:t>
      </w:r>
      <w:r w:rsidR="00037247">
        <w:rPr>
          <w:rFonts w:asciiTheme="minorHAnsi" w:hAnsiTheme="minorHAnsi" w:cstheme="minorHAnsi"/>
          <w:sz w:val="24"/>
          <w:szCs w:val="24"/>
        </w:rPr>
        <w:t>EBac</w:t>
      </w:r>
      <w:r w:rsidR="000F3D51">
        <w:rPr>
          <w:rFonts w:asciiTheme="minorHAnsi" w:hAnsiTheme="minorHAnsi" w:cstheme="minorHAnsi"/>
          <w:sz w:val="24"/>
          <w:szCs w:val="24"/>
        </w:rPr>
        <w:t xml:space="preserve"> subjects even if they wishe</w:t>
      </w:r>
      <w:r w:rsidR="00815AC8">
        <w:rPr>
          <w:rFonts w:asciiTheme="minorHAnsi" w:hAnsiTheme="minorHAnsi" w:cstheme="minorHAnsi"/>
          <w:sz w:val="24"/>
          <w:szCs w:val="24"/>
        </w:rPr>
        <w:t>d</w:t>
      </w:r>
      <w:r w:rsidR="00037247">
        <w:rPr>
          <w:rFonts w:asciiTheme="minorHAnsi" w:hAnsiTheme="minorHAnsi" w:cstheme="minorHAnsi"/>
          <w:sz w:val="24"/>
          <w:szCs w:val="24"/>
        </w:rPr>
        <w:t xml:space="preserve">. </w:t>
      </w:r>
      <w:r w:rsidR="00815AC8">
        <w:rPr>
          <w:rFonts w:asciiTheme="minorHAnsi" w:hAnsiTheme="minorHAnsi" w:cstheme="minorHAnsi"/>
          <w:sz w:val="24"/>
          <w:szCs w:val="24"/>
        </w:rPr>
        <w:t xml:space="preserve">This situation arose as the accountability </w:t>
      </w:r>
      <w:r w:rsidR="00815AC8">
        <w:rPr>
          <w:rFonts w:asciiTheme="minorHAnsi" w:hAnsiTheme="minorHAnsi" w:cstheme="minorHAnsi"/>
          <w:sz w:val="24"/>
          <w:szCs w:val="24"/>
        </w:rPr>
        <w:lastRenderedPageBreak/>
        <w:t xml:space="preserve">measure of </w:t>
      </w:r>
      <w:r w:rsidR="00A14AC9">
        <w:rPr>
          <w:rFonts w:asciiTheme="minorHAnsi" w:hAnsiTheme="minorHAnsi" w:cstheme="minorHAnsi"/>
          <w:sz w:val="24"/>
          <w:szCs w:val="24"/>
        </w:rPr>
        <w:t xml:space="preserve">five GCSEs at </w:t>
      </w:r>
      <w:r w:rsidR="00815AC8">
        <w:rPr>
          <w:rFonts w:asciiTheme="minorHAnsi" w:hAnsiTheme="minorHAnsi" w:cstheme="minorHAnsi"/>
          <w:sz w:val="24"/>
          <w:szCs w:val="24"/>
        </w:rPr>
        <w:t>A*-C including English and Mathematics was perceived to be</w:t>
      </w:r>
      <w:r w:rsidR="002A214C">
        <w:rPr>
          <w:rFonts w:asciiTheme="minorHAnsi" w:hAnsiTheme="minorHAnsi" w:cstheme="minorHAnsi"/>
          <w:sz w:val="24"/>
          <w:szCs w:val="24"/>
        </w:rPr>
        <w:t xml:space="preserve"> </w:t>
      </w:r>
      <w:r w:rsidR="00815AC8">
        <w:rPr>
          <w:rFonts w:asciiTheme="minorHAnsi" w:hAnsiTheme="minorHAnsi" w:cstheme="minorHAnsi"/>
          <w:sz w:val="24"/>
          <w:szCs w:val="24"/>
        </w:rPr>
        <w:t>more importan</w:t>
      </w:r>
      <w:r w:rsidR="002A214C">
        <w:rPr>
          <w:rFonts w:asciiTheme="minorHAnsi" w:hAnsiTheme="minorHAnsi" w:cstheme="minorHAnsi"/>
          <w:sz w:val="24"/>
          <w:szCs w:val="24"/>
        </w:rPr>
        <w:t>t</w:t>
      </w:r>
      <w:r w:rsidR="00815AC8">
        <w:rPr>
          <w:rFonts w:asciiTheme="minorHAnsi" w:hAnsiTheme="minorHAnsi" w:cstheme="minorHAnsi"/>
          <w:sz w:val="24"/>
          <w:szCs w:val="24"/>
        </w:rPr>
        <w:t xml:space="preserve"> than the EBac measure.</w:t>
      </w:r>
    </w:p>
    <w:p w14:paraId="7A990C97" w14:textId="77777777" w:rsidR="00B6050F" w:rsidRDefault="00B6050F" w:rsidP="00B6050F">
      <w:pPr>
        <w:tabs>
          <w:tab w:val="left" w:pos="7797"/>
        </w:tabs>
        <w:spacing w:after="0" w:line="360" w:lineRule="auto"/>
        <w:rPr>
          <w:rFonts w:asciiTheme="minorHAnsi" w:hAnsiTheme="minorHAnsi" w:cstheme="minorHAnsi"/>
          <w:sz w:val="24"/>
          <w:szCs w:val="24"/>
        </w:rPr>
      </w:pPr>
    </w:p>
    <w:p w14:paraId="54CFF117" w14:textId="615E1C1D" w:rsidR="00015792" w:rsidRDefault="007D4C62" w:rsidP="00B6050F">
      <w:pPr>
        <w:tabs>
          <w:tab w:val="left" w:pos="7797"/>
        </w:tabs>
        <w:spacing w:after="0" w:line="360" w:lineRule="auto"/>
        <w:rPr>
          <w:rFonts w:asciiTheme="minorHAnsi" w:hAnsiTheme="minorHAnsi" w:cstheme="minorHAnsi"/>
          <w:sz w:val="24"/>
          <w:szCs w:val="24"/>
        </w:rPr>
      </w:pPr>
      <w:r>
        <w:rPr>
          <w:rFonts w:asciiTheme="minorHAnsi" w:hAnsiTheme="minorHAnsi" w:cstheme="minorHAnsi"/>
          <w:sz w:val="24"/>
          <w:szCs w:val="24"/>
        </w:rPr>
        <w:t>P</w:t>
      </w:r>
      <w:r w:rsidR="000603F4">
        <w:rPr>
          <w:rFonts w:asciiTheme="minorHAnsi" w:hAnsiTheme="minorHAnsi" w:cstheme="minorHAnsi"/>
          <w:sz w:val="24"/>
          <w:szCs w:val="24"/>
        </w:rPr>
        <w:t>oststructural</w:t>
      </w:r>
      <w:r>
        <w:rPr>
          <w:rFonts w:asciiTheme="minorHAnsi" w:hAnsiTheme="minorHAnsi" w:cstheme="minorHAnsi"/>
          <w:sz w:val="24"/>
          <w:szCs w:val="24"/>
        </w:rPr>
        <w:t>ism</w:t>
      </w:r>
      <w:r w:rsidR="00C1111B">
        <w:rPr>
          <w:rFonts w:asciiTheme="minorHAnsi" w:hAnsiTheme="minorHAnsi" w:cstheme="minorHAnsi"/>
          <w:sz w:val="24"/>
          <w:szCs w:val="24"/>
        </w:rPr>
        <w:t xml:space="preserve"> </w:t>
      </w:r>
      <w:r w:rsidR="000603F4">
        <w:rPr>
          <w:rFonts w:asciiTheme="minorHAnsi" w:hAnsiTheme="minorHAnsi" w:cstheme="minorHAnsi"/>
          <w:sz w:val="24"/>
          <w:szCs w:val="24"/>
        </w:rPr>
        <w:t>allow</w:t>
      </w:r>
      <w:r>
        <w:rPr>
          <w:rFonts w:asciiTheme="minorHAnsi" w:hAnsiTheme="minorHAnsi" w:cstheme="minorHAnsi"/>
          <w:sz w:val="24"/>
          <w:szCs w:val="24"/>
        </w:rPr>
        <w:t>s</w:t>
      </w:r>
      <w:r w:rsidR="000603F4">
        <w:rPr>
          <w:rFonts w:asciiTheme="minorHAnsi" w:hAnsiTheme="minorHAnsi" w:cstheme="minorHAnsi"/>
          <w:sz w:val="24"/>
          <w:szCs w:val="24"/>
        </w:rPr>
        <w:t xml:space="preserve"> me to look below the surface </w:t>
      </w:r>
      <w:r>
        <w:rPr>
          <w:rFonts w:asciiTheme="minorHAnsi" w:hAnsiTheme="minorHAnsi" w:cstheme="minorHAnsi"/>
          <w:sz w:val="24"/>
          <w:szCs w:val="24"/>
        </w:rPr>
        <w:t xml:space="preserve">language </w:t>
      </w:r>
      <w:r w:rsidR="000603F4">
        <w:rPr>
          <w:rFonts w:asciiTheme="minorHAnsi" w:hAnsiTheme="minorHAnsi" w:cstheme="minorHAnsi"/>
          <w:sz w:val="24"/>
          <w:szCs w:val="24"/>
        </w:rPr>
        <w:t xml:space="preserve">of the policy </w:t>
      </w:r>
      <w:r w:rsidR="00C1111B">
        <w:rPr>
          <w:rFonts w:asciiTheme="minorHAnsi" w:hAnsiTheme="minorHAnsi" w:cstheme="minorHAnsi"/>
          <w:sz w:val="24"/>
          <w:szCs w:val="24"/>
        </w:rPr>
        <w:t>and interview</w:t>
      </w:r>
      <w:r>
        <w:rPr>
          <w:rFonts w:asciiTheme="minorHAnsi" w:hAnsiTheme="minorHAnsi" w:cstheme="minorHAnsi"/>
          <w:sz w:val="24"/>
          <w:szCs w:val="24"/>
        </w:rPr>
        <w:t>s</w:t>
      </w:r>
      <w:r w:rsidR="000603F4">
        <w:rPr>
          <w:rFonts w:asciiTheme="minorHAnsi" w:hAnsiTheme="minorHAnsi" w:cstheme="minorHAnsi"/>
          <w:sz w:val="24"/>
          <w:szCs w:val="24"/>
        </w:rPr>
        <w:t xml:space="preserve"> to </w:t>
      </w:r>
      <w:r>
        <w:rPr>
          <w:rFonts w:asciiTheme="minorHAnsi" w:hAnsiTheme="minorHAnsi" w:cstheme="minorHAnsi"/>
          <w:sz w:val="24"/>
          <w:szCs w:val="24"/>
        </w:rPr>
        <w:t xml:space="preserve">highlight </w:t>
      </w:r>
      <w:r w:rsidR="000603F4">
        <w:rPr>
          <w:rFonts w:asciiTheme="minorHAnsi" w:hAnsiTheme="minorHAnsi" w:cstheme="minorHAnsi"/>
          <w:sz w:val="24"/>
          <w:szCs w:val="24"/>
        </w:rPr>
        <w:t xml:space="preserve">what </w:t>
      </w:r>
      <w:r>
        <w:rPr>
          <w:rFonts w:asciiTheme="minorHAnsi" w:hAnsiTheme="minorHAnsi" w:cstheme="minorHAnsi"/>
          <w:sz w:val="24"/>
          <w:szCs w:val="24"/>
        </w:rPr>
        <w:t>i</w:t>
      </w:r>
      <w:r w:rsidR="000603F4">
        <w:rPr>
          <w:rFonts w:asciiTheme="minorHAnsi" w:hAnsiTheme="minorHAnsi" w:cstheme="minorHAnsi"/>
          <w:sz w:val="24"/>
          <w:szCs w:val="24"/>
        </w:rPr>
        <w:t xml:space="preserve">s being privileged </w:t>
      </w:r>
      <w:r>
        <w:rPr>
          <w:rFonts w:asciiTheme="minorHAnsi" w:hAnsiTheme="minorHAnsi" w:cstheme="minorHAnsi"/>
          <w:sz w:val="24"/>
          <w:szCs w:val="24"/>
        </w:rPr>
        <w:t xml:space="preserve">or </w:t>
      </w:r>
      <w:r w:rsidR="000603F4">
        <w:rPr>
          <w:rFonts w:asciiTheme="minorHAnsi" w:hAnsiTheme="minorHAnsi" w:cstheme="minorHAnsi"/>
          <w:sz w:val="24"/>
          <w:szCs w:val="24"/>
        </w:rPr>
        <w:t>obscured</w:t>
      </w:r>
      <w:r w:rsidR="00296E5C">
        <w:rPr>
          <w:rFonts w:asciiTheme="minorHAnsi" w:hAnsiTheme="minorHAnsi" w:cstheme="minorHAnsi"/>
          <w:sz w:val="24"/>
          <w:szCs w:val="24"/>
        </w:rPr>
        <w:t>,</w:t>
      </w:r>
      <w:r w:rsidR="00815AC8">
        <w:rPr>
          <w:rFonts w:asciiTheme="minorHAnsi" w:hAnsiTheme="minorHAnsi" w:cstheme="minorHAnsi"/>
          <w:sz w:val="24"/>
          <w:szCs w:val="24"/>
        </w:rPr>
        <w:t xml:space="preserve"> particularly in relation to the power and control exerted over schools via accountability measures</w:t>
      </w:r>
      <w:r w:rsidR="000603F4">
        <w:rPr>
          <w:rFonts w:asciiTheme="minorHAnsi" w:hAnsiTheme="minorHAnsi" w:cstheme="minorHAnsi"/>
          <w:sz w:val="24"/>
          <w:szCs w:val="24"/>
        </w:rPr>
        <w:t xml:space="preserve">. </w:t>
      </w:r>
      <w:r w:rsidR="00550F62">
        <w:rPr>
          <w:rFonts w:asciiTheme="minorHAnsi" w:hAnsiTheme="minorHAnsi" w:cstheme="minorHAnsi"/>
          <w:sz w:val="24"/>
          <w:szCs w:val="24"/>
        </w:rPr>
        <w:t xml:space="preserve">The EBac policy </w:t>
      </w:r>
      <w:r>
        <w:rPr>
          <w:rFonts w:asciiTheme="minorHAnsi" w:hAnsiTheme="minorHAnsi" w:cstheme="minorHAnsi"/>
          <w:sz w:val="24"/>
          <w:szCs w:val="24"/>
        </w:rPr>
        <w:t xml:space="preserve">of </w:t>
      </w:r>
      <w:r w:rsidR="00C1111B">
        <w:rPr>
          <w:rFonts w:asciiTheme="minorHAnsi" w:hAnsiTheme="minorHAnsi" w:cstheme="minorHAnsi"/>
          <w:sz w:val="24"/>
          <w:szCs w:val="24"/>
        </w:rPr>
        <w:t xml:space="preserve">promoting </w:t>
      </w:r>
      <w:r w:rsidR="00550F62">
        <w:rPr>
          <w:rFonts w:asciiTheme="minorHAnsi" w:hAnsiTheme="minorHAnsi" w:cstheme="minorHAnsi"/>
          <w:sz w:val="24"/>
          <w:szCs w:val="24"/>
        </w:rPr>
        <w:t xml:space="preserve">prescribed, academic GCSE subjects </w:t>
      </w:r>
      <w:r>
        <w:rPr>
          <w:rFonts w:asciiTheme="minorHAnsi" w:hAnsiTheme="minorHAnsi" w:cstheme="minorHAnsi"/>
          <w:sz w:val="24"/>
          <w:szCs w:val="24"/>
        </w:rPr>
        <w:t xml:space="preserve">demonstrates </w:t>
      </w:r>
      <w:r w:rsidR="00550F62">
        <w:rPr>
          <w:rFonts w:asciiTheme="minorHAnsi" w:hAnsiTheme="minorHAnsi" w:cstheme="minorHAnsi"/>
          <w:sz w:val="24"/>
          <w:szCs w:val="24"/>
        </w:rPr>
        <w:t>political c</w:t>
      </w:r>
      <w:r w:rsidR="000603F4">
        <w:rPr>
          <w:rFonts w:asciiTheme="minorHAnsi" w:hAnsiTheme="minorHAnsi" w:cstheme="minorHAnsi"/>
          <w:sz w:val="24"/>
          <w:szCs w:val="24"/>
        </w:rPr>
        <w:t>ontrol</w:t>
      </w:r>
      <w:r w:rsidR="00C1111B">
        <w:rPr>
          <w:rFonts w:asciiTheme="minorHAnsi" w:hAnsiTheme="minorHAnsi" w:cstheme="minorHAnsi"/>
          <w:sz w:val="24"/>
          <w:szCs w:val="24"/>
        </w:rPr>
        <w:t xml:space="preserve"> </w:t>
      </w:r>
      <w:r w:rsidR="000603F4">
        <w:rPr>
          <w:rFonts w:asciiTheme="minorHAnsi" w:hAnsiTheme="minorHAnsi" w:cstheme="minorHAnsi"/>
          <w:sz w:val="24"/>
          <w:szCs w:val="24"/>
        </w:rPr>
        <w:t>th</w:t>
      </w:r>
      <w:r w:rsidR="00C1111B">
        <w:rPr>
          <w:rFonts w:asciiTheme="minorHAnsi" w:hAnsiTheme="minorHAnsi" w:cstheme="minorHAnsi"/>
          <w:sz w:val="24"/>
          <w:szCs w:val="24"/>
        </w:rPr>
        <w:t xml:space="preserve">rough </w:t>
      </w:r>
      <w:r w:rsidR="000603F4">
        <w:rPr>
          <w:rFonts w:asciiTheme="minorHAnsi" w:hAnsiTheme="minorHAnsi" w:cstheme="minorHAnsi"/>
          <w:sz w:val="24"/>
          <w:szCs w:val="24"/>
        </w:rPr>
        <w:t xml:space="preserve">accountability mechanisms and </w:t>
      </w:r>
      <w:r w:rsidR="00550F62">
        <w:rPr>
          <w:rFonts w:asciiTheme="minorHAnsi" w:hAnsiTheme="minorHAnsi" w:cstheme="minorHAnsi"/>
          <w:sz w:val="24"/>
          <w:szCs w:val="24"/>
        </w:rPr>
        <w:t>highlight</w:t>
      </w:r>
      <w:r>
        <w:rPr>
          <w:rFonts w:asciiTheme="minorHAnsi" w:hAnsiTheme="minorHAnsi" w:cstheme="minorHAnsi"/>
          <w:sz w:val="24"/>
          <w:szCs w:val="24"/>
        </w:rPr>
        <w:t>s</w:t>
      </w:r>
      <w:r w:rsidR="00550F62">
        <w:rPr>
          <w:rFonts w:asciiTheme="minorHAnsi" w:hAnsiTheme="minorHAnsi" w:cstheme="minorHAnsi"/>
          <w:sz w:val="24"/>
          <w:szCs w:val="24"/>
        </w:rPr>
        <w:t xml:space="preserve"> </w:t>
      </w:r>
      <w:r w:rsidR="000603F4">
        <w:rPr>
          <w:rFonts w:asciiTheme="minorHAnsi" w:hAnsiTheme="minorHAnsi" w:cstheme="minorHAnsi"/>
          <w:sz w:val="24"/>
          <w:szCs w:val="24"/>
        </w:rPr>
        <w:t>the power that the</w:t>
      </w:r>
      <w:r w:rsidR="00550F62">
        <w:rPr>
          <w:rFonts w:asciiTheme="minorHAnsi" w:hAnsiTheme="minorHAnsi" w:cstheme="minorHAnsi"/>
          <w:sz w:val="24"/>
          <w:szCs w:val="24"/>
        </w:rPr>
        <w:t>se</w:t>
      </w:r>
      <w:r w:rsidR="000603F4">
        <w:rPr>
          <w:rFonts w:asciiTheme="minorHAnsi" w:hAnsiTheme="minorHAnsi" w:cstheme="minorHAnsi"/>
          <w:sz w:val="24"/>
          <w:szCs w:val="24"/>
        </w:rPr>
        <w:t xml:space="preserve"> </w:t>
      </w:r>
      <w:r w:rsidR="00C1111B">
        <w:rPr>
          <w:rFonts w:asciiTheme="minorHAnsi" w:hAnsiTheme="minorHAnsi" w:cstheme="minorHAnsi"/>
          <w:sz w:val="24"/>
          <w:szCs w:val="24"/>
        </w:rPr>
        <w:t xml:space="preserve">mechanisms </w:t>
      </w:r>
      <w:r w:rsidR="000603F4">
        <w:rPr>
          <w:rFonts w:asciiTheme="minorHAnsi" w:hAnsiTheme="minorHAnsi" w:cstheme="minorHAnsi"/>
          <w:sz w:val="24"/>
          <w:szCs w:val="24"/>
        </w:rPr>
        <w:t xml:space="preserve">exert over the education system </w:t>
      </w:r>
      <w:r w:rsidR="00550F62">
        <w:rPr>
          <w:rFonts w:asciiTheme="minorHAnsi" w:hAnsiTheme="minorHAnsi" w:cstheme="minorHAnsi"/>
          <w:sz w:val="24"/>
          <w:szCs w:val="24"/>
        </w:rPr>
        <w:t xml:space="preserve">and </w:t>
      </w:r>
      <w:r w:rsidR="003D3806">
        <w:rPr>
          <w:rFonts w:asciiTheme="minorHAnsi" w:hAnsiTheme="minorHAnsi" w:cstheme="minorHAnsi"/>
          <w:sz w:val="24"/>
          <w:szCs w:val="24"/>
        </w:rPr>
        <w:t xml:space="preserve">individual </w:t>
      </w:r>
      <w:r>
        <w:rPr>
          <w:rFonts w:asciiTheme="minorHAnsi" w:hAnsiTheme="minorHAnsi" w:cstheme="minorHAnsi"/>
          <w:sz w:val="24"/>
          <w:szCs w:val="24"/>
        </w:rPr>
        <w:t xml:space="preserve">schools </w:t>
      </w:r>
      <w:r w:rsidR="003D3806">
        <w:rPr>
          <w:rFonts w:asciiTheme="minorHAnsi" w:hAnsiTheme="minorHAnsi" w:cstheme="minorHAnsi"/>
          <w:sz w:val="24"/>
          <w:szCs w:val="24"/>
        </w:rPr>
        <w:t xml:space="preserve">and </w:t>
      </w:r>
      <w:r w:rsidR="00550F62">
        <w:rPr>
          <w:rFonts w:asciiTheme="minorHAnsi" w:hAnsiTheme="minorHAnsi" w:cstheme="minorHAnsi"/>
          <w:sz w:val="24"/>
          <w:szCs w:val="24"/>
        </w:rPr>
        <w:t xml:space="preserve">teachers. </w:t>
      </w:r>
      <w:r w:rsidR="000F7877">
        <w:rPr>
          <w:rFonts w:asciiTheme="minorHAnsi" w:hAnsiTheme="minorHAnsi" w:cstheme="minorHAnsi"/>
          <w:sz w:val="24"/>
          <w:szCs w:val="24"/>
        </w:rPr>
        <w:t xml:space="preserve">Angus argues that </w:t>
      </w:r>
      <w:r w:rsidR="00015792">
        <w:rPr>
          <w:rFonts w:asciiTheme="minorHAnsi" w:hAnsiTheme="minorHAnsi" w:cstheme="minorHAnsi"/>
          <w:sz w:val="24"/>
          <w:szCs w:val="24"/>
        </w:rPr>
        <w:t>“</w:t>
      </w:r>
      <w:r w:rsidR="00296E5C">
        <w:rPr>
          <w:rFonts w:asciiTheme="minorHAnsi" w:hAnsiTheme="minorHAnsi" w:cstheme="minorHAnsi"/>
          <w:sz w:val="24"/>
          <w:szCs w:val="24"/>
        </w:rPr>
        <w:t>[t]</w:t>
      </w:r>
      <w:r w:rsidR="00815AC8">
        <w:rPr>
          <w:rFonts w:asciiTheme="minorHAnsi" w:hAnsiTheme="minorHAnsi" w:cstheme="minorHAnsi"/>
          <w:sz w:val="24"/>
          <w:szCs w:val="24"/>
        </w:rPr>
        <w:t>he Foucaultian concept of ‘performativity’ is associated with strategies of surveillance that consolidate a culture of managerialism and compliance within the education profession</w:t>
      </w:r>
      <w:r w:rsidR="00015792">
        <w:rPr>
          <w:rFonts w:asciiTheme="minorHAnsi" w:hAnsiTheme="minorHAnsi" w:cstheme="minorHAnsi"/>
          <w:sz w:val="24"/>
          <w:szCs w:val="24"/>
        </w:rPr>
        <w:t>” (2012</w:t>
      </w:r>
      <w:r w:rsidR="00296E5C">
        <w:rPr>
          <w:rFonts w:asciiTheme="minorHAnsi" w:hAnsiTheme="minorHAnsi" w:cstheme="minorHAnsi"/>
          <w:sz w:val="24"/>
          <w:szCs w:val="24"/>
        </w:rPr>
        <w:t>,</w:t>
      </w:r>
      <w:r w:rsidR="00015792">
        <w:rPr>
          <w:rFonts w:asciiTheme="minorHAnsi" w:hAnsiTheme="minorHAnsi" w:cstheme="minorHAnsi"/>
          <w:sz w:val="24"/>
          <w:szCs w:val="24"/>
        </w:rPr>
        <w:t xml:space="preserve"> p.242). In this way</w:t>
      </w:r>
      <w:r w:rsidR="00A14AC9">
        <w:rPr>
          <w:rFonts w:asciiTheme="minorHAnsi" w:hAnsiTheme="minorHAnsi" w:cstheme="minorHAnsi"/>
          <w:sz w:val="24"/>
          <w:szCs w:val="24"/>
        </w:rPr>
        <w:t>,</w:t>
      </w:r>
      <w:r w:rsidR="00015792">
        <w:rPr>
          <w:rFonts w:asciiTheme="minorHAnsi" w:hAnsiTheme="minorHAnsi" w:cstheme="minorHAnsi"/>
          <w:sz w:val="24"/>
          <w:szCs w:val="24"/>
        </w:rPr>
        <w:t xml:space="preserve"> it is possible to see the impact of the EBac as a controlling device. </w:t>
      </w:r>
      <w:r w:rsidR="00296E5C">
        <w:rPr>
          <w:rFonts w:asciiTheme="minorHAnsi" w:hAnsiTheme="minorHAnsi" w:cstheme="minorHAnsi"/>
          <w:sz w:val="24"/>
          <w:szCs w:val="24"/>
        </w:rPr>
        <w:t>Both t</w:t>
      </w:r>
      <w:r w:rsidR="00015792">
        <w:rPr>
          <w:rFonts w:asciiTheme="minorHAnsi" w:hAnsiTheme="minorHAnsi" w:cstheme="minorHAnsi"/>
          <w:sz w:val="24"/>
          <w:szCs w:val="24"/>
        </w:rPr>
        <w:t>he CDA and interviews illuminate some of the mechanisms in operation</w:t>
      </w:r>
      <w:r w:rsidR="00296E5C">
        <w:rPr>
          <w:rFonts w:asciiTheme="minorHAnsi" w:hAnsiTheme="minorHAnsi" w:cstheme="minorHAnsi"/>
          <w:sz w:val="24"/>
          <w:szCs w:val="24"/>
        </w:rPr>
        <w:t>,</w:t>
      </w:r>
      <w:r w:rsidR="00015792">
        <w:rPr>
          <w:rFonts w:asciiTheme="minorHAnsi" w:hAnsiTheme="minorHAnsi" w:cstheme="minorHAnsi"/>
          <w:sz w:val="24"/>
          <w:szCs w:val="24"/>
        </w:rPr>
        <w:t xml:space="preserve"> such as the construction of timetables or creation of EBac curriculum pathways</w:t>
      </w:r>
      <w:r w:rsidR="000F7877">
        <w:rPr>
          <w:rFonts w:asciiTheme="minorHAnsi" w:hAnsiTheme="minorHAnsi" w:cstheme="minorHAnsi"/>
          <w:sz w:val="24"/>
          <w:szCs w:val="24"/>
        </w:rPr>
        <w:t>, b</w:t>
      </w:r>
      <w:r w:rsidR="00015792">
        <w:rPr>
          <w:rFonts w:asciiTheme="minorHAnsi" w:hAnsiTheme="minorHAnsi" w:cstheme="minorHAnsi"/>
          <w:sz w:val="24"/>
          <w:szCs w:val="24"/>
        </w:rPr>
        <w:t>ut also highlight the contradictions inherent in the policy when teachers actively persuade students not to study subject</w:t>
      </w:r>
      <w:r w:rsidR="00A14AC9">
        <w:rPr>
          <w:rFonts w:asciiTheme="minorHAnsi" w:hAnsiTheme="minorHAnsi" w:cstheme="minorHAnsi"/>
          <w:sz w:val="24"/>
          <w:szCs w:val="24"/>
        </w:rPr>
        <w:t>s</w:t>
      </w:r>
      <w:r w:rsidR="00015792">
        <w:rPr>
          <w:rFonts w:asciiTheme="minorHAnsi" w:hAnsiTheme="minorHAnsi" w:cstheme="minorHAnsi"/>
          <w:sz w:val="24"/>
          <w:szCs w:val="24"/>
        </w:rPr>
        <w:t xml:space="preserve"> such as </w:t>
      </w:r>
      <w:r w:rsidR="00A14AC9">
        <w:rPr>
          <w:rFonts w:asciiTheme="minorHAnsi" w:hAnsiTheme="minorHAnsi" w:cstheme="minorHAnsi"/>
          <w:sz w:val="24"/>
          <w:szCs w:val="24"/>
        </w:rPr>
        <w:t>l</w:t>
      </w:r>
      <w:r w:rsidR="00015792">
        <w:rPr>
          <w:rFonts w:asciiTheme="minorHAnsi" w:hAnsiTheme="minorHAnsi" w:cstheme="minorHAnsi"/>
          <w:sz w:val="24"/>
          <w:szCs w:val="24"/>
        </w:rPr>
        <w:t>anguages.</w:t>
      </w:r>
    </w:p>
    <w:p w14:paraId="4A77B69E" w14:textId="77777777" w:rsidR="00B6050F" w:rsidRDefault="00B6050F" w:rsidP="00B6050F">
      <w:pPr>
        <w:tabs>
          <w:tab w:val="left" w:pos="7797"/>
        </w:tabs>
        <w:spacing w:after="0" w:line="360" w:lineRule="auto"/>
        <w:rPr>
          <w:rFonts w:asciiTheme="minorHAnsi" w:hAnsiTheme="minorHAnsi" w:cstheme="minorHAnsi"/>
          <w:sz w:val="24"/>
          <w:szCs w:val="24"/>
        </w:rPr>
      </w:pPr>
    </w:p>
    <w:p w14:paraId="4AD09F35" w14:textId="30E65AD3" w:rsidR="002029FA" w:rsidRDefault="007D4C62" w:rsidP="00B6050F">
      <w:pPr>
        <w:tabs>
          <w:tab w:val="left" w:pos="7797"/>
        </w:tabs>
        <w:spacing w:after="0" w:line="360" w:lineRule="auto"/>
        <w:rPr>
          <w:rFonts w:asciiTheme="minorHAnsi" w:hAnsiTheme="minorHAnsi" w:cstheme="minorHAnsi"/>
          <w:sz w:val="24"/>
          <w:szCs w:val="24"/>
        </w:rPr>
      </w:pPr>
      <w:r>
        <w:rPr>
          <w:rFonts w:asciiTheme="minorHAnsi" w:hAnsiTheme="minorHAnsi" w:cstheme="minorHAnsi"/>
          <w:sz w:val="24"/>
          <w:szCs w:val="24"/>
        </w:rPr>
        <w:t>The response of all</w:t>
      </w:r>
      <w:r w:rsidR="00C1111B">
        <w:rPr>
          <w:rFonts w:asciiTheme="minorHAnsi" w:hAnsiTheme="minorHAnsi" w:cstheme="minorHAnsi"/>
          <w:sz w:val="24"/>
          <w:szCs w:val="24"/>
        </w:rPr>
        <w:t xml:space="preserve"> four </w:t>
      </w:r>
      <w:r w:rsidR="004A7850">
        <w:rPr>
          <w:rFonts w:asciiTheme="minorHAnsi" w:hAnsiTheme="minorHAnsi" w:cstheme="minorHAnsi"/>
          <w:sz w:val="24"/>
          <w:szCs w:val="24"/>
        </w:rPr>
        <w:t>schools to</w:t>
      </w:r>
      <w:r>
        <w:rPr>
          <w:rFonts w:asciiTheme="minorHAnsi" w:hAnsiTheme="minorHAnsi" w:cstheme="minorHAnsi"/>
          <w:sz w:val="24"/>
          <w:szCs w:val="24"/>
        </w:rPr>
        <w:t xml:space="preserve"> the EBac was driven by</w:t>
      </w:r>
      <w:r w:rsidR="000603F4">
        <w:rPr>
          <w:rFonts w:asciiTheme="minorHAnsi" w:hAnsiTheme="minorHAnsi" w:cstheme="minorHAnsi"/>
          <w:sz w:val="24"/>
          <w:szCs w:val="24"/>
        </w:rPr>
        <w:t xml:space="preserve"> the accountability framework</w:t>
      </w:r>
      <w:r w:rsidR="003D3806">
        <w:rPr>
          <w:rFonts w:asciiTheme="minorHAnsi" w:hAnsiTheme="minorHAnsi" w:cstheme="minorHAnsi"/>
          <w:sz w:val="24"/>
          <w:szCs w:val="24"/>
        </w:rPr>
        <w:t xml:space="preserve"> rather than student need</w:t>
      </w:r>
      <w:r w:rsidR="000F7877">
        <w:rPr>
          <w:rFonts w:asciiTheme="minorHAnsi" w:hAnsiTheme="minorHAnsi" w:cstheme="minorHAnsi"/>
          <w:sz w:val="24"/>
          <w:szCs w:val="24"/>
        </w:rPr>
        <w:t xml:space="preserve"> as perceived by teachers, students or parents</w:t>
      </w:r>
      <w:r w:rsidR="000603F4">
        <w:rPr>
          <w:rFonts w:asciiTheme="minorHAnsi" w:hAnsiTheme="minorHAnsi" w:cstheme="minorHAnsi"/>
          <w:sz w:val="24"/>
          <w:szCs w:val="24"/>
        </w:rPr>
        <w:t>.</w:t>
      </w:r>
      <w:r w:rsidR="00811B6D">
        <w:rPr>
          <w:rFonts w:asciiTheme="minorHAnsi" w:hAnsiTheme="minorHAnsi" w:cstheme="minorHAnsi"/>
          <w:sz w:val="24"/>
          <w:szCs w:val="24"/>
        </w:rPr>
        <w:t xml:space="preserve"> </w:t>
      </w:r>
      <w:r w:rsidR="000150C9">
        <w:rPr>
          <w:rFonts w:asciiTheme="minorHAnsi" w:hAnsiTheme="minorHAnsi" w:cstheme="minorHAnsi"/>
          <w:sz w:val="24"/>
          <w:szCs w:val="24"/>
        </w:rPr>
        <w:t>Curriculum change</w:t>
      </w:r>
      <w:r w:rsidR="00A14AC9">
        <w:rPr>
          <w:rFonts w:asciiTheme="minorHAnsi" w:hAnsiTheme="minorHAnsi" w:cstheme="minorHAnsi"/>
          <w:sz w:val="24"/>
          <w:szCs w:val="24"/>
        </w:rPr>
        <w:t>s</w:t>
      </w:r>
      <w:r w:rsidR="000150C9">
        <w:rPr>
          <w:rFonts w:asciiTheme="minorHAnsi" w:hAnsiTheme="minorHAnsi" w:cstheme="minorHAnsi"/>
          <w:sz w:val="24"/>
          <w:szCs w:val="24"/>
        </w:rPr>
        <w:t xml:space="preserve"> </w:t>
      </w:r>
      <w:r w:rsidR="00A14AC9">
        <w:rPr>
          <w:rFonts w:asciiTheme="minorHAnsi" w:hAnsiTheme="minorHAnsi" w:cstheme="minorHAnsi"/>
          <w:sz w:val="24"/>
          <w:szCs w:val="24"/>
        </w:rPr>
        <w:t>were</w:t>
      </w:r>
      <w:r w:rsidR="000150C9">
        <w:rPr>
          <w:rFonts w:asciiTheme="minorHAnsi" w:hAnsiTheme="minorHAnsi" w:cstheme="minorHAnsi"/>
          <w:sz w:val="24"/>
          <w:szCs w:val="24"/>
        </w:rPr>
        <w:t xml:space="preserve"> introduced as a result of the EBac policy</w:t>
      </w:r>
      <w:r w:rsidR="00A14AC9">
        <w:rPr>
          <w:rFonts w:asciiTheme="minorHAnsi" w:hAnsiTheme="minorHAnsi" w:cstheme="minorHAnsi"/>
          <w:sz w:val="24"/>
          <w:szCs w:val="24"/>
        </w:rPr>
        <w:t>,</w:t>
      </w:r>
      <w:r w:rsidR="000150C9">
        <w:rPr>
          <w:rFonts w:asciiTheme="minorHAnsi" w:hAnsiTheme="minorHAnsi" w:cstheme="minorHAnsi"/>
          <w:sz w:val="24"/>
          <w:szCs w:val="24"/>
        </w:rPr>
        <w:t xml:space="preserve"> </w:t>
      </w:r>
      <w:r w:rsidR="00811B6D">
        <w:rPr>
          <w:rFonts w:asciiTheme="minorHAnsi" w:hAnsiTheme="minorHAnsi" w:cstheme="minorHAnsi"/>
          <w:sz w:val="24"/>
          <w:szCs w:val="24"/>
        </w:rPr>
        <w:t xml:space="preserve">even where teachers overtly expressed that they believed that this was not the most </w:t>
      </w:r>
      <w:r w:rsidR="00787DBC">
        <w:rPr>
          <w:rFonts w:asciiTheme="minorHAnsi" w:hAnsiTheme="minorHAnsi" w:cstheme="minorHAnsi"/>
          <w:sz w:val="24"/>
          <w:szCs w:val="24"/>
        </w:rPr>
        <w:t>appropriate</w:t>
      </w:r>
      <w:r w:rsidR="00811B6D">
        <w:rPr>
          <w:rFonts w:asciiTheme="minorHAnsi" w:hAnsiTheme="minorHAnsi" w:cstheme="minorHAnsi"/>
          <w:sz w:val="24"/>
          <w:szCs w:val="24"/>
        </w:rPr>
        <w:t xml:space="preserve"> course of action for all children</w:t>
      </w:r>
      <w:r w:rsidR="003D3806">
        <w:rPr>
          <w:rFonts w:asciiTheme="minorHAnsi" w:hAnsiTheme="minorHAnsi" w:cstheme="minorHAnsi"/>
          <w:sz w:val="24"/>
          <w:szCs w:val="24"/>
        </w:rPr>
        <w:t xml:space="preserve"> at their school</w:t>
      </w:r>
      <w:r w:rsidR="00037247">
        <w:rPr>
          <w:rFonts w:asciiTheme="minorHAnsi" w:hAnsiTheme="minorHAnsi" w:cstheme="minorHAnsi"/>
          <w:sz w:val="24"/>
          <w:szCs w:val="24"/>
        </w:rPr>
        <w:t xml:space="preserve"> (p.111</w:t>
      </w:r>
      <w:r w:rsidR="004B4A02">
        <w:rPr>
          <w:rFonts w:asciiTheme="minorHAnsi" w:hAnsiTheme="minorHAnsi" w:cstheme="minorHAnsi"/>
          <w:sz w:val="24"/>
          <w:szCs w:val="24"/>
        </w:rPr>
        <w:t>-2</w:t>
      </w:r>
      <w:r w:rsidR="00037247">
        <w:rPr>
          <w:rFonts w:asciiTheme="minorHAnsi" w:hAnsiTheme="minorHAnsi" w:cstheme="minorHAnsi"/>
          <w:sz w:val="24"/>
          <w:szCs w:val="24"/>
        </w:rPr>
        <w:t>, 11</w:t>
      </w:r>
      <w:r w:rsidR="004B4A02">
        <w:rPr>
          <w:rFonts w:asciiTheme="minorHAnsi" w:hAnsiTheme="minorHAnsi" w:cstheme="minorHAnsi"/>
          <w:sz w:val="24"/>
          <w:szCs w:val="24"/>
        </w:rPr>
        <w:t>3-</w:t>
      </w:r>
      <w:r w:rsidR="00037247">
        <w:rPr>
          <w:rFonts w:asciiTheme="minorHAnsi" w:hAnsiTheme="minorHAnsi" w:cstheme="minorHAnsi"/>
          <w:sz w:val="24"/>
          <w:szCs w:val="24"/>
        </w:rPr>
        <w:t>4)</w:t>
      </w:r>
      <w:r w:rsidR="00811B6D">
        <w:rPr>
          <w:rFonts w:asciiTheme="minorHAnsi" w:hAnsiTheme="minorHAnsi" w:cstheme="minorHAnsi"/>
          <w:sz w:val="24"/>
          <w:szCs w:val="24"/>
        </w:rPr>
        <w:t>.</w:t>
      </w:r>
      <w:r w:rsidR="002029FA">
        <w:rPr>
          <w:rFonts w:asciiTheme="minorHAnsi" w:hAnsiTheme="minorHAnsi" w:cstheme="minorHAnsi"/>
          <w:sz w:val="24"/>
          <w:szCs w:val="24"/>
        </w:rPr>
        <w:t xml:space="preserve"> </w:t>
      </w:r>
      <w:r w:rsidR="00296E5C">
        <w:rPr>
          <w:rFonts w:asciiTheme="minorHAnsi" w:hAnsiTheme="minorHAnsi" w:cstheme="minorHAnsi"/>
          <w:sz w:val="24"/>
          <w:szCs w:val="24"/>
        </w:rPr>
        <w:t>T</w:t>
      </w:r>
      <w:r w:rsidR="002029FA">
        <w:rPr>
          <w:rFonts w:asciiTheme="minorHAnsi" w:hAnsiTheme="minorHAnsi" w:cstheme="minorHAnsi"/>
          <w:sz w:val="24"/>
          <w:szCs w:val="24"/>
        </w:rPr>
        <w:t xml:space="preserve">he EBac </w:t>
      </w:r>
      <w:r w:rsidR="00037247">
        <w:rPr>
          <w:rFonts w:asciiTheme="minorHAnsi" w:hAnsiTheme="minorHAnsi" w:cstheme="minorHAnsi"/>
          <w:sz w:val="24"/>
          <w:szCs w:val="24"/>
        </w:rPr>
        <w:t xml:space="preserve">policy </w:t>
      </w:r>
      <w:r w:rsidR="00296E5C">
        <w:rPr>
          <w:rFonts w:asciiTheme="minorHAnsi" w:hAnsiTheme="minorHAnsi" w:cstheme="minorHAnsi"/>
          <w:sz w:val="24"/>
          <w:szCs w:val="24"/>
        </w:rPr>
        <w:t>therefore</w:t>
      </w:r>
      <w:r w:rsidR="00037247">
        <w:rPr>
          <w:rFonts w:asciiTheme="minorHAnsi" w:hAnsiTheme="minorHAnsi" w:cstheme="minorHAnsi"/>
          <w:sz w:val="24"/>
          <w:szCs w:val="24"/>
        </w:rPr>
        <w:t xml:space="preserve"> </w:t>
      </w:r>
      <w:r w:rsidR="002029FA">
        <w:rPr>
          <w:rFonts w:asciiTheme="minorHAnsi" w:hAnsiTheme="minorHAnsi" w:cstheme="minorHAnsi"/>
          <w:sz w:val="24"/>
          <w:szCs w:val="24"/>
        </w:rPr>
        <w:t>create</w:t>
      </w:r>
      <w:r w:rsidR="00037247">
        <w:rPr>
          <w:rFonts w:asciiTheme="minorHAnsi" w:hAnsiTheme="minorHAnsi" w:cstheme="minorHAnsi"/>
          <w:sz w:val="24"/>
          <w:szCs w:val="24"/>
        </w:rPr>
        <w:t>s</w:t>
      </w:r>
      <w:r w:rsidR="002029FA">
        <w:rPr>
          <w:rFonts w:asciiTheme="minorHAnsi" w:hAnsiTheme="minorHAnsi" w:cstheme="minorHAnsi"/>
          <w:sz w:val="24"/>
          <w:szCs w:val="24"/>
        </w:rPr>
        <w:t xml:space="preserve"> inequalities for some students who either cannot succeed at </w:t>
      </w:r>
      <w:r w:rsidR="00037247">
        <w:rPr>
          <w:rFonts w:asciiTheme="minorHAnsi" w:hAnsiTheme="minorHAnsi" w:cstheme="minorHAnsi"/>
          <w:sz w:val="24"/>
          <w:szCs w:val="24"/>
        </w:rPr>
        <w:t>(</w:t>
      </w:r>
      <w:r w:rsidR="000F7877">
        <w:rPr>
          <w:rFonts w:asciiTheme="minorHAnsi" w:hAnsiTheme="minorHAnsi" w:cstheme="minorHAnsi"/>
          <w:sz w:val="24"/>
          <w:szCs w:val="24"/>
        </w:rPr>
        <w:t xml:space="preserve">for example, </w:t>
      </w:r>
      <w:r w:rsidR="00037247">
        <w:rPr>
          <w:rFonts w:asciiTheme="minorHAnsi" w:hAnsiTheme="minorHAnsi" w:cstheme="minorHAnsi"/>
          <w:sz w:val="24"/>
          <w:szCs w:val="24"/>
        </w:rPr>
        <w:t>SEND, or defined by teachers as ‘low ability’)</w:t>
      </w:r>
      <w:r w:rsidR="004402B7">
        <w:rPr>
          <w:rFonts w:asciiTheme="minorHAnsi" w:hAnsiTheme="minorHAnsi" w:cstheme="minorHAnsi"/>
          <w:sz w:val="24"/>
          <w:szCs w:val="24"/>
        </w:rPr>
        <w:t>,</w:t>
      </w:r>
      <w:r w:rsidR="00037247">
        <w:rPr>
          <w:rFonts w:asciiTheme="minorHAnsi" w:hAnsiTheme="minorHAnsi" w:cstheme="minorHAnsi"/>
          <w:sz w:val="24"/>
          <w:szCs w:val="24"/>
        </w:rPr>
        <w:t xml:space="preserve"> </w:t>
      </w:r>
      <w:r w:rsidR="002029FA">
        <w:rPr>
          <w:rFonts w:asciiTheme="minorHAnsi" w:hAnsiTheme="minorHAnsi" w:cstheme="minorHAnsi"/>
          <w:sz w:val="24"/>
          <w:szCs w:val="24"/>
        </w:rPr>
        <w:t>or do not wish to follow this</w:t>
      </w:r>
      <w:r w:rsidR="004A7850">
        <w:rPr>
          <w:rFonts w:asciiTheme="minorHAnsi" w:hAnsiTheme="minorHAnsi" w:cstheme="minorHAnsi"/>
          <w:sz w:val="24"/>
          <w:szCs w:val="24"/>
        </w:rPr>
        <w:t xml:space="preserve"> </w:t>
      </w:r>
      <w:r w:rsidR="002029FA">
        <w:rPr>
          <w:rFonts w:asciiTheme="minorHAnsi" w:hAnsiTheme="minorHAnsi" w:cstheme="minorHAnsi"/>
          <w:sz w:val="24"/>
          <w:szCs w:val="24"/>
        </w:rPr>
        <w:t>set of subjects and qualifications</w:t>
      </w:r>
      <w:r w:rsidR="008B06C9">
        <w:rPr>
          <w:rFonts w:asciiTheme="minorHAnsi" w:hAnsiTheme="minorHAnsi" w:cstheme="minorHAnsi"/>
          <w:sz w:val="24"/>
          <w:szCs w:val="24"/>
        </w:rPr>
        <w:t>.</w:t>
      </w:r>
    </w:p>
    <w:p w14:paraId="0A742A32" w14:textId="77777777" w:rsidR="00B6050F" w:rsidRDefault="00B6050F" w:rsidP="00B6050F">
      <w:pPr>
        <w:tabs>
          <w:tab w:val="left" w:pos="7797"/>
        </w:tabs>
        <w:spacing w:after="0" w:line="360" w:lineRule="auto"/>
        <w:rPr>
          <w:rFonts w:asciiTheme="minorHAnsi" w:hAnsiTheme="minorHAnsi" w:cstheme="minorHAnsi"/>
          <w:sz w:val="24"/>
          <w:szCs w:val="24"/>
        </w:rPr>
      </w:pPr>
    </w:p>
    <w:p w14:paraId="1A4A42C9" w14:textId="46F087A1" w:rsidR="00E31232" w:rsidRDefault="000150C9" w:rsidP="00B6050F">
      <w:pPr>
        <w:tabs>
          <w:tab w:val="left" w:pos="8789"/>
        </w:tabs>
        <w:spacing w:after="0" w:line="360" w:lineRule="auto"/>
        <w:rPr>
          <w:sz w:val="24"/>
          <w:szCs w:val="24"/>
        </w:rPr>
      </w:pPr>
      <w:r w:rsidRPr="00706E6F">
        <w:rPr>
          <w:rFonts w:asciiTheme="minorHAnsi" w:hAnsiTheme="minorHAnsi" w:cstheme="minorHAnsi"/>
          <w:sz w:val="24"/>
          <w:szCs w:val="24"/>
        </w:rPr>
        <w:t xml:space="preserve">In Scheurich’s framework, Arena 4 is </w:t>
      </w:r>
      <w:r w:rsidR="00706E6F" w:rsidRPr="00706E6F">
        <w:rPr>
          <w:rFonts w:asciiTheme="minorHAnsi" w:hAnsiTheme="minorHAnsi" w:cstheme="minorHAnsi"/>
          <w:sz w:val="24"/>
          <w:szCs w:val="24"/>
        </w:rPr>
        <w:t>the policy studies arena</w:t>
      </w:r>
      <w:r w:rsidR="00A14AC9">
        <w:rPr>
          <w:rFonts w:asciiTheme="minorHAnsi" w:hAnsiTheme="minorHAnsi" w:cstheme="minorHAnsi"/>
          <w:sz w:val="24"/>
          <w:szCs w:val="24"/>
        </w:rPr>
        <w:t>,</w:t>
      </w:r>
      <w:r w:rsidR="00706E6F" w:rsidRPr="00706E6F">
        <w:rPr>
          <w:rFonts w:asciiTheme="minorHAnsi" w:hAnsiTheme="minorHAnsi" w:cstheme="minorHAnsi"/>
          <w:sz w:val="24"/>
          <w:szCs w:val="24"/>
        </w:rPr>
        <w:t xml:space="preserve"> </w:t>
      </w:r>
      <w:r w:rsidRPr="00706E6F">
        <w:rPr>
          <w:rFonts w:asciiTheme="minorHAnsi" w:hAnsiTheme="minorHAnsi" w:cstheme="minorHAnsi"/>
          <w:sz w:val="24"/>
          <w:szCs w:val="24"/>
        </w:rPr>
        <w:t xml:space="preserve">where </w:t>
      </w:r>
      <w:r w:rsidR="00706E6F" w:rsidRPr="00706E6F">
        <w:rPr>
          <w:rFonts w:asciiTheme="minorHAnsi" w:hAnsiTheme="minorHAnsi" w:cstheme="minorHAnsi"/>
          <w:sz w:val="24"/>
          <w:szCs w:val="24"/>
        </w:rPr>
        <w:t>consideration is given to the wider social function of policy studies, considering the effects of such policy analysis and discourse.</w:t>
      </w:r>
      <w:r w:rsidRPr="00706E6F">
        <w:rPr>
          <w:rFonts w:asciiTheme="minorHAnsi" w:hAnsiTheme="minorHAnsi" w:cstheme="minorHAnsi"/>
          <w:sz w:val="24"/>
          <w:szCs w:val="24"/>
        </w:rPr>
        <w:t xml:space="preserve"> </w:t>
      </w:r>
      <w:r w:rsidR="002029FA" w:rsidRPr="003D3806">
        <w:rPr>
          <w:sz w:val="24"/>
          <w:szCs w:val="24"/>
        </w:rPr>
        <w:t xml:space="preserve">My intention </w:t>
      </w:r>
      <w:r>
        <w:rPr>
          <w:sz w:val="24"/>
          <w:szCs w:val="24"/>
        </w:rPr>
        <w:t xml:space="preserve">in </w:t>
      </w:r>
      <w:r w:rsidR="00E31232">
        <w:rPr>
          <w:sz w:val="24"/>
          <w:szCs w:val="24"/>
        </w:rPr>
        <w:t>undertaking a</w:t>
      </w:r>
      <w:r w:rsidR="002029FA" w:rsidRPr="003D3806">
        <w:rPr>
          <w:sz w:val="24"/>
          <w:szCs w:val="24"/>
        </w:rPr>
        <w:t xml:space="preserve"> critical policy </w:t>
      </w:r>
      <w:r>
        <w:rPr>
          <w:sz w:val="24"/>
          <w:szCs w:val="24"/>
        </w:rPr>
        <w:t>analysis</w:t>
      </w:r>
      <w:r w:rsidR="002029FA" w:rsidRPr="003D3806">
        <w:rPr>
          <w:sz w:val="24"/>
          <w:szCs w:val="24"/>
        </w:rPr>
        <w:t xml:space="preserve"> </w:t>
      </w:r>
      <w:r>
        <w:rPr>
          <w:sz w:val="24"/>
          <w:szCs w:val="24"/>
        </w:rPr>
        <w:t>wa</w:t>
      </w:r>
      <w:r w:rsidR="002029FA" w:rsidRPr="003D3806">
        <w:rPr>
          <w:sz w:val="24"/>
          <w:szCs w:val="24"/>
        </w:rPr>
        <w:t xml:space="preserve">s to </w:t>
      </w:r>
      <w:r>
        <w:rPr>
          <w:sz w:val="24"/>
          <w:szCs w:val="24"/>
        </w:rPr>
        <w:t xml:space="preserve">examine </w:t>
      </w:r>
      <w:r w:rsidR="002029FA" w:rsidRPr="003D3806">
        <w:rPr>
          <w:sz w:val="24"/>
          <w:szCs w:val="24"/>
        </w:rPr>
        <w:t>the EBac policy</w:t>
      </w:r>
      <w:r>
        <w:rPr>
          <w:sz w:val="24"/>
          <w:szCs w:val="24"/>
        </w:rPr>
        <w:t xml:space="preserve"> text</w:t>
      </w:r>
      <w:r w:rsidR="002029FA" w:rsidRPr="003D3806">
        <w:rPr>
          <w:sz w:val="24"/>
          <w:szCs w:val="24"/>
        </w:rPr>
        <w:t xml:space="preserve">, consider teacher perspectives and </w:t>
      </w:r>
      <w:r>
        <w:rPr>
          <w:sz w:val="24"/>
          <w:szCs w:val="24"/>
        </w:rPr>
        <w:t xml:space="preserve">explore </w:t>
      </w:r>
      <w:r w:rsidR="002029FA" w:rsidRPr="003D3806">
        <w:rPr>
          <w:sz w:val="24"/>
          <w:szCs w:val="24"/>
        </w:rPr>
        <w:t xml:space="preserve">how </w:t>
      </w:r>
      <w:r>
        <w:rPr>
          <w:sz w:val="24"/>
          <w:szCs w:val="24"/>
        </w:rPr>
        <w:t xml:space="preserve">the policy </w:t>
      </w:r>
      <w:r w:rsidR="002029FA" w:rsidRPr="003D3806">
        <w:rPr>
          <w:sz w:val="24"/>
          <w:szCs w:val="24"/>
        </w:rPr>
        <w:t>was implemented at school level</w:t>
      </w:r>
      <w:r w:rsidR="004402B7">
        <w:rPr>
          <w:sz w:val="24"/>
          <w:szCs w:val="24"/>
        </w:rPr>
        <w:t>,</w:t>
      </w:r>
      <w:r w:rsidR="002029FA" w:rsidRPr="003D3806">
        <w:rPr>
          <w:sz w:val="24"/>
          <w:szCs w:val="24"/>
        </w:rPr>
        <w:t xml:space="preserve"> whil</w:t>
      </w:r>
      <w:r>
        <w:rPr>
          <w:sz w:val="24"/>
          <w:szCs w:val="24"/>
        </w:rPr>
        <w:t>st</w:t>
      </w:r>
      <w:r w:rsidR="002029FA" w:rsidRPr="003D3806">
        <w:rPr>
          <w:sz w:val="24"/>
          <w:szCs w:val="24"/>
        </w:rPr>
        <w:t xml:space="preserve"> focusing on a</w:t>
      </w:r>
      <w:r w:rsidR="00BF458E">
        <w:rPr>
          <w:sz w:val="24"/>
          <w:szCs w:val="24"/>
        </w:rPr>
        <w:t>ssociated</w:t>
      </w:r>
      <w:r w:rsidR="002029FA" w:rsidRPr="003D3806">
        <w:rPr>
          <w:sz w:val="24"/>
          <w:szCs w:val="24"/>
        </w:rPr>
        <w:t xml:space="preserve"> implications for social justice. </w:t>
      </w:r>
      <w:r w:rsidR="00BF458E">
        <w:rPr>
          <w:sz w:val="24"/>
          <w:szCs w:val="24"/>
        </w:rPr>
        <w:t>One</w:t>
      </w:r>
      <w:r w:rsidR="002029FA" w:rsidRPr="003D3806">
        <w:rPr>
          <w:sz w:val="24"/>
          <w:szCs w:val="24"/>
        </w:rPr>
        <w:t xml:space="preserve"> aim </w:t>
      </w:r>
      <w:r>
        <w:rPr>
          <w:sz w:val="24"/>
          <w:szCs w:val="24"/>
        </w:rPr>
        <w:t xml:space="preserve">of this study </w:t>
      </w:r>
      <w:r w:rsidR="002029FA" w:rsidRPr="003D3806">
        <w:rPr>
          <w:sz w:val="24"/>
          <w:szCs w:val="24"/>
        </w:rPr>
        <w:t xml:space="preserve">is to </w:t>
      </w:r>
      <w:r w:rsidR="00BF458E">
        <w:rPr>
          <w:sz w:val="24"/>
          <w:szCs w:val="24"/>
        </w:rPr>
        <w:t xml:space="preserve">recommend </w:t>
      </w:r>
      <w:r w:rsidR="002029FA" w:rsidRPr="003D3806">
        <w:rPr>
          <w:sz w:val="24"/>
          <w:szCs w:val="24"/>
        </w:rPr>
        <w:t xml:space="preserve">amendments to the policy in order to </w:t>
      </w:r>
      <w:r w:rsidR="004402B7">
        <w:rPr>
          <w:sz w:val="24"/>
          <w:szCs w:val="24"/>
        </w:rPr>
        <w:t>encourage</w:t>
      </w:r>
      <w:r w:rsidR="002029FA" w:rsidRPr="003D3806">
        <w:rPr>
          <w:sz w:val="24"/>
          <w:szCs w:val="24"/>
        </w:rPr>
        <w:t xml:space="preserve"> more socially just </w:t>
      </w:r>
      <w:r w:rsidR="002029FA" w:rsidRPr="003D3806">
        <w:rPr>
          <w:sz w:val="24"/>
          <w:szCs w:val="24"/>
        </w:rPr>
        <w:lastRenderedPageBreak/>
        <w:t xml:space="preserve">outcomes for all children, schools and teachers (see </w:t>
      </w:r>
      <w:r w:rsidR="00A14AC9">
        <w:rPr>
          <w:sz w:val="24"/>
          <w:szCs w:val="24"/>
        </w:rPr>
        <w:t>S</w:t>
      </w:r>
      <w:r w:rsidR="002029FA" w:rsidRPr="003D3806">
        <w:rPr>
          <w:sz w:val="24"/>
          <w:szCs w:val="24"/>
        </w:rPr>
        <w:t>ection 6.</w:t>
      </w:r>
      <w:r w:rsidR="003D3806">
        <w:rPr>
          <w:sz w:val="24"/>
          <w:szCs w:val="24"/>
        </w:rPr>
        <w:t>3</w:t>
      </w:r>
      <w:r w:rsidR="002029FA" w:rsidRPr="003D3806">
        <w:rPr>
          <w:sz w:val="24"/>
          <w:szCs w:val="24"/>
        </w:rPr>
        <w:t xml:space="preserve">). </w:t>
      </w:r>
      <w:r w:rsidR="003D3806">
        <w:rPr>
          <w:sz w:val="24"/>
          <w:szCs w:val="24"/>
        </w:rPr>
        <w:t>My study</w:t>
      </w:r>
      <w:r w:rsidR="00F64378">
        <w:rPr>
          <w:sz w:val="24"/>
          <w:szCs w:val="24"/>
        </w:rPr>
        <w:t xml:space="preserve"> </w:t>
      </w:r>
      <w:r w:rsidR="00A14AC9">
        <w:rPr>
          <w:sz w:val="24"/>
          <w:szCs w:val="24"/>
        </w:rPr>
        <w:t xml:space="preserve">has </w:t>
      </w:r>
      <w:r w:rsidR="003D3806">
        <w:rPr>
          <w:sz w:val="24"/>
          <w:szCs w:val="24"/>
        </w:rPr>
        <w:t xml:space="preserve">explored and analysed the EBac policy with the explicit aim of researching </w:t>
      </w:r>
      <w:r w:rsidR="00A14AC9">
        <w:rPr>
          <w:sz w:val="24"/>
          <w:szCs w:val="24"/>
        </w:rPr>
        <w:t>“</w:t>
      </w:r>
      <w:r w:rsidR="003D3806">
        <w:rPr>
          <w:sz w:val="24"/>
          <w:szCs w:val="24"/>
        </w:rPr>
        <w:t>why this policy</w:t>
      </w:r>
      <w:r w:rsidR="00A14AC9">
        <w:rPr>
          <w:sz w:val="24"/>
          <w:szCs w:val="24"/>
        </w:rPr>
        <w:t>”</w:t>
      </w:r>
      <w:r w:rsidR="003D3806">
        <w:rPr>
          <w:sz w:val="24"/>
          <w:szCs w:val="24"/>
        </w:rPr>
        <w:t xml:space="preserve"> and </w:t>
      </w:r>
      <w:r w:rsidR="00A14AC9">
        <w:rPr>
          <w:sz w:val="24"/>
          <w:szCs w:val="24"/>
        </w:rPr>
        <w:t>“</w:t>
      </w:r>
      <w:r w:rsidR="003D3806">
        <w:rPr>
          <w:sz w:val="24"/>
          <w:szCs w:val="24"/>
        </w:rPr>
        <w:t>why now</w:t>
      </w:r>
      <w:r w:rsidR="00A14AC9">
        <w:rPr>
          <w:sz w:val="24"/>
          <w:szCs w:val="24"/>
        </w:rPr>
        <w:t>”.</w:t>
      </w:r>
      <w:r>
        <w:rPr>
          <w:sz w:val="24"/>
          <w:szCs w:val="24"/>
        </w:rPr>
        <w:t xml:space="preserve"> I</w:t>
      </w:r>
      <w:r w:rsidR="00EB6A88">
        <w:rPr>
          <w:sz w:val="24"/>
          <w:szCs w:val="24"/>
        </w:rPr>
        <w:t xml:space="preserve"> </w:t>
      </w:r>
      <w:r w:rsidR="00A14AC9">
        <w:rPr>
          <w:sz w:val="24"/>
          <w:szCs w:val="24"/>
        </w:rPr>
        <w:t xml:space="preserve">have </w:t>
      </w:r>
      <w:r w:rsidR="00EB6A88">
        <w:rPr>
          <w:sz w:val="24"/>
          <w:szCs w:val="24"/>
        </w:rPr>
        <w:t>focus</w:t>
      </w:r>
      <w:r>
        <w:rPr>
          <w:sz w:val="24"/>
          <w:szCs w:val="24"/>
        </w:rPr>
        <w:t>ed</w:t>
      </w:r>
      <w:r w:rsidR="00EB6A88">
        <w:rPr>
          <w:sz w:val="24"/>
          <w:szCs w:val="24"/>
        </w:rPr>
        <w:t xml:space="preserve"> on the impact of the policy on </w:t>
      </w:r>
      <w:r w:rsidR="00FF2624">
        <w:rPr>
          <w:sz w:val="24"/>
          <w:szCs w:val="24"/>
        </w:rPr>
        <w:t xml:space="preserve">students and </w:t>
      </w:r>
      <w:r w:rsidR="00EB6A88">
        <w:rPr>
          <w:sz w:val="24"/>
          <w:szCs w:val="24"/>
        </w:rPr>
        <w:t>teachers and discuss</w:t>
      </w:r>
      <w:r w:rsidR="00FF2624">
        <w:rPr>
          <w:sz w:val="24"/>
          <w:szCs w:val="24"/>
        </w:rPr>
        <w:t>ed</w:t>
      </w:r>
      <w:r w:rsidR="00EB6A88">
        <w:rPr>
          <w:sz w:val="24"/>
          <w:szCs w:val="24"/>
        </w:rPr>
        <w:t xml:space="preserve"> </w:t>
      </w:r>
      <w:r w:rsidR="00FF2624">
        <w:rPr>
          <w:sz w:val="24"/>
          <w:szCs w:val="24"/>
        </w:rPr>
        <w:t>‘</w:t>
      </w:r>
      <w:r w:rsidR="00EB6A88">
        <w:rPr>
          <w:sz w:val="24"/>
          <w:szCs w:val="24"/>
        </w:rPr>
        <w:t>winners</w:t>
      </w:r>
      <w:r w:rsidR="00FF2624">
        <w:rPr>
          <w:sz w:val="24"/>
          <w:szCs w:val="24"/>
        </w:rPr>
        <w:t>’</w:t>
      </w:r>
      <w:r w:rsidR="00EB6A88">
        <w:rPr>
          <w:sz w:val="24"/>
          <w:szCs w:val="24"/>
        </w:rPr>
        <w:t xml:space="preserve"> and </w:t>
      </w:r>
      <w:r w:rsidR="00FF2624">
        <w:rPr>
          <w:sz w:val="24"/>
          <w:szCs w:val="24"/>
        </w:rPr>
        <w:t>‘</w:t>
      </w:r>
      <w:r w:rsidR="00EB6A88">
        <w:rPr>
          <w:sz w:val="24"/>
          <w:szCs w:val="24"/>
        </w:rPr>
        <w:t>losers</w:t>
      </w:r>
      <w:r w:rsidR="00FF2624">
        <w:rPr>
          <w:sz w:val="24"/>
          <w:szCs w:val="24"/>
        </w:rPr>
        <w:t>’</w:t>
      </w:r>
      <w:r w:rsidR="00EB6A88">
        <w:rPr>
          <w:sz w:val="24"/>
          <w:szCs w:val="24"/>
        </w:rPr>
        <w:t xml:space="preserve"> from the perspective of teachers</w:t>
      </w:r>
      <w:r w:rsidR="003D3806">
        <w:rPr>
          <w:sz w:val="24"/>
          <w:szCs w:val="24"/>
        </w:rPr>
        <w:t xml:space="preserve">. </w:t>
      </w:r>
      <w:r w:rsidR="00E31232">
        <w:rPr>
          <w:sz w:val="24"/>
          <w:szCs w:val="24"/>
        </w:rPr>
        <w:t xml:space="preserve">I have used </w:t>
      </w:r>
      <w:r w:rsidR="002029FA" w:rsidRPr="003D3806">
        <w:rPr>
          <w:sz w:val="24"/>
          <w:szCs w:val="24"/>
        </w:rPr>
        <w:t>Scheurich</w:t>
      </w:r>
      <w:r w:rsidR="00EB6A88">
        <w:rPr>
          <w:sz w:val="24"/>
          <w:szCs w:val="24"/>
        </w:rPr>
        <w:t xml:space="preserve">’s </w:t>
      </w:r>
      <w:r w:rsidR="00DF24E7">
        <w:rPr>
          <w:sz w:val="24"/>
          <w:szCs w:val="24"/>
        </w:rPr>
        <w:t xml:space="preserve">PA </w:t>
      </w:r>
      <w:r w:rsidR="00E31232">
        <w:rPr>
          <w:sz w:val="24"/>
          <w:szCs w:val="24"/>
        </w:rPr>
        <w:t xml:space="preserve">to </w:t>
      </w:r>
      <w:r w:rsidR="002029FA" w:rsidRPr="003D3806">
        <w:rPr>
          <w:sz w:val="24"/>
          <w:szCs w:val="24"/>
        </w:rPr>
        <w:t>highlight</w:t>
      </w:r>
      <w:r w:rsidR="00706E6F">
        <w:rPr>
          <w:sz w:val="24"/>
          <w:szCs w:val="24"/>
        </w:rPr>
        <w:t xml:space="preserve"> a number of unintended </w:t>
      </w:r>
      <w:r w:rsidR="00E31232">
        <w:rPr>
          <w:sz w:val="24"/>
          <w:szCs w:val="24"/>
        </w:rPr>
        <w:t>consequences created by the EBac policy</w:t>
      </w:r>
      <w:r w:rsidR="00706E6F">
        <w:rPr>
          <w:sz w:val="24"/>
          <w:szCs w:val="24"/>
        </w:rPr>
        <w:t xml:space="preserve">. The fact that the accountability measures have become so </w:t>
      </w:r>
      <w:r w:rsidR="0092155C">
        <w:rPr>
          <w:sz w:val="24"/>
          <w:szCs w:val="24"/>
        </w:rPr>
        <w:t>self-</w:t>
      </w:r>
      <w:r w:rsidR="00706E6F">
        <w:rPr>
          <w:sz w:val="24"/>
          <w:szCs w:val="24"/>
        </w:rPr>
        <w:t>controll</w:t>
      </w:r>
      <w:r w:rsidR="0092155C">
        <w:rPr>
          <w:sz w:val="24"/>
          <w:szCs w:val="24"/>
        </w:rPr>
        <w:t>ing</w:t>
      </w:r>
      <w:r w:rsidR="00706E6F">
        <w:rPr>
          <w:sz w:val="24"/>
          <w:szCs w:val="24"/>
        </w:rPr>
        <w:t xml:space="preserve"> has led to some schools and teachers </w:t>
      </w:r>
      <w:r w:rsidR="0092155C">
        <w:rPr>
          <w:sz w:val="24"/>
          <w:szCs w:val="24"/>
        </w:rPr>
        <w:t>actively prevent</w:t>
      </w:r>
      <w:r w:rsidR="00A14AC9">
        <w:rPr>
          <w:sz w:val="24"/>
          <w:szCs w:val="24"/>
        </w:rPr>
        <w:t>ing</w:t>
      </w:r>
      <w:r w:rsidR="0092155C">
        <w:rPr>
          <w:sz w:val="24"/>
          <w:szCs w:val="24"/>
        </w:rPr>
        <w:t xml:space="preserve"> students</w:t>
      </w:r>
      <w:r w:rsidR="00C77073">
        <w:rPr>
          <w:sz w:val="24"/>
          <w:szCs w:val="24"/>
        </w:rPr>
        <w:t xml:space="preserve"> </w:t>
      </w:r>
      <w:r w:rsidR="0092155C">
        <w:rPr>
          <w:sz w:val="24"/>
          <w:szCs w:val="24"/>
        </w:rPr>
        <w:t>deemed ‘</w:t>
      </w:r>
      <w:r w:rsidR="00C77073">
        <w:rPr>
          <w:sz w:val="24"/>
          <w:szCs w:val="24"/>
        </w:rPr>
        <w:t xml:space="preserve">not </w:t>
      </w:r>
      <w:r w:rsidR="0092155C">
        <w:rPr>
          <w:sz w:val="24"/>
          <w:szCs w:val="24"/>
        </w:rPr>
        <w:t>appropriate’ from taking the EBac</w:t>
      </w:r>
      <w:r w:rsidR="00A14AC9">
        <w:rPr>
          <w:sz w:val="24"/>
          <w:szCs w:val="24"/>
        </w:rPr>
        <w:t>,</w:t>
      </w:r>
      <w:r w:rsidR="0092155C">
        <w:rPr>
          <w:sz w:val="24"/>
          <w:szCs w:val="24"/>
        </w:rPr>
        <w:t xml:space="preserve"> in direct contradiction to the stated aims of the EBac to ensure a “b</w:t>
      </w:r>
      <w:r w:rsidR="004402B7">
        <w:rPr>
          <w:sz w:val="24"/>
          <w:szCs w:val="24"/>
        </w:rPr>
        <w:t>r</w:t>
      </w:r>
      <w:r w:rsidR="0092155C">
        <w:rPr>
          <w:sz w:val="24"/>
          <w:szCs w:val="24"/>
        </w:rPr>
        <w:t xml:space="preserve">oad and </w:t>
      </w:r>
      <w:r w:rsidR="00F64378">
        <w:rPr>
          <w:sz w:val="24"/>
          <w:szCs w:val="24"/>
        </w:rPr>
        <w:t>rounded range of academic subjects” (</w:t>
      </w:r>
      <w:r w:rsidR="00133DDF">
        <w:rPr>
          <w:sz w:val="24"/>
          <w:szCs w:val="24"/>
        </w:rPr>
        <w:t>DfE</w:t>
      </w:r>
      <w:r w:rsidR="00A14AC9">
        <w:rPr>
          <w:sz w:val="24"/>
          <w:szCs w:val="24"/>
        </w:rPr>
        <w:t>,</w:t>
      </w:r>
      <w:r w:rsidR="00EE3C4F">
        <w:rPr>
          <w:sz w:val="24"/>
          <w:szCs w:val="24"/>
        </w:rPr>
        <w:t xml:space="preserve"> 2010</w:t>
      </w:r>
      <w:r w:rsidR="004402B7">
        <w:rPr>
          <w:sz w:val="24"/>
          <w:szCs w:val="24"/>
        </w:rPr>
        <w:t xml:space="preserve">, </w:t>
      </w:r>
      <w:r w:rsidR="00F64378">
        <w:rPr>
          <w:sz w:val="24"/>
          <w:szCs w:val="24"/>
        </w:rPr>
        <w:t>p.44)</w:t>
      </w:r>
      <w:r w:rsidR="004402B7">
        <w:rPr>
          <w:sz w:val="24"/>
          <w:szCs w:val="24"/>
        </w:rPr>
        <w:t>.</w:t>
      </w:r>
      <w:r w:rsidR="0092155C">
        <w:rPr>
          <w:sz w:val="24"/>
          <w:szCs w:val="24"/>
        </w:rPr>
        <w:t xml:space="preserve"> </w:t>
      </w:r>
      <w:r w:rsidR="00F64378">
        <w:rPr>
          <w:sz w:val="24"/>
          <w:szCs w:val="24"/>
        </w:rPr>
        <w:t xml:space="preserve"> </w:t>
      </w:r>
      <w:r w:rsidR="00221BC8">
        <w:rPr>
          <w:sz w:val="24"/>
          <w:szCs w:val="24"/>
        </w:rPr>
        <w:t>I</w:t>
      </w:r>
      <w:r w:rsidR="00133DDF">
        <w:rPr>
          <w:sz w:val="24"/>
          <w:szCs w:val="24"/>
        </w:rPr>
        <w:t>n this way, I</w:t>
      </w:r>
      <w:r w:rsidR="00221BC8">
        <w:rPr>
          <w:sz w:val="24"/>
          <w:szCs w:val="24"/>
        </w:rPr>
        <w:t xml:space="preserve"> hope that my analysis of the EBac contributes to the critical evaluation </w:t>
      </w:r>
      <w:r w:rsidR="00133DDF">
        <w:rPr>
          <w:sz w:val="24"/>
          <w:szCs w:val="24"/>
        </w:rPr>
        <w:t xml:space="preserve">dimension </w:t>
      </w:r>
      <w:r w:rsidR="00221BC8">
        <w:rPr>
          <w:sz w:val="24"/>
          <w:szCs w:val="24"/>
        </w:rPr>
        <w:t xml:space="preserve">as </w:t>
      </w:r>
      <w:r w:rsidR="00133DDF">
        <w:rPr>
          <w:sz w:val="24"/>
          <w:szCs w:val="24"/>
        </w:rPr>
        <w:t>indicated by</w:t>
      </w:r>
      <w:r w:rsidR="00221BC8">
        <w:rPr>
          <w:sz w:val="24"/>
          <w:szCs w:val="24"/>
        </w:rPr>
        <w:t xml:space="preserve"> Scheurich’s </w:t>
      </w:r>
      <w:r w:rsidR="004402B7">
        <w:rPr>
          <w:sz w:val="24"/>
          <w:szCs w:val="24"/>
        </w:rPr>
        <w:t>A</w:t>
      </w:r>
      <w:r w:rsidR="00221BC8">
        <w:rPr>
          <w:sz w:val="24"/>
          <w:szCs w:val="24"/>
        </w:rPr>
        <w:t>rena 4.</w:t>
      </w:r>
    </w:p>
    <w:p w14:paraId="679C23B1" w14:textId="77777777" w:rsidR="00B6050F" w:rsidRDefault="00B6050F" w:rsidP="00B6050F">
      <w:pPr>
        <w:tabs>
          <w:tab w:val="left" w:pos="8789"/>
        </w:tabs>
        <w:spacing w:after="0" w:line="360" w:lineRule="auto"/>
        <w:rPr>
          <w:sz w:val="24"/>
          <w:szCs w:val="24"/>
        </w:rPr>
      </w:pPr>
    </w:p>
    <w:p w14:paraId="7888AB4D" w14:textId="2AB0F8DE" w:rsidR="00A23EDF" w:rsidRPr="00A23EDF" w:rsidRDefault="00F64378" w:rsidP="00531995">
      <w:pPr>
        <w:tabs>
          <w:tab w:val="left" w:pos="8789"/>
        </w:tabs>
        <w:spacing w:line="360" w:lineRule="auto"/>
        <w:rPr>
          <w:sz w:val="24"/>
          <w:szCs w:val="24"/>
        </w:rPr>
      </w:pPr>
      <w:r>
        <w:rPr>
          <w:sz w:val="24"/>
          <w:szCs w:val="24"/>
        </w:rPr>
        <w:t xml:space="preserve">Despite my application of Scheurich’s </w:t>
      </w:r>
      <w:r w:rsidR="00DF24E7">
        <w:rPr>
          <w:sz w:val="24"/>
          <w:szCs w:val="24"/>
        </w:rPr>
        <w:t xml:space="preserve">PA </w:t>
      </w:r>
      <w:r>
        <w:rPr>
          <w:sz w:val="24"/>
          <w:szCs w:val="24"/>
        </w:rPr>
        <w:t>to the EBac policy as a way of uncovering the hidden aspects and regularities within and behind the policy</w:t>
      </w:r>
      <w:r w:rsidR="004402B7">
        <w:rPr>
          <w:sz w:val="24"/>
          <w:szCs w:val="24"/>
        </w:rPr>
        <w:t>,</w:t>
      </w:r>
      <w:r>
        <w:rPr>
          <w:sz w:val="24"/>
          <w:szCs w:val="24"/>
        </w:rPr>
        <w:t xml:space="preserve"> there are some aspects of the framework that warrant critique and further consideration. In the next section I put forward my evaluation of this framework and offer suggestions for further developments.</w:t>
      </w:r>
    </w:p>
    <w:p w14:paraId="74696C59" w14:textId="56EEBCEC" w:rsidR="002316EB" w:rsidRPr="00004313" w:rsidRDefault="000206E0" w:rsidP="00531995">
      <w:pPr>
        <w:pStyle w:val="Heading2"/>
      </w:pPr>
      <w:bookmarkStart w:id="105" w:name="_Toc452316388"/>
      <w:r w:rsidRPr="00004313">
        <w:t>5.3 Critique of Scheurich’s policy archaeology</w:t>
      </w:r>
      <w:bookmarkEnd w:id="105"/>
    </w:p>
    <w:p w14:paraId="4F62F983" w14:textId="1CBA4269" w:rsidR="005070EE" w:rsidRDefault="00FF2624" w:rsidP="00A14AC9">
      <w:pPr>
        <w:pStyle w:val="Default"/>
        <w:spacing w:line="360" w:lineRule="auto"/>
        <w:rPr>
          <w:rFonts w:ascii="Calibri" w:eastAsia="Calibri" w:hAnsi="Calibri" w:cs="Calibri"/>
        </w:rPr>
      </w:pPr>
      <w:r>
        <w:rPr>
          <w:rFonts w:ascii="Calibri" w:eastAsia="Calibri" w:hAnsi="Calibri" w:cs="Calibri"/>
        </w:rPr>
        <w:t xml:space="preserve">Scheurich </w:t>
      </w:r>
      <w:r w:rsidR="00BF458E">
        <w:rPr>
          <w:rFonts w:ascii="Calibri" w:eastAsia="Calibri" w:hAnsi="Calibri" w:cs="Calibri"/>
        </w:rPr>
        <w:t xml:space="preserve">argues </w:t>
      </w:r>
      <w:r w:rsidR="000206E0">
        <w:rPr>
          <w:rFonts w:ascii="Calibri" w:eastAsia="Calibri" w:hAnsi="Calibri" w:cs="Calibri"/>
        </w:rPr>
        <w:t xml:space="preserve">that </w:t>
      </w:r>
      <w:r w:rsidR="00DF24E7">
        <w:rPr>
          <w:rFonts w:ascii="Calibri" w:eastAsia="Calibri" w:hAnsi="Calibri" w:cs="Calibri"/>
        </w:rPr>
        <w:t xml:space="preserve">PA </w:t>
      </w:r>
      <w:r w:rsidR="000206E0">
        <w:rPr>
          <w:rFonts w:ascii="Calibri" w:eastAsia="Calibri" w:hAnsi="Calibri" w:cs="Calibri"/>
        </w:rPr>
        <w:t>is “complex and sometimes ambiguous</w:t>
      </w:r>
      <w:r w:rsidR="00EB6A88">
        <w:rPr>
          <w:rFonts w:ascii="Calibri" w:eastAsia="Calibri" w:hAnsi="Calibri" w:cs="Calibri"/>
        </w:rPr>
        <w:t>”</w:t>
      </w:r>
      <w:r w:rsidR="004402B7">
        <w:rPr>
          <w:rFonts w:ascii="Calibri" w:eastAsia="Calibri" w:hAnsi="Calibri" w:cs="Calibri"/>
        </w:rPr>
        <w:t>, whilst also being</w:t>
      </w:r>
      <w:r w:rsidR="00EB6A88">
        <w:rPr>
          <w:rFonts w:ascii="Calibri" w:eastAsia="Calibri" w:hAnsi="Calibri" w:cs="Calibri"/>
        </w:rPr>
        <w:t xml:space="preserve"> an unfinished framework</w:t>
      </w:r>
      <w:r w:rsidR="00133DDF">
        <w:rPr>
          <w:rFonts w:ascii="Calibri" w:eastAsia="Calibri" w:hAnsi="Calibri" w:cs="Calibri"/>
        </w:rPr>
        <w:t>:</w:t>
      </w:r>
      <w:r w:rsidR="000206E0">
        <w:rPr>
          <w:rFonts w:ascii="Calibri" w:eastAsia="Calibri" w:hAnsi="Calibri" w:cs="Calibri"/>
        </w:rPr>
        <w:t xml:space="preserve"> </w:t>
      </w:r>
      <w:r w:rsidR="00EB6A88">
        <w:rPr>
          <w:rFonts w:ascii="Calibri" w:eastAsia="Calibri" w:hAnsi="Calibri" w:cs="Calibri"/>
        </w:rPr>
        <w:t>“</w:t>
      </w:r>
      <w:r w:rsidR="000206E0">
        <w:rPr>
          <w:rFonts w:ascii="Calibri" w:eastAsia="Calibri" w:hAnsi="Calibri" w:cs="Calibri"/>
        </w:rPr>
        <w:t xml:space="preserve">I am similarly aware that I have left loose ends and confusing contradictions” (1994, p. 313). </w:t>
      </w:r>
      <w:r w:rsidR="0080677B">
        <w:rPr>
          <w:rFonts w:ascii="Calibri" w:eastAsia="Calibri" w:hAnsi="Calibri" w:cs="Calibri"/>
        </w:rPr>
        <w:t>H</w:t>
      </w:r>
      <w:r w:rsidR="000206E0">
        <w:rPr>
          <w:rFonts w:ascii="Calibri" w:eastAsia="Calibri" w:hAnsi="Calibri" w:cs="Calibri"/>
        </w:rPr>
        <w:t xml:space="preserve">e </w:t>
      </w:r>
      <w:r w:rsidR="00EB6A88">
        <w:rPr>
          <w:rFonts w:ascii="Calibri" w:eastAsia="Calibri" w:hAnsi="Calibri" w:cs="Calibri"/>
        </w:rPr>
        <w:t>states</w:t>
      </w:r>
      <w:r w:rsidR="000206E0">
        <w:rPr>
          <w:rFonts w:ascii="Calibri" w:eastAsia="Calibri" w:hAnsi="Calibri" w:cs="Calibri"/>
        </w:rPr>
        <w:t xml:space="preserve"> that Arena 2 and the grid of social regularities require</w:t>
      </w:r>
      <w:r w:rsidR="00A14AC9">
        <w:rPr>
          <w:rFonts w:ascii="Calibri" w:eastAsia="Calibri" w:hAnsi="Calibri" w:cs="Calibri"/>
        </w:rPr>
        <w:t>s</w:t>
      </w:r>
      <w:r w:rsidR="000206E0">
        <w:rPr>
          <w:rFonts w:ascii="Calibri" w:eastAsia="Calibri" w:hAnsi="Calibri" w:cs="Calibri"/>
        </w:rPr>
        <w:t xml:space="preserve"> “more scrutiny and thought”</w:t>
      </w:r>
      <w:r w:rsidR="0080677B">
        <w:rPr>
          <w:rFonts w:ascii="Calibri" w:eastAsia="Calibri" w:hAnsi="Calibri" w:cs="Calibri"/>
        </w:rPr>
        <w:t xml:space="preserve"> than the other arenas and </w:t>
      </w:r>
      <w:r w:rsidR="000206E0">
        <w:rPr>
          <w:rFonts w:ascii="Calibri" w:eastAsia="Calibri" w:hAnsi="Calibri" w:cs="Calibri"/>
        </w:rPr>
        <w:t>I agree with all of these points. While the framework provide</w:t>
      </w:r>
      <w:r w:rsidR="00E31232">
        <w:rPr>
          <w:rFonts w:ascii="Calibri" w:eastAsia="Calibri" w:hAnsi="Calibri" w:cs="Calibri"/>
        </w:rPr>
        <w:t>s</w:t>
      </w:r>
      <w:r w:rsidR="000206E0">
        <w:rPr>
          <w:rFonts w:ascii="Calibri" w:eastAsia="Calibri" w:hAnsi="Calibri" w:cs="Calibri"/>
        </w:rPr>
        <w:t xml:space="preserve"> a </w:t>
      </w:r>
      <w:r w:rsidR="008E6793">
        <w:rPr>
          <w:rFonts w:ascii="Calibri" w:eastAsia="Calibri" w:hAnsi="Calibri" w:cs="Calibri"/>
        </w:rPr>
        <w:t>way of identifying a given problem</w:t>
      </w:r>
      <w:r w:rsidR="00EB6A88">
        <w:rPr>
          <w:rFonts w:ascii="Calibri" w:eastAsia="Calibri" w:hAnsi="Calibri" w:cs="Calibri"/>
        </w:rPr>
        <w:t xml:space="preserve">, </w:t>
      </w:r>
      <w:r w:rsidR="008E6793">
        <w:rPr>
          <w:rFonts w:ascii="Calibri" w:eastAsia="Calibri" w:hAnsi="Calibri" w:cs="Calibri"/>
        </w:rPr>
        <w:t xml:space="preserve">exploring what led to this problem at this time and then </w:t>
      </w:r>
      <w:r w:rsidR="00EB6A88">
        <w:rPr>
          <w:rFonts w:ascii="Calibri" w:eastAsia="Calibri" w:hAnsi="Calibri" w:cs="Calibri"/>
        </w:rPr>
        <w:t xml:space="preserve">identifying what has </w:t>
      </w:r>
      <w:r w:rsidR="008E6793">
        <w:rPr>
          <w:rFonts w:ascii="Calibri" w:eastAsia="Calibri" w:hAnsi="Calibri" w:cs="Calibri"/>
        </w:rPr>
        <w:t xml:space="preserve">led to </w:t>
      </w:r>
      <w:r>
        <w:rPr>
          <w:rFonts w:ascii="Calibri" w:eastAsia="Calibri" w:hAnsi="Calibri" w:cs="Calibri"/>
        </w:rPr>
        <w:t>a</w:t>
      </w:r>
      <w:r w:rsidR="00133DDF">
        <w:rPr>
          <w:rFonts w:ascii="Calibri" w:eastAsia="Calibri" w:hAnsi="Calibri" w:cs="Calibri"/>
        </w:rPr>
        <w:t xml:space="preserve"> politically</w:t>
      </w:r>
      <w:r w:rsidR="008E6793">
        <w:rPr>
          <w:rFonts w:ascii="Calibri" w:eastAsia="Calibri" w:hAnsi="Calibri" w:cs="Calibri"/>
        </w:rPr>
        <w:t xml:space="preserve"> acceptable solution</w:t>
      </w:r>
      <w:r w:rsidR="00EB6A88">
        <w:rPr>
          <w:rFonts w:ascii="Calibri" w:eastAsia="Calibri" w:hAnsi="Calibri" w:cs="Calibri"/>
        </w:rPr>
        <w:t xml:space="preserve">, </w:t>
      </w:r>
      <w:r>
        <w:rPr>
          <w:rFonts w:ascii="Calibri" w:eastAsia="Calibri" w:hAnsi="Calibri" w:cs="Calibri"/>
        </w:rPr>
        <w:t>t</w:t>
      </w:r>
      <w:r w:rsidR="008E6793">
        <w:rPr>
          <w:rFonts w:ascii="Calibri" w:eastAsia="Calibri" w:hAnsi="Calibri" w:cs="Calibri"/>
        </w:rPr>
        <w:t xml:space="preserve">he ambiguity and fluidity </w:t>
      </w:r>
      <w:r>
        <w:rPr>
          <w:rFonts w:ascii="Calibri" w:eastAsia="Calibri" w:hAnsi="Calibri" w:cs="Calibri"/>
        </w:rPr>
        <w:t xml:space="preserve">involved </w:t>
      </w:r>
      <w:r w:rsidR="008E6793">
        <w:rPr>
          <w:rFonts w:ascii="Calibri" w:eastAsia="Calibri" w:hAnsi="Calibri" w:cs="Calibri"/>
        </w:rPr>
        <w:t xml:space="preserve">has the potential to lead to many areas of crossover and repetition. This fluidity can be </w:t>
      </w:r>
      <w:r>
        <w:rPr>
          <w:rFonts w:ascii="Calibri" w:eastAsia="Calibri" w:hAnsi="Calibri" w:cs="Calibri"/>
        </w:rPr>
        <w:t xml:space="preserve">a </w:t>
      </w:r>
      <w:r w:rsidR="008E6793">
        <w:rPr>
          <w:rFonts w:ascii="Calibri" w:eastAsia="Calibri" w:hAnsi="Calibri" w:cs="Calibri"/>
        </w:rPr>
        <w:t>strength</w:t>
      </w:r>
      <w:r>
        <w:rPr>
          <w:rFonts w:ascii="Calibri" w:eastAsia="Calibri" w:hAnsi="Calibri" w:cs="Calibri"/>
        </w:rPr>
        <w:t xml:space="preserve">, </w:t>
      </w:r>
      <w:r w:rsidR="008E6793">
        <w:rPr>
          <w:rFonts w:ascii="Calibri" w:eastAsia="Calibri" w:hAnsi="Calibri" w:cs="Calibri"/>
        </w:rPr>
        <w:t xml:space="preserve">but </w:t>
      </w:r>
      <w:r w:rsidR="00A14AC9">
        <w:rPr>
          <w:rFonts w:ascii="Calibri" w:eastAsia="Calibri" w:hAnsi="Calibri" w:cs="Calibri"/>
        </w:rPr>
        <w:t>could</w:t>
      </w:r>
      <w:r w:rsidR="008E6793">
        <w:rPr>
          <w:rFonts w:ascii="Calibri" w:eastAsia="Calibri" w:hAnsi="Calibri" w:cs="Calibri"/>
        </w:rPr>
        <w:t xml:space="preserve"> also </w:t>
      </w:r>
      <w:r w:rsidR="00A14AC9">
        <w:rPr>
          <w:rFonts w:ascii="Calibri" w:eastAsia="Calibri" w:hAnsi="Calibri" w:cs="Calibri"/>
        </w:rPr>
        <w:t xml:space="preserve">be </w:t>
      </w:r>
      <w:r w:rsidR="008E6793">
        <w:rPr>
          <w:rFonts w:ascii="Calibri" w:eastAsia="Calibri" w:hAnsi="Calibri" w:cs="Calibri"/>
        </w:rPr>
        <w:t xml:space="preserve">tightened to provide clearer direction to the researcher. </w:t>
      </w:r>
      <w:r w:rsidR="007974E9">
        <w:rPr>
          <w:rFonts w:ascii="Calibri" w:eastAsia="Calibri" w:hAnsi="Calibri" w:cs="Calibri"/>
        </w:rPr>
        <w:t xml:space="preserve">Arena 3 effectively becomes the starting point for research and it is only by identifying the policy solution that the researcher can then work backwards to identify </w:t>
      </w:r>
      <w:r w:rsidR="0080677B">
        <w:rPr>
          <w:rFonts w:ascii="Calibri" w:eastAsia="Calibri" w:hAnsi="Calibri" w:cs="Calibri"/>
        </w:rPr>
        <w:t>A</w:t>
      </w:r>
      <w:r w:rsidR="007974E9">
        <w:rPr>
          <w:rFonts w:ascii="Calibri" w:eastAsia="Calibri" w:hAnsi="Calibri" w:cs="Calibri"/>
        </w:rPr>
        <w:t>rena 2, the social regularities</w:t>
      </w:r>
      <w:r w:rsidR="00133DDF">
        <w:rPr>
          <w:rFonts w:ascii="Calibri" w:eastAsia="Calibri" w:hAnsi="Calibri" w:cs="Calibri"/>
        </w:rPr>
        <w:t xml:space="preserve"> arena,</w:t>
      </w:r>
      <w:r w:rsidR="007974E9">
        <w:rPr>
          <w:rFonts w:ascii="Calibri" w:eastAsia="Calibri" w:hAnsi="Calibri" w:cs="Calibri"/>
        </w:rPr>
        <w:t xml:space="preserve"> and ultimately </w:t>
      </w:r>
      <w:r w:rsidR="0080677B">
        <w:rPr>
          <w:rFonts w:ascii="Calibri" w:eastAsia="Calibri" w:hAnsi="Calibri" w:cs="Calibri"/>
        </w:rPr>
        <w:t>A</w:t>
      </w:r>
      <w:r w:rsidR="007974E9">
        <w:rPr>
          <w:rFonts w:ascii="Calibri" w:eastAsia="Calibri" w:hAnsi="Calibri" w:cs="Calibri"/>
        </w:rPr>
        <w:t xml:space="preserve">rena 1, the education/social problem arena. </w:t>
      </w:r>
      <w:r w:rsidR="0080677B">
        <w:rPr>
          <w:rFonts w:ascii="Calibri" w:eastAsia="Calibri" w:hAnsi="Calibri" w:cs="Calibri"/>
        </w:rPr>
        <w:t>A</w:t>
      </w:r>
      <w:r w:rsidR="007974E9">
        <w:rPr>
          <w:rFonts w:ascii="Calibri" w:eastAsia="Calibri" w:hAnsi="Calibri" w:cs="Calibri"/>
        </w:rPr>
        <w:t xml:space="preserve"> more structured set of questions</w:t>
      </w:r>
      <w:r w:rsidR="009D6670">
        <w:rPr>
          <w:rFonts w:ascii="Calibri" w:eastAsia="Calibri" w:hAnsi="Calibri" w:cs="Calibri"/>
        </w:rPr>
        <w:t xml:space="preserve"> following</w:t>
      </w:r>
      <w:r w:rsidR="007974E9">
        <w:rPr>
          <w:rFonts w:ascii="Calibri" w:eastAsia="Calibri" w:hAnsi="Calibri" w:cs="Calibri"/>
        </w:rPr>
        <w:t xml:space="preserve"> a logical progression from the policy to the regularities and the underlying problem</w:t>
      </w:r>
      <w:r w:rsidR="00A14AC9">
        <w:rPr>
          <w:rFonts w:ascii="Calibri" w:eastAsia="Calibri" w:hAnsi="Calibri" w:cs="Calibri"/>
        </w:rPr>
        <w:t xml:space="preserve"> </w:t>
      </w:r>
      <w:r w:rsidR="007974E9">
        <w:rPr>
          <w:rFonts w:ascii="Calibri" w:eastAsia="Calibri" w:hAnsi="Calibri" w:cs="Calibri"/>
        </w:rPr>
        <w:t>m</w:t>
      </w:r>
      <w:r w:rsidR="00BF458E">
        <w:rPr>
          <w:rFonts w:ascii="Calibri" w:eastAsia="Calibri" w:hAnsi="Calibri" w:cs="Calibri"/>
        </w:rPr>
        <w:t>ight</w:t>
      </w:r>
      <w:r w:rsidR="007974E9">
        <w:rPr>
          <w:rFonts w:ascii="Calibri" w:eastAsia="Calibri" w:hAnsi="Calibri" w:cs="Calibri"/>
        </w:rPr>
        <w:t xml:space="preserve"> </w:t>
      </w:r>
      <w:r w:rsidR="00A14AC9">
        <w:rPr>
          <w:rFonts w:ascii="Calibri" w:eastAsia="Calibri" w:hAnsi="Calibri" w:cs="Calibri"/>
        </w:rPr>
        <w:t xml:space="preserve">therefore </w:t>
      </w:r>
      <w:r w:rsidR="007974E9">
        <w:rPr>
          <w:rFonts w:ascii="Calibri" w:eastAsia="Calibri" w:hAnsi="Calibri" w:cs="Calibri"/>
        </w:rPr>
        <w:t>ensure that steps are considered in order</w:t>
      </w:r>
      <w:r w:rsidR="005070EE">
        <w:rPr>
          <w:rFonts w:ascii="Calibri" w:eastAsia="Calibri" w:hAnsi="Calibri" w:cs="Calibri"/>
        </w:rPr>
        <w:t xml:space="preserve"> and prevent duplication. S</w:t>
      </w:r>
      <w:r w:rsidR="007974E9">
        <w:rPr>
          <w:rFonts w:ascii="Calibri" w:eastAsia="Calibri" w:hAnsi="Calibri" w:cs="Calibri"/>
        </w:rPr>
        <w:t>uch a rigid formula may</w:t>
      </w:r>
      <w:r w:rsidR="00A14AC9">
        <w:rPr>
          <w:rFonts w:ascii="Calibri" w:eastAsia="Calibri" w:hAnsi="Calibri" w:cs="Calibri"/>
        </w:rPr>
        <w:t xml:space="preserve">, </w:t>
      </w:r>
      <w:r w:rsidR="00A14AC9">
        <w:rPr>
          <w:rFonts w:ascii="Calibri" w:eastAsia="Calibri" w:hAnsi="Calibri" w:cs="Calibri"/>
        </w:rPr>
        <w:lastRenderedPageBreak/>
        <w:t>however,</w:t>
      </w:r>
      <w:r w:rsidR="007974E9">
        <w:rPr>
          <w:rFonts w:ascii="Calibri" w:eastAsia="Calibri" w:hAnsi="Calibri" w:cs="Calibri"/>
        </w:rPr>
        <w:t xml:space="preserve"> undermine the strength of the approach</w:t>
      </w:r>
      <w:r w:rsidR="00A14AC9">
        <w:rPr>
          <w:rFonts w:ascii="Calibri" w:eastAsia="Calibri" w:hAnsi="Calibri" w:cs="Calibri"/>
        </w:rPr>
        <w:t>,</w:t>
      </w:r>
      <w:r w:rsidR="007974E9">
        <w:rPr>
          <w:rFonts w:ascii="Calibri" w:eastAsia="Calibri" w:hAnsi="Calibri" w:cs="Calibri"/>
        </w:rPr>
        <w:t xml:space="preserve"> which encourage</w:t>
      </w:r>
      <w:r w:rsidR="009D6670">
        <w:rPr>
          <w:rFonts w:ascii="Calibri" w:eastAsia="Calibri" w:hAnsi="Calibri" w:cs="Calibri"/>
        </w:rPr>
        <w:t>s</w:t>
      </w:r>
      <w:r w:rsidR="007974E9">
        <w:rPr>
          <w:rFonts w:ascii="Calibri" w:eastAsia="Calibri" w:hAnsi="Calibri" w:cs="Calibri"/>
        </w:rPr>
        <w:t xml:space="preserve"> the policy researcher to look </w:t>
      </w:r>
      <w:r w:rsidR="005070EE">
        <w:rPr>
          <w:rFonts w:ascii="Calibri" w:eastAsia="Calibri" w:hAnsi="Calibri" w:cs="Calibri"/>
        </w:rPr>
        <w:t>beneath th</w:t>
      </w:r>
      <w:r w:rsidR="009D6670">
        <w:rPr>
          <w:rFonts w:ascii="Calibri" w:eastAsia="Calibri" w:hAnsi="Calibri" w:cs="Calibri"/>
        </w:rPr>
        <w:t>e policy</w:t>
      </w:r>
      <w:r w:rsidR="005070EE">
        <w:rPr>
          <w:rFonts w:ascii="Calibri" w:eastAsia="Calibri" w:hAnsi="Calibri" w:cs="Calibri"/>
        </w:rPr>
        <w:t xml:space="preserve"> to view policy making and effects as complex and nuanced. Any structure </w:t>
      </w:r>
      <w:r w:rsidR="009D6670">
        <w:rPr>
          <w:rFonts w:ascii="Calibri" w:eastAsia="Calibri" w:hAnsi="Calibri" w:cs="Calibri"/>
        </w:rPr>
        <w:t>has</w:t>
      </w:r>
      <w:r w:rsidR="005070EE">
        <w:rPr>
          <w:rFonts w:ascii="Calibri" w:eastAsia="Calibri" w:hAnsi="Calibri" w:cs="Calibri"/>
        </w:rPr>
        <w:t xml:space="preserve"> to allow the researcher to look at policy choices</w:t>
      </w:r>
      <w:r w:rsidR="00A14AC9">
        <w:rPr>
          <w:rFonts w:ascii="Calibri" w:eastAsia="Calibri" w:hAnsi="Calibri" w:cs="Calibri"/>
        </w:rPr>
        <w:t>,</w:t>
      </w:r>
      <w:r w:rsidR="005070EE">
        <w:rPr>
          <w:rFonts w:ascii="Calibri" w:eastAsia="Calibri" w:hAnsi="Calibri" w:cs="Calibri"/>
        </w:rPr>
        <w:t xml:space="preserve"> but also at policy origins</w:t>
      </w:r>
      <w:r w:rsidR="00A14AC9">
        <w:rPr>
          <w:rFonts w:ascii="Calibri" w:eastAsia="Calibri" w:hAnsi="Calibri" w:cs="Calibri"/>
        </w:rPr>
        <w:t>,</w:t>
      </w:r>
      <w:r w:rsidR="005070EE">
        <w:rPr>
          <w:rFonts w:ascii="Calibri" w:eastAsia="Calibri" w:hAnsi="Calibri" w:cs="Calibri"/>
        </w:rPr>
        <w:t xml:space="preserve"> as fluid and dynamic interactions. </w:t>
      </w:r>
    </w:p>
    <w:p w14:paraId="764ED6C7" w14:textId="77777777" w:rsidR="005070EE" w:rsidRDefault="005070EE" w:rsidP="00974AAC">
      <w:pPr>
        <w:pStyle w:val="Default"/>
        <w:spacing w:line="360" w:lineRule="auto"/>
        <w:rPr>
          <w:rFonts w:ascii="Calibri" w:eastAsia="Calibri" w:hAnsi="Calibri" w:cs="Calibri"/>
        </w:rPr>
      </w:pPr>
    </w:p>
    <w:p w14:paraId="4A6ECD25" w14:textId="2D5DACC2" w:rsidR="001A76CC" w:rsidRDefault="009D6670" w:rsidP="00974AAC">
      <w:pPr>
        <w:pStyle w:val="Default"/>
        <w:spacing w:line="360" w:lineRule="auto"/>
        <w:rPr>
          <w:rFonts w:ascii="Calibri" w:eastAsia="Calibri" w:hAnsi="Calibri" w:cs="Calibri"/>
        </w:rPr>
      </w:pPr>
      <w:r>
        <w:rPr>
          <w:rFonts w:ascii="Calibri" w:eastAsia="Calibri" w:hAnsi="Calibri" w:cs="Calibri"/>
        </w:rPr>
        <w:t>The</w:t>
      </w:r>
      <w:r w:rsidR="008E6793">
        <w:rPr>
          <w:rFonts w:ascii="Calibri" w:eastAsia="Calibri" w:hAnsi="Calibri" w:cs="Calibri"/>
        </w:rPr>
        <w:t xml:space="preserve"> table</w:t>
      </w:r>
      <w:r>
        <w:rPr>
          <w:rFonts w:ascii="Calibri" w:eastAsia="Calibri" w:hAnsi="Calibri" w:cs="Calibri"/>
        </w:rPr>
        <w:t>s</w:t>
      </w:r>
      <w:r w:rsidR="008E6793">
        <w:rPr>
          <w:rFonts w:ascii="Calibri" w:eastAsia="Calibri" w:hAnsi="Calibri" w:cs="Calibri"/>
        </w:rPr>
        <w:t xml:space="preserve"> </w:t>
      </w:r>
      <w:r w:rsidR="00D27BF7">
        <w:rPr>
          <w:rFonts w:ascii="Calibri" w:eastAsia="Calibri" w:hAnsi="Calibri" w:cs="Calibri"/>
        </w:rPr>
        <w:t xml:space="preserve">(see </w:t>
      </w:r>
      <w:r w:rsidR="00E22914">
        <w:rPr>
          <w:rFonts w:ascii="Calibri" w:eastAsia="Calibri" w:hAnsi="Calibri" w:cs="Calibri"/>
        </w:rPr>
        <w:t>A</w:t>
      </w:r>
      <w:r w:rsidR="00D27BF7">
        <w:rPr>
          <w:rFonts w:ascii="Calibri" w:eastAsia="Calibri" w:hAnsi="Calibri" w:cs="Calibri"/>
        </w:rPr>
        <w:t>ppendix 9</w:t>
      </w:r>
      <w:r w:rsidR="003D7235">
        <w:rPr>
          <w:rFonts w:ascii="Calibri" w:eastAsia="Calibri" w:hAnsi="Calibri" w:cs="Calibri"/>
        </w:rPr>
        <w:t xml:space="preserve">) </w:t>
      </w:r>
      <w:r w:rsidR="00FF2624">
        <w:rPr>
          <w:rFonts w:ascii="Calibri" w:eastAsia="Calibri" w:hAnsi="Calibri" w:cs="Calibri"/>
        </w:rPr>
        <w:t xml:space="preserve">allow </w:t>
      </w:r>
      <w:r w:rsidR="008E6793">
        <w:rPr>
          <w:rFonts w:ascii="Calibri" w:eastAsia="Calibri" w:hAnsi="Calibri" w:cs="Calibri"/>
        </w:rPr>
        <w:t xml:space="preserve">me to display my </w:t>
      </w:r>
      <w:r w:rsidR="00BF458E">
        <w:rPr>
          <w:rFonts w:ascii="Calibri" w:eastAsia="Calibri" w:hAnsi="Calibri" w:cs="Calibri"/>
        </w:rPr>
        <w:t xml:space="preserve">engagement </w:t>
      </w:r>
      <w:r w:rsidR="00133DDF">
        <w:rPr>
          <w:rFonts w:ascii="Calibri" w:eastAsia="Calibri" w:hAnsi="Calibri" w:cs="Calibri"/>
        </w:rPr>
        <w:t>with</w:t>
      </w:r>
      <w:r w:rsidR="008E6793">
        <w:rPr>
          <w:rFonts w:ascii="Calibri" w:eastAsia="Calibri" w:hAnsi="Calibri" w:cs="Calibri"/>
        </w:rPr>
        <w:t xml:space="preserve"> </w:t>
      </w:r>
      <w:r w:rsidR="00FF2624">
        <w:rPr>
          <w:rFonts w:ascii="Calibri" w:eastAsia="Calibri" w:hAnsi="Calibri" w:cs="Calibri"/>
        </w:rPr>
        <w:t>Scheurich’s ideas</w:t>
      </w:r>
      <w:r w:rsidR="00EA7B91">
        <w:rPr>
          <w:rFonts w:ascii="Calibri" w:eastAsia="Calibri" w:hAnsi="Calibri" w:cs="Calibri"/>
        </w:rPr>
        <w:t xml:space="preserve">, </w:t>
      </w:r>
      <w:r w:rsidR="00BF458E">
        <w:rPr>
          <w:rFonts w:ascii="Calibri" w:eastAsia="Calibri" w:hAnsi="Calibri" w:cs="Calibri"/>
        </w:rPr>
        <w:t xml:space="preserve">add </w:t>
      </w:r>
      <w:r w:rsidR="00EA7B91">
        <w:rPr>
          <w:rFonts w:ascii="Calibri" w:eastAsia="Calibri" w:hAnsi="Calibri" w:cs="Calibri"/>
        </w:rPr>
        <w:t xml:space="preserve">to my thinking </w:t>
      </w:r>
      <w:r w:rsidR="008E6793">
        <w:rPr>
          <w:rFonts w:ascii="Calibri" w:eastAsia="Calibri" w:hAnsi="Calibri" w:cs="Calibri"/>
        </w:rPr>
        <w:t xml:space="preserve">and </w:t>
      </w:r>
      <w:r w:rsidR="00BF458E">
        <w:rPr>
          <w:rFonts w:ascii="Calibri" w:eastAsia="Calibri" w:hAnsi="Calibri" w:cs="Calibri"/>
        </w:rPr>
        <w:t xml:space="preserve">provide </w:t>
      </w:r>
      <w:r w:rsidR="008E6793">
        <w:rPr>
          <w:rFonts w:ascii="Calibri" w:eastAsia="Calibri" w:hAnsi="Calibri" w:cs="Calibri"/>
        </w:rPr>
        <w:t>suggestion</w:t>
      </w:r>
      <w:r w:rsidR="00BF458E">
        <w:rPr>
          <w:rFonts w:ascii="Calibri" w:eastAsia="Calibri" w:hAnsi="Calibri" w:cs="Calibri"/>
        </w:rPr>
        <w:t>s</w:t>
      </w:r>
      <w:r w:rsidR="008E6793">
        <w:rPr>
          <w:rFonts w:ascii="Calibri" w:eastAsia="Calibri" w:hAnsi="Calibri" w:cs="Calibri"/>
        </w:rPr>
        <w:t xml:space="preserve"> for </w:t>
      </w:r>
      <w:r w:rsidR="00133DDF">
        <w:rPr>
          <w:rFonts w:ascii="Calibri" w:eastAsia="Calibri" w:hAnsi="Calibri" w:cs="Calibri"/>
        </w:rPr>
        <w:t xml:space="preserve">others who may use </w:t>
      </w:r>
      <w:r w:rsidR="00DF24E7">
        <w:rPr>
          <w:rFonts w:ascii="Calibri" w:eastAsia="Calibri" w:hAnsi="Calibri" w:cs="Calibri"/>
        </w:rPr>
        <w:t xml:space="preserve">PA </w:t>
      </w:r>
      <w:r w:rsidR="00133DDF">
        <w:rPr>
          <w:rFonts w:ascii="Calibri" w:eastAsia="Calibri" w:hAnsi="Calibri" w:cs="Calibri"/>
        </w:rPr>
        <w:t xml:space="preserve">in the future. </w:t>
      </w:r>
      <w:r w:rsidR="00FF2624">
        <w:rPr>
          <w:rFonts w:ascii="Calibri" w:eastAsia="Calibri" w:hAnsi="Calibri" w:cs="Calibri"/>
        </w:rPr>
        <w:t>C</w:t>
      </w:r>
      <w:r w:rsidR="008E6793">
        <w:rPr>
          <w:rFonts w:ascii="Calibri" w:eastAsia="Calibri" w:hAnsi="Calibri" w:cs="Calibri"/>
        </w:rPr>
        <w:t>are</w:t>
      </w:r>
      <w:r w:rsidR="00BF458E">
        <w:rPr>
          <w:rFonts w:ascii="Calibri" w:eastAsia="Calibri" w:hAnsi="Calibri" w:cs="Calibri"/>
        </w:rPr>
        <w:t>ful</w:t>
      </w:r>
      <w:r w:rsidR="008E6793">
        <w:rPr>
          <w:rFonts w:ascii="Calibri" w:eastAsia="Calibri" w:hAnsi="Calibri" w:cs="Calibri"/>
        </w:rPr>
        <w:t xml:space="preserve"> thought need</w:t>
      </w:r>
      <w:r w:rsidR="00133DDF">
        <w:rPr>
          <w:rFonts w:ascii="Calibri" w:eastAsia="Calibri" w:hAnsi="Calibri" w:cs="Calibri"/>
        </w:rPr>
        <w:t>s</w:t>
      </w:r>
      <w:r w:rsidR="008E6793">
        <w:rPr>
          <w:rFonts w:ascii="Calibri" w:eastAsia="Calibri" w:hAnsi="Calibri" w:cs="Calibri"/>
        </w:rPr>
        <w:t xml:space="preserve"> to be given to the classification of social regularities</w:t>
      </w:r>
      <w:r w:rsidR="00FF2624">
        <w:rPr>
          <w:rFonts w:ascii="Calibri" w:eastAsia="Calibri" w:hAnsi="Calibri" w:cs="Calibri"/>
        </w:rPr>
        <w:t xml:space="preserve"> (</w:t>
      </w:r>
      <w:r w:rsidR="00E22914">
        <w:rPr>
          <w:rFonts w:ascii="Calibri" w:eastAsia="Calibri" w:hAnsi="Calibri" w:cs="Calibri"/>
        </w:rPr>
        <w:t>A</w:t>
      </w:r>
      <w:r w:rsidR="008E6793">
        <w:rPr>
          <w:rFonts w:ascii="Calibri" w:eastAsia="Calibri" w:hAnsi="Calibri" w:cs="Calibri"/>
        </w:rPr>
        <w:t xml:space="preserve">rena </w:t>
      </w:r>
      <w:r w:rsidR="005070EE">
        <w:rPr>
          <w:rFonts w:ascii="Calibri" w:eastAsia="Calibri" w:hAnsi="Calibri" w:cs="Calibri"/>
        </w:rPr>
        <w:t>2) and the social construction of the problem (</w:t>
      </w:r>
      <w:r w:rsidR="00E22914">
        <w:rPr>
          <w:rFonts w:ascii="Calibri" w:eastAsia="Calibri" w:hAnsi="Calibri" w:cs="Calibri"/>
        </w:rPr>
        <w:t>A</w:t>
      </w:r>
      <w:r w:rsidR="005070EE">
        <w:rPr>
          <w:rFonts w:ascii="Calibri" w:eastAsia="Calibri" w:hAnsi="Calibri" w:cs="Calibri"/>
        </w:rPr>
        <w:t>rena 1) to ensure that social regularities are identified as distinct from problem arenas</w:t>
      </w:r>
      <w:r w:rsidR="00BF458E">
        <w:rPr>
          <w:rFonts w:ascii="Calibri" w:eastAsia="Calibri" w:hAnsi="Calibri" w:cs="Calibri"/>
        </w:rPr>
        <w:t>.</w:t>
      </w:r>
      <w:r w:rsidR="00EA7B91">
        <w:rPr>
          <w:rFonts w:ascii="Calibri" w:eastAsia="Calibri" w:hAnsi="Calibri" w:cs="Calibri"/>
        </w:rPr>
        <w:t xml:space="preserve"> </w:t>
      </w:r>
      <w:r w:rsidR="00BF458E">
        <w:rPr>
          <w:rFonts w:ascii="Calibri" w:eastAsia="Calibri" w:hAnsi="Calibri" w:cs="Calibri"/>
        </w:rPr>
        <w:t>R</w:t>
      </w:r>
      <w:r w:rsidR="00EA7B91">
        <w:rPr>
          <w:rFonts w:ascii="Calibri" w:eastAsia="Calibri" w:hAnsi="Calibri" w:cs="Calibri"/>
        </w:rPr>
        <w:t xml:space="preserve">ecording the elements within the table </w:t>
      </w:r>
      <w:r w:rsidR="003D7235">
        <w:rPr>
          <w:rFonts w:ascii="Calibri" w:eastAsia="Calibri" w:hAnsi="Calibri" w:cs="Calibri"/>
        </w:rPr>
        <w:t xml:space="preserve">has </w:t>
      </w:r>
      <w:r w:rsidR="00EA7B91">
        <w:rPr>
          <w:rFonts w:ascii="Calibri" w:eastAsia="Calibri" w:hAnsi="Calibri" w:cs="Calibri"/>
        </w:rPr>
        <w:t>aid</w:t>
      </w:r>
      <w:r w:rsidR="003D7235">
        <w:rPr>
          <w:rFonts w:ascii="Calibri" w:eastAsia="Calibri" w:hAnsi="Calibri" w:cs="Calibri"/>
        </w:rPr>
        <w:t>ed my</w:t>
      </w:r>
      <w:r w:rsidR="00EA7B91">
        <w:rPr>
          <w:rFonts w:ascii="Calibri" w:eastAsia="Calibri" w:hAnsi="Calibri" w:cs="Calibri"/>
        </w:rPr>
        <w:t xml:space="preserve"> reflection</w:t>
      </w:r>
      <w:r w:rsidR="003D7235">
        <w:rPr>
          <w:rFonts w:ascii="Calibri" w:eastAsia="Calibri" w:hAnsi="Calibri" w:cs="Calibri"/>
        </w:rPr>
        <w:t xml:space="preserve"> and highlighted areas of </w:t>
      </w:r>
      <w:r w:rsidR="00C71F38">
        <w:rPr>
          <w:rFonts w:ascii="Calibri" w:eastAsia="Calibri" w:hAnsi="Calibri" w:cs="Calibri"/>
        </w:rPr>
        <w:t>potential cross</w:t>
      </w:r>
      <w:r w:rsidR="00E22914">
        <w:rPr>
          <w:rFonts w:ascii="Calibri" w:eastAsia="Calibri" w:hAnsi="Calibri" w:cs="Calibri"/>
        </w:rPr>
        <w:t>-</w:t>
      </w:r>
      <w:r w:rsidR="00C71F38">
        <w:rPr>
          <w:rFonts w:ascii="Calibri" w:eastAsia="Calibri" w:hAnsi="Calibri" w:cs="Calibri"/>
        </w:rPr>
        <w:t>over</w:t>
      </w:r>
      <w:r w:rsidR="008E6793">
        <w:rPr>
          <w:rFonts w:ascii="Calibri" w:eastAsia="Calibri" w:hAnsi="Calibri" w:cs="Calibri"/>
        </w:rPr>
        <w:t xml:space="preserve">. </w:t>
      </w:r>
      <w:r w:rsidR="00E22914">
        <w:rPr>
          <w:rFonts w:ascii="Calibri" w:eastAsia="Calibri" w:hAnsi="Calibri" w:cs="Calibri"/>
        </w:rPr>
        <w:t>W</w:t>
      </w:r>
      <w:r w:rsidR="003D7235">
        <w:rPr>
          <w:rFonts w:ascii="Calibri" w:eastAsia="Calibri" w:hAnsi="Calibri" w:cs="Calibri"/>
        </w:rPr>
        <w:t xml:space="preserve">hen considering </w:t>
      </w:r>
      <w:r w:rsidR="00E22914">
        <w:rPr>
          <w:rFonts w:ascii="Calibri" w:eastAsia="Calibri" w:hAnsi="Calibri" w:cs="Calibri"/>
        </w:rPr>
        <w:t>A</w:t>
      </w:r>
      <w:r w:rsidR="003D7235">
        <w:rPr>
          <w:rFonts w:ascii="Calibri" w:eastAsia="Calibri" w:hAnsi="Calibri" w:cs="Calibri"/>
        </w:rPr>
        <w:t>rena 1</w:t>
      </w:r>
      <w:r w:rsidR="00E22914">
        <w:rPr>
          <w:rFonts w:ascii="Calibri" w:eastAsia="Calibri" w:hAnsi="Calibri" w:cs="Calibri"/>
        </w:rPr>
        <w:t>,</w:t>
      </w:r>
      <w:r w:rsidR="003D7235">
        <w:rPr>
          <w:rFonts w:ascii="Calibri" w:eastAsia="Calibri" w:hAnsi="Calibri" w:cs="Calibri"/>
        </w:rPr>
        <w:t xml:space="preserve"> </w:t>
      </w:r>
      <w:r w:rsidR="00E22914">
        <w:rPr>
          <w:rFonts w:ascii="Calibri" w:eastAsia="Calibri" w:hAnsi="Calibri" w:cs="Calibri"/>
        </w:rPr>
        <w:t>for example,</w:t>
      </w:r>
      <w:r w:rsidR="003D7235">
        <w:rPr>
          <w:rFonts w:ascii="Calibri" w:eastAsia="Calibri" w:hAnsi="Calibri" w:cs="Calibri"/>
        </w:rPr>
        <w:t xml:space="preserve"> the identified problem of increasing vocational qualifications in school is also part of the social construction of the problem</w:t>
      </w:r>
      <w:r w:rsidR="00C71F38">
        <w:rPr>
          <w:rFonts w:ascii="Calibri" w:eastAsia="Calibri" w:hAnsi="Calibri" w:cs="Calibri"/>
        </w:rPr>
        <w:t xml:space="preserve"> of perceived declining standards in schools</w:t>
      </w:r>
      <w:r w:rsidR="003D7235">
        <w:rPr>
          <w:rFonts w:ascii="Calibri" w:eastAsia="Calibri" w:hAnsi="Calibri" w:cs="Calibri"/>
        </w:rPr>
        <w:t xml:space="preserve">. </w:t>
      </w:r>
      <w:r w:rsidR="008E6793">
        <w:rPr>
          <w:rFonts w:ascii="Calibri" w:eastAsia="Calibri" w:hAnsi="Calibri" w:cs="Calibri"/>
        </w:rPr>
        <w:t xml:space="preserve">I believe </w:t>
      </w:r>
      <w:r w:rsidR="00A14AC9">
        <w:rPr>
          <w:rFonts w:ascii="Calibri" w:eastAsia="Calibri" w:hAnsi="Calibri" w:cs="Calibri"/>
        </w:rPr>
        <w:t xml:space="preserve">that </w:t>
      </w:r>
      <w:r w:rsidR="008E6793">
        <w:rPr>
          <w:rFonts w:ascii="Calibri" w:eastAsia="Calibri" w:hAnsi="Calibri" w:cs="Calibri"/>
        </w:rPr>
        <w:t>there is scope to strengthen the framework further by delineating these concepts</w:t>
      </w:r>
      <w:r>
        <w:rPr>
          <w:rFonts w:ascii="Calibri" w:eastAsia="Calibri" w:hAnsi="Calibri" w:cs="Calibri"/>
        </w:rPr>
        <w:t xml:space="preserve"> further</w:t>
      </w:r>
      <w:r w:rsidR="00253F9F">
        <w:rPr>
          <w:rFonts w:ascii="Calibri" w:eastAsia="Calibri" w:hAnsi="Calibri" w:cs="Calibri"/>
        </w:rPr>
        <w:t xml:space="preserve"> </w:t>
      </w:r>
      <w:r w:rsidR="00C71F38">
        <w:rPr>
          <w:rFonts w:ascii="Calibri" w:eastAsia="Calibri" w:hAnsi="Calibri" w:cs="Calibri"/>
        </w:rPr>
        <w:t>when applying</w:t>
      </w:r>
      <w:r w:rsidR="002F06A3">
        <w:rPr>
          <w:rFonts w:ascii="Calibri" w:eastAsia="Calibri" w:hAnsi="Calibri" w:cs="Calibri"/>
        </w:rPr>
        <w:t xml:space="preserve"> them</w:t>
      </w:r>
      <w:r w:rsidR="00C71F38">
        <w:rPr>
          <w:rFonts w:ascii="Calibri" w:eastAsia="Calibri" w:hAnsi="Calibri" w:cs="Calibri"/>
        </w:rPr>
        <w:t xml:space="preserve"> to research topics. </w:t>
      </w:r>
    </w:p>
    <w:p w14:paraId="5EAEAFB9" w14:textId="77777777" w:rsidR="001A76CC" w:rsidRDefault="001A76CC" w:rsidP="00974AAC">
      <w:pPr>
        <w:pStyle w:val="Default"/>
        <w:spacing w:line="360" w:lineRule="auto"/>
        <w:rPr>
          <w:rFonts w:ascii="Calibri" w:eastAsia="Calibri" w:hAnsi="Calibri" w:cs="Calibri"/>
        </w:rPr>
      </w:pPr>
    </w:p>
    <w:p w14:paraId="69B32BA1" w14:textId="39D3DD74" w:rsidR="003A5D4C" w:rsidRDefault="00E22914" w:rsidP="00B6050F">
      <w:pPr>
        <w:pStyle w:val="Default"/>
        <w:tabs>
          <w:tab w:val="left" w:pos="7371"/>
        </w:tabs>
        <w:spacing w:after="200" w:line="360" w:lineRule="auto"/>
        <w:rPr>
          <w:rFonts w:ascii="Calibri" w:eastAsia="Calibri" w:hAnsi="Calibri" w:cs="Calibri"/>
        </w:rPr>
      </w:pPr>
      <w:r>
        <w:rPr>
          <w:rFonts w:ascii="Calibri" w:eastAsia="Calibri" w:hAnsi="Calibri" w:cs="Calibri"/>
        </w:rPr>
        <w:t>Despite a</w:t>
      </w:r>
      <w:r w:rsidR="008E6793">
        <w:rPr>
          <w:rFonts w:ascii="Calibri" w:eastAsia="Calibri" w:hAnsi="Calibri" w:cs="Calibri"/>
        </w:rPr>
        <w:t>uthors such as Gale (</w:t>
      </w:r>
      <w:r w:rsidR="00EB6A88">
        <w:rPr>
          <w:rFonts w:ascii="Calibri" w:eastAsia="Calibri" w:hAnsi="Calibri" w:cs="Calibri"/>
        </w:rPr>
        <w:t>2001</w:t>
      </w:r>
      <w:r w:rsidR="008E6793">
        <w:rPr>
          <w:rFonts w:ascii="Calibri" w:eastAsia="Calibri" w:hAnsi="Calibri" w:cs="Calibri"/>
        </w:rPr>
        <w:t>) Winter (</w:t>
      </w:r>
      <w:r w:rsidR="00EB6A88">
        <w:rPr>
          <w:rFonts w:ascii="Calibri" w:eastAsia="Calibri" w:hAnsi="Calibri" w:cs="Calibri"/>
        </w:rPr>
        <w:t>2011</w:t>
      </w:r>
      <w:r w:rsidR="008E6793">
        <w:rPr>
          <w:rFonts w:ascii="Calibri" w:eastAsia="Calibri" w:hAnsi="Calibri" w:cs="Calibri"/>
        </w:rPr>
        <w:t>) not f</w:t>
      </w:r>
      <w:r w:rsidR="00253F9F">
        <w:rPr>
          <w:rFonts w:ascii="Calibri" w:eastAsia="Calibri" w:hAnsi="Calibri" w:cs="Calibri"/>
        </w:rPr>
        <w:t>ind</w:t>
      </w:r>
      <w:r>
        <w:rPr>
          <w:rFonts w:ascii="Calibri" w:eastAsia="Calibri" w:hAnsi="Calibri" w:cs="Calibri"/>
        </w:rPr>
        <w:t>ing</w:t>
      </w:r>
      <w:r w:rsidR="008E6793">
        <w:rPr>
          <w:rFonts w:ascii="Calibri" w:eastAsia="Calibri" w:hAnsi="Calibri" w:cs="Calibri"/>
        </w:rPr>
        <w:t xml:space="preserve"> </w:t>
      </w:r>
      <w:r>
        <w:rPr>
          <w:rFonts w:ascii="Calibri" w:eastAsia="Calibri" w:hAnsi="Calibri" w:cs="Calibri"/>
        </w:rPr>
        <w:t>A</w:t>
      </w:r>
      <w:r w:rsidR="001A76CC">
        <w:rPr>
          <w:rFonts w:ascii="Calibri" w:eastAsia="Calibri" w:hAnsi="Calibri" w:cs="Calibri"/>
        </w:rPr>
        <w:t>rena</w:t>
      </w:r>
      <w:r w:rsidR="008E6793">
        <w:rPr>
          <w:rFonts w:ascii="Calibri" w:eastAsia="Calibri" w:hAnsi="Calibri" w:cs="Calibri"/>
        </w:rPr>
        <w:t xml:space="preserve"> 4</w:t>
      </w:r>
      <w:r w:rsidR="00C71F38">
        <w:rPr>
          <w:rFonts w:ascii="Calibri" w:eastAsia="Calibri" w:hAnsi="Calibri" w:cs="Calibri"/>
        </w:rPr>
        <w:t xml:space="preserve"> </w:t>
      </w:r>
      <w:r w:rsidR="008E6793">
        <w:rPr>
          <w:rFonts w:ascii="Calibri" w:eastAsia="Calibri" w:hAnsi="Calibri" w:cs="Calibri"/>
        </w:rPr>
        <w:t>ap</w:t>
      </w:r>
      <w:r w:rsidR="001A76CC">
        <w:rPr>
          <w:rFonts w:ascii="Calibri" w:eastAsia="Calibri" w:hAnsi="Calibri" w:cs="Calibri"/>
        </w:rPr>
        <w:t>plicable to their work</w:t>
      </w:r>
      <w:r>
        <w:rPr>
          <w:rFonts w:ascii="Calibri" w:eastAsia="Calibri" w:hAnsi="Calibri" w:cs="Calibri"/>
        </w:rPr>
        <w:t>,</w:t>
      </w:r>
      <w:r w:rsidR="001A76CC">
        <w:rPr>
          <w:rFonts w:ascii="Calibri" w:eastAsia="Calibri" w:hAnsi="Calibri" w:cs="Calibri"/>
        </w:rPr>
        <w:t xml:space="preserve"> I have found </w:t>
      </w:r>
      <w:r>
        <w:rPr>
          <w:rFonts w:ascii="Calibri" w:eastAsia="Calibri" w:hAnsi="Calibri" w:cs="Calibri"/>
        </w:rPr>
        <w:t>A</w:t>
      </w:r>
      <w:r w:rsidR="00EB6A88">
        <w:rPr>
          <w:rFonts w:ascii="Calibri" w:eastAsia="Calibri" w:hAnsi="Calibri" w:cs="Calibri"/>
        </w:rPr>
        <w:t>rena 4</w:t>
      </w:r>
      <w:r w:rsidR="001A76CC">
        <w:rPr>
          <w:rFonts w:ascii="Calibri" w:eastAsia="Calibri" w:hAnsi="Calibri" w:cs="Calibri"/>
        </w:rPr>
        <w:t xml:space="preserve"> to be</w:t>
      </w:r>
      <w:r w:rsidR="00253F9F">
        <w:rPr>
          <w:rFonts w:ascii="Calibri" w:eastAsia="Calibri" w:hAnsi="Calibri" w:cs="Calibri"/>
        </w:rPr>
        <w:t xml:space="preserve"> </w:t>
      </w:r>
      <w:r w:rsidR="001A76CC">
        <w:rPr>
          <w:rFonts w:ascii="Calibri" w:eastAsia="Calibri" w:hAnsi="Calibri" w:cs="Calibri"/>
        </w:rPr>
        <w:t>helpful</w:t>
      </w:r>
      <w:r w:rsidR="00253F9F">
        <w:rPr>
          <w:rFonts w:ascii="Calibri" w:eastAsia="Calibri" w:hAnsi="Calibri" w:cs="Calibri"/>
        </w:rPr>
        <w:t xml:space="preserve"> in</w:t>
      </w:r>
      <w:r w:rsidR="001A76CC">
        <w:rPr>
          <w:rFonts w:ascii="Calibri" w:eastAsia="Calibri" w:hAnsi="Calibri" w:cs="Calibri"/>
        </w:rPr>
        <w:t xml:space="preserve"> considering the </w:t>
      </w:r>
      <w:r w:rsidR="00EB6A88">
        <w:rPr>
          <w:rFonts w:ascii="Calibri" w:eastAsia="Calibri" w:hAnsi="Calibri" w:cs="Calibri"/>
        </w:rPr>
        <w:t>potential</w:t>
      </w:r>
      <w:r>
        <w:rPr>
          <w:rFonts w:ascii="Calibri" w:eastAsia="Calibri" w:hAnsi="Calibri" w:cs="Calibri"/>
        </w:rPr>
        <w:t>,</w:t>
      </w:r>
      <w:r w:rsidR="00EB6A88">
        <w:rPr>
          <w:rFonts w:ascii="Calibri" w:eastAsia="Calibri" w:hAnsi="Calibri" w:cs="Calibri"/>
        </w:rPr>
        <w:t xml:space="preserve"> or desired</w:t>
      </w:r>
      <w:r>
        <w:rPr>
          <w:rFonts w:ascii="Calibri" w:eastAsia="Calibri" w:hAnsi="Calibri" w:cs="Calibri"/>
        </w:rPr>
        <w:t>,</w:t>
      </w:r>
      <w:r w:rsidR="00EB6A88">
        <w:rPr>
          <w:rFonts w:ascii="Calibri" w:eastAsia="Calibri" w:hAnsi="Calibri" w:cs="Calibri"/>
        </w:rPr>
        <w:t xml:space="preserve"> </w:t>
      </w:r>
      <w:r w:rsidR="001A76CC">
        <w:rPr>
          <w:rFonts w:ascii="Calibri" w:eastAsia="Calibri" w:hAnsi="Calibri" w:cs="Calibri"/>
        </w:rPr>
        <w:t xml:space="preserve">role and function of my </w:t>
      </w:r>
      <w:r w:rsidR="009613E0">
        <w:rPr>
          <w:rFonts w:ascii="Calibri" w:eastAsia="Calibri" w:hAnsi="Calibri" w:cs="Calibri"/>
        </w:rPr>
        <w:t>CDA</w:t>
      </w:r>
      <w:r>
        <w:rPr>
          <w:rFonts w:ascii="Calibri" w:eastAsia="Calibri" w:hAnsi="Calibri" w:cs="Calibri"/>
        </w:rPr>
        <w:t>.</w:t>
      </w:r>
      <w:r w:rsidR="001A76CC">
        <w:rPr>
          <w:rFonts w:ascii="Calibri" w:eastAsia="Calibri" w:hAnsi="Calibri" w:cs="Calibri"/>
        </w:rPr>
        <w:t xml:space="preserve"> </w:t>
      </w:r>
      <w:r w:rsidR="00253F9F">
        <w:rPr>
          <w:rFonts w:ascii="Calibri" w:eastAsia="Calibri" w:hAnsi="Calibri" w:cs="Calibri"/>
        </w:rPr>
        <w:t xml:space="preserve">I </w:t>
      </w:r>
      <w:r>
        <w:rPr>
          <w:rFonts w:ascii="Calibri" w:eastAsia="Calibri" w:hAnsi="Calibri" w:cs="Calibri"/>
        </w:rPr>
        <w:t xml:space="preserve">do </w:t>
      </w:r>
      <w:r w:rsidR="00253F9F">
        <w:rPr>
          <w:rFonts w:ascii="Calibri" w:eastAsia="Calibri" w:hAnsi="Calibri" w:cs="Calibri"/>
        </w:rPr>
        <w:t>recommend</w:t>
      </w:r>
      <w:r>
        <w:rPr>
          <w:rFonts w:ascii="Calibri" w:eastAsia="Calibri" w:hAnsi="Calibri" w:cs="Calibri"/>
        </w:rPr>
        <w:t>, however,</w:t>
      </w:r>
      <w:r w:rsidR="001A76CC">
        <w:rPr>
          <w:rFonts w:ascii="Calibri" w:eastAsia="Calibri" w:hAnsi="Calibri" w:cs="Calibri"/>
        </w:rPr>
        <w:t xml:space="preserve"> that </w:t>
      </w:r>
      <w:r>
        <w:rPr>
          <w:rFonts w:ascii="Calibri" w:eastAsia="Calibri" w:hAnsi="Calibri" w:cs="Calibri"/>
        </w:rPr>
        <w:t>A</w:t>
      </w:r>
      <w:r w:rsidR="001A76CC">
        <w:rPr>
          <w:rFonts w:ascii="Calibri" w:eastAsia="Calibri" w:hAnsi="Calibri" w:cs="Calibri"/>
        </w:rPr>
        <w:t xml:space="preserve">rena 4 is addressed at the start of a policy analysis </w:t>
      </w:r>
      <w:r w:rsidR="00085725">
        <w:rPr>
          <w:rFonts w:ascii="Calibri" w:eastAsia="Calibri" w:hAnsi="Calibri" w:cs="Calibri"/>
        </w:rPr>
        <w:t xml:space="preserve">to guide the approach to the research </w:t>
      </w:r>
      <w:r w:rsidR="001A76CC">
        <w:rPr>
          <w:rFonts w:ascii="Calibri" w:eastAsia="Calibri" w:hAnsi="Calibri" w:cs="Calibri"/>
        </w:rPr>
        <w:t xml:space="preserve">as well as </w:t>
      </w:r>
      <w:r w:rsidR="00253F9F">
        <w:rPr>
          <w:rFonts w:ascii="Calibri" w:eastAsia="Calibri" w:hAnsi="Calibri" w:cs="Calibri"/>
        </w:rPr>
        <w:t>allowing for final reflection</w:t>
      </w:r>
      <w:r w:rsidR="001A76CC">
        <w:rPr>
          <w:rFonts w:ascii="Calibri" w:eastAsia="Calibri" w:hAnsi="Calibri" w:cs="Calibri"/>
        </w:rPr>
        <w:t>.</w:t>
      </w:r>
      <w:r w:rsidR="00FF2624">
        <w:rPr>
          <w:rFonts w:ascii="Calibri" w:eastAsia="Calibri" w:hAnsi="Calibri" w:cs="Calibri"/>
        </w:rPr>
        <w:t xml:space="preserve"> </w:t>
      </w:r>
      <w:r w:rsidR="00253F9F">
        <w:rPr>
          <w:rFonts w:ascii="Calibri" w:eastAsia="Calibri" w:hAnsi="Calibri" w:cs="Calibri"/>
        </w:rPr>
        <w:t>I</w:t>
      </w:r>
      <w:r w:rsidR="00085725">
        <w:rPr>
          <w:rFonts w:ascii="Calibri" w:eastAsia="Calibri" w:hAnsi="Calibri" w:cs="Calibri"/>
        </w:rPr>
        <w:t xml:space="preserve"> found Scheurich’s </w:t>
      </w:r>
      <w:r w:rsidR="00DF24E7">
        <w:rPr>
          <w:rFonts w:ascii="Calibri" w:eastAsia="Calibri" w:hAnsi="Calibri" w:cs="Calibri"/>
        </w:rPr>
        <w:t xml:space="preserve">PA </w:t>
      </w:r>
      <w:r w:rsidR="00085725">
        <w:rPr>
          <w:rFonts w:ascii="Calibri" w:eastAsia="Calibri" w:hAnsi="Calibri" w:cs="Calibri"/>
        </w:rPr>
        <w:t>framework a useful way of structuring and thinking about my research</w:t>
      </w:r>
      <w:r w:rsidR="003810A0">
        <w:rPr>
          <w:rFonts w:ascii="Calibri" w:eastAsia="Calibri" w:hAnsi="Calibri" w:cs="Calibri"/>
        </w:rPr>
        <w:t>, allowing me to amalgamate</w:t>
      </w:r>
      <w:r w:rsidR="00075DBD">
        <w:rPr>
          <w:rFonts w:ascii="Calibri" w:eastAsia="Calibri" w:hAnsi="Calibri" w:cs="Calibri"/>
        </w:rPr>
        <w:t xml:space="preserve"> </w:t>
      </w:r>
      <w:r w:rsidR="003810A0">
        <w:rPr>
          <w:rFonts w:ascii="Calibri" w:eastAsia="Calibri" w:hAnsi="Calibri" w:cs="Calibri"/>
        </w:rPr>
        <w:t>findings from my CDA and interviews</w:t>
      </w:r>
      <w:r w:rsidR="00085725">
        <w:rPr>
          <w:rFonts w:ascii="Calibri" w:eastAsia="Calibri" w:hAnsi="Calibri" w:cs="Calibri"/>
        </w:rPr>
        <w:t xml:space="preserve">. </w:t>
      </w:r>
      <w:r w:rsidR="00B90537">
        <w:rPr>
          <w:rFonts w:ascii="Calibri" w:eastAsia="Calibri" w:hAnsi="Calibri" w:cs="Calibri"/>
        </w:rPr>
        <w:t xml:space="preserve">The notion of ‘ability’ became of </w:t>
      </w:r>
      <w:r w:rsidR="000D6272">
        <w:rPr>
          <w:rFonts w:ascii="Calibri" w:eastAsia="Calibri" w:hAnsi="Calibri" w:cs="Calibri"/>
        </w:rPr>
        <w:t>great</w:t>
      </w:r>
      <w:r w:rsidR="00B90537">
        <w:rPr>
          <w:rFonts w:ascii="Calibri" w:eastAsia="Calibri" w:hAnsi="Calibri" w:cs="Calibri"/>
        </w:rPr>
        <w:t xml:space="preserve"> importance during my analysis</w:t>
      </w:r>
      <w:r w:rsidR="00112D78">
        <w:rPr>
          <w:rFonts w:ascii="Calibri" w:eastAsia="Calibri" w:hAnsi="Calibri" w:cs="Calibri"/>
        </w:rPr>
        <w:t>. The final section considers the impact of ‘ability’ as a controlling device over the EBac decisions of teachers.</w:t>
      </w:r>
    </w:p>
    <w:p w14:paraId="3D6C95E3" w14:textId="753ECA30" w:rsidR="00115FA6" w:rsidRDefault="00115FA6" w:rsidP="00531995">
      <w:pPr>
        <w:pStyle w:val="Heading2"/>
        <w:rPr>
          <w:rFonts w:eastAsia="Calibri"/>
        </w:rPr>
      </w:pPr>
      <w:bookmarkStart w:id="106" w:name="_Toc452316389"/>
      <w:r w:rsidRPr="00115FA6">
        <w:rPr>
          <w:rFonts w:eastAsia="Calibri"/>
        </w:rPr>
        <w:t>5.4 Governance, surveillance and ‘ability’</w:t>
      </w:r>
      <w:bookmarkEnd w:id="106"/>
    </w:p>
    <w:p w14:paraId="199D9EE0" w14:textId="0188C3B1" w:rsidR="003A5D4C" w:rsidRDefault="00862933" w:rsidP="00835388">
      <w:pPr>
        <w:pStyle w:val="Default"/>
        <w:tabs>
          <w:tab w:val="left" w:pos="7371"/>
        </w:tabs>
        <w:spacing w:line="360" w:lineRule="auto"/>
        <w:rPr>
          <w:rFonts w:ascii="Calibri" w:eastAsia="Calibri" w:hAnsi="Calibri" w:cs="Calibri"/>
        </w:rPr>
      </w:pPr>
      <w:r>
        <w:rPr>
          <w:rFonts w:ascii="Calibri" w:eastAsia="Calibri" w:hAnsi="Calibri" w:cs="Calibri"/>
        </w:rPr>
        <w:t xml:space="preserve">There is a growing body of literature on the impact of testing and accountability measures on schools, teachers and </w:t>
      </w:r>
      <w:r w:rsidR="006E032F">
        <w:rPr>
          <w:rFonts w:ascii="Calibri" w:eastAsia="Calibri" w:hAnsi="Calibri" w:cs="Calibri"/>
        </w:rPr>
        <w:t>students</w:t>
      </w:r>
      <w:r w:rsidR="00A14AC9">
        <w:rPr>
          <w:rFonts w:ascii="Calibri" w:eastAsia="Calibri" w:hAnsi="Calibri" w:cs="Calibri"/>
        </w:rPr>
        <w:t>,</w:t>
      </w:r>
      <w:r>
        <w:rPr>
          <w:rFonts w:ascii="Calibri" w:eastAsia="Calibri" w:hAnsi="Calibri" w:cs="Calibri"/>
        </w:rPr>
        <w:t xml:space="preserve"> </w:t>
      </w:r>
      <w:r w:rsidR="006E032F">
        <w:rPr>
          <w:rFonts w:ascii="Calibri" w:eastAsia="Calibri" w:hAnsi="Calibri" w:cs="Calibri"/>
        </w:rPr>
        <w:t>which appl</w:t>
      </w:r>
      <w:r w:rsidR="00A14AC9">
        <w:rPr>
          <w:rFonts w:ascii="Calibri" w:eastAsia="Calibri" w:hAnsi="Calibri" w:cs="Calibri"/>
        </w:rPr>
        <w:t>ies</w:t>
      </w:r>
      <w:r w:rsidR="006E032F">
        <w:rPr>
          <w:rFonts w:ascii="Calibri" w:eastAsia="Calibri" w:hAnsi="Calibri" w:cs="Calibri"/>
        </w:rPr>
        <w:t xml:space="preserve"> Foucault’s concepts of power and governmentality </w:t>
      </w:r>
      <w:r w:rsidR="003E4F6C">
        <w:rPr>
          <w:rFonts w:ascii="Calibri" w:eastAsia="Calibri" w:hAnsi="Calibri" w:cs="Calibri"/>
        </w:rPr>
        <w:t>to testing</w:t>
      </w:r>
      <w:r w:rsidR="00574B5E">
        <w:rPr>
          <w:rFonts w:ascii="Calibri" w:eastAsia="Calibri" w:hAnsi="Calibri" w:cs="Calibri"/>
        </w:rPr>
        <w:t xml:space="preserve"> (Lingard et al</w:t>
      </w:r>
      <w:r w:rsidR="00A14AC9">
        <w:rPr>
          <w:rFonts w:ascii="Calibri" w:eastAsia="Calibri" w:hAnsi="Calibri" w:cs="Calibri"/>
        </w:rPr>
        <w:t>.,</w:t>
      </w:r>
      <w:r w:rsidR="00574B5E">
        <w:rPr>
          <w:rFonts w:ascii="Calibri" w:eastAsia="Calibri" w:hAnsi="Calibri" w:cs="Calibri"/>
        </w:rPr>
        <w:t xml:space="preserve"> 2013</w:t>
      </w:r>
      <w:r w:rsidR="00A14AC9">
        <w:rPr>
          <w:rFonts w:ascii="Calibri" w:eastAsia="Calibri" w:hAnsi="Calibri" w:cs="Calibri"/>
        </w:rPr>
        <w:t xml:space="preserve">; </w:t>
      </w:r>
      <w:r w:rsidR="00574B5E">
        <w:rPr>
          <w:rFonts w:ascii="Calibri" w:eastAsia="Calibri" w:hAnsi="Calibri" w:cs="Calibri"/>
        </w:rPr>
        <w:t xml:space="preserve">2014; Lingard </w:t>
      </w:r>
      <w:r w:rsidR="00A14AC9">
        <w:rPr>
          <w:rFonts w:ascii="Calibri" w:eastAsia="Calibri" w:hAnsi="Calibri" w:cs="Calibri"/>
        </w:rPr>
        <w:t>and</w:t>
      </w:r>
      <w:r w:rsidR="00574B5E">
        <w:rPr>
          <w:rFonts w:ascii="Calibri" w:eastAsia="Calibri" w:hAnsi="Calibri" w:cs="Calibri"/>
        </w:rPr>
        <w:t xml:space="preserve"> Sellar</w:t>
      </w:r>
      <w:r w:rsidR="00A14AC9">
        <w:rPr>
          <w:rFonts w:ascii="Calibri" w:eastAsia="Calibri" w:hAnsi="Calibri" w:cs="Calibri"/>
        </w:rPr>
        <w:t>,</w:t>
      </w:r>
      <w:r w:rsidR="00574B5E">
        <w:rPr>
          <w:rFonts w:ascii="Calibri" w:eastAsia="Calibri" w:hAnsi="Calibri" w:cs="Calibri"/>
        </w:rPr>
        <w:t xml:space="preserve"> 2013; Angus</w:t>
      </w:r>
      <w:r w:rsidR="00A14AC9">
        <w:rPr>
          <w:rFonts w:ascii="Calibri" w:eastAsia="Calibri" w:hAnsi="Calibri" w:cs="Calibri"/>
        </w:rPr>
        <w:t>,</w:t>
      </w:r>
      <w:r w:rsidR="00574B5E">
        <w:rPr>
          <w:rFonts w:ascii="Calibri" w:eastAsia="Calibri" w:hAnsi="Calibri" w:cs="Calibri"/>
        </w:rPr>
        <w:t xml:space="preserve"> 2012)</w:t>
      </w:r>
      <w:r w:rsidR="003E4F6C">
        <w:rPr>
          <w:rFonts w:ascii="Calibri" w:eastAsia="Calibri" w:hAnsi="Calibri" w:cs="Calibri"/>
        </w:rPr>
        <w:t xml:space="preserve">. </w:t>
      </w:r>
      <w:r w:rsidR="00EC581F">
        <w:rPr>
          <w:rFonts w:ascii="Calibri" w:eastAsia="Calibri" w:hAnsi="Calibri" w:cs="Calibri"/>
        </w:rPr>
        <w:t xml:space="preserve">My study has highlighted the impact of </w:t>
      </w:r>
      <w:r w:rsidR="003E4F6C">
        <w:rPr>
          <w:rFonts w:ascii="Calibri" w:eastAsia="Calibri" w:hAnsi="Calibri" w:cs="Calibri"/>
        </w:rPr>
        <w:t>high-stakes testing, a central ten</w:t>
      </w:r>
      <w:r w:rsidR="00A14AC9">
        <w:rPr>
          <w:rFonts w:ascii="Calibri" w:eastAsia="Calibri" w:hAnsi="Calibri" w:cs="Calibri"/>
        </w:rPr>
        <w:t>e</w:t>
      </w:r>
      <w:r w:rsidR="003E4F6C">
        <w:rPr>
          <w:rFonts w:ascii="Calibri" w:eastAsia="Calibri" w:hAnsi="Calibri" w:cs="Calibri"/>
        </w:rPr>
        <w:t>t of neoliberal education policy,</w:t>
      </w:r>
      <w:r w:rsidR="00EC581F">
        <w:rPr>
          <w:rFonts w:ascii="Calibri" w:eastAsia="Calibri" w:hAnsi="Calibri" w:cs="Calibri"/>
        </w:rPr>
        <w:t xml:space="preserve"> as</w:t>
      </w:r>
      <w:r w:rsidR="003E4F6C">
        <w:rPr>
          <w:rFonts w:ascii="Calibri" w:eastAsia="Calibri" w:hAnsi="Calibri" w:cs="Calibri"/>
        </w:rPr>
        <w:t xml:space="preserve"> a key part of the technology of governance </w:t>
      </w:r>
      <w:r w:rsidR="000D6272">
        <w:rPr>
          <w:rFonts w:ascii="Calibri" w:eastAsia="Calibri" w:hAnsi="Calibri" w:cs="Calibri"/>
        </w:rPr>
        <w:t>through the self-</w:t>
      </w:r>
      <w:r w:rsidR="000D6272">
        <w:rPr>
          <w:rFonts w:ascii="Calibri" w:eastAsia="Calibri" w:hAnsi="Calibri" w:cs="Calibri"/>
        </w:rPr>
        <w:lastRenderedPageBreak/>
        <w:t xml:space="preserve">governance of </w:t>
      </w:r>
      <w:r w:rsidR="003E4F6C">
        <w:rPr>
          <w:rFonts w:ascii="Calibri" w:eastAsia="Calibri" w:hAnsi="Calibri" w:cs="Calibri"/>
        </w:rPr>
        <w:t>individual teachers and students using data generated on</w:t>
      </w:r>
      <w:r w:rsidR="00C8450F">
        <w:rPr>
          <w:rFonts w:ascii="Calibri" w:eastAsia="Calibri" w:hAnsi="Calibri" w:cs="Calibri"/>
        </w:rPr>
        <w:t xml:space="preserve"> likely educational outcome</w:t>
      </w:r>
      <w:r w:rsidR="00A2096F">
        <w:rPr>
          <w:rFonts w:ascii="Calibri" w:eastAsia="Calibri" w:hAnsi="Calibri" w:cs="Calibri"/>
        </w:rPr>
        <w:t>s</w:t>
      </w:r>
      <w:r w:rsidR="003E4F6C">
        <w:rPr>
          <w:rFonts w:ascii="Calibri" w:eastAsia="Calibri" w:hAnsi="Calibri" w:cs="Calibri"/>
        </w:rPr>
        <w:t>.</w:t>
      </w:r>
      <w:r w:rsidR="00C8450F">
        <w:rPr>
          <w:rFonts w:ascii="Calibri" w:eastAsia="Calibri" w:hAnsi="Calibri" w:cs="Calibri"/>
        </w:rPr>
        <w:t xml:space="preserve"> </w:t>
      </w:r>
    </w:p>
    <w:p w14:paraId="324F2633" w14:textId="77777777" w:rsidR="00A23EDF" w:rsidRDefault="00A23EDF" w:rsidP="00835388">
      <w:pPr>
        <w:pStyle w:val="Default"/>
        <w:tabs>
          <w:tab w:val="left" w:pos="7371"/>
        </w:tabs>
        <w:spacing w:line="360" w:lineRule="auto"/>
        <w:rPr>
          <w:rFonts w:ascii="Calibri" w:eastAsia="Calibri" w:hAnsi="Calibri" w:cs="Calibri"/>
        </w:rPr>
      </w:pPr>
    </w:p>
    <w:p w14:paraId="63443229" w14:textId="310317E7" w:rsidR="006C71F8" w:rsidRDefault="003410B4" w:rsidP="00835388">
      <w:pPr>
        <w:pStyle w:val="Default"/>
        <w:tabs>
          <w:tab w:val="left" w:pos="7371"/>
        </w:tabs>
        <w:spacing w:line="360" w:lineRule="auto"/>
        <w:rPr>
          <w:rFonts w:ascii="Calibri" w:eastAsia="Calibri" w:hAnsi="Calibri" w:cs="Calibri"/>
        </w:rPr>
      </w:pPr>
      <w:r>
        <w:rPr>
          <w:rFonts w:ascii="Calibri" w:eastAsia="Calibri" w:hAnsi="Calibri" w:cs="Calibri"/>
        </w:rPr>
        <w:t>Lingard and</w:t>
      </w:r>
      <w:r w:rsidR="006C71F8">
        <w:rPr>
          <w:rFonts w:ascii="Calibri" w:eastAsia="Calibri" w:hAnsi="Calibri" w:cs="Calibri"/>
        </w:rPr>
        <w:t xml:space="preserve"> Sellar (2013) state that:</w:t>
      </w:r>
    </w:p>
    <w:p w14:paraId="111C2705" w14:textId="76C81D36" w:rsidR="006C71F8" w:rsidRDefault="00574B5E" w:rsidP="00EC581F">
      <w:pPr>
        <w:pStyle w:val="Default"/>
        <w:tabs>
          <w:tab w:val="left" w:pos="7371"/>
        </w:tabs>
        <w:ind w:left="720"/>
        <w:rPr>
          <w:rFonts w:ascii="Calibri" w:eastAsia="Calibri" w:hAnsi="Calibri" w:cs="Calibri"/>
        </w:rPr>
      </w:pPr>
      <w:r>
        <w:rPr>
          <w:rFonts w:ascii="Calibri" w:eastAsia="Calibri" w:hAnsi="Calibri" w:cs="Calibri"/>
        </w:rPr>
        <w:t>[h]</w:t>
      </w:r>
      <w:r w:rsidR="006C71F8">
        <w:rPr>
          <w:rFonts w:ascii="Calibri" w:eastAsia="Calibri" w:hAnsi="Calibri" w:cs="Calibri"/>
        </w:rPr>
        <w:t>igh stakes testing is thus linked to an affective politics through which the work of educational governance is increasingly operation</w:t>
      </w:r>
      <w:r w:rsidR="000D6272">
        <w:rPr>
          <w:rFonts w:ascii="Calibri" w:eastAsia="Calibri" w:hAnsi="Calibri" w:cs="Calibri"/>
        </w:rPr>
        <w:t>a</w:t>
      </w:r>
      <w:r w:rsidR="006C71F8">
        <w:rPr>
          <w:rFonts w:ascii="Calibri" w:eastAsia="Calibri" w:hAnsi="Calibri" w:cs="Calibri"/>
        </w:rPr>
        <w:t>lized within education systems in control societies. This is one vector of governmentality and the self-governing of policy-makers, school leaders and teachers (p.639).</w:t>
      </w:r>
    </w:p>
    <w:p w14:paraId="6A51837F" w14:textId="77777777" w:rsidR="00C8450F" w:rsidRDefault="00C8450F" w:rsidP="00835388">
      <w:pPr>
        <w:pStyle w:val="Default"/>
        <w:tabs>
          <w:tab w:val="left" w:pos="7371"/>
        </w:tabs>
        <w:spacing w:line="360" w:lineRule="auto"/>
        <w:rPr>
          <w:rFonts w:ascii="Calibri" w:eastAsia="Calibri" w:hAnsi="Calibri" w:cs="Calibri"/>
        </w:rPr>
      </w:pPr>
    </w:p>
    <w:p w14:paraId="41A38F8D" w14:textId="76159E7F" w:rsidR="00EC581F" w:rsidRDefault="000D6272" w:rsidP="00835388">
      <w:pPr>
        <w:pStyle w:val="Default"/>
        <w:tabs>
          <w:tab w:val="left" w:pos="7371"/>
        </w:tabs>
        <w:spacing w:line="360" w:lineRule="auto"/>
        <w:rPr>
          <w:rFonts w:ascii="Calibri" w:eastAsia="Calibri" w:hAnsi="Calibri" w:cs="Calibri"/>
        </w:rPr>
      </w:pPr>
      <w:r>
        <w:rPr>
          <w:rFonts w:ascii="Calibri" w:eastAsia="Calibri" w:hAnsi="Calibri" w:cs="Calibri"/>
        </w:rPr>
        <w:t>As part of the accountability system, t</w:t>
      </w:r>
      <w:r w:rsidR="00EC581F">
        <w:rPr>
          <w:rFonts w:ascii="Calibri" w:eastAsia="Calibri" w:hAnsi="Calibri" w:cs="Calibri"/>
        </w:rPr>
        <w:t>he EBac is a performance measure of schools and teachers</w:t>
      </w:r>
      <w:r w:rsidR="00AC4EDB">
        <w:rPr>
          <w:rFonts w:ascii="Calibri" w:eastAsia="Calibri" w:hAnsi="Calibri" w:cs="Calibri"/>
        </w:rPr>
        <w:t>,</w:t>
      </w:r>
      <w:r w:rsidR="00EC581F">
        <w:rPr>
          <w:rFonts w:ascii="Calibri" w:eastAsia="Calibri" w:hAnsi="Calibri" w:cs="Calibri"/>
        </w:rPr>
        <w:t xml:space="preserve"> yet has very little direct impact on students in terms of them being required by universities or employers to </w:t>
      </w:r>
      <w:r>
        <w:rPr>
          <w:rFonts w:ascii="Calibri" w:eastAsia="Calibri" w:hAnsi="Calibri" w:cs="Calibri"/>
        </w:rPr>
        <w:t xml:space="preserve">demonstrate achievement of </w:t>
      </w:r>
      <w:r w:rsidR="00EC581F">
        <w:rPr>
          <w:rFonts w:ascii="Calibri" w:eastAsia="Calibri" w:hAnsi="Calibri" w:cs="Calibri"/>
        </w:rPr>
        <w:t xml:space="preserve">the EBac. In order to encourage students to study the EBac </w:t>
      </w:r>
      <w:r>
        <w:rPr>
          <w:rFonts w:ascii="Calibri" w:eastAsia="Calibri" w:hAnsi="Calibri" w:cs="Calibri"/>
        </w:rPr>
        <w:t xml:space="preserve">subject </w:t>
      </w:r>
      <w:r w:rsidR="00EC581F">
        <w:rPr>
          <w:rFonts w:ascii="Calibri" w:eastAsia="Calibri" w:hAnsi="Calibri" w:cs="Calibri"/>
        </w:rPr>
        <w:t>combination</w:t>
      </w:r>
      <w:r>
        <w:rPr>
          <w:rFonts w:ascii="Calibri" w:eastAsia="Calibri" w:hAnsi="Calibri" w:cs="Calibri"/>
        </w:rPr>
        <w:t>,</w:t>
      </w:r>
      <w:r w:rsidR="00EC581F">
        <w:rPr>
          <w:rFonts w:ascii="Calibri" w:eastAsia="Calibri" w:hAnsi="Calibri" w:cs="Calibri"/>
        </w:rPr>
        <w:t xml:space="preserve"> teachers a</w:t>
      </w:r>
      <w:r>
        <w:rPr>
          <w:rFonts w:ascii="Calibri" w:eastAsia="Calibri" w:hAnsi="Calibri" w:cs="Calibri"/>
        </w:rPr>
        <w:t>dmitted</w:t>
      </w:r>
      <w:r w:rsidR="00EC581F">
        <w:rPr>
          <w:rFonts w:ascii="Calibri" w:eastAsia="Calibri" w:hAnsi="Calibri" w:cs="Calibri"/>
        </w:rPr>
        <w:t xml:space="preserve"> using a variety of persuasive techniques to portray th</w:t>
      </w:r>
      <w:r>
        <w:rPr>
          <w:rFonts w:ascii="Calibri" w:eastAsia="Calibri" w:hAnsi="Calibri" w:cs="Calibri"/>
        </w:rPr>
        <w:t>e EBac</w:t>
      </w:r>
      <w:r w:rsidR="00EC581F">
        <w:rPr>
          <w:rFonts w:ascii="Calibri" w:eastAsia="Calibri" w:hAnsi="Calibri" w:cs="Calibri"/>
        </w:rPr>
        <w:t xml:space="preserve"> as a valuable route to study</w:t>
      </w:r>
      <w:r>
        <w:rPr>
          <w:rFonts w:ascii="Calibri" w:eastAsia="Calibri" w:hAnsi="Calibri" w:cs="Calibri"/>
        </w:rPr>
        <w:t>,</w:t>
      </w:r>
      <w:r w:rsidR="003F2A4A">
        <w:rPr>
          <w:rFonts w:ascii="Calibri" w:eastAsia="Calibri" w:hAnsi="Calibri" w:cs="Calibri"/>
        </w:rPr>
        <w:t xml:space="preserve"> or in some cases</w:t>
      </w:r>
      <w:r>
        <w:rPr>
          <w:rFonts w:ascii="Calibri" w:eastAsia="Calibri" w:hAnsi="Calibri" w:cs="Calibri"/>
        </w:rPr>
        <w:t>,</w:t>
      </w:r>
      <w:r w:rsidR="003F2A4A">
        <w:rPr>
          <w:rFonts w:ascii="Calibri" w:eastAsia="Calibri" w:hAnsi="Calibri" w:cs="Calibri"/>
        </w:rPr>
        <w:t xml:space="preserve"> not </w:t>
      </w:r>
      <w:r>
        <w:rPr>
          <w:rFonts w:ascii="Calibri" w:eastAsia="Calibri" w:hAnsi="Calibri" w:cs="Calibri"/>
        </w:rPr>
        <w:t>as an option</w:t>
      </w:r>
      <w:r w:rsidR="003F2A4A">
        <w:rPr>
          <w:rFonts w:ascii="Calibri" w:eastAsia="Calibri" w:hAnsi="Calibri" w:cs="Calibri"/>
        </w:rPr>
        <w:t xml:space="preserve"> if success was not regarded as a likely outcome</w:t>
      </w:r>
      <w:r w:rsidR="00EC581F">
        <w:rPr>
          <w:rFonts w:ascii="Calibri" w:eastAsia="Calibri" w:hAnsi="Calibri" w:cs="Calibri"/>
        </w:rPr>
        <w:t>. It was evident that for three of the four schools</w:t>
      </w:r>
      <w:r w:rsidR="00AC4EDB">
        <w:rPr>
          <w:rFonts w:ascii="Calibri" w:eastAsia="Calibri" w:hAnsi="Calibri" w:cs="Calibri"/>
        </w:rPr>
        <w:t>,</w:t>
      </w:r>
      <w:r w:rsidR="00EC581F">
        <w:rPr>
          <w:rFonts w:ascii="Calibri" w:eastAsia="Calibri" w:hAnsi="Calibri" w:cs="Calibri"/>
        </w:rPr>
        <w:t xml:space="preserve"> the EBac was directed a</w:t>
      </w:r>
      <w:r w:rsidR="009C51C6">
        <w:rPr>
          <w:rFonts w:ascii="Calibri" w:eastAsia="Calibri" w:hAnsi="Calibri" w:cs="Calibri"/>
        </w:rPr>
        <w:t>t particular students</w:t>
      </w:r>
      <w:r w:rsidR="003F2A4A">
        <w:rPr>
          <w:rFonts w:ascii="Calibri" w:eastAsia="Calibri" w:hAnsi="Calibri" w:cs="Calibri"/>
        </w:rPr>
        <w:t xml:space="preserve"> who were </w:t>
      </w:r>
      <w:r w:rsidR="00115FA6">
        <w:rPr>
          <w:rFonts w:ascii="Calibri" w:eastAsia="Calibri" w:hAnsi="Calibri" w:cs="Calibri"/>
        </w:rPr>
        <w:t xml:space="preserve">classified </w:t>
      </w:r>
      <w:r>
        <w:rPr>
          <w:rFonts w:ascii="Calibri" w:eastAsia="Calibri" w:hAnsi="Calibri" w:cs="Calibri"/>
        </w:rPr>
        <w:t xml:space="preserve">as </w:t>
      </w:r>
      <w:r w:rsidR="003F2A4A">
        <w:rPr>
          <w:rFonts w:ascii="Calibri" w:eastAsia="Calibri" w:hAnsi="Calibri" w:cs="Calibri"/>
        </w:rPr>
        <w:t>‘high ability’</w:t>
      </w:r>
      <w:r w:rsidR="009C51C6">
        <w:rPr>
          <w:rFonts w:ascii="Calibri" w:eastAsia="Calibri" w:hAnsi="Calibri" w:cs="Calibri"/>
        </w:rPr>
        <w:t>.</w:t>
      </w:r>
    </w:p>
    <w:p w14:paraId="3AC6E1B3" w14:textId="77777777" w:rsidR="00EC581F" w:rsidRDefault="00EC581F" w:rsidP="00835388">
      <w:pPr>
        <w:pStyle w:val="Default"/>
        <w:tabs>
          <w:tab w:val="left" w:pos="7371"/>
        </w:tabs>
        <w:spacing w:line="360" w:lineRule="auto"/>
        <w:rPr>
          <w:rFonts w:ascii="Calibri" w:eastAsia="Calibri" w:hAnsi="Calibri" w:cs="Calibri"/>
        </w:rPr>
      </w:pPr>
    </w:p>
    <w:p w14:paraId="3017389C" w14:textId="3211871F" w:rsidR="00891155" w:rsidRDefault="00C8450F" w:rsidP="00B6050F">
      <w:pPr>
        <w:pStyle w:val="Default"/>
        <w:tabs>
          <w:tab w:val="left" w:pos="7371"/>
        </w:tabs>
        <w:spacing w:after="200" w:line="360" w:lineRule="auto"/>
        <w:rPr>
          <w:rFonts w:ascii="Calibri" w:eastAsia="Calibri" w:hAnsi="Calibri" w:cs="Calibri"/>
        </w:rPr>
      </w:pPr>
      <w:r>
        <w:rPr>
          <w:rFonts w:ascii="Calibri" w:eastAsia="Calibri" w:hAnsi="Calibri" w:cs="Calibri"/>
        </w:rPr>
        <w:t>During the interviews with teachers</w:t>
      </w:r>
      <w:r w:rsidR="00AC4EDB">
        <w:rPr>
          <w:rFonts w:ascii="Calibri" w:eastAsia="Calibri" w:hAnsi="Calibri" w:cs="Calibri"/>
        </w:rPr>
        <w:t>,</w:t>
      </w:r>
      <w:r>
        <w:rPr>
          <w:rFonts w:ascii="Calibri" w:eastAsia="Calibri" w:hAnsi="Calibri" w:cs="Calibri"/>
        </w:rPr>
        <w:t xml:space="preserve"> I was surprised by the lack of consideration or even acknowledgement of </w:t>
      </w:r>
      <w:r w:rsidR="003F2A4A">
        <w:rPr>
          <w:rFonts w:ascii="Calibri" w:eastAsia="Calibri" w:hAnsi="Calibri" w:cs="Calibri"/>
        </w:rPr>
        <w:t xml:space="preserve">potential </w:t>
      </w:r>
      <w:r>
        <w:rPr>
          <w:rFonts w:ascii="Calibri" w:eastAsia="Calibri" w:hAnsi="Calibri" w:cs="Calibri"/>
        </w:rPr>
        <w:t>issues of social class, gender</w:t>
      </w:r>
      <w:r w:rsidR="00426342">
        <w:rPr>
          <w:rFonts w:ascii="Calibri" w:eastAsia="Calibri" w:hAnsi="Calibri" w:cs="Calibri"/>
        </w:rPr>
        <w:t xml:space="preserve">, </w:t>
      </w:r>
      <w:r>
        <w:rPr>
          <w:rFonts w:ascii="Calibri" w:eastAsia="Calibri" w:hAnsi="Calibri" w:cs="Calibri"/>
        </w:rPr>
        <w:t xml:space="preserve">ethnicity </w:t>
      </w:r>
      <w:r w:rsidR="00426342">
        <w:rPr>
          <w:rFonts w:ascii="Calibri" w:eastAsia="Calibri" w:hAnsi="Calibri" w:cs="Calibri"/>
        </w:rPr>
        <w:t>and SEND</w:t>
      </w:r>
      <w:r w:rsidR="000D6272">
        <w:rPr>
          <w:rFonts w:ascii="Calibri" w:eastAsia="Calibri" w:hAnsi="Calibri" w:cs="Calibri"/>
        </w:rPr>
        <w:t xml:space="preserve"> </w:t>
      </w:r>
      <w:r>
        <w:rPr>
          <w:rFonts w:ascii="Calibri" w:eastAsia="Calibri" w:hAnsi="Calibri" w:cs="Calibri"/>
        </w:rPr>
        <w:t xml:space="preserve">as possible factors when considering the EBac and </w:t>
      </w:r>
      <w:r w:rsidR="009C51C6">
        <w:rPr>
          <w:rFonts w:ascii="Calibri" w:eastAsia="Calibri" w:hAnsi="Calibri" w:cs="Calibri"/>
        </w:rPr>
        <w:t xml:space="preserve">issues of </w:t>
      </w:r>
      <w:r>
        <w:rPr>
          <w:rFonts w:ascii="Calibri" w:eastAsia="Calibri" w:hAnsi="Calibri" w:cs="Calibri"/>
        </w:rPr>
        <w:t xml:space="preserve">equality. </w:t>
      </w:r>
      <w:r w:rsidR="009C51C6">
        <w:rPr>
          <w:rFonts w:ascii="Calibri" w:eastAsia="Calibri" w:hAnsi="Calibri" w:cs="Calibri"/>
        </w:rPr>
        <w:t xml:space="preserve">Lingard </w:t>
      </w:r>
      <w:r w:rsidR="00AC4EDB">
        <w:rPr>
          <w:rFonts w:ascii="Calibri" w:eastAsia="Calibri" w:hAnsi="Calibri" w:cs="Calibri"/>
        </w:rPr>
        <w:t>and</w:t>
      </w:r>
      <w:r w:rsidR="009C51C6">
        <w:rPr>
          <w:rFonts w:ascii="Calibri" w:eastAsia="Calibri" w:hAnsi="Calibri" w:cs="Calibri"/>
        </w:rPr>
        <w:t xml:space="preserve"> McGregor argue that a return to traditional curriculum structures</w:t>
      </w:r>
      <w:r w:rsidR="00AC4EDB">
        <w:rPr>
          <w:rFonts w:ascii="Calibri" w:eastAsia="Calibri" w:hAnsi="Calibri" w:cs="Calibri"/>
        </w:rPr>
        <w:t xml:space="preserve"> (that I suggest </w:t>
      </w:r>
      <w:r w:rsidR="009C51C6">
        <w:rPr>
          <w:rFonts w:ascii="Calibri" w:eastAsia="Calibri" w:hAnsi="Calibri" w:cs="Calibri"/>
        </w:rPr>
        <w:t xml:space="preserve">the EBac </w:t>
      </w:r>
      <w:r w:rsidR="000D6272">
        <w:rPr>
          <w:rFonts w:ascii="Calibri" w:eastAsia="Calibri" w:hAnsi="Calibri" w:cs="Calibri"/>
        </w:rPr>
        <w:t>represents</w:t>
      </w:r>
      <w:r w:rsidR="00AC4EDB">
        <w:rPr>
          <w:rFonts w:ascii="Calibri" w:eastAsia="Calibri" w:hAnsi="Calibri" w:cs="Calibri"/>
        </w:rPr>
        <w:t>)</w:t>
      </w:r>
      <w:r w:rsidR="009C51C6">
        <w:rPr>
          <w:rFonts w:ascii="Calibri" w:eastAsia="Calibri" w:hAnsi="Calibri" w:cs="Calibri"/>
        </w:rPr>
        <w:t>, “would potentially entrench middle-class educational advantage</w:t>
      </w:r>
      <w:r w:rsidR="00AC4EDB">
        <w:rPr>
          <w:rFonts w:ascii="Calibri" w:eastAsia="Calibri" w:hAnsi="Calibri" w:cs="Calibri"/>
        </w:rPr>
        <w:t>,</w:t>
      </w:r>
      <w:r w:rsidR="009C51C6">
        <w:rPr>
          <w:rFonts w:ascii="Calibri" w:eastAsia="Calibri" w:hAnsi="Calibri" w:cs="Calibri"/>
        </w:rPr>
        <w:t xml:space="preserve"> particularly when coupled with the current regimes of testing and accountability” (2014</w:t>
      </w:r>
      <w:r w:rsidR="00574B5E">
        <w:rPr>
          <w:rFonts w:ascii="Calibri" w:eastAsia="Calibri" w:hAnsi="Calibri" w:cs="Calibri"/>
        </w:rPr>
        <w:t>,</w:t>
      </w:r>
      <w:r w:rsidR="009C51C6">
        <w:rPr>
          <w:rFonts w:ascii="Calibri" w:eastAsia="Calibri" w:hAnsi="Calibri" w:cs="Calibri"/>
        </w:rPr>
        <w:t xml:space="preserve"> p.102). </w:t>
      </w:r>
      <w:r w:rsidR="00AC4EDB">
        <w:rPr>
          <w:rFonts w:ascii="Calibri" w:eastAsia="Calibri" w:hAnsi="Calibri" w:cs="Calibri"/>
        </w:rPr>
        <w:t>T</w:t>
      </w:r>
      <w:r>
        <w:rPr>
          <w:rFonts w:ascii="Calibri" w:eastAsia="Calibri" w:hAnsi="Calibri" w:cs="Calibri"/>
        </w:rPr>
        <w:t xml:space="preserve">he issue </w:t>
      </w:r>
      <w:r w:rsidR="00426342">
        <w:rPr>
          <w:rFonts w:ascii="Calibri" w:eastAsia="Calibri" w:hAnsi="Calibri" w:cs="Calibri"/>
        </w:rPr>
        <w:t>of</w:t>
      </w:r>
      <w:r w:rsidR="000D6272">
        <w:rPr>
          <w:rFonts w:ascii="Calibri" w:eastAsia="Calibri" w:hAnsi="Calibri" w:cs="Calibri"/>
        </w:rPr>
        <w:t xml:space="preserve"> key importance </w:t>
      </w:r>
      <w:r>
        <w:rPr>
          <w:rFonts w:ascii="Calibri" w:eastAsia="Calibri" w:hAnsi="Calibri" w:cs="Calibri"/>
        </w:rPr>
        <w:t xml:space="preserve">that was referred to </w:t>
      </w:r>
      <w:r w:rsidR="009C51C6">
        <w:rPr>
          <w:rFonts w:ascii="Calibri" w:eastAsia="Calibri" w:hAnsi="Calibri" w:cs="Calibri"/>
        </w:rPr>
        <w:t xml:space="preserve">by teachers when discussing the EBac </w:t>
      </w:r>
      <w:r>
        <w:rPr>
          <w:rFonts w:ascii="Calibri" w:eastAsia="Calibri" w:hAnsi="Calibri" w:cs="Calibri"/>
        </w:rPr>
        <w:t xml:space="preserve">was that of </w:t>
      </w:r>
      <w:r w:rsidR="000D6272">
        <w:rPr>
          <w:rFonts w:ascii="Calibri" w:eastAsia="Calibri" w:hAnsi="Calibri" w:cs="Calibri"/>
        </w:rPr>
        <w:t xml:space="preserve">student </w:t>
      </w:r>
      <w:r>
        <w:rPr>
          <w:rFonts w:ascii="Calibri" w:eastAsia="Calibri" w:hAnsi="Calibri" w:cs="Calibri"/>
        </w:rPr>
        <w:t>‘ability’ and of students being considered ‘capable’ or ‘not capable’ of achieving the EBac</w:t>
      </w:r>
      <w:r w:rsidR="00AC4EDB">
        <w:rPr>
          <w:rFonts w:ascii="Calibri" w:eastAsia="Calibri" w:hAnsi="Calibri" w:cs="Calibri"/>
        </w:rPr>
        <w:t>, however</w:t>
      </w:r>
      <w:r>
        <w:rPr>
          <w:rFonts w:ascii="Calibri" w:eastAsia="Calibri" w:hAnsi="Calibri" w:cs="Calibri"/>
        </w:rPr>
        <w:t xml:space="preserve">. </w:t>
      </w:r>
      <w:r w:rsidR="009C51C6">
        <w:rPr>
          <w:rFonts w:ascii="Calibri" w:eastAsia="Calibri" w:hAnsi="Calibri" w:cs="Calibri"/>
        </w:rPr>
        <w:t>I argue that Clarke’s (1</w:t>
      </w:r>
      <w:r w:rsidR="001D19CB">
        <w:rPr>
          <w:rFonts w:ascii="Calibri" w:eastAsia="Calibri" w:hAnsi="Calibri" w:cs="Calibri"/>
        </w:rPr>
        <w:t>988</w:t>
      </w:r>
      <w:r w:rsidR="009C51C6">
        <w:rPr>
          <w:rFonts w:ascii="Calibri" w:eastAsia="Calibri" w:hAnsi="Calibri" w:cs="Calibri"/>
        </w:rPr>
        <w:t>) concept of “dataveillance” (</w:t>
      </w:r>
      <w:r w:rsidR="00AC4EDB">
        <w:rPr>
          <w:rFonts w:ascii="Calibri" w:eastAsia="Calibri" w:hAnsi="Calibri" w:cs="Calibri"/>
        </w:rPr>
        <w:t>S</w:t>
      </w:r>
      <w:r w:rsidR="009C51C6">
        <w:rPr>
          <w:rFonts w:ascii="Calibri" w:eastAsia="Calibri" w:hAnsi="Calibri" w:cs="Calibri"/>
        </w:rPr>
        <w:t xml:space="preserve">ection 2.7) has </w:t>
      </w:r>
      <w:r w:rsidR="002A214C">
        <w:rPr>
          <w:rFonts w:ascii="Calibri" w:eastAsia="Calibri" w:hAnsi="Calibri" w:cs="Calibri"/>
        </w:rPr>
        <w:t xml:space="preserve">classified </w:t>
      </w:r>
      <w:r w:rsidR="000D6272">
        <w:rPr>
          <w:rFonts w:ascii="Calibri" w:eastAsia="Calibri" w:hAnsi="Calibri" w:cs="Calibri"/>
        </w:rPr>
        <w:t xml:space="preserve">students </w:t>
      </w:r>
      <w:r w:rsidR="002A214C">
        <w:rPr>
          <w:rFonts w:ascii="Calibri" w:eastAsia="Calibri" w:hAnsi="Calibri" w:cs="Calibri"/>
        </w:rPr>
        <w:t>as</w:t>
      </w:r>
      <w:r w:rsidR="009C51C6">
        <w:rPr>
          <w:rFonts w:ascii="Calibri" w:eastAsia="Calibri" w:hAnsi="Calibri" w:cs="Calibri"/>
        </w:rPr>
        <w:t xml:space="preserve"> a grade and </w:t>
      </w:r>
      <w:r w:rsidR="00AC4EDB">
        <w:rPr>
          <w:rFonts w:ascii="Calibri" w:eastAsia="Calibri" w:hAnsi="Calibri" w:cs="Calibri"/>
        </w:rPr>
        <w:t xml:space="preserve">has </w:t>
      </w:r>
      <w:r w:rsidR="009C51C6">
        <w:rPr>
          <w:rFonts w:ascii="Calibri" w:eastAsia="Calibri" w:hAnsi="Calibri" w:cs="Calibri"/>
        </w:rPr>
        <w:t>limited discussion about how this grade is arrived at</w:t>
      </w:r>
      <w:r w:rsidR="00F10833">
        <w:rPr>
          <w:rFonts w:ascii="Calibri" w:eastAsia="Calibri" w:hAnsi="Calibri" w:cs="Calibri"/>
        </w:rPr>
        <w:t>, the impact of external factors on perceived ‘ability’</w:t>
      </w:r>
      <w:r w:rsidR="00AC4EDB">
        <w:rPr>
          <w:rFonts w:ascii="Calibri" w:eastAsia="Calibri" w:hAnsi="Calibri" w:cs="Calibri"/>
        </w:rPr>
        <w:t>, or</w:t>
      </w:r>
      <w:r w:rsidR="00F10833">
        <w:rPr>
          <w:rFonts w:ascii="Calibri" w:eastAsia="Calibri" w:hAnsi="Calibri" w:cs="Calibri"/>
        </w:rPr>
        <w:t xml:space="preserve"> </w:t>
      </w:r>
      <w:r w:rsidR="009C51C6">
        <w:rPr>
          <w:rFonts w:ascii="Calibri" w:eastAsia="Calibri" w:hAnsi="Calibri" w:cs="Calibri"/>
        </w:rPr>
        <w:t xml:space="preserve">the possibility of challenging this data. </w:t>
      </w:r>
      <w:r w:rsidR="00F10833">
        <w:rPr>
          <w:rFonts w:ascii="Calibri" w:eastAsia="Calibri" w:hAnsi="Calibri" w:cs="Calibri"/>
        </w:rPr>
        <w:t>Angus (2012) and Lingard et al</w:t>
      </w:r>
      <w:r w:rsidR="00574B5E">
        <w:rPr>
          <w:rFonts w:ascii="Calibri" w:eastAsia="Calibri" w:hAnsi="Calibri" w:cs="Calibri"/>
        </w:rPr>
        <w:t>.</w:t>
      </w:r>
      <w:r w:rsidR="00F10833">
        <w:rPr>
          <w:rFonts w:ascii="Calibri" w:eastAsia="Calibri" w:hAnsi="Calibri" w:cs="Calibri"/>
        </w:rPr>
        <w:t xml:space="preserve"> (2014) argue that external factors still exert the most influence over a </w:t>
      </w:r>
      <w:r w:rsidR="000D6272">
        <w:rPr>
          <w:rFonts w:ascii="Calibri" w:eastAsia="Calibri" w:hAnsi="Calibri" w:cs="Calibri"/>
        </w:rPr>
        <w:t>student</w:t>
      </w:r>
      <w:r w:rsidR="00F10833">
        <w:rPr>
          <w:rFonts w:ascii="Calibri" w:eastAsia="Calibri" w:hAnsi="Calibri" w:cs="Calibri"/>
        </w:rPr>
        <w:t>’s performance at school</w:t>
      </w:r>
      <w:r w:rsidR="000D6272">
        <w:rPr>
          <w:rFonts w:ascii="Calibri" w:eastAsia="Calibri" w:hAnsi="Calibri" w:cs="Calibri"/>
        </w:rPr>
        <w:t>,</w:t>
      </w:r>
      <w:r w:rsidR="00F10833">
        <w:rPr>
          <w:rFonts w:ascii="Calibri" w:eastAsia="Calibri" w:hAnsi="Calibri" w:cs="Calibri"/>
        </w:rPr>
        <w:t xml:space="preserve"> however the discourse</w:t>
      </w:r>
      <w:r w:rsidR="00FE427E">
        <w:rPr>
          <w:rFonts w:ascii="Calibri" w:eastAsia="Calibri" w:hAnsi="Calibri" w:cs="Calibri"/>
        </w:rPr>
        <w:t xml:space="preserve"> </w:t>
      </w:r>
      <w:r w:rsidR="00F10833">
        <w:rPr>
          <w:rFonts w:ascii="Calibri" w:eastAsia="Calibri" w:hAnsi="Calibri" w:cs="Calibri"/>
        </w:rPr>
        <w:t>is now direc</w:t>
      </w:r>
      <w:r w:rsidR="00CE72CB">
        <w:rPr>
          <w:rFonts w:ascii="Calibri" w:eastAsia="Calibri" w:hAnsi="Calibri" w:cs="Calibri"/>
        </w:rPr>
        <w:t>ted</w:t>
      </w:r>
      <w:r w:rsidR="003F2A4A">
        <w:rPr>
          <w:rFonts w:ascii="Calibri" w:eastAsia="Calibri" w:hAnsi="Calibri" w:cs="Calibri"/>
        </w:rPr>
        <w:t xml:space="preserve"> </w:t>
      </w:r>
      <w:r w:rsidR="000D6272">
        <w:rPr>
          <w:rFonts w:ascii="Calibri" w:eastAsia="Calibri" w:hAnsi="Calibri" w:cs="Calibri"/>
        </w:rPr>
        <w:t>towards</w:t>
      </w:r>
      <w:r w:rsidR="00CE72CB">
        <w:rPr>
          <w:rFonts w:ascii="Calibri" w:eastAsia="Calibri" w:hAnsi="Calibri" w:cs="Calibri"/>
        </w:rPr>
        <w:t xml:space="preserve"> school or teacher deficits</w:t>
      </w:r>
      <w:r w:rsidR="00574B5E">
        <w:rPr>
          <w:rFonts w:ascii="Calibri" w:eastAsia="Calibri" w:hAnsi="Calibri" w:cs="Calibri"/>
        </w:rPr>
        <w:t>,</w:t>
      </w:r>
      <w:r w:rsidR="00426342">
        <w:rPr>
          <w:rFonts w:ascii="Calibri" w:eastAsia="Calibri" w:hAnsi="Calibri" w:cs="Calibri"/>
        </w:rPr>
        <w:t xml:space="preserve"> not at deficits of government i.e. resources, training or research</w:t>
      </w:r>
      <w:r w:rsidR="00CE72CB">
        <w:rPr>
          <w:rFonts w:ascii="Calibri" w:eastAsia="Calibri" w:hAnsi="Calibri" w:cs="Calibri"/>
        </w:rPr>
        <w:t xml:space="preserve">. </w:t>
      </w:r>
      <w:r w:rsidR="00F10833">
        <w:rPr>
          <w:rFonts w:ascii="Calibri" w:eastAsia="Calibri" w:hAnsi="Calibri" w:cs="Calibri"/>
        </w:rPr>
        <w:lastRenderedPageBreak/>
        <w:t>Th</w:t>
      </w:r>
      <w:r w:rsidR="00CE72CB">
        <w:rPr>
          <w:rFonts w:ascii="Calibri" w:eastAsia="Calibri" w:hAnsi="Calibri" w:cs="Calibri"/>
        </w:rPr>
        <w:t>at</w:t>
      </w:r>
      <w:r w:rsidR="00F10833">
        <w:rPr>
          <w:rFonts w:ascii="Calibri" w:eastAsia="Calibri" w:hAnsi="Calibri" w:cs="Calibri"/>
        </w:rPr>
        <w:t xml:space="preserve"> discussions </w:t>
      </w:r>
      <w:r w:rsidR="00CE72CB">
        <w:rPr>
          <w:rFonts w:ascii="Calibri" w:eastAsia="Calibri" w:hAnsi="Calibri" w:cs="Calibri"/>
        </w:rPr>
        <w:t xml:space="preserve">about external factors </w:t>
      </w:r>
      <w:r w:rsidR="00F10833">
        <w:rPr>
          <w:rFonts w:ascii="Calibri" w:eastAsia="Calibri" w:hAnsi="Calibri" w:cs="Calibri"/>
        </w:rPr>
        <w:t xml:space="preserve">did not take </w:t>
      </w:r>
      <w:r w:rsidR="00CE72CB">
        <w:rPr>
          <w:rFonts w:ascii="Calibri" w:eastAsia="Calibri" w:hAnsi="Calibri" w:cs="Calibri"/>
        </w:rPr>
        <w:t>place within my interviews suggests</w:t>
      </w:r>
      <w:r w:rsidR="003F2A4A">
        <w:rPr>
          <w:rFonts w:ascii="Calibri" w:eastAsia="Calibri" w:hAnsi="Calibri" w:cs="Calibri"/>
        </w:rPr>
        <w:t xml:space="preserve"> that teachers</w:t>
      </w:r>
      <w:r w:rsidR="00F10833">
        <w:rPr>
          <w:rFonts w:ascii="Calibri" w:eastAsia="Calibri" w:hAnsi="Calibri" w:cs="Calibri"/>
        </w:rPr>
        <w:t xml:space="preserve"> had internalised th</w:t>
      </w:r>
      <w:r w:rsidR="00FE427E">
        <w:rPr>
          <w:rFonts w:ascii="Calibri" w:eastAsia="Calibri" w:hAnsi="Calibri" w:cs="Calibri"/>
        </w:rPr>
        <w:t>is</w:t>
      </w:r>
      <w:r w:rsidR="00F10833">
        <w:rPr>
          <w:rFonts w:ascii="Calibri" w:eastAsia="Calibri" w:hAnsi="Calibri" w:cs="Calibri"/>
        </w:rPr>
        <w:t xml:space="preserve"> </w:t>
      </w:r>
      <w:r w:rsidR="00CE72CB">
        <w:rPr>
          <w:rFonts w:ascii="Calibri" w:eastAsia="Calibri" w:hAnsi="Calibri" w:cs="Calibri"/>
        </w:rPr>
        <w:t>discourse and that notions of individual ‘ability’ within an external testing and accountability framework were now paramount in their thinking.</w:t>
      </w:r>
      <w:r w:rsidR="00FE427E">
        <w:rPr>
          <w:rFonts w:ascii="Calibri" w:eastAsia="Calibri" w:hAnsi="Calibri" w:cs="Calibri"/>
        </w:rPr>
        <w:t xml:space="preserve"> </w:t>
      </w:r>
      <w:r w:rsidR="00163C74">
        <w:rPr>
          <w:rFonts w:ascii="Calibri" w:eastAsia="Calibri" w:hAnsi="Calibri" w:cs="Calibri"/>
        </w:rPr>
        <w:t>This finding corresponds with that of Ball et a</w:t>
      </w:r>
      <w:r w:rsidR="007D5298">
        <w:rPr>
          <w:rFonts w:ascii="Calibri" w:eastAsia="Calibri" w:hAnsi="Calibri" w:cs="Calibri"/>
        </w:rPr>
        <w:t>l</w:t>
      </w:r>
      <w:r w:rsidR="00574B5E">
        <w:rPr>
          <w:rFonts w:ascii="Calibri" w:eastAsia="Calibri" w:hAnsi="Calibri" w:cs="Calibri"/>
        </w:rPr>
        <w:t>.</w:t>
      </w:r>
      <w:r w:rsidR="00163C74">
        <w:rPr>
          <w:rFonts w:ascii="Calibri" w:eastAsia="Calibri" w:hAnsi="Calibri" w:cs="Calibri"/>
        </w:rPr>
        <w:t xml:space="preserve"> when they comment</w:t>
      </w:r>
      <w:r w:rsidR="00AC4EDB">
        <w:rPr>
          <w:rFonts w:ascii="Calibri" w:eastAsia="Calibri" w:hAnsi="Calibri" w:cs="Calibri"/>
        </w:rPr>
        <w:t xml:space="preserve"> that</w:t>
      </w:r>
      <w:r w:rsidR="00163C74">
        <w:rPr>
          <w:rFonts w:ascii="Calibri" w:eastAsia="Calibri" w:hAnsi="Calibri" w:cs="Calibri"/>
        </w:rPr>
        <w:t xml:space="preserve"> “most teachers in our study appear to be thoroughly ‘enfolded’ into and part of the calculated technologies of performance” (2012</w:t>
      </w:r>
      <w:r w:rsidR="00574B5E">
        <w:rPr>
          <w:rFonts w:ascii="Calibri" w:eastAsia="Calibri" w:hAnsi="Calibri" w:cs="Calibri"/>
        </w:rPr>
        <w:t>,</w:t>
      </w:r>
      <w:r w:rsidR="00163C74">
        <w:rPr>
          <w:rFonts w:ascii="Calibri" w:eastAsia="Calibri" w:hAnsi="Calibri" w:cs="Calibri"/>
        </w:rPr>
        <w:t xml:space="preserve"> p.518). </w:t>
      </w:r>
      <w:r w:rsidR="009C51C6">
        <w:rPr>
          <w:rFonts w:ascii="Calibri" w:eastAsia="Calibri" w:hAnsi="Calibri" w:cs="Calibri"/>
        </w:rPr>
        <w:t>T</w:t>
      </w:r>
      <w:r>
        <w:rPr>
          <w:rFonts w:ascii="Calibri" w:eastAsia="Calibri" w:hAnsi="Calibri" w:cs="Calibri"/>
        </w:rPr>
        <w:t xml:space="preserve">eachers </w:t>
      </w:r>
      <w:r w:rsidR="009C51C6">
        <w:rPr>
          <w:rFonts w:ascii="Calibri" w:eastAsia="Calibri" w:hAnsi="Calibri" w:cs="Calibri"/>
        </w:rPr>
        <w:t xml:space="preserve">within </w:t>
      </w:r>
      <w:r w:rsidR="00163C74">
        <w:rPr>
          <w:rFonts w:ascii="Calibri" w:eastAsia="Calibri" w:hAnsi="Calibri" w:cs="Calibri"/>
        </w:rPr>
        <w:t>my</w:t>
      </w:r>
      <w:r w:rsidR="009C51C6">
        <w:rPr>
          <w:rFonts w:ascii="Calibri" w:eastAsia="Calibri" w:hAnsi="Calibri" w:cs="Calibri"/>
        </w:rPr>
        <w:t xml:space="preserve"> study </w:t>
      </w:r>
      <w:r>
        <w:rPr>
          <w:rFonts w:ascii="Calibri" w:eastAsia="Calibri" w:hAnsi="Calibri" w:cs="Calibri"/>
        </w:rPr>
        <w:t xml:space="preserve">did not appear to question the EBac premise that a grade C was the minimum acceptable </w:t>
      </w:r>
      <w:r w:rsidR="00163C74">
        <w:rPr>
          <w:rFonts w:ascii="Calibri" w:eastAsia="Calibri" w:hAnsi="Calibri" w:cs="Calibri"/>
        </w:rPr>
        <w:t xml:space="preserve">pass </w:t>
      </w:r>
      <w:r>
        <w:rPr>
          <w:rFonts w:ascii="Calibri" w:eastAsia="Calibri" w:hAnsi="Calibri" w:cs="Calibri"/>
        </w:rPr>
        <w:t xml:space="preserve">grade and focused only on which students were deemed </w:t>
      </w:r>
      <w:r w:rsidR="000D6272">
        <w:rPr>
          <w:rFonts w:ascii="Calibri" w:eastAsia="Calibri" w:hAnsi="Calibri" w:cs="Calibri"/>
        </w:rPr>
        <w:t>‘</w:t>
      </w:r>
      <w:r>
        <w:rPr>
          <w:rFonts w:ascii="Calibri" w:eastAsia="Calibri" w:hAnsi="Calibri" w:cs="Calibri"/>
        </w:rPr>
        <w:t>EBac</w:t>
      </w:r>
      <w:r w:rsidR="00AC4EDB">
        <w:rPr>
          <w:rFonts w:ascii="Calibri" w:eastAsia="Calibri" w:hAnsi="Calibri" w:cs="Calibri"/>
        </w:rPr>
        <w:t>-</w:t>
      </w:r>
      <w:r>
        <w:rPr>
          <w:rFonts w:ascii="Calibri" w:eastAsia="Calibri" w:hAnsi="Calibri" w:cs="Calibri"/>
        </w:rPr>
        <w:t>capable</w:t>
      </w:r>
      <w:r w:rsidR="000D6272">
        <w:rPr>
          <w:rFonts w:ascii="Calibri" w:eastAsia="Calibri" w:hAnsi="Calibri" w:cs="Calibri"/>
        </w:rPr>
        <w:t>’</w:t>
      </w:r>
      <w:r w:rsidR="007D5298">
        <w:rPr>
          <w:rFonts w:ascii="Calibri" w:eastAsia="Calibri" w:hAnsi="Calibri" w:cs="Calibri"/>
        </w:rPr>
        <w:t>,</w:t>
      </w:r>
      <w:r>
        <w:rPr>
          <w:rFonts w:ascii="Calibri" w:eastAsia="Calibri" w:hAnsi="Calibri" w:cs="Calibri"/>
        </w:rPr>
        <w:t xml:space="preserve"> not the wider value of studying the subjects.</w:t>
      </w:r>
      <w:r w:rsidR="00907EF9">
        <w:rPr>
          <w:rFonts w:ascii="Calibri" w:eastAsia="Calibri" w:hAnsi="Calibri" w:cs="Calibri"/>
        </w:rPr>
        <w:t xml:space="preserve"> </w:t>
      </w:r>
      <w:r w:rsidR="00426342">
        <w:rPr>
          <w:rFonts w:ascii="Calibri" w:eastAsia="Calibri" w:hAnsi="Calibri" w:cs="Calibri"/>
        </w:rPr>
        <w:t>The study of languages or humanities could be regarded as valuable in their own right</w:t>
      </w:r>
      <w:r w:rsidR="00574B5E">
        <w:rPr>
          <w:rFonts w:ascii="Calibri" w:eastAsia="Calibri" w:hAnsi="Calibri" w:cs="Calibri"/>
        </w:rPr>
        <w:t>.</w:t>
      </w:r>
      <w:r w:rsidR="00426342">
        <w:rPr>
          <w:rFonts w:ascii="Calibri" w:eastAsia="Calibri" w:hAnsi="Calibri" w:cs="Calibri"/>
        </w:rPr>
        <w:t xml:space="preserve"> Hirsch (</w:t>
      </w:r>
      <w:r w:rsidR="002A214C">
        <w:rPr>
          <w:rFonts w:ascii="Calibri" w:eastAsia="Calibri" w:hAnsi="Calibri" w:cs="Calibri"/>
        </w:rPr>
        <w:t>1996</w:t>
      </w:r>
      <w:r w:rsidR="00426342">
        <w:rPr>
          <w:rFonts w:ascii="Calibri" w:eastAsia="Calibri" w:hAnsi="Calibri" w:cs="Calibri"/>
        </w:rPr>
        <w:t xml:space="preserve">) regards subjects such as these as part of core knowledge, therefore achievement at any grade still represents student exposure to such knowledge. </w:t>
      </w:r>
      <w:r w:rsidR="003F2A4A">
        <w:rPr>
          <w:rFonts w:ascii="Calibri" w:eastAsia="Calibri" w:hAnsi="Calibri" w:cs="Calibri"/>
        </w:rPr>
        <w:t>In this way teachers and school leaders were ‘self-governing’</w:t>
      </w:r>
      <w:r w:rsidR="00115FA6">
        <w:rPr>
          <w:rFonts w:ascii="Calibri" w:eastAsia="Calibri" w:hAnsi="Calibri" w:cs="Calibri"/>
        </w:rPr>
        <w:t xml:space="preserve"> within a regime of testing and accountability.</w:t>
      </w:r>
    </w:p>
    <w:p w14:paraId="3B893853" w14:textId="0E747F53" w:rsidR="00835388" w:rsidRDefault="007A113C" w:rsidP="00531995">
      <w:pPr>
        <w:pStyle w:val="Heading2"/>
        <w:rPr>
          <w:rFonts w:eastAsia="Calibri"/>
        </w:rPr>
      </w:pPr>
      <w:bookmarkStart w:id="107" w:name="_Toc452316390"/>
      <w:r>
        <w:rPr>
          <w:rFonts w:eastAsia="Calibri"/>
        </w:rPr>
        <w:t xml:space="preserve">5.5 </w:t>
      </w:r>
      <w:r w:rsidRPr="007A113C">
        <w:rPr>
          <w:rFonts w:eastAsia="Calibri"/>
        </w:rPr>
        <w:t>Conclusion</w:t>
      </w:r>
      <w:bookmarkEnd w:id="107"/>
    </w:p>
    <w:p w14:paraId="386C24CA" w14:textId="7D58C700" w:rsidR="003E3A34" w:rsidRDefault="00A52617" w:rsidP="00C935C5">
      <w:pPr>
        <w:pStyle w:val="Default"/>
        <w:spacing w:line="360" w:lineRule="auto"/>
        <w:rPr>
          <w:rFonts w:ascii="Calibri" w:eastAsia="Calibri" w:hAnsi="Calibri" w:cs="Calibri"/>
        </w:rPr>
      </w:pPr>
      <w:r>
        <w:rPr>
          <w:rFonts w:ascii="Calibri" w:eastAsia="Calibri" w:hAnsi="Calibri" w:cs="Calibri"/>
        </w:rPr>
        <w:t>The</w:t>
      </w:r>
      <w:r w:rsidR="0032515F">
        <w:rPr>
          <w:rFonts w:ascii="Calibri" w:eastAsia="Calibri" w:hAnsi="Calibri" w:cs="Calibri"/>
        </w:rPr>
        <w:t xml:space="preserve"> discussion draw</w:t>
      </w:r>
      <w:r>
        <w:rPr>
          <w:rFonts w:ascii="Calibri" w:eastAsia="Calibri" w:hAnsi="Calibri" w:cs="Calibri"/>
        </w:rPr>
        <w:t>s</w:t>
      </w:r>
      <w:r w:rsidR="0032515F">
        <w:rPr>
          <w:rFonts w:ascii="Calibri" w:eastAsia="Calibri" w:hAnsi="Calibri" w:cs="Calibri"/>
        </w:rPr>
        <w:t xml:space="preserve"> together findings from my </w:t>
      </w:r>
      <w:r w:rsidR="00775EDF">
        <w:rPr>
          <w:rFonts w:ascii="Calibri" w:eastAsia="Calibri" w:hAnsi="Calibri" w:cs="Calibri"/>
        </w:rPr>
        <w:t xml:space="preserve">CDA </w:t>
      </w:r>
      <w:r w:rsidR="0032515F">
        <w:rPr>
          <w:rFonts w:ascii="Calibri" w:eastAsia="Calibri" w:hAnsi="Calibri" w:cs="Calibri"/>
        </w:rPr>
        <w:t>and interviews in order to address my research aims</w:t>
      </w:r>
      <w:r w:rsidR="00574B5E">
        <w:rPr>
          <w:rFonts w:ascii="Calibri" w:eastAsia="Calibri" w:hAnsi="Calibri" w:cs="Calibri"/>
        </w:rPr>
        <w:t>, whilst assessing the methodology I used.</w:t>
      </w:r>
      <w:r w:rsidR="0032515F">
        <w:rPr>
          <w:rFonts w:ascii="Calibri" w:eastAsia="Calibri" w:hAnsi="Calibri" w:cs="Calibri"/>
        </w:rPr>
        <w:t xml:space="preserve"> I found the</w:t>
      </w:r>
      <w:r w:rsidR="00775EDF">
        <w:rPr>
          <w:rFonts w:ascii="Calibri" w:eastAsia="Calibri" w:hAnsi="Calibri" w:cs="Calibri"/>
        </w:rPr>
        <w:t xml:space="preserve"> application of Scheurich’s </w:t>
      </w:r>
      <w:r w:rsidR="00DF24E7">
        <w:rPr>
          <w:rFonts w:ascii="Calibri" w:eastAsia="Calibri" w:hAnsi="Calibri" w:cs="Calibri"/>
        </w:rPr>
        <w:t xml:space="preserve">PA </w:t>
      </w:r>
      <w:r w:rsidR="0032515F">
        <w:rPr>
          <w:rFonts w:ascii="Calibri" w:eastAsia="Calibri" w:hAnsi="Calibri" w:cs="Calibri"/>
        </w:rPr>
        <w:t>a useful framework to guide my thinking</w:t>
      </w:r>
      <w:r w:rsidR="00A34EE4">
        <w:rPr>
          <w:rFonts w:ascii="Calibri" w:eastAsia="Calibri" w:hAnsi="Calibri" w:cs="Calibri"/>
        </w:rPr>
        <w:t xml:space="preserve"> and</w:t>
      </w:r>
      <w:r w:rsidR="00115FA6">
        <w:rPr>
          <w:rFonts w:ascii="Calibri" w:eastAsia="Calibri" w:hAnsi="Calibri" w:cs="Calibri"/>
        </w:rPr>
        <w:t xml:space="preserve"> </w:t>
      </w:r>
      <w:r w:rsidR="00A34EE4">
        <w:rPr>
          <w:rFonts w:ascii="Calibri" w:eastAsia="Calibri" w:hAnsi="Calibri" w:cs="Calibri"/>
        </w:rPr>
        <w:t>t</w:t>
      </w:r>
      <w:r w:rsidR="00115FA6">
        <w:rPr>
          <w:rFonts w:ascii="Calibri" w:eastAsia="Calibri" w:hAnsi="Calibri" w:cs="Calibri"/>
        </w:rPr>
        <w:t>he importance of the concept of ‘ability’ became evident during my analysis</w:t>
      </w:r>
      <w:r w:rsidR="00A34EE4">
        <w:rPr>
          <w:rFonts w:ascii="Calibri" w:eastAsia="Calibri" w:hAnsi="Calibri" w:cs="Calibri"/>
        </w:rPr>
        <w:t>.</w:t>
      </w:r>
      <w:r w:rsidR="00115FA6">
        <w:rPr>
          <w:rFonts w:ascii="Calibri" w:eastAsia="Calibri" w:hAnsi="Calibri" w:cs="Calibri"/>
        </w:rPr>
        <w:t xml:space="preserve"> </w:t>
      </w:r>
      <w:r w:rsidR="00A34EE4">
        <w:rPr>
          <w:rFonts w:ascii="Calibri" w:eastAsia="Calibri" w:hAnsi="Calibri" w:cs="Calibri"/>
        </w:rPr>
        <w:t>W</w:t>
      </w:r>
      <w:r w:rsidR="00115FA6">
        <w:rPr>
          <w:rFonts w:ascii="Calibri" w:eastAsia="Calibri" w:hAnsi="Calibri" w:cs="Calibri"/>
        </w:rPr>
        <w:t>hen researching the area of high-stakes testing and accountability within neoliberal educational policies I was able to apply Foucault’s concept of governmentality to highlight how the EBac policy is both governing</w:t>
      </w:r>
      <w:r w:rsidR="00A34EE4">
        <w:rPr>
          <w:rFonts w:ascii="Calibri" w:eastAsia="Calibri" w:hAnsi="Calibri" w:cs="Calibri"/>
        </w:rPr>
        <w:t>,</w:t>
      </w:r>
      <w:r w:rsidR="00115FA6">
        <w:rPr>
          <w:rFonts w:ascii="Calibri" w:eastAsia="Calibri" w:hAnsi="Calibri" w:cs="Calibri"/>
        </w:rPr>
        <w:t xml:space="preserve"> but also </w:t>
      </w:r>
      <w:r w:rsidR="000D6272">
        <w:rPr>
          <w:rFonts w:ascii="Calibri" w:eastAsia="Calibri" w:hAnsi="Calibri" w:cs="Calibri"/>
        </w:rPr>
        <w:t xml:space="preserve">generates </w:t>
      </w:r>
      <w:r w:rsidR="00115FA6">
        <w:rPr>
          <w:rFonts w:ascii="Calibri" w:eastAsia="Calibri" w:hAnsi="Calibri" w:cs="Calibri"/>
        </w:rPr>
        <w:t>self-governing</w:t>
      </w:r>
      <w:r w:rsidR="00163C74">
        <w:rPr>
          <w:rFonts w:ascii="Calibri" w:eastAsia="Calibri" w:hAnsi="Calibri" w:cs="Calibri"/>
        </w:rPr>
        <w:t xml:space="preserve"> </w:t>
      </w:r>
      <w:r w:rsidR="00115FA6">
        <w:rPr>
          <w:rFonts w:ascii="Calibri" w:eastAsia="Calibri" w:hAnsi="Calibri" w:cs="Calibri"/>
        </w:rPr>
        <w:t xml:space="preserve">actions </w:t>
      </w:r>
      <w:r w:rsidR="00AC4EDB">
        <w:rPr>
          <w:rFonts w:ascii="Calibri" w:eastAsia="Calibri" w:hAnsi="Calibri" w:cs="Calibri"/>
        </w:rPr>
        <w:t>by</w:t>
      </w:r>
      <w:r w:rsidR="00115FA6">
        <w:rPr>
          <w:rFonts w:ascii="Calibri" w:eastAsia="Calibri" w:hAnsi="Calibri" w:cs="Calibri"/>
        </w:rPr>
        <w:t xml:space="preserve"> teachers</w:t>
      </w:r>
      <w:r w:rsidR="00D93A94">
        <w:rPr>
          <w:rFonts w:ascii="Calibri" w:eastAsia="Calibri" w:hAnsi="Calibri" w:cs="Calibri"/>
        </w:rPr>
        <w:t>,</w:t>
      </w:r>
      <w:r w:rsidR="00496AEF">
        <w:rPr>
          <w:rFonts w:ascii="Calibri" w:eastAsia="Calibri" w:hAnsi="Calibri" w:cs="Calibri"/>
        </w:rPr>
        <w:t xml:space="preserve"> students and parents</w:t>
      </w:r>
      <w:r w:rsidR="00115FA6">
        <w:rPr>
          <w:rFonts w:ascii="Calibri" w:eastAsia="Calibri" w:hAnsi="Calibri" w:cs="Calibri"/>
        </w:rPr>
        <w:t>.</w:t>
      </w:r>
      <w:r w:rsidR="0012443A">
        <w:rPr>
          <w:rFonts w:ascii="Calibri" w:eastAsia="Calibri" w:hAnsi="Calibri" w:cs="Calibri"/>
        </w:rPr>
        <w:t xml:space="preserve"> </w:t>
      </w:r>
      <w:r w:rsidR="00E1525E">
        <w:rPr>
          <w:rFonts w:ascii="Calibri" w:eastAsia="Calibri" w:hAnsi="Calibri" w:cs="Calibri"/>
        </w:rPr>
        <w:t>In the final chapter</w:t>
      </w:r>
      <w:r w:rsidR="00AC4EDB">
        <w:rPr>
          <w:rFonts w:ascii="Calibri" w:eastAsia="Calibri" w:hAnsi="Calibri" w:cs="Calibri"/>
        </w:rPr>
        <w:t>,</w:t>
      </w:r>
      <w:r w:rsidR="00E1525E">
        <w:rPr>
          <w:rFonts w:ascii="Calibri" w:eastAsia="Calibri" w:hAnsi="Calibri" w:cs="Calibri"/>
        </w:rPr>
        <w:t xml:space="preserve"> I summarise and offer conclusions from my research</w:t>
      </w:r>
      <w:r w:rsidR="00FC462D">
        <w:rPr>
          <w:rFonts w:ascii="Calibri" w:eastAsia="Calibri" w:hAnsi="Calibri" w:cs="Calibri"/>
        </w:rPr>
        <w:t>, evaluate the study, make recommendations for research, policy and practice</w:t>
      </w:r>
      <w:r w:rsidR="00A34EE4">
        <w:rPr>
          <w:rFonts w:ascii="Calibri" w:eastAsia="Calibri" w:hAnsi="Calibri" w:cs="Calibri"/>
        </w:rPr>
        <w:t>,</w:t>
      </w:r>
      <w:r w:rsidR="00E1525E">
        <w:rPr>
          <w:rFonts w:ascii="Calibri" w:eastAsia="Calibri" w:hAnsi="Calibri" w:cs="Calibri"/>
        </w:rPr>
        <w:t xml:space="preserve"> as well as reflect</w:t>
      </w:r>
      <w:r w:rsidR="00FC462D">
        <w:rPr>
          <w:rFonts w:ascii="Calibri" w:eastAsia="Calibri" w:hAnsi="Calibri" w:cs="Calibri"/>
        </w:rPr>
        <w:t>ing</w:t>
      </w:r>
      <w:r w:rsidR="00E1525E">
        <w:rPr>
          <w:rFonts w:ascii="Calibri" w:eastAsia="Calibri" w:hAnsi="Calibri" w:cs="Calibri"/>
        </w:rPr>
        <w:t xml:space="preserve"> on the research process</w:t>
      </w:r>
      <w:r w:rsidR="00A34EE4">
        <w:rPr>
          <w:rFonts w:ascii="Calibri" w:eastAsia="Calibri" w:hAnsi="Calibri" w:cs="Calibri"/>
        </w:rPr>
        <w:t xml:space="preserve"> overall</w:t>
      </w:r>
      <w:r w:rsidR="00E1525E">
        <w:rPr>
          <w:rFonts w:ascii="Calibri" w:eastAsia="Calibri" w:hAnsi="Calibri" w:cs="Calibri"/>
        </w:rPr>
        <w:t>.</w:t>
      </w:r>
    </w:p>
    <w:p w14:paraId="7656DAF5" w14:textId="1651A622" w:rsidR="00FF29E1" w:rsidRDefault="00FF29E1">
      <w:pPr>
        <w:rPr>
          <w:sz w:val="24"/>
          <w:szCs w:val="24"/>
        </w:rPr>
      </w:pPr>
      <w:r>
        <w:rPr>
          <w:sz w:val="24"/>
          <w:szCs w:val="24"/>
        </w:rPr>
        <w:br w:type="page"/>
      </w:r>
    </w:p>
    <w:p w14:paraId="22EA29B7" w14:textId="613DBCB7" w:rsidR="00EF348C" w:rsidRDefault="00EF348C" w:rsidP="00531995">
      <w:pPr>
        <w:pStyle w:val="Heading1"/>
        <w:jc w:val="center"/>
      </w:pPr>
      <w:bookmarkStart w:id="108" w:name="_Toc452316391"/>
      <w:r w:rsidRPr="00D93A94">
        <w:lastRenderedPageBreak/>
        <w:t xml:space="preserve">Chapter </w:t>
      </w:r>
      <w:r w:rsidR="00504915" w:rsidRPr="00D93A94">
        <w:t>6</w:t>
      </w:r>
      <w:r w:rsidRPr="00D93A94">
        <w:t xml:space="preserve"> </w:t>
      </w:r>
      <w:r w:rsidR="00AC4EDB">
        <w:t xml:space="preserve">- </w:t>
      </w:r>
      <w:r w:rsidRPr="00D93A94">
        <w:t>Conclusion</w:t>
      </w:r>
      <w:bookmarkEnd w:id="108"/>
    </w:p>
    <w:p w14:paraId="0C4F1AB0" w14:textId="59D7F8E4" w:rsidR="00EF348C" w:rsidRDefault="001063BC" w:rsidP="00531995">
      <w:pPr>
        <w:pStyle w:val="Heading2"/>
      </w:pPr>
      <w:bookmarkStart w:id="109" w:name="_Toc452316392"/>
      <w:r>
        <w:t>6</w:t>
      </w:r>
      <w:r w:rsidR="00EF348C">
        <w:t>.1 Introduction</w:t>
      </w:r>
      <w:bookmarkEnd w:id="109"/>
    </w:p>
    <w:p w14:paraId="5B8B758E" w14:textId="7B2A7F01" w:rsidR="00AC4EDB" w:rsidRPr="007A113C" w:rsidRDefault="00E55026" w:rsidP="00B6050F">
      <w:pPr>
        <w:tabs>
          <w:tab w:val="left" w:pos="7371"/>
        </w:tabs>
        <w:spacing w:line="360" w:lineRule="auto"/>
        <w:rPr>
          <w:sz w:val="24"/>
          <w:szCs w:val="24"/>
        </w:rPr>
      </w:pPr>
      <w:r>
        <w:rPr>
          <w:bCs/>
          <w:sz w:val="24"/>
          <w:szCs w:val="24"/>
        </w:rPr>
        <w:t>T</w:t>
      </w:r>
      <w:r w:rsidR="00E56FB4" w:rsidRPr="007A113C">
        <w:rPr>
          <w:bCs/>
          <w:sz w:val="24"/>
          <w:szCs w:val="24"/>
        </w:rPr>
        <w:t>his final chapter</w:t>
      </w:r>
      <w:r w:rsidR="00A34EE4">
        <w:rPr>
          <w:bCs/>
          <w:sz w:val="24"/>
          <w:szCs w:val="24"/>
        </w:rPr>
        <w:t>,</w:t>
      </w:r>
      <w:r w:rsidR="00E56FB4" w:rsidRPr="007A113C">
        <w:rPr>
          <w:bCs/>
          <w:sz w:val="24"/>
          <w:szCs w:val="24"/>
        </w:rPr>
        <w:t xml:space="preserve"> </w:t>
      </w:r>
      <w:r w:rsidR="00A34EE4" w:rsidRPr="007A113C">
        <w:rPr>
          <w:sz w:val="24"/>
          <w:szCs w:val="24"/>
        </w:rPr>
        <w:t>divided in to eight sections</w:t>
      </w:r>
      <w:r w:rsidR="00A34EE4">
        <w:rPr>
          <w:sz w:val="24"/>
          <w:szCs w:val="24"/>
        </w:rPr>
        <w:t>,</w:t>
      </w:r>
      <w:r w:rsidR="00E56FB4" w:rsidRPr="007A113C">
        <w:rPr>
          <w:bCs/>
          <w:sz w:val="24"/>
          <w:szCs w:val="24"/>
        </w:rPr>
        <w:t xml:space="preserve"> draw</w:t>
      </w:r>
      <w:r w:rsidR="00EA76C2" w:rsidRPr="007A113C">
        <w:rPr>
          <w:bCs/>
          <w:sz w:val="24"/>
          <w:szCs w:val="24"/>
        </w:rPr>
        <w:t>s</w:t>
      </w:r>
      <w:r w:rsidR="00E56FB4" w:rsidRPr="007A113C">
        <w:rPr>
          <w:bCs/>
          <w:sz w:val="24"/>
          <w:szCs w:val="24"/>
        </w:rPr>
        <w:t xml:space="preserve"> all aspects of my study together to reach overall conclusions in relation to my aim and research questions</w:t>
      </w:r>
      <w:r w:rsidR="001E3F8D" w:rsidRPr="007A113C">
        <w:rPr>
          <w:bCs/>
          <w:sz w:val="24"/>
          <w:szCs w:val="24"/>
        </w:rPr>
        <w:t>.</w:t>
      </w:r>
      <w:r w:rsidR="00E56FB4" w:rsidRPr="007A113C">
        <w:rPr>
          <w:bCs/>
          <w:sz w:val="24"/>
          <w:szCs w:val="24"/>
        </w:rPr>
        <w:t xml:space="preserve"> </w:t>
      </w:r>
      <w:r w:rsidR="00EF348C" w:rsidRPr="007A113C">
        <w:rPr>
          <w:sz w:val="24"/>
          <w:szCs w:val="24"/>
        </w:rPr>
        <w:t xml:space="preserve">I </w:t>
      </w:r>
      <w:r w:rsidR="00A34EE4">
        <w:rPr>
          <w:sz w:val="24"/>
          <w:szCs w:val="24"/>
        </w:rPr>
        <w:t>start by</w:t>
      </w:r>
      <w:r w:rsidR="00EF348C" w:rsidRPr="007A113C">
        <w:rPr>
          <w:sz w:val="24"/>
          <w:szCs w:val="24"/>
        </w:rPr>
        <w:t xml:space="preserve"> consider</w:t>
      </w:r>
      <w:r w:rsidR="00A34EE4">
        <w:rPr>
          <w:sz w:val="24"/>
          <w:szCs w:val="24"/>
        </w:rPr>
        <w:t>ing</w:t>
      </w:r>
      <w:r w:rsidR="00EF348C" w:rsidRPr="007A113C">
        <w:rPr>
          <w:sz w:val="24"/>
          <w:szCs w:val="24"/>
        </w:rPr>
        <w:t xml:space="preserve"> </w:t>
      </w:r>
      <w:r w:rsidR="00153B32" w:rsidRPr="007A113C">
        <w:rPr>
          <w:sz w:val="24"/>
          <w:szCs w:val="24"/>
        </w:rPr>
        <w:t xml:space="preserve">my research </w:t>
      </w:r>
      <w:r w:rsidR="00E56FB4" w:rsidRPr="007A113C">
        <w:rPr>
          <w:sz w:val="24"/>
          <w:szCs w:val="24"/>
        </w:rPr>
        <w:t>conclusions</w:t>
      </w:r>
      <w:r w:rsidR="00EF348C" w:rsidRPr="007A113C">
        <w:rPr>
          <w:sz w:val="24"/>
          <w:szCs w:val="24"/>
        </w:rPr>
        <w:t xml:space="preserve"> </w:t>
      </w:r>
      <w:r w:rsidR="00A34EE4">
        <w:rPr>
          <w:sz w:val="24"/>
          <w:szCs w:val="24"/>
        </w:rPr>
        <w:t>in</w:t>
      </w:r>
      <w:r w:rsidR="00EF348C" w:rsidRPr="007A113C">
        <w:rPr>
          <w:sz w:val="24"/>
          <w:szCs w:val="24"/>
        </w:rPr>
        <w:t xml:space="preserve"> relati</w:t>
      </w:r>
      <w:r w:rsidR="00A34EE4">
        <w:rPr>
          <w:sz w:val="24"/>
          <w:szCs w:val="24"/>
        </w:rPr>
        <w:t>on</w:t>
      </w:r>
      <w:r w:rsidR="00EF348C" w:rsidRPr="007A113C">
        <w:rPr>
          <w:sz w:val="24"/>
          <w:szCs w:val="24"/>
        </w:rPr>
        <w:t xml:space="preserve"> to my </w:t>
      </w:r>
      <w:r w:rsidR="00A34EE4">
        <w:rPr>
          <w:sz w:val="24"/>
          <w:szCs w:val="24"/>
        </w:rPr>
        <w:t xml:space="preserve">original </w:t>
      </w:r>
      <w:r w:rsidR="0061534D" w:rsidRPr="007A113C">
        <w:rPr>
          <w:sz w:val="24"/>
          <w:szCs w:val="24"/>
        </w:rPr>
        <w:t xml:space="preserve">aims and </w:t>
      </w:r>
      <w:r w:rsidR="00EF348C" w:rsidRPr="007A113C">
        <w:rPr>
          <w:sz w:val="24"/>
          <w:szCs w:val="24"/>
        </w:rPr>
        <w:t>research questions</w:t>
      </w:r>
      <w:r w:rsidR="00A34EE4">
        <w:rPr>
          <w:sz w:val="24"/>
          <w:szCs w:val="24"/>
        </w:rPr>
        <w:t>,</w:t>
      </w:r>
      <w:r w:rsidR="00153B32" w:rsidRPr="007A113C">
        <w:rPr>
          <w:sz w:val="24"/>
          <w:szCs w:val="24"/>
        </w:rPr>
        <w:t xml:space="preserve"> </w:t>
      </w:r>
      <w:r w:rsidR="00496AEF">
        <w:rPr>
          <w:sz w:val="24"/>
          <w:szCs w:val="24"/>
        </w:rPr>
        <w:t>referring</w:t>
      </w:r>
      <w:r w:rsidR="00F47C0D">
        <w:rPr>
          <w:sz w:val="24"/>
          <w:szCs w:val="24"/>
        </w:rPr>
        <w:t xml:space="preserve"> </w:t>
      </w:r>
      <w:r w:rsidR="00496AEF">
        <w:rPr>
          <w:sz w:val="24"/>
          <w:szCs w:val="24"/>
        </w:rPr>
        <w:t xml:space="preserve">to </w:t>
      </w:r>
      <w:r w:rsidR="00153B32" w:rsidRPr="007A113C">
        <w:rPr>
          <w:sz w:val="24"/>
          <w:szCs w:val="24"/>
        </w:rPr>
        <w:t>previous research</w:t>
      </w:r>
      <w:r w:rsidR="00F47C0D">
        <w:rPr>
          <w:sz w:val="24"/>
          <w:szCs w:val="24"/>
        </w:rPr>
        <w:t xml:space="preserve"> where appropriate</w:t>
      </w:r>
      <w:r w:rsidR="00EF348C" w:rsidRPr="007A113C">
        <w:rPr>
          <w:sz w:val="24"/>
          <w:szCs w:val="24"/>
        </w:rPr>
        <w:t xml:space="preserve">. </w:t>
      </w:r>
      <w:r w:rsidR="001E3F8D" w:rsidRPr="007A113C">
        <w:rPr>
          <w:sz w:val="24"/>
          <w:szCs w:val="24"/>
        </w:rPr>
        <w:t>In the</w:t>
      </w:r>
      <w:r w:rsidR="00EF348C" w:rsidRPr="007A113C">
        <w:rPr>
          <w:sz w:val="24"/>
          <w:szCs w:val="24"/>
        </w:rPr>
        <w:t xml:space="preserve"> second section </w:t>
      </w:r>
      <w:r w:rsidR="001E3F8D" w:rsidRPr="007A113C">
        <w:rPr>
          <w:sz w:val="24"/>
          <w:szCs w:val="24"/>
        </w:rPr>
        <w:t xml:space="preserve">I </w:t>
      </w:r>
      <w:r w:rsidR="00EF348C" w:rsidRPr="007A113C">
        <w:rPr>
          <w:sz w:val="24"/>
          <w:szCs w:val="24"/>
        </w:rPr>
        <w:t>make recommendations for policy and practice</w:t>
      </w:r>
      <w:r w:rsidR="00A34EE4">
        <w:rPr>
          <w:sz w:val="24"/>
          <w:szCs w:val="24"/>
        </w:rPr>
        <w:t>, whilst</w:t>
      </w:r>
      <w:r w:rsidR="00EF348C" w:rsidRPr="007A113C">
        <w:rPr>
          <w:sz w:val="24"/>
          <w:szCs w:val="24"/>
        </w:rPr>
        <w:t xml:space="preserve"> </w:t>
      </w:r>
      <w:r w:rsidR="00A34EE4">
        <w:rPr>
          <w:sz w:val="24"/>
          <w:szCs w:val="24"/>
        </w:rPr>
        <w:t>t</w:t>
      </w:r>
      <w:r w:rsidR="00564EA0" w:rsidRPr="007A113C">
        <w:rPr>
          <w:sz w:val="24"/>
          <w:szCs w:val="24"/>
        </w:rPr>
        <w:t>he third sectio</w:t>
      </w:r>
      <w:r w:rsidR="00EA76C2" w:rsidRPr="007A113C">
        <w:rPr>
          <w:sz w:val="24"/>
          <w:szCs w:val="24"/>
        </w:rPr>
        <w:t>n</w:t>
      </w:r>
      <w:r w:rsidR="00564EA0" w:rsidRPr="007A113C">
        <w:rPr>
          <w:sz w:val="24"/>
          <w:szCs w:val="24"/>
        </w:rPr>
        <w:t xml:space="preserve"> consider</w:t>
      </w:r>
      <w:r w:rsidR="001E3F8D" w:rsidRPr="007A113C">
        <w:rPr>
          <w:sz w:val="24"/>
          <w:szCs w:val="24"/>
        </w:rPr>
        <w:t>s</w:t>
      </w:r>
      <w:r w:rsidR="00564EA0" w:rsidRPr="007A113C">
        <w:rPr>
          <w:sz w:val="24"/>
          <w:szCs w:val="24"/>
        </w:rPr>
        <w:t xml:space="preserve"> the original contribution to knowledge of my work</w:t>
      </w:r>
      <w:r w:rsidR="00B174EC" w:rsidRPr="007A113C">
        <w:rPr>
          <w:sz w:val="24"/>
          <w:szCs w:val="24"/>
        </w:rPr>
        <w:t xml:space="preserve"> before </w:t>
      </w:r>
      <w:r w:rsidR="00A34EE4">
        <w:rPr>
          <w:sz w:val="24"/>
          <w:szCs w:val="24"/>
        </w:rPr>
        <w:t>evaluat</w:t>
      </w:r>
      <w:r w:rsidR="00A34EE4" w:rsidRPr="007A113C">
        <w:rPr>
          <w:sz w:val="24"/>
          <w:szCs w:val="24"/>
        </w:rPr>
        <w:t xml:space="preserve">ing </w:t>
      </w:r>
      <w:r w:rsidR="00B174EC" w:rsidRPr="007A113C">
        <w:rPr>
          <w:sz w:val="24"/>
          <w:szCs w:val="24"/>
        </w:rPr>
        <w:t>the contribution of my theoretical framework</w:t>
      </w:r>
      <w:r w:rsidR="00A34EE4">
        <w:rPr>
          <w:sz w:val="24"/>
          <w:szCs w:val="24"/>
        </w:rPr>
        <w:t xml:space="preserve"> in </w:t>
      </w:r>
      <w:r w:rsidR="00F47C0D">
        <w:rPr>
          <w:sz w:val="24"/>
          <w:szCs w:val="24"/>
        </w:rPr>
        <w:t>S</w:t>
      </w:r>
      <w:r w:rsidR="00A34EE4">
        <w:rPr>
          <w:sz w:val="24"/>
          <w:szCs w:val="24"/>
        </w:rPr>
        <w:t xml:space="preserve">ection </w:t>
      </w:r>
      <w:r w:rsidR="002F06A3">
        <w:rPr>
          <w:sz w:val="24"/>
          <w:szCs w:val="24"/>
        </w:rPr>
        <w:t>4.</w:t>
      </w:r>
      <w:r w:rsidR="00564EA0" w:rsidRPr="007A113C">
        <w:rPr>
          <w:sz w:val="24"/>
          <w:szCs w:val="24"/>
        </w:rPr>
        <w:t xml:space="preserve"> </w:t>
      </w:r>
      <w:r w:rsidR="003A37DD">
        <w:rPr>
          <w:sz w:val="24"/>
          <w:szCs w:val="24"/>
        </w:rPr>
        <w:t xml:space="preserve">I </w:t>
      </w:r>
      <w:r w:rsidR="00EF348C" w:rsidRPr="007A113C">
        <w:rPr>
          <w:sz w:val="24"/>
          <w:szCs w:val="24"/>
        </w:rPr>
        <w:t xml:space="preserve">consider the strengths and limitations of my study </w:t>
      </w:r>
      <w:r w:rsidR="00A34EE4" w:rsidRPr="007A113C">
        <w:rPr>
          <w:sz w:val="24"/>
          <w:szCs w:val="24"/>
        </w:rPr>
        <w:t>in the fifth section</w:t>
      </w:r>
      <w:r w:rsidR="00A34EE4">
        <w:rPr>
          <w:sz w:val="24"/>
          <w:szCs w:val="24"/>
        </w:rPr>
        <w:t>,</w:t>
      </w:r>
      <w:r w:rsidR="00A34EE4" w:rsidRPr="007A113C">
        <w:rPr>
          <w:sz w:val="24"/>
          <w:szCs w:val="24"/>
        </w:rPr>
        <w:t xml:space="preserve"> </w:t>
      </w:r>
      <w:r w:rsidR="00EF348C" w:rsidRPr="007A113C">
        <w:rPr>
          <w:sz w:val="24"/>
          <w:szCs w:val="24"/>
        </w:rPr>
        <w:t xml:space="preserve">before reflecting on how I would undertake the research differently in light of my experiences. The </w:t>
      </w:r>
      <w:r w:rsidR="00B174EC" w:rsidRPr="007A113C">
        <w:rPr>
          <w:sz w:val="24"/>
          <w:szCs w:val="24"/>
        </w:rPr>
        <w:t>sixth</w:t>
      </w:r>
      <w:r w:rsidR="00EF348C" w:rsidRPr="007A113C">
        <w:rPr>
          <w:sz w:val="24"/>
          <w:szCs w:val="24"/>
        </w:rPr>
        <w:t xml:space="preserve"> section </w:t>
      </w:r>
      <w:r w:rsidR="00A34EE4">
        <w:rPr>
          <w:sz w:val="24"/>
          <w:szCs w:val="24"/>
        </w:rPr>
        <w:t>examine</w:t>
      </w:r>
      <w:r w:rsidR="00A34EE4" w:rsidRPr="007A113C">
        <w:rPr>
          <w:sz w:val="24"/>
          <w:szCs w:val="24"/>
        </w:rPr>
        <w:t xml:space="preserve">s </w:t>
      </w:r>
      <w:r w:rsidR="000159EE" w:rsidRPr="007A113C">
        <w:rPr>
          <w:sz w:val="24"/>
          <w:szCs w:val="24"/>
        </w:rPr>
        <w:t xml:space="preserve">recent developments in the EBac policy and political leadership </w:t>
      </w:r>
      <w:r w:rsidR="00A34EE4">
        <w:rPr>
          <w:sz w:val="24"/>
          <w:szCs w:val="24"/>
        </w:rPr>
        <w:t>and</w:t>
      </w:r>
      <w:r w:rsidR="000159EE" w:rsidRPr="007A113C">
        <w:rPr>
          <w:sz w:val="24"/>
          <w:szCs w:val="24"/>
        </w:rPr>
        <w:t xml:space="preserve"> I </w:t>
      </w:r>
      <w:r w:rsidR="00EF348C" w:rsidRPr="007A113C">
        <w:rPr>
          <w:sz w:val="24"/>
          <w:szCs w:val="24"/>
        </w:rPr>
        <w:t>make</w:t>
      </w:r>
      <w:r w:rsidR="00EA76C2" w:rsidRPr="007A113C">
        <w:rPr>
          <w:sz w:val="24"/>
          <w:szCs w:val="24"/>
        </w:rPr>
        <w:t xml:space="preserve"> </w:t>
      </w:r>
      <w:r w:rsidR="00EF348C" w:rsidRPr="007A113C">
        <w:rPr>
          <w:sz w:val="24"/>
          <w:szCs w:val="24"/>
        </w:rPr>
        <w:t>recommendations for future research in this area before</w:t>
      </w:r>
      <w:r w:rsidR="000159EE" w:rsidRPr="007A113C">
        <w:rPr>
          <w:sz w:val="24"/>
          <w:szCs w:val="24"/>
        </w:rPr>
        <w:t xml:space="preserve"> </w:t>
      </w:r>
      <w:r w:rsidR="00EF348C" w:rsidRPr="007A113C">
        <w:rPr>
          <w:sz w:val="24"/>
          <w:szCs w:val="24"/>
        </w:rPr>
        <w:t>conclud</w:t>
      </w:r>
      <w:r w:rsidR="000159EE" w:rsidRPr="007A113C">
        <w:rPr>
          <w:sz w:val="24"/>
          <w:szCs w:val="24"/>
        </w:rPr>
        <w:t>ing</w:t>
      </w:r>
      <w:r w:rsidR="000E17BD" w:rsidRPr="007A113C">
        <w:rPr>
          <w:sz w:val="24"/>
          <w:szCs w:val="24"/>
        </w:rPr>
        <w:t xml:space="preserve"> </w:t>
      </w:r>
      <w:r w:rsidR="00EF348C" w:rsidRPr="007A113C">
        <w:rPr>
          <w:sz w:val="24"/>
          <w:szCs w:val="24"/>
        </w:rPr>
        <w:t>with my reflections on my journey as a researcher</w:t>
      </w:r>
      <w:r w:rsidR="00A34EE4">
        <w:rPr>
          <w:sz w:val="24"/>
          <w:szCs w:val="24"/>
        </w:rPr>
        <w:t xml:space="preserve"> in the final section</w:t>
      </w:r>
      <w:r w:rsidR="00EF348C" w:rsidRPr="007A113C">
        <w:rPr>
          <w:sz w:val="24"/>
          <w:szCs w:val="24"/>
        </w:rPr>
        <w:t>.</w:t>
      </w:r>
    </w:p>
    <w:p w14:paraId="09CA59FE" w14:textId="0442FF52" w:rsidR="00406A3E" w:rsidRDefault="0061534D" w:rsidP="00531995">
      <w:pPr>
        <w:pStyle w:val="Heading2"/>
      </w:pPr>
      <w:bookmarkStart w:id="110" w:name="_Toc452316393"/>
      <w:r w:rsidRPr="00406A3E">
        <w:t>6.2</w:t>
      </w:r>
      <w:r w:rsidR="00406A3E" w:rsidRPr="00406A3E">
        <w:t xml:space="preserve"> </w:t>
      </w:r>
      <w:r w:rsidR="00E30011">
        <w:t xml:space="preserve">Addressing the </w:t>
      </w:r>
      <w:r w:rsidR="00406A3E" w:rsidRPr="00406A3E">
        <w:t>research questions</w:t>
      </w:r>
      <w:bookmarkEnd w:id="110"/>
    </w:p>
    <w:p w14:paraId="7E81072B" w14:textId="18A8BC91" w:rsidR="00F47C0D" w:rsidRDefault="00406A3E" w:rsidP="00B6050F">
      <w:pPr>
        <w:spacing w:line="360" w:lineRule="auto"/>
        <w:rPr>
          <w:sz w:val="24"/>
          <w:szCs w:val="24"/>
        </w:rPr>
      </w:pPr>
      <w:r>
        <w:rPr>
          <w:sz w:val="24"/>
          <w:szCs w:val="24"/>
        </w:rPr>
        <w:t xml:space="preserve">My research has focused on the policy and policy implementation of the EBac as a performance measure for English secondary schools. </w:t>
      </w:r>
      <w:r w:rsidR="00765608">
        <w:rPr>
          <w:sz w:val="24"/>
          <w:szCs w:val="24"/>
        </w:rPr>
        <w:t>I aimed to i</w:t>
      </w:r>
      <w:r>
        <w:rPr>
          <w:sz w:val="24"/>
          <w:szCs w:val="24"/>
        </w:rPr>
        <w:t>nvestigat</w:t>
      </w:r>
      <w:r w:rsidR="00765608">
        <w:rPr>
          <w:sz w:val="24"/>
          <w:szCs w:val="24"/>
        </w:rPr>
        <w:t>e</w:t>
      </w:r>
      <w:r>
        <w:rPr>
          <w:sz w:val="24"/>
          <w:szCs w:val="24"/>
        </w:rPr>
        <w:t xml:space="preserve"> how and why the EBac was introduced in England, </w:t>
      </w:r>
      <w:r w:rsidR="00765608">
        <w:rPr>
          <w:sz w:val="24"/>
          <w:szCs w:val="24"/>
        </w:rPr>
        <w:t xml:space="preserve">to </w:t>
      </w:r>
      <w:r>
        <w:rPr>
          <w:sz w:val="24"/>
          <w:szCs w:val="24"/>
        </w:rPr>
        <w:t xml:space="preserve">look at the potential and actual impact on the school curriculum from the perspectives of teachers, and </w:t>
      </w:r>
      <w:r w:rsidR="00334B49">
        <w:rPr>
          <w:sz w:val="24"/>
          <w:szCs w:val="24"/>
        </w:rPr>
        <w:t xml:space="preserve">also to </w:t>
      </w:r>
      <w:r>
        <w:rPr>
          <w:sz w:val="24"/>
          <w:szCs w:val="24"/>
        </w:rPr>
        <w:t>identify</w:t>
      </w:r>
      <w:r w:rsidR="00765608">
        <w:rPr>
          <w:sz w:val="24"/>
          <w:szCs w:val="24"/>
        </w:rPr>
        <w:t xml:space="preserve"> </w:t>
      </w:r>
      <w:r>
        <w:rPr>
          <w:sz w:val="24"/>
          <w:szCs w:val="24"/>
        </w:rPr>
        <w:t>potential winners and losers of this policy.</w:t>
      </w:r>
      <w:r w:rsidR="007A113C">
        <w:rPr>
          <w:sz w:val="24"/>
          <w:szCs w:val="24"/>
        </w:rPr>
        <w:t xml:space="preserve"> </w:t>
      </w:r>
      <w:r w:rsidR="00E30011">
        <w:rPr>
          <w:sz w:val="24"/>
          <w:szCs w:val="24"/>
        </w:rPr>
        <w:t xml:space="preserve">I address each research question in turn. </w:t>
      </w:r>
    </w:p>
    <w:p w14:paraId="416DF258" w14:textId="57C4066C" w:rsidR="00406A3E" w:rsidRPr="005D1D45" w:rsidRDefault="005D1D45" w:rsidP="00531995">
      <w:pPr>
        <w:pStyle w:val="Heading3"/>
      </w:pPr>
      <w:bookmarkStart w:id="111" w:name="_Toc452316394"/>
      <w:r w:rsidRPr="005D1D45">
        <w:t>6.2.1</w:t>
      </w:r>
      <w:r>
        <w:t xml:space="preserve"> </w:t>
      </w:r>
      <w:r w:rsidR="00406A3E" w:rsidRPr="003A37DD">
        <w:t>What is the EBac policy and how and why was it introduced as part of a wider policy framework?</w:t>
      </w:r>
      <w:bookmarkEnd w:id="111"/>
    </w:p>
    <w:p w14:paraId="66D219E3" w14:textId="2AE509FA" w:rsidR="001F62C7" w:rsidRDefault="00DC07DE" w:rsidP="0018035B">
      <w:pPr>
        <w:spacing w:after="0" w:line="360" w:lineRule="auto"/>
        <w:rPr>
          <w:sz w:val="24"/>
          <w:szCs w:val="24"/>
        </w:rPr>
      </w:pPr>
      <w:r>
        <w:rPr>
          <w:sz w:val="24"/>
          <w:szCs w:val="24"/>
        </w:rPr>
        <w:t xml:space="preserve">The EBac policy was part of the first education White Paper </w:t>
      </w:r>
      <w:r w:rsidR="00765608">
        <w:rPr>
          <w:sz w:val="24"/>
          <w:szCs w:val="24"/>
        </w:rPr>
        <w:t xml:space="preserve">published </w:t>
      </w:r>
      <w:r>
        <w:rPr>
          <w:sz w:val="24"/>
          <w:szCs w:val="24"/>
        </w:rPr>
        <w:t xml:space="preserve">by the Coalition government in 2010 </w:t>
      </w:r>
      <w:r w:rsidR="00DA683E">
        <w:rPr>
          <w:sz w:val="24"/>
          <w:szCs w:val="24"/>
        </w:rPr>
        <w:t>and</w:t>
      </w:r>
      <w:r>
        <w:rPr>
          <w:sz w:val="24"/>
          <w:szCs w:val="24"/>
        </w:rPr>
        <w:t xml:space="preserve"> was an amalgamation of the ideas of two political parties</w:t>
      </w:r>
      <w:r w:rsidR="00036F17">
        <w:rPr>
          <w:sz w:val="24"/>
          <w:szCs w:val="24"/>
        </w:rPr>
        <w:t>.</w:t>
      </w:r>
      <w:r>
        <w:rPr>
          <w:sz w:val="24"/>
          <w:szCs w:val="24"/>
        </w:rPr>
        <w:t xml:space="preserve"> </w:t>
      </w:r>
      <w:r w:rsidR="00036F17">
        <w:rPr>
          <w:sz w:val="24"/>
          <w:szCs w:val="24"/>
        </w:rPr>
        <w:t>Nonetheless, it</w:t>
      </w:r>
      <w:r>
        <w:rPr>
          <w:sz w:val="24"/>
          <w:szCs w:val="24"/>
        </w:rPr>
        <w:t xml:space="preserve"> consisted of a predominately conservative</w:t>
      </w:r>
      <w:r w:rsidR="000E17BD">
        <w:rPr>
          <w:sz w:val="24"/>
          <w:szCs w:val="24"/>
        </w:rPr>
        <w:t>, neoliberal</w:t>
      </w:r>
      <w:r>
        <w:rPr>
          <w:sz w:val="24"/>
          <w:szCs w:val="24"/>
        </w:rPr>
        <w:t xml:space="preserve"> agenda. Much of the policy aimed to </w:t>
      </w:r>
      <w:r w:rsidR="00F6250B">
        <w:rPr>
          <w:sz w:val="24"/>
          <w:szCs w:val="24"/>
        </w:rPr>
        <w:t>overturn</w:t>
      </w:r>
      <w:r>
        <w:rPr>
          <w:sz w:val="24"/>
          <w:szCs w:val="24"/>
        </w:rPr>
        <w:t xml:space="preserve"> </w:t>
      </w:r>
      <w:r w:rsidR="003A37DD">
        <w:rPr>
          <w:sz w:val="24"/>
          <w:szCs w:val="24"/>
        </w:rPr>
        <w:t>actions</w:t>
      </w:r>
      <w:r>
        <w:rPr>
          <w:sz w:val="24"/>
          <w:szCs w:val="24"/>
        </w:rPr>
        <w:t xml:space="preserve"> by the previous</w:t>
      </w:r>
      <w:r w:rsidR="00765608">
        <w:rPr>
          <w:sz w:val="24"/>
          <w:szCs w:val="24"/>
        </w:rPr>
        <w:t xml:space="preserve"> </w:t>
      </w:r>
      <w:r>
        <w:rPr>
          <w:sz w:val="24"/>
          <w:szCs w:val="24"/>
        </w:rPr>
        <w:t>Labour government. The EBac was presented as a traditional academic curriculum</w:t>
      </w:r>
      <w:r w:rsidR="00036F17">
        <w:rPr>
          <w:sz w:val="24"/>
          <w:szCs w:val="24"/>
        </w:rPr>
        <w:t>,</w:t>
      </w:r>
      <w:r>
        <w:rPr>
          <w:sz w:val="24"/>
          <w:szCs w:val="24"/>
        </w:rPr>
        <w:t xml:space="preserve"> whic</w:t>
      </w:r>
      <w:r w:rsidR="003A37DD">
        <w:rPr>
          <w:sz w:val="24"/>
          <w:szCs w:val="24"/>
        </w:rPr>
        <w:t>h</w:t>
      </w:r>
      <w:r>
        <w:rPr>
          <w:sz w:val="24"/>
          <w:szCs w:val="24"/>
        </w:rPr>
        <w:t xml:space="preserve"> </w:t>
      </w:r>
      <w:r w:rsidR="00765608">
        <w:rPr>
          <w:sz w:val="24"/>
          <w:szCs w:val="24"/>
        </w:rPr>
        <w:t xml:space="preserve">aimed to </w:t>
      </w:r>
      <w:r>
        <w:rPr>
          <w:sz w:val="24"/>
          <w:szCs w:val="24"/>
        </w:rPr>
        <w:t xml:space="preserve">ensure that all </w:t>
      </w:r>
      <w:r w:rsidR="00765608">
        <w:rPr>
          <w:sz w:val="24"/>
          <w:szCs w:val="24"/>
        </w:rPr>
        <w:t xml:space="preserve">students </w:t>
      </w:r>
      <w:r>
        <w:rPr>
          <w:sz w:val="24"/>
          <w:szCs w:val="24"/>
        </w:rPr>
        <w:t xml:space="preserve">retained a breadth of academic study until the age of 16 when they could either continue on an academic route or could </w:t>
      </w:r>
      <w:r w:rsidR="001D565B">
        <w:rPr>
          <w:sz w:val="24"/>
          <w:szCs w:val="24"/>
        </w:rPr>
        <w:t>study</w:t>
      </w:r>
      <w:r w:rsidR="00F95529">
        <w:rPr>
          <w:sz w:val="24"/>
          <w:szCs w:val="24"/>
        </w:rPr>
        <w:t xml:space="preserve"> a</w:t>
      </w:r>
      <w:r>
        <w:rPr>
          <w:sz w:val="24"/>
          <w:szCs w:val="24"/>
        </w:rPr>
        <w:t xml:space="preserve"> vocational route during their post</w:t>
      </w:r>
      <w:r w:rsidR="00036F17">
        <w:rPr>
          <w:sz w:val="24"/>
          <w:szCs w:val="24"/>
        </w:rPr>
        <w:t>-</w:t>
      </w:r>
      <w:r>
        <w:rPr>
          <w:sz w:val="24"/>
          <w:szCs w:val="24"/>
        </w:rPr>
        <w:t xml:space="preserve">16 education. The policy </w:t>
      </w:r>
      <w:r w:rsidR="00765608">
        <w:rPr>
          <w:sz w:val="24"/>
          <w:szCs w:val="24"/>
        </w:rPr>
        <w:t xml:space="preserve">claimed </w:t>
      </w:r>
      <w:r>
        <w:rPr>
          <w:sz w:val="24"/>
          <w:szCs w:val="24"/>
        </w:rPr>
        <w:t xml:space="preserve">to address the concern that social mobility was declining in England and that part of the reason was that </w:t>
      </w:r>
      <w:r w:rsidR="000E17BD">
        <w:rPr>
          <w:sz w:val="24"/>
          <w:szCs w:val="24"/>
        </w:rPr>
        <w:t>‘</w:t>
      </w:r>
      <w:r>
        <w:rPr>
          <w:sz w:val="24"/>
          <w:szCs w:val="24"/>
        </w:rPr>
        <w:t>disadvantaged</w:t>
      </w:r>
      <w:r w:rsidR="000E17BD">
        <w:rPr>
          <w:sz w:val="24"/>
          <w:szCs w:val="24"/>
        </w:rPr>
        <w:t>’</w:t>
      </w:r>
      <w:r>
        <w:rPr>
          <w:sz w:val="24"/>
          <w:szCs w:val="24"/>
        </w:rPr>
        <w:t xml:space="preserve"> children were being diverted into qualifications </w:t>
      </w:r>
      <w:r>
        <w:rPr>
          <w:sz w:val="24"/>
          <w:szCs w:val="24"/>
        </w:rPr>
        <w:lastRenderedPageBreak/>
        <w:t>which did not allow them to access higher status courses, universities or</w:t>
      </w:r>
      <w:r w:rsidR="00765608">
        <w:rPr>
          <w:sz w:val="24"/>
          <w:szCs w:val="24"/>
        </w:rPr>
        <w:t xml:space="preserve"> </w:t>
      </w:r>
      <w:r>
        <w:rPr>
          <w:sz w:val="24"/>
          <w:szCs w:val="24"/>
        </w:rPr>
        <w:t xml:space="preserve">careers. The EBac policy and </w:t>
      </w:r>
      <w:r w:rsidR="00036F17">
        <w:rPr>
          <w:sz w:val="24"/>
          <w:szCs w:val="24"/>
        </w:rPr>
        <w:t>its</w:t>
      </w:r>
      <w:r>
        <w:rPr>
          <w:sz w:val="24"/>
          <w:szCs w:val="24"/>
        </w:rPr>
        <w:t xml:space="preserve"> links with performance tables was seen as a way of influencing schools</w:t>
      </w:r>
      <w:r w:rsidR="00036F17">
        <w:rPr>
          <w:sz w:val="24"/>
          <w:szCs w:val="24"/>
        </w:rPr>
        <w:t>’</w:t>
      </w:r>
      <w:r>
        <w:rPr>
          <w:sz w:val="24"/>
          <w:szCs w:val="24"/>
        </w:rPr>
        <w:t xml:space="preserve"> </w:t>
      </w:r>
      <w:r w:rsidR="00036F17">
        <w:rPr>
          <w:sz w:val="24"/>
          <w:szCs w:val="24"/>
        </w:rPr>
        <w:t xml:space="preserve">curriculum decisions, </w:t>
      </w:r>
      <w:r>
        <w:rPr>
          <w:sz w:val="24"/>
          <w:szCs w:val="24"/>
        </w:rPr>
        <w:t>with the intention</w:t>
      </w:r>
      <w:r w:rsidR="003A37DD">
        <w:rPr>
          <w:sz w:val="24"/>
          <w:szCs w:val="24"/>
        </w:rPr>
        <w:t xml:space="preserve"> that</w:t>
      </w:r>
      <w:r>
        <w:rPr>
          <w:sz w:val="24"/>
          <w:szCs w:val="24"/>
        </w:rPr>
        <w:t xml:space="preserve"> more students </w:t>
      </w:r>
      <w:r w:rsidR="003A37DD">
        <w:rPr>
          <w:sz w:val="24"/>
          <w:szCs w:val="24"/>
        </w:rPr>
        <w:t>would study</w:t>
      </w:r>
      <w:r>
        <w:rPr>
          <w:sz w:val="24"/>
          <w:szCs w:val="24"/>
        </w:rPr>
        <w:t xml:space="preserve"> academic subjects. Linked to this policy was a reduction in vocational subjects that schools could offer and changes to the way</w:t>
      </w:r>
      <w:r w:rsidR="009F63D2">
        <w:rPr>
          <w:sz w:val="24"/>
          <w:szCs w:val="24"/>
        </w:rPr>
        <w:t xml:space="preserve">s in which </w:t>
      </w:r>
      <w:r>
        <w:rPr>
          <w:sz w:val="24"/>
          <w:szCs w:val="24"/>
        </w:rPr>
        <w:t>performance points for subjects and qualifications were calculated.</w:t>
      </w:r>
      <w:r w:rsidR="00E30011">
        <w:rPr>
          <w:sz w:val="24"/>
          <w:szCs w:val="24"/>
        </w:rPr>
        <w:t xml:space="preserve"> </w:t>
      </w:r>
      <w:r w:rsidR="004822C3">
        <w:rPr>
          <w:sz w:val="24"/>
          <w:szCs w:val="24"/>
        </w:rPr>
        <w:t xml:space="preserve"> </w:t>
      </w:r>
    </w:p>
    <w:p w14:paraId="5AA632DA" w14:textId="77777777" w:rsidR="00036F17" w:rsidRDefault="00036F17" w:rsidP="0018035B">
      <w:pPr>
        <w:spacing w:after="0" w:line="360" w:lineRule="auto"/>
        <w:rPr>
          <w:sz w:val="24"/>
          <w:szCs w:val="24"/>
        </w:rPr>
      </w:pPr>
    </w:p>
    <w:p w14:paraId="35BA54AB" w14:textId="03E81087" w:rsidR="00DC07DE" w:rsidRPr="00DC07DE" w:rsidRDefault="004822C3" w:rsidP="00DC07DE">
      <w:pPr>
        <w:spacing w:line="360" w:lineRule="auto"/>
        <w:rPr>
          <w:sz w:val="24"/>
          <w:szCs w:val="24"/>
        </w:rPr>
      </w:pPr>
      <w:r>
        <w:rPr>
          <w:sz w:val="24"/>
          <w:szCs w:val="24"/>
        </w:rPr>
        <w:t xml:space="preserve">CDA allowed me </w:t>
      </w:r>
      <w:r w:rsidR="0053799E">
        <w:rPr>
          <w:sz w:val="24"/>
          <w:szCs w:val="24"/>
        </w:rPr>
        <w:t xml:space="preserve">to </w:t>
      </w:r>
      <w:r w:rsidR="003A37DD">
        <w:rPr>
          <w:sz w:val="24"/>
          <w:szCs w:val="24"/>
        </w:rPr>
        <w:t>highlight</w:t>
      </w:r>
      <w:r w:rsidR="00036F17">
        <w:rPr>
          <w:sz w:val="24"/>
          <w:szCs w:val="24"/>
        </w:rPr>
        <w:t xml:space="preserve"> the</w:t>
      </w:r>
      <w:r w:rsidR="0053799E">
        <w:rPr>
          <w:sz w:val="24"/>
          <w:szCs w:val="24"/>
        </w:rPr>
        <w:t xml:space="preserve"> linguistic devices that were used to present and frame the discussion</w:t>
      </w:r>
      <w:r w:rsidR="00DA683E">
        <w:rPr>
          <w:sz w:val="24"/>
          <w:szCs w:val="24"/>
        </w:rPr>
        <w:t>, whilst</w:t>
      </w:r>
      <w:r w:rsidR="0053799E">
        <w:rPr>
          <w:sz w:val="24"/>
          <w:szCs w:val="24"/>
        </w:rPr>
        <w:t xml:space="preserve"> </w:t>
      </w:r>
      <w:r w:rsidR="00DA683E">
        <w:rPr>
          <w:sz w:val="24"/>
          <w:szCs w:val="24"/>
        </w:rPr>
        <w:t>t</w:t>
      </w:r>
      <w:r w:rsidR="0053799E">
        <w:rPr>
          <w:sz w:val="24"/>
          <w:szCs w:val="24"/>
        </w:rPr>
        <w:t xml:space="preserve">he application of Scheurich’s </w:t>
      </w:r>
      <w:r w:rsidR="00DF24E7">
        <w:rPr>
          <w:sz w:val="24"/>
          <w:szCs w:val="24"/>
        </w:rPr>
        <w:t xml:space="preserve">PA </w:t>
      </w:r>
      <w:r w:rsidR="00DA683E">
        <w:rPr>
          <w:sz w:val="24"/>
          <w:szCs w:val="24"/>
        </w:rPr>
        <w:t xml:space="preserve">enabled </w:t>
      </w:r>
      <w:r w:rsidR="0053799E">
        <w:rPr>
          <w:sz w:val="24"/>
          <w:szCs w:val="24"/>
        </w:rPr>
        <w:t xml:space="preserve">me to identify elements </w:t>
      </w:r>
      <w:r w:rsidR="003A37DD">
        <w:rPr>
          <w:sz w:val="24"/>
          <w:szCs w:val="24"/>
        </w:rPr>
        <w:t xml:space="preserve">that </w:t>
      </w:r>
      <w:r w:rsidR="0053799E">
        <w:rPr>
          <w:sz w:val="24"/>
          <w:szCs w:val="24"/>
        </w:rPr>
        <w:t>came together at th</w:t>
      </w:r>
      <w:r w:rsidR="003D7CB1">
        <w:rPr>
          <w:sz w:val="24"/>
          <w:szCs w:val="24"/>
        </w:rPr>
        <w:t>at</w:t>
      </w:r>
      <w:r w:rsidR="0053799E">
        <w:rPr>
          <w:sz w:val="24"/>
          <w:szCs w:val="24"/>
        </w:rPr>
        <w:t xml:space="preserve"> </w:t>
      </w:r>
      <w:r w:rsidR="00DA683E">
        <w:rPr>
          <w:sz w:val="24"/>
          <w:szCs w:val="24"/>
        </w:rPr>
        <w:t xml:space="preserve">precise </w:t>
      </w:r>
      <w:r w:rsidR="0053799E">
        <w:rPr>
          <w:sz w:val="24"/>
          <w:szCs w:val="24"/>
        </w:rPr>
        <w:t>moment in time</w:t>
      </w:r>
      <w:r w:rsidR="00036F17">
        <w:rPr>
          <w:sz w:val="24"/>
          <w:szCs w:val="24"/>
        </w:rPr>
        <w:t>,</w:t>
      </w:r>
      <w:r w:rsidR="0053799E">
        <w:rPr>
          <w:sz w:val="24"/>
          <w:szCs w:val="24"/>
        </w:rPr>
        <w:t xml:space="preserve"> le</w:t>
      </w:r>
      <w:r w:rsidR="00036F17">
        <w:rPr>
          <w:sz w:val="24"/>
          <w:szCs w:val="24"/>
        </w:rPr>
        <w:t>a</w:t>
      </w:r>
      <w:r w:rsidR="0053799E">
        <w:rPr>
          <w:sz w:val="24"/>
          <w:szCs w:val="24"/>
        </w:rPr>
        <w:t>d</w:t>
      </w:r>
      <w:r w:rsidR="00036F17">
        <w:rPr>
          <w:sz w:val="24"/>
          <w:szCs w:val="24"/>
        </w:rPr>
        <w:t>ing ultimately</w:t>
      </w:r>
      <w:r w:rsidR="0053799E">
        <w:rPr>
          <w:sz w:val="24"/>
          <w:szCs w:val="24"/>
        </w:rPr>
        <w:t xml:space="preserve"> to the creation of the EBac as a solution to the identified problem</w:t>
      </w:r>
      <w:r w:rsidR="00DA683E">
        <w:rPr>
          <w:sz w:val="24"/>
          <w:szCs w:val="24"/>
        </w:rPr>
        <w:t xml:space="preserve">. </w:t>
      </w:r>
      <w:r w:rsidR="003A37DD">
        <w:rPr>
          <w:sz w:val="24"/>
          <w:szCs w:val="24"/>
        </w:rPr>
        <w:t>M</w:t>
      </w:r>
      <w:r w:rsidR="0053799E">
        <w:rPr>
          <w:sz w:val="24"/>
          <w:szCs w:val="24"/>
        </w:rPr>
        <w:t>y interviews highlighted an educational discourse which view</w:t>
      </w:r>
      <w:r w:rsidR="003A37DD">
        <w:rPr>
          <w:sz w:val="24"/>
          <w:szCs w:val="24"/>
        </w:rPr>
        <w:t>s</w:t>
      </w:r>
      <w:r w:rsidR="0053799E">
        <w:rPr>
          <w:sz w:val="24"/>
          <w:szCs w:val="24"/>
        </w:rPr>
        <w:t xml:space="preserve"> ‘ability’ as a key</w:t>
      </w:r>
      <w:r w:rsidR="00334B49">
        <w:rPr>
          <w:sz w:val="24"/>
          <w:szCs w:val="24"/>
        </w:rPr>
        <w:t xml:space="preserve">, </w:t>
      </w:r>
      <w:r w:rsidR="0053799E">
        <w:rPr>
          <w:sz w:val="24"/>
          <w:szCs w:val="24"/>
        </w:rPr>
        <w:t>fixed student characteristic</w:t>
      </w:r>
      <w:r w:rsidR="00036F17">
        <w:rPr>
          <w:sz w:val="24"/>
          <w:szCs w:val="24"/>
        </w:rPr>
        <w:t>,</w:t>
      </w:r>
      <w:r w:rsidR="00EE0E08">
        <w:rPr>
          <w:sz w:val="24"/>
          <w:szCs w:val="24"/>
        </w:rPr>
        <w:t xml:space="preserve"> i</w:t>
      </w:r>
      <w:r w:rsidR="0053799E">
        <w:rPr>
          <w:sz w:val="24"/>
          <w:szCs w:val="24"/>
        </w:rPr>
        <w:t>n stark contrast to government policy rhetoric of opportunity and possibility</w:t>
      </w:r>
      <w:r w:rsidR="00EE0E08">
        <w:rPr>
          <w:sz w:val="24"/>
          <w:szCs w:val="24"/>
        </w:rPr>
        <w:t>.</w:t>
      </w:r>
      <w:r w:rsidR="0053799E">
        <w:rPr>
          <w:sz w:val="24"/>
          <w:szCs w:val="24"/>
        </w:rPr>
        <w:t xml:space="preserve"> </w:t>
      </w:r>
      <w:r w:rsidR="00BA4ED2">
        <w:rPr>
          <w:sz w:val="24"/>
          <w:szCs w:val="24"/>
        </w:rPr>
        <w:t>In addition</w:t>
      </w:r>
      <w:r w:rsidR="003D7CB1">
        <w:rPr>
          <w:sz w:val="24"/>
          <w:szCs w:val="24"/>
        </w:rPr>
        <w:t>,</w:t>
      </w:r>
      <w:r w:rsidR="00BA4ED2">
        <w:rPr>
          <w:sz w:val="24"/>
          <w:szCs w:val="24"/>
        </w:rPr>
        <w:t xml:space="preserve"> the neoliberal focus on ‘high-stakes testing’ appears to have transformed discussion about educational inequalities away from social characteristics external to the school and</w:t>
      </w:r>
      <w:r w:rsidR="003D7CB1">
        <w:rPr>
          <w:sz w:val="24"/>
          <w:szCs w:val="24"/>
        </w:rPr>
        <w:t xml:space="preserve"> towards</w:t>
      </w:r>
      <w:r w:rsidR="00BA4ED2">
        <w:rPr>
          <w:sz w:val="24"/>
          <w:szCs w:val="24"/>
        </w:rPr>
        <w:t xml:space="preserve"> notions of student ‘ability’ and internal school factors such as school and teacher performa</w:t>
      </w:r>
      <w:r w:rsidR="003D7CB1">
        <w:rPr>
          <w:sz w:val="24"/>
          <w:szCs w:val="24"/>
        </w:rPr>
        <w:t>nce</w:t>
      </w:r>
      <w:r w:rsidR="00BA4ED2">
        <w:rPr>
          <w:sz w:val="24"/>
          <w:szCs w:val="24"/>
        </w:rPr>
        <w:t xml:space="preserve">. </w:t>
      </w:r>
      <w:r w:rsidR="004C35CA">
        <w:rPr>
          <w:sz w:val="24"/>
          <w:szCs w:val="24"/>
        </w:rPr>
        <w:t xml:space="preserve">The EBac </w:t>
      </w:r>
      <w:r w:rsidR="009F63D2">
        <w:rPr>
          <w:sz w:val="24"/>
          <w:szCs w:val="24"/>
        </w:rPr>
        <w:t xml:space="preserve">serves as </w:t>
      </w:r>
      <w:r w:rsidR="003D7CB1">
        <w:rPr>
          <w:sz w:val="24"/>
          <w:szCs w:val="24"/>
        </w:rPr>
        <w:t xml:space="preserve">a </w:t>
      </w:r>
      <w:r w:rsidR="004C35CA">
        <w:rPr>
          <w:sz w:val="24"/>
          <w:szCs w:val="24"/>
        </w:rPr>
        <w:t>school accountability measure</w:t>
      </w:r>
      <w:r w:rsidR="00BA4ED2">
        <w:rPr>
          <w:sz w:val="24"/>
          <w:szCs w:val="24"/>
        </w:rPr>
        <w:t xml:space="preserve"> which governs behaviour and appears </w:t>
      </w:r>
      <w:r w:rsidR="003D7CB1">
        <w:rPr>
          <w:sz w:val="24"/>
          <w:szCs w:val="24"/>
        </w:rPr>
        <w:t xml:space="preserve">to be </w:t>
      </w:r>
      <w:r w:rsidR="00BA4ED2">
        <w:rPr>
          <w:sz w:val="24"/>
          <w:szCs w:val="24"/>
        </w:rPr>
        <w:t xml:space="preserve">internalised </w:t>
      </w:r>
      <w:r w:rsidR="003D7CB1">
        <w:rPr>
          <w:sz w:val="24"/>
          <w:szCs w:val="24"/>
        </w:rPr>
        <w:t xml:space="preserve">by participants </w:t>
      </w:r>
      <w:r w:rsidR="00BA4ED2">
        <w:rPr>
          <w:sz w:val="24"/>
          <w:szCs w:val="24"/>
        </w:rPr>
        <w:t xml:space="preserve">as a self-governing </w:t>
      </w:r>
      <w:r w:rsidR="003D7CB1">
        <w:rPr>
          <w:sz w:val="24"/>
          <w:szCs w:val="24"/>
        </w:rPr>
        <w:t>technology</w:t>
      </w:r>
      <w:r w:rsidR="00036F17">
        <w:rPr>
          <w:sz w:val="24"/>
          <w:szCs w:val="24"/>
        </w:rPr>
        <w:t>,</w:t>
      </w:r>
      <w:r w:rsidR="00EE0E08">
        <w:rPr>
          <w:sz w:val="24"/>
          <w:szCs w:val="24"/>
        </w:rPr>
        <w:t xml:space="preserve"> while </w:t>
      </w:r>
      <w:r w:rsidR="00036F17">
        <w:rPr>
          <w:sz w:val="24"/>
          <w:szCs w:val="24"/>
        </w:rPr>
        <w:t xml:space="preserve">being </w:t>
      </w:r>
      <w:r w:rsidR="00EE0E08">
        <w:rPr>
          <w:sz w:val="24"/>
          <w:szCs w:val="24"/>
        </w:rPr>
        <w:t xml:space="preserve">presented as promoting achievement for a wider range of students across stated academic subjects. </w:t>
      </w:r>
    </w:p>
    <w:p w14:paraId="6AB2546F" w14:textId="53CB1994" w:rsidR="003A37DD" w:rsidRPr="003A37DD" w:rsidRDefault="005D1D45" w:rsidP="00531995">
      <w:pPr>
        <w:pStyle w:val="Heading3"/>
      </w:pPr>
      <w:bookmarkStart w:id="112" w:name="_Toc452316395"/>
      <w:r w:rsidRPr="005D1D45">
        <w:t>6.2.2</w:t>
      </w:r>
      <w:r>
        <w:t xml:space="preserve"> </w:t>
      </w:r>
      <w:r w:rsidR="00406A3E" w:rsidRPr="003A37DD">
        <w:t>What are teacher</w:t>
      </w:r>
      <w:r w:rsidR="00334B49">
        <w:t>s</w:t>
      </w:r>
      <w:r w:rsidR="00406A3E" w:rsidRPr="003A37DD">
        <w:t>’ perspectives on the constitution and implementation of the EBac?</w:t>
      </w:r>
      <w:bookmarkEnd w:id="112"/>
    </w:p>
    <w:p w14:paraId="236EC1B8" w14:textId="39E177CA" w:rsidR="00F6250B" w:rsidRDefault="003A37DD" w:rsidP="00B6050F">
      <w:pPr>
        <w:pStyle w:val="ListParagraph"/>
        <w:spacing w:after="0" w:line="360" w:lineRule="auto"/>
        <w:ind w:left="0"/>
        <w:rPr>
          <w:sz w:val="24"/>
          <w:szCs w:val="24"/>
        </w:rPr>
      </w:pPr>
      <w:r w:rsidRPr="002C1479">
        <w:rPr>
          <w:sz w:val="24"/>
          <w:szCs w:val="24"/>
        </w:rPr>
        <w:t>S</w:t>
      </w:r>
      <w:r w:rsidR="00DC07DE" w:rsidRPr="002C1479">
        <w:rPr>
          <w:sz w:val="24"/>
          <w:szCs w:val="24"/>
        </w:rPr>
        <w:t>emi-structured interviews in four different types of state school</w:t>
      </w:r>
      <w:r w:rsidR="00036F17">
        <w:rPr>
          <w:sz w:val="24"/>
          <w:szCs w:val="24"/>
        </w:rPr>
        <w:t>s</w:t>
      </w:r>
      <w:r w:rsidR="00DC07DE" w:rsidRPr="002C1479">
        <w:rPr>
          <w:sz w:val="24"/>
          <w:szCs w:val="24"/>
        </w:rPr>
        <w:t xml:space="preserve"> </w:t>
      </w:r>
      <w:r w:rsidRPr="002C1479">
        <w:rPr>
          <w:sz w:val="24"/>
          <w:szCs w:val="24"/>
        </w:rPr>
        <w:t>demonstrated the</w:t>
      </w:r>
      <w:r w:rsidR="00DC07DE" w:rsidRPr="002C1479">
        <w:rPr>
          <w:sz w:val="24"/>
          <w:szCs w:val="24"/>
        </w:rPr>
        <w:t xml:space="preserve"> different approaches taken </w:t>
      </w:r>
      <w:r w:rsidR="003D7CB1">
        <w:rPr>
          <w:sz w:val="24"/>
          <w:szCs w:val="24"/>
        </w:rPr>
        <w:t>by teachers</w:t>
      </w:r>
      <w:r w:rsidR="00DC07DE" w:rsidRPr="002C1479">
        <w:rPr>
          <w:sz w:val="24"/>
          <w:szCs w:val="24"/>
        </w:rPr>
        <w:t xml:space="preserve">. </w:t>
      </w:r>
      <w:r w:rsidR="009F63D2" w:rsidRPr="002C1479">
        <w:rPr>
          <w:sz w:val="24"/>
          <w:szCs w:val="24"/>
        </w:rPr>
        <w:t xml:space="preserve">Staff at </w:t>
      </w:r>
      <w:r w:rsidR="000E17BD" w:rsidRPr="002C1479">
        <w:rPr>
          <w:sz w:val="24"/>
          <w:szCs w:val="24"/>
        </w:rPr>
        <w:t>Bluefield, a</w:t>
      </w:r>
      <w:r w:rsidR="007A4014" w:rsidRPr="002C1479">
        <w:rPr>
          <w:sz w:val="24"/>
          <w:szCs w:val="24"/>
        </w:rPr>
        <w:t xml:space="preserve"> high performing </w:t>
      </w:r>
      <w:r w:rsidR="004B016C" w:rsidRPr="002C1479">
        <w:rPr>
          <w:sz w:val="24"/>
          <w:szCs w:val="24"/>
        </w:rPr>
        <w:t>academy</w:t>
      </w:r>
      <w:r w:rsidRPr="002C1479">
        <w:rPr>
          <w:sz w:val="24"/>
          <w:szCs w:val="24"/>
        </w:rPr>
        <w:t>,</w:t>
      </w:r>
      <w:r w:rsidR="007A4014" w:rsidRPr="002C1479">
        <w:rPr>
          <w:sz w:val="24"/>
          <w:szCs w:val="24"/>
        </w:rPr>
        <w:t xml:space="preserve"> broadly welcomed the EBac and while no changes were necessary to the curriculum</w:t>
      </w:r>
      <w:r w:rsidR="003D7CB1">
        <w:rPr>
          <w:sz w:val="24"/>
          <w:szCs w:val="24"/>
        </w:rPr>
        <w:t xml:space="preserve">, </w:t>
      </w:r>
      <w:r w:rsidR="00F95529">
        <w:rPr>
          <w:sz w:val="24"/>
          <w:szCs w:val="24"/>
        </w:rPr>
        <w:t>an</w:t>
      </w:r>
      <w:r w:rsidR="007A4014" w:rsidRPr="002C1479">
        <w:rPr>
          <w:sz w:val="24"/>
          <w:szCs w:val="24"/>
        </w:rPr>
        <w:t xml:space="preserve"> increas</w:t>
      </w:r>
      <w:r w:rsidR="00F95529">
        <w:rPr>
          <w:sz w:val="24"/>
          <w:szCs w:val="24"/>
        </w:rPr>
        <w:t>ing</w:t>
      </w:r>
      <w:r w:rsidR="00F6250B" w:rsidRPr="002C1479">
        <w:rPr>
          <w:sz w:val="24"/>
          <w:szCs w:val="24"/>
        </w:rPr>
        <w:t xml:space="preserve"> number of</w:t>
      </w:r>
      <w:r w:rsidR="007A4014" w:rsidRPr="002C1479">
        <w:rPr>
          <w:sz w:val="24"/>
          <w:szCs w:val="24"/>
        </w:rPr>
        <w:t xml:space="preserve"> students </w:t>
      </w:r>
      <w:r w:rsidR="00F95529">
        <w:rPr>
          <w:sz w:val="24"/>
          <w:szCs w:val="24"/>
        </w:rPr>
        <w:t>opted for it</w:t>
      </w:r>
      <w:r w:rsidR="007A4014" w:rsidRPr="002C1479">
        <w:rPr>
          <w:sz w:val="24"/>
          <w:szCs w:val="24"/>
        </w:rPr>
        <w:t xml:space="preserve">. </w:t>
      </w:r>
      <w:r w:rsidR="000E17BD" w:rsidRPr="002C1479">
        <w:rPr>
          <w:sz w:val="24"/>
          <w:szCs w:val="24"/>
        </w:rPr>
        <w:t xml:space="preserve">Yellowfield, </w:t>
      </w:r>
      <w:r w:rsidRPr="002C1479">
        <w:rPr>
          <w:sz w:val="24"/>
          <w:szCs w:val="24"/>
        </w:rPr>
        <w:t>a</w:t>
      </w:r>
      <w:r w:rsidR="007A4014" w:rsidRPr="002C1479">
        <w:rPr>
          <w:sz w:val="24"/>
          <w:szCs w:val="24"/>
        </w:rPr>
        <w:t xml:space="preserve"> low performing non-</w:t>
      </w:r>
      <w:r w:rsidR="004B016C" w:rsidRPr="002C1479">
        <w:rPr>
          <w:sz w:val="24"/>
          <w:szCs w:val="24"/>
        </w:rPr>
        <w:t>academy</w:t>
      </w:r>
      <w:r w:rsidRPr="002C1479">
        <w:rPr>
          <w:sz w:val="24"/>
          <w:szCs w:val="24"/>
        </w:rPr>
        <w:t>,</w:t>
      </w:r>
      <w:r w:rsidR="007A4014" w:rsidRPr="002C1479">
        <w:rPr>
          <w:sz w:val="24"/>
          <w:szCs w:val="24"/>
        </w:rPr>
        <w:t xml:space="preserve"> felt very strongly that the EBac was not an</w:t>
      </w:r>
      <w:r w:rsidR="00D5540F">
        <w:rPr>
          <w:sz w:val="24"/>
          <w:szCs w:val="24"/>
        </w:rPr>
        <w:t xml:space="preserve"> appropriate curriculum for all</w:t>
      </w:r>
      <w:r w:rsidR="003D7CB1">
        <w:rPr>
          <w:sz w:val="24"/>
          <w:szCs w:val="24"/>
        </w:rPr>
        <w:t xml:space="preserve"> students </w:t>
      </w:r>
      <w:r w:rsidR="007A4014" w:rsidRPr="002C1479">
        <w:rPr>
          <w:sz w:val="24"/>
          <w:szCs w:val="24"/>
        </w:rPr>
        <w:t>and while a number of curriculum changes</w:t>
      </w:r>
      <w:r w:rsidR="00036F17">
        <w:rPr>
          <w:sz w:val="24"/>
          <w:szCs w:val="24"/>
        </w:rPr>
        <w:t xml:space="preserve"> were made</w:t>
      </w:r>
      <w:r w:rsidR="007A4014" w:rsidRPr="002C1479">
        <w:rPr>
          <w:sz w:val="24"/>
          <w:szCs w:val="24"/>
        </w:rPr>
        <w:t xml:space="preserve">, </w:t>
      </w:r>
      <w:r w:rsidR="00F6250B" w:rsidRPr="002C1479">
        <w:rPr>
          <w:sz w:val="24"/>
          <w:szCs w:val="24"/>
        </w:rPr>
        <w:t>particularly with regard to vocational courses</w:t>
      </w:r>
      <w:r w:rsidR="003D7CB1">
        <w:rPr>
          <w:sz w:val="24"/>
          <w:szCs w:val="24"/>
        </w:rPr>
        <w:t xml:space="preserve">, </w:t>
      </w:r>
      <w:r w:rsidR="00F95529">
        <w:rPr>
          <w:sz w:val="24"/>
          <w:szCs w:val="24"/>
        </w:rPr>
        <w:t>the school</w:t>
      </w:r>
      <w:r w:rsidR="00EE0E08">
        <w:rPr>
          <w:sz w:val="24"/>
          <w:szCs w:val="24"/>
        </w:rPr>
        <w:t xml:space="preserve"> </w:t>
      </w:r>
      <w:r w:rsidR="00F6250B" w:rsidRPr="002C1479">
        <w:rPr>
          <w:sz w:val="24"/>
          <w:szCs w:val="24"/>
        </w:rPr>
        <w:t>maintained a broad and varied curriculum offer</w:t>
      </w:r>
      <w:r w:rsidR="003D7CB1">
        <w:rPr>
          <w:sz w:val="24"/>
          <w:szCs w:val="24"/>
        </w:rPr>
        <w:t>, al</w:t>
      </w:r>
      <w:r w:rsidR="000959AA">
        <w:rPr>
          <w:sz w:val="24"/>
          <w:szCs w:val="24"/>
        </w:rPr>
        <w:t>though</w:t>
      </w:r>
      <w:r w:rsidR="00036F17">
        <w:rPr>
          <w:sz w:val="24"/>
          <w:szCs w:val="24"/>
        </w:rPr>
        <w:t xml:space="preserve"> </w:t>
      </w:r>
      <w:r w:rsidR="000959AA">
        <w:rPr>
          <w:sz w:val="24"/>
          <w:szCs w:val="24"/>
        </w:rPr>
        <w:t xml:space="preserve">curriculum changes </w:t>
      </w:r>
      <w:r w:rsidR="00F95529">
        <w:rPr>
          <w:sz w:val="24"/>
          <w:szCs w:val="24"/>
        </w:rPr>
        <w:t xml:space="preserve">were made </w:t>
      </w:r>
      <w:r w:rsidR="000959AA">
        <w:rPr>
          <w:sz w:val="24"/>
          <w:szCs w:val="24"/>
        </w:rPr>
        <w:t>to prepare future students for the EBac</w:t>
      </w:r>
      <w:r w:rsidR="00F6250B" w:rsidRPr="002C1479">
        <w:rPr>
          <w:sz w:val="24"/>
          <w:szCs w:val="24"/>
        </w:rPr>
        <w:t xml:space="preserve">. </w:t>
      </w:r>
      <w:r w:rsidR="000E17BD" w:rsidRPr="002C1479">
        <w:rPr>
          <w:sz w:val="24"/>
          <w:szCs w:val="24"/>
        </w:rPr>
        <w:t xml:space="preserve">Purplefield, </w:t>
      </w:r>
      <w:r w:rsidR="003D7CB1">
        <w:rPr>
          <w:sz w:val="24"/>
          <w:szCs w:val="24"/>
        </w:rPr>
        <w:t xml:space="preserve">a </w:t>
      </w:r>
      <w:r w:rsidR="00F6250B" w:rsidRPr="002C1479">
        <w:rPr>
          <w:sz w:val="24"/>
          <w:szCs w:val="24"/>
        </w:rPr>
        <w:t xml:space="preserve">rapidly improving </w:t>
      </w:r>
      <w:r w:rsidR="004B016C" w:rsidRPr="002C1479">
        <w:rPr>
          <w:sz w:val="24"/>
          <w:szCs w:val="24"/>
        </w:rPr>
        <w:t>academy</w:t>
      </w:r>
      <w:r w:rsidR="000E17BD" w:rsidRPr="002C1479">
        <w:rPr>
          <w:sz w:val="24"/>
          <w:szCs w:val="24"/>
        </w:rPr>
        <w:t>,</w:t>
      </w:r>
      <w:r w:rsidR="00F6250B" w:rsidRPr="002C1479">
        <w:rPr>
          <w:sz w:val="24"/>
          <w:szCs w:val="24"/>
        </w:rPr>
        <w:t xml:space="preserve"> experienced a huge change in curriculum</w:t>
      </w:r>
      <w:r w:rsidR="00036F17">
        <w:rPr>
          <w:sz w:val="24"/>
          <w:szCs w:val="24"/>
        </w:rPr>
        <w:t xml:space="preserve">, </w:t>
      </w:r>
      <w:r w:rsidR="00F6250B" w:rsidRPr="002C1479">
        <w:rPr>
          <w:sz w:val="24"/>
          <w:szCs w:val="24"/>
        </w:rPr>
        <w:t xml:space="preserve">moving 20% of the cohort </w:t>
      </w:r>
      <w:r w:rsidR="003D7CB1">
        <w:rPr>
          <w:sz w:val="24"/>
          <w:szCs w:val="24"/>
        </w:rPr>
        <w:t xml:space="preserve">from </w:t>
      </w:r>
      <w:r w:rsidR="00F6250B" w:rsidRPr="002C1479">
        <w:rPr>
          <w:sz w:val="24"/>
          <w:szCs w:val="24"/>
        </w:rPr>
        <w:t xml:space="preserve">vocational </w:t>
      </w:r>
      <w:r w:rsidR="003D7CB1">
        <w:rPr>
          <w:sz w:val="24"/>
          <w:szCs w:val="24"/>
        </w:rPr>
        <w:t xml:space="preserve">college </w:t>
      </w:r>
      <w:r w:rsidR="00F6250B" w:rsidRPr="002C1479">
        <w:rPr>
          <w:sz w:val="24"/>
          <w:szCs w:val="24"/>
        </w:rPr>
        <w:t>courses</w:t>
      </w:r>
      <w:r w:rsidR="00036F17">
        <w:rPr>
          <w:sz w:val="24"/>
          <w:szCs w:val="24"/>
        </w:rPr>
        <w:t>. It</w:t>
      </w:r>
      <w:r w:rsidR="00F6250B" w:rsidRPr="002C1479">
        <w:rPr>
          <w:sz w:val="24"/>
          <w:szCs w:val="24"/>
        </w:rPr>
        <w:t xml:space="preserve"> was the only school to make the EBac compulsory for </w:t>
      </w:r>
      <w:r w:rsidR="000959AA">
        <w:rPr>
          <w:sz w:val="24"/>
          <w:szCs w:val="24"/>
        </w:rPr>
        <w:t>most</w:t>
      </w:r>
      <w:r w:rsidR="00F6250B" w:rsidRPr="002C1479">
        <w:rPr>
          <w:sz w:val="24"/>
          <w:szCs w:val="24"/>
        </w:rPr>
        <w:t xml:space="preserve"> </w:t>
      </w:r>
      <w:r w:rsidR="00F6250B" w:rsidRPr="002C1479">
        <w:rPr>
          <w:sz w:val="24"/>
          <w:szCs w:val="24"/>
        </w:rPr>
        <w:lastRenderedPageBreak/>
        <w:t>students. In contrast</w:t>
      </w:r>
      <w:r w:rsidR="001718AC">
        <w:rPr>
          <w:sz w:val="24"/>
          <w:szCs w:val="24"/>
        </w:rPr>
        <w:t>,</w:t>
      </w:r>
      <w:r w:rsidR="00F6250B" w:rsidRPr="002C1479">
        <w:rPr>
          <w:sz w:val="24"/>
          <w:szCs w:val="24"/>
        </w:rPr>
        <w:t xml:space="preserve"> </w:t>
      </w:r>
      <w:r w:rsidR="000E17BD" w:rsidRPr="002C1479">
        <w:rPr>
          <w:sz w:val="24"/>
          <w:szCs w:val="24"/>
        </w:rPr>
        <w:t>Redfield,</w:t>
      </w:r>
      <w:r w:rsidR="00F6250B" w:rsidRPr="002C1479">
        <w:rPr>
          <w:sz w:val="24"/>
          <w:szCs w:val="24"/>
        </w:rPr>
        <w:t xml:space="preserve"> </w:t>
      </w:r>
      <w:r w:rsidR="003D7CB1">
        <w:rPr>
          <w:sz w:val="24"/>
          <w:szCs w:val="24"/>
        </w:rPr>
        <w:t xml:space="preserve">a </w:t>
      </w:r>
      <w:r w:rsidR="00F6250B" w:rsidRPr="002C1479">
        <w:rPr>
          <w:sz w:val="24"/>
          <w:szCs w:val="24"/>
        </w:rPr>
        <w:t>rapidly improving non-</w:t>
      </w:r>
      <w:r w:rsidR="004B016C" w:rsidRPr="002C1479">
        <w:rPr>
          <w:sz w:val="24"/>
          <w:szCs w:val="24"/>
        </w:rPr>
        <w:t>academy</w:t>
      </w:r>
      <w:r w:rsidR="000E17BD" w:rsidRPr="002C1479">
        <w:rPr>
          <w:sz w:val="24"/>
          <w:szCs w:val="24"/>
        </w:rPr>
        <w:t>,</w:t>
      </w:r>
      <w:r w:rsidR="00F6250B" w:rsidRPr="002C1479">
        <w:rPr>
          <w:sz w:val="24"/>
          <w:szCs w:val="24"/>
        </w:rPr>
        <w:t xml:space="preserve"> had made </w:t>
      </w:r>
      <w:r w:rsidRPr="002C1479">
        <w:rPr>
          <w:sz w:val="24"/>
          <w:szCs w:val="24"/>
        </w:rPr>
        <w:t>l</w:t>
      </w:r>
      <w:r w:rsidR="00155432" w:rsidRPr="002C1479">
        <w:rPr>
          <w:sz w:val="24"/>
          <w:szCs w:val="24"/>
        </w:rPr>
        <w:t>anguages</w:t>
      </w:r>
      <w:r w:rsidR="00F6250B" w:rsidRPr="002C1479">
        <w:rPr>
          <w:sz w:val="24"/>
          <w:szCs w:val="24"/>
        </w:rPr>
        <w:t xml:space="preserve"> optional </w:t>
      </w:r>
      <w:r w:rsidR="000959AA">
        <w:rPr>
          <w:sz w:val="24"/>
          <w:szCs w:val="24"/>
        </w:rPr>
        <w:t>but</w:t>
      </w:r>
      <w:r w:rsidR="00F6250B" w:rsidRPr="002C1479">
        <w:rPr>
          <w:sz w:val="24"/>
          <w:szCs w:val="24"/>
        </w:rPr>
        <w:t xml:space="preserve"> incorporated the EBac into their curriculum pathways</w:t>
      </w:r>
      <w:r w:rsidR="000959AA">
        <w:rPr>
          <w:sz w:val="24"/>
          <w:szCs w:val="24"/>
        </w:rPr>
        <w:t>,</w:t>
      </w:r>
      <w:r w:rsidR="00F6250B" w:rsidRPr="002C1479">
        <w:rPr>
          <w:sz w:val="24"/>
          <w:szCs w:val="24"/>
        </w:rPr>
        <w:t xml:space="preserve"> maintain</w:t>
      </w:r>
      <w:r w:rsidR="000959AA">
        <w:rPr>
          <w:sz w:val="24"/>
          <w:szCs w:val="24"/>
        </w:rPr>
        <w:t>ing</w:t>
      </w:r>
      <w:r w:rsidR="00F6250B" w:rsidRPr="002C1479">
        <w:rPr>
          <w:sz w:val="24"/>
          <w:szCs w:val="24"/>
        </w:rPr>
        <w:t xml:space="preserve"> a much greater focus on the </w:t>
      </w:r>
      <w:r w:rsidR="00036F17">
        <w:rPr>
          <w:sz w:val="24"/>
          <w:szCs w:val="24"/>
        </w:rPr>
        <w:t xml:space="preserve">five </w:t>
      </w:r>
      <w:r w:rsidR="00F6250B" w:rsidRPr="002C1479">
        <w:rPr>
          <w:sz w:val="24"/>
          <w:szCs w:val="24"/>
        </w:rPr>
        <w:t xml:space="preserve">A*-C including English and </w:t>
      </w:r>
      <w:r w:rsidR="002B3F7C" w:rsidRPr="002C1479">
        <w:rPr>
          <w:sz w:val="24"/>
          <w:szCs w:val="24"/>
        </w:rPr>
        <w:t>Mathematics</w:t>
      </w:r>
      <w:r w:rsidR="00F6250B" w:rsidRPr="002C1479">
        <w:rPr>
          <w:sz w:val="24"/>
          <w:szCs w:val="24"/>
        </w:rPr>
        <w:t xml:space="preserve"> performance measure.</w:t>
      </w:r>
    </w:p>
    <w:p w14:paraId="20D88050" w14:textId="77777777" w:rsidR="00B6050F" w:rsidRPr="002C1479" w:rsidRDefault="00B6050F" w:rsidP="00B6050F">
      <w:pPr>
        <w:pStyle w:val="ListParagraph"/>
        <w:spacing w:after="0" w:line="360" w:lineRule="auto"/>
        <w:ind w:left="0"/>
        <w:rPr>
          <w:sz w:val="24"/>
          <w:szCs w:val="24"/>
        </w:rPr>
      </w:pPr>
    </w:p>
    <w:p w14:paraId="0EB6EECF" w14:textId="76B15E42" w:rsidR="0056160F" w:rsidRDefault="00F6250B" w:rsidP="00B6050F">
      <w:pPr>
        <w:tabs>
          <w:tab w:val="left" w:pos="8505"/>
        </w:tabs>
        <w:spacing w:after="0" w:line="360" w:lineRule="auto"/>
        <w:rPr>
          <w:sz w:val="24"/>
          <w:szCs w:val="24"/>
        </w:rPr>
      </w:pPr>
      <w:r>
        <w:rPr>
          <w:sz w:val="24"/>
          <w:szCs w:val="24"/>
        </w:rPr>
        <w:t xml:space="preserve">The teachers </w:t>
      </w:r>
      <w:r w:rsidR="003A37DD">
        <w:rPr>
          <w:sz w:val="24"/>
          <w:szCs w:val="24"/>
        </w:rPr>
        <w:t>felt</w:t>
      </w:r>
      <w:r>
        <w:rPr>
          <w:sz w:val="24"/>
          <w:szCs w:val="24"/>
        </w:rPr>
        <w:t xml:space="preserve"> that the EBac had been divisive, creating a further hierarchy within schools</w:t>
      </w:r>
      <w:r w:rsidR="007E6962">
        <w:rPr>
          <w:sz w:val="24"/>
          <w:szCs w:val="24"/>
        </w:rPr>
        <w:t xml:space="preserve"> between EBac and non-EBac subjects</w:t>
      </w:r>
      <w:r>
        <w:rPr>
          <w:sz w:val="24"/>
          <w:szCs w:val="24"/>
        </w:rPr>
        <w:t>. All schools had experienced some curriculum changes</w:t>
      </w:r>
      <w:r w:rsidR="00632EE9">
        <w:rPr>
          <w:sz w:val="24"/>
          <w:szCs w:val="24"/>
        </w:rPr>
        <w:t>,</w:t>
      </w:r>
      <w:r>
        <w:rPr>
          <w:sz w:val="24"/>
          <w:szCs w:val="24"/>
        </w:rPr>
        <w:t xml:space="preserve"> </w:t>
      </w:r>
      <w:r w:rsidR="001718AC">
        <w:rPr>
          <w:sz w:val="24"/>
          <w:szCs w:val="24"/>
        </w:rPr>
        <w:t xml:space="preserve">which in turn </w:t>
      </w:r>
      <w:r>
        <w:rPr>
          <w:sz w:val="24"/>
          <w:szCs w:val="24"/>
        </w:rPr>
        <w:t xml:space="preserve">led to </w:t>
      </w:r>
      <w:r w:rsidR="001718AC">
        <w:rPr>
          <w:sz w:val="24"/>
          <w:szCs w:val="24"/>
        </w:rPr>
        <w:t xml:space="preserve">alterations </w:t>
      </w:r>
      <w:r>
        <w:rPr>
          <w:sz w:val="24"/>
          <w:szCs w:val="24"/>
        </w:rPr>
        <w:t xml:space="preserve">in </w:t>
      </w:r>
      <w:r w:rsidR="003A37DD">
        <w:rPr>
          <w:sz w:val="24"/>
          <w:szCs w:val="24"/>
        </w:rPr>
        <w:t>time</w:t>
      </w:r>
      <w:r>
        <w:rPr>
          <w:sz w:val="24"/>
          <w:szCs w:val="24"/>
        </w:rPr>
        <w:t xml:space="preserve"> allocation and staffing</w:t>
      </w:r>
      <w:r w:rsidR="001718AC">
        <w:rPr>
          <w:sz w:val="24"/>
          <w:szCs w:val="24"/>
        </w:rPr>
        <w:t>,</w:t>
      </w:r>
      <w:r w:rsidR="007E6962">
        <w:rPr>
          <w:sz w:val="24"/>
          <w:szCs w:val="24"/>
        </w:rPr>
        <w:t xml:space="preserve"> with time for EBac subjects in KS3 increasing often to the detriment of </w:t>
      </w:r>
      <w:r w:rsidR="001718AC">
        <w:rPr>
          <w:sz w:val="24"/>
          <w:szCs w:val="24"/>
        </w:rPr>
        <w:t>other</w:t>
      </w:r>
      <w:r w:rsidR="00632EE9">
        <w:rPr>
          <w:sz w:val="24"/>
          <w:szCs w:val="24"/>
        </w:rPr>
        <w:t>s</w:t>
      </w:r>
      <w:r w:rsidR="001718AC">
        <w:rPr>
          <w:sz w:val="24"/>
          <w:szCs w:val="24"/>
        </w:rPr>
        <w:t xml:space="preserve"> such as</w:t>
      </w:r>
      <w:r w:rsidR="007E6962">
        <w:rPr>
          <w:sz w:val="24"/>
          <w:szCs w:val="24"/>
        </w:rPr>
        <w:t xml:space="preserve"> </w:t>
      </w:r>
      <w:r w:rsidR="007D2EB8">
        <w:rPr>
          <w:sz w:val="24"/>
          <w:szCs w:val="24"/>
        </w:rPr>
        <w:t>T</w:t>
      </w:r>
      <w:r w:rsidR="007E6962">
        <w:rPr>
          <w:sz w:val="24"/>
          <w:szCs w:val="24"/>
        </w:rPr>
        <w:t xml:space="preserve">echnology or </w:t>
      </w:r>
      <w:r w:rsidR="007D2EB8">
        <w:rPr>
          <w:sz w:val="24"/>
          <w:szCs w:val="24"/>
        </w:rPr>
        <w:t>A</w:t>
      </w:r>
      <w:r w:rsidR="007E6962">
        <w:rPr>
          <w:sz w:val="24"/>
          <w:szCs w:val="24"/>
        </w:rPr>
        <w:t>rts</w:t>
      </w:r>
      <w:r w:rsidR="00632EE9">
        <w:rPr>
          <w:sz w:val="24"/>
          <w:szCs w:val="24"/>
        </w:rPr>
        <w:t xml:space="preserve"> subjects</w:t>
      </w:r>
      <w:r>
        <w:rPr>
          <w:sz w:val="24"/>
          <w:szCs w:val="24"/>
        </w:rPr>
        <w:t xml:space="preserve">. </w:t>
      </w:r>
      <w:r w:rsidR="00F95529">
        <w:rPr>
          <w:sz w:val="24"/>
          <w:szCs w:val="24"/>
        </w:rPr>
        <w:t>T</w:t>
      </w:r>
      <w:r w:rsidR="00632EE9">
        <w:rPr>
          <w:sz w:val="24"/>
          <w:szCs w:val="24"/>
        </w:rPr>
        <w:t xml:space="preserve">he </w:t>
      </w:r>
      <w:r w:rsidR="007D2EB8">
        <w:rPr>
          <w:sz w:val="24"/>
          <w:szCs w:val="24"/>
        </w:rPr>
        <w:t>numbers of students studying EBac subjects in KS4 was increasing in all schools</w:t>
      </w:r>
      <w:r w:rsidR="00632EE9">
        <w:rPr>
          <w:sz w:val="24"/>
          <w:szCs w:val="24"/>
        </w:rPr>
        <w:t>,</w:t>
      </w:r>
      <w:r w:rsidR="007D2EB8">
        <w:rPr>
          <w:sz w:val="24"/>
          <w:szCs w:val="24"/>
        </w:rPr>
        <w:t xml:space="preserve"> </w:t>
      </w:r>
      <w:r w:rsidR="001718AC">
        <w:rPr>
          <w:sz w:val="24"/>
          <w:szCs w:val="24"/>
        </w:rPr>
        <w:t xml:space="preserve">putting </w:t>
      </w:r>
      <w:r w:rsidR="007D2EB8">
        <w:rPr>
          <w:sz w:val="24"/>
          <w:szCs w:val="24"/>
        </w:rPr>
        <w:t xml:space="preserve">pressure on </w:t>
      </w:r>
      <w:r w:rsidR="001718AC">
        <w:rPr>
          <w:sz w:val="24"/>
          <w:szCs w:val="24"/>
        </w:rPr>
        <w:t xml:space="preserve">non-EBac </w:t>
      </w:r>
      <w:r w:rsidR="007D2EB8">
        <w:rPr>
          <w:sz w:val="24"/>
          <w:szCs w:val="24"/>
        </w:rPr>
        <w:t xml:space="preserve">subjects </w:t>
      </w:r>
      <w:r w:rsidR="001718AC">
        <w:rPr>
          <w:sz w:val="24"/>
          <w:szCs w:val="24"/>
        </w:rPr>
        <w:t xml:space="preserve">as they </w:t>
      </w:r>
      <w:r w:rsidR="007D2EB8">
        <w:rPr>
          <w:sz w:val="24"/>
          <w:szCs w:val="24"/>
        </w:rPr>
        <w:t>fac</w:t>
      </w:r>
      <w:r w:rsidR="001718AC">
        <w:rPr>
          <w:sz w:val="24"/>
          <w:szCs w:val="24"/>
        </w:rPr>
        <w:t>ed</w:t>
      </w:r>
      <w:r w:rsidR="007D2EB8">
        <w:rPr>
          <w:sz w:val="24"/>
          <w:szCs w:val="24"/>
        </w:rPr>
        <w:t xml:space="preserve"> declining numbers. </w:t>
      </w:r>
    </w:p>
    <w:p w14:paraId="47C0BAA8" w14:textId="77777777" w:rsidR="00B6050F" w:rsidRDefault="00B6050F" w:rsidP="00B6050F">
      <w:pPr>
        <w:tabs>
          <w:tab w:val="left" w:pos="8505"/>
        </w:tabs>
        <w:spacing w:after="0" w:line="360" w:lineRule="auto"/>
        <w:rPr>
          <w:sz w:val="24"/>
          <w:szCs w:val="24"/>
        </w:rPr>
      </w:pPr>
    </w:p>
    <w:p w14:paraId="013170B8" w14:textId="05FD60CE" w:rsidR="00DC07DE" w:rsidRDefault="007D2EB8" w:rsidP="00B6050F">
      <w:pPr>
        <w:tabs>
          <w:tab w:val="left" w:pos="8505"/>
        </w:tabs>
        <w:spacing w:after="0" w:line="360" w:lineRule="auto"/>
        <w:rPr>
          <w:sz w:val="24"/>
          <w:szCs w:val="24"/>
        </w:rPr>
      </w:pPr>
      <w:r>
        <w:rPr>
          <w:sz w:val="24"/>
          <w:szCs w:val="24"/>
        </w:rPr>
        <w:t>Schools with a vocational offer had reduced or eliminated such options. This was felt to be detriment</w:t>
      </w:r>
      <w:r w:rsidR="00632EE9">
        <w:rPr>
          <w:sz w:val="24"/>
          <w:szCs w:val="24"/>
        </w:rPr>
        <w:t>al</w:t>
      </w:r>
      <w:r>
        <w:rPr>
          <w:sz w:val="24"/>
          <w:szCs w:val="24"/>
        </w:rPr>
        <w:t xml:space="preserve"> </w:t>
      </w:r>
      <w:r w:rsidR="00632EE9">
        <w:rPr>
          <w:sz w:val="24"/>
          <w:szCs w:val="24"/>
        </w:rPr>
        <w:t>t</w:t>
      </w:r>
      <w:r>
        <w:rPr>
          <w:sz w:val="24"/>
          <w:szCs w:val="24"/>
        </w:rPr>
        <w:t>o some students, particularly those who did not enjoy or find success in academic subjects. Debbie (</w:t>
      </w:r>
      <w:r w:rsidR="00632EE9">
        <w:rPr>
          <w:sz w:val="24"/>
          <w:szCs w:val="24"/>
        </w:rPr>
        <w:t>P</w:t>
      </w:r>
      <w:r w:rsidR="006C11E8">
        <w:rPr>
          <w:sz w:val="24"/>
          <w:szCs w:val="24"/>
        </w:rPr>
        <w:t>urplefield</w:t>
      </w:r>
      <w:r w:rsidR="00632EE9">
        <w:rPr>
          <w:sz w:val="24"/>
          <w:szCs w:val="24"/>
        </w:rPr>
        <w:t>/</w:t>
      </w:r>
      <w:r>
        <w:rPr>
          <w:sz w:val="24"/>
          <w:szCs w:val="24"/>
        </w:rPr>
        <w:t>HOD/non-EBac) was concerned that students were being directed away from ‘the trades’ when she felt that this could lead to a range of career choices.</w:t>
      </w:r>
      <w:r w:rsidR="0056160F">
        <w:rPr>
          <w:sz w:val="24"/>
          <w:szCs w:val="24"/>
        </w:rPr>
        <w:t xml:space="preserve"> </w:t>
      </w:r>
      <w:r w:rsidR="00082CD2">
        <w:rPr>
          <w:sz w:val="24"/>
          <w:szCs w:val="24"/>
        </w:rPr>
        <w:t>Many teachers</w:t>
      </w:r>
      <w:r w:rsidR="00EA76C2">
        <w:rPr>
          <w:sz w:val="24"/>
          <w:szCs w:val="24"/>
        </w:rPr>
        <w:t xml:space="preserve"> </w:t>
      </w:r>
      <w:r w:rsidR="00082CD2">
        <w:rPr>
          <w:sz w:val="24"/>
          <w:szCs w:val="24"/>
        </w:rPr>
        <w:t>were not convinced that the EBac was the most appropriate curriculum for all students</w:t>
      </w:r>
      <w:r w:rsidR="00334B49">
        <w:rPr>
          <w:sz w:val="24"/>
          <w:szCs w:val="24"/>
        </w:rPr>
        <w:t>,</w:t>
      </w:r>
      <w:r w:rsidR="007E6962">
        <w:rPr>
          <w:sz w:val="24"/>
          <w:szCs w:val="24"/>
        </w:rPr>
        <w:t xml:space="preserve"> feeling that ‘high achievers’ were largely unaffected as they were likely to have taken EBac subjects anyway</w:t>
      </w:r>
      <w:r w:rsidR="00334B49">
        <w:rPr>
          <w:sz w:val="24"/>
          <w:szCs w:val="24"/>
        </w:rPr>
        <w:t>,</w:t>
      </w:r>
      <w:r w:rsidR="007E6962">
        <w:rPr>
          <w:sz w:val="24"/>
          <w:szCs w:val="24"/>
        </w:rPr>
        <w:t xml:space="preserve"> while those who were felt previously to be better served by vocational subjects</w:t>
      </w:r>
      <w:r w:rsidR="00334B49">
        <w:rPr>
          <w:sz w:val="24"/>
          <w:szCs w:val="24"/>
        </w:rPr>
        <w:t>,</w:t>
      </w:r>
      <w:r w:rsidR="007E6962">
        <w:rPr>
          <w:sz w:val="24"/>
          <w:szCs w:val="24"/>
        </w:rPr>
        <w:t xml:space="preserve"> and those described as ‘low ability</w:t>
      </w:r>
      <w:r w:rsidR="00334B49">
        <w:rPr>
          <w:sz w:val="24"/>
          <w:szCs w:val="24"/>
        </w:rPr>
        <w:t>,</w:t>
      </w:r>
      <w:r w:rsidR="007E6962">
        <w:rPr>
          <w:sz w:val="24"/>
          <w:szCs w:val="24"/>
        </w:rPr>
        <w:t>’ faced the greatest challenges</w:t>
      </w:r>
      <w:r w:rsidR="00F95529">
        <w:rPr>
          <w:sz w:val="24"/>
          <w:szCs w:val="24"/>
        </w:rPr>
        <w:t xml:space="preserve"> by this subject combination</w:t>
      </w:r>
      <w:r w:rsidR="00082CD2">
        <w:rPr>
          <w:sz w:val="24"/>
          <w:szCs w:val="24"/>
        </w:rPr>
        <w:t xml:space="preserve">. </w:t>
      </w:r>
    </w:p>
    <w:p w14:paraId="77F1FD32" w14:textId="77777777" w:rsidR="00B6050F" w:rsidRDefault="00B6050F" w:rsidP="00B6050F">
      <w:pPr>
        <w:tabs>
          <w:tab w:val="left" w:pos="8505"/>
        </w:tabs>
        <w:spacing w:after="0" w:line="360" w:lineRule="auto"/>
        <w:rPr>
          <w:sz w:val="24"/>
          <w:szCs w:val="24"/>
        </w:rPr>
      </w:pPr>
    </w:p>
    <w:p w14:paraId="0C0EB756" w14:textId="319EE33E" w:rsidR="0056160F" w:rsidRDefault="007D2EB8" w:rsidP="00B6050F">
      <w:pPr>
        <w:tabs>
          <w:tab w:val="left" w:pos="8505"/>
        </w:tabs>
        <w:spacing w:after="0" w:line="360" w:lineRule="auto"/>
        <w:rPr>
          <w:sz w:val="24"/>
          <w:szCs w:val="24"/>
        </w:rPr>
      </w:pPr>
      <w:r>
        <w:rPr>
          <w:sz w:val="24"/>
          <w:szCs w:val="24"/>
        </w:rPr>
        <w:t>Pam (</w:t>
      </w:r>
      <w:r w:rsidR="00632EE9">
        <w:rPr>
          <w:sz w:val="24"/>
          <w:szCs w:val="24"/>
        </w:rPr>
        <w:t>B</w:t>
      </w:r>
      <w:r w:rsidR="006C11E8">
        <w:rPr>
          <w:sz w:val="24"/>
          <w:szCs w:val="24"/>
        </w:rPr>
        <w:t>luefield</w:t>
      </w:r>
      <w:r w:rsidR="00632EE9">
        <w:rPr>
          <w:sz w:val="24"/>
          <w:szCs w:val="24"/>
        </w:rPr>
        <w:t>/</w:t>
      </w:r>
      <w:r>
        <w:rPr>
          <w:sz w:val="24"/>
          <w:szCs w:val="24"/>
        </w:rPr>
        <w:t>HoD/EBac) was the most vocal in her unhappiness at the retrospective implementation of the EBac. She felt that it was unfair to judge schools on curriculum choices made two years earlier</w:t>
      </w:r>
      <w:r w:rsidR="0056160F">
        <w:rPr>
          <w:sz w:val="24"/>
          <w:szCs w:val="24"/>
        </w:rPr>
        <w:t xml:space="preserve">. She also felt that the narrow EBac range of subjects was not an appropriate curriculum for all schools or students. </w:t>
      </w:r>
    </w:p>
    <w:p w14:paraId="39310845" w14:textId="77777777" w:rsidR="00B6050F" w:rsidRDefault="00B6050F" w:rsidP="00B6050F">
      <w:pPr>
        <w:tabs>
          <w:tab w:val="left" w:pos="8505"/>
        </w:tabs>
        <w:spacing w:after="0" w:line="360" w:lineRule="auto"/>
        <w:rPr>
          <w:sz w:val="24"/>
          <w:szCs w:val="24"/>
        </w:rPr>
      </w:pPr>
    </w:p>
    <w:p w14:paraId="524F8994" w14:textId="3F640248" w:rsidR="007D2EB8" w:rsidRPr="00DC07DE" w:rsidRDefault="0056160F" w:rsidP="00EA76C2">
      <w:pPr>
        <w:tabs>
          <w:tab w:val="left" w:pos="8505"/>
        </w:tabs>
        <w:spacing w:line="360" w:lineRule="auto"/>
        <w:rPr>
          <w:sz w:val="24"/>
          <w:szCs w:val="24"/>
        </w:rPr>
      </w:pPr>
      <w:r>
        <w:rPr>
          <w:sz w:val="24"/>
          <w:szCs w:val="24"/>
        </w:rPr>
        <w:t>All teachers appeared focused on performance measures. For teachers of EBac subjects the perceived ‘ability’ of students to achieve a grade C seemed to be more important than the number of students taking a subject. In contra</w:t>
      </w:r>
      <w:r w:rsidR="00632EE9">
        <w:rPr>
          <w:sz w:val="24"/>
          <w:szCs w:val="24"/>
        </w:rPr>
        <w:t>s</w:t>
      </w:r>
      <w:r>
        <w:rPr>
          <w:sz w:val="24"/>
          <w:szCs w:val="24"/>
        </w:rPr>
        <w:t>t</w:t>
      </w:r>
      <w:r w:rsidR="00334B49">
        <w:rPr>
          <w:sz w:val="24"/>
          <w:szCs w:val="24"/>
        </w:rPr>
        <w:t>,</w:t>
      </w:r>
      <w:r>
        <w:rPr>
          <w:sz w:val="24"/>
          <w:szCs w:val="24"/>
        </w:rPr>
        <w:t xml:space="preserve"> non-EBac subjects appeared to be facing changing </w:t>
      </w:r>
      <w:r w:rsidR="003516B7">
        <w:rPr>
          <w:sz w:val="24"/>
          <w:szCs w:val="24"/>
        </w:rPr>
        <w:t xml:space="preserve">and declining ‘ability’ </w:t>
      </w:r>
      <w:r>
        <w:rPr>
          <w:sz w:val="24"/>
          <w:szCs w:val="24"/>
        </w:rPr>
        <w:t>profiles of students opting for the subjects</w:t>
      </w:r>
      <w:r w:rsidR="00334B49">
        <w:rPr>
          <w:sz w:val="24"/>
          <w:szCs w:val="24"/>
        </w:rPr>
        <w:t>,</w:t>
      </w:r>
      <w:r w:rsidR="003516B7">
        <w:rPr>
          <w:sz w:val="24"/>
          <w:szCs w:val="24"/>
        </w:rPr>
        <w:t xml:space="preserve"> with ‘high ability’ </w:t>
      </w:r>
      <w:r w:rsidR="003516B7">
        <w:rPr>
          <w:sz w:val="24"/>
          <w:szCs w:val="24"/>
        </w:rPr>
        <w:lastRenderedPageBreak/>
        <w:t>students opting for EBac subjects</w:t>
      </w:r>
      <w:r>
        <w:rPr>
          <w:sz w:val="24"/>
          <w:szCs w:val="24"/>
        </w:rPr>
        <w:t>, reinforcing the new subject hierarchy that the EBac had created.</w:t>
      </w:r>
    </w:p>
    <w:p w14:paraId="4B69C5C0" w14:textId="62A13F09" w:rsidR="00406A3E" w:rsidRPr="00387E2F" w:rsidRDefault="005D1D45" w:rsidP="00531995">
      <w:pPr>
        <w:pStyle w:val="Heading3"/>
      </w:pPr>
      <w:bookmarkStart w:id="113" w:name="_Toc452316396"/>
      <w:r w:rsidRPr="00387E2F">
        <w:t xml:space="preserve">6.2.3 </w:t>
      </w:r>
      <w:r w:rsidR="00406A3E" w:rsidRPr="00387E2F">
        <w:t>Does the EBac have implications for educational equality?</w:t>
      </w:r>
      <w:bookmarkEnd w:id="113"/>
    </w:p>
    <w:p w14:paraId="47F80EC7" w14:textId="5805AC8D" w:rsidR="00815281" w:rsidRDefault="00082CD2" w:rsidP="0018035B">
      <w:pPr>
        <w:tabs>
          <w:tab w:val="left" w:pos="7371"/>
          <w:tab w:val="left" w:pos="7513"/>
          <w:tab w:val="left" w:pos="8222"/>
        </w:tabs>
        <w:spacing w:after="0" w:line="360" w:lineRule="auto"/>
        <w:rPr>
          <w:sz w:val="24"/>
          <w:szCs w:val="24"/>
        </w:rPr>
      </w:pPr>
      <w:r>
        <w:rPr>
          <w:sz w:val="24"/>
          <w:szCs w:val="24"/>
        </w:rPr>
        <w:t>All teachers could identify winners and losers of the EBac policy</w:t>
      </w:r>
      <w:r w:rsidR="000E17BD">
        <w:rPr>
          <w:sz w:val="24"/>
          <w:szCs w:val="24"/>
        </w:rPr>
        <w:t xml:space="preserve">, with ‘high ability’, academic students experiencing very little change to their curriculum </w:t>
      </w:r>
      <w:r w:rsidR="000959AA">
        <w:rPr>
          <w:sz w:val="24"/>
          <w:szCs w:val="24"/>
        </w:rPr>
        <w:t>and being defined as ‘winners’</w:t>
      </w:r>
      <w:r w:rsidR="00823C9E">
        <w:rPr>
          <w:sz w:val="24"/>
          <w:szCs w:val="24"/>
        </w:rPr>
        <w:t>,</w:t>
      </w:r>
      <w:r w:rsidR="000959AA">
        <w:rPr>
          <w:sz w:val="24"/>
          <w:szCs w:val="24"/>
        </w:rPr>
        <w:t xml:space="preserve"> </w:t>
      </w:r>
      <w:r w:rsidR="000E17BD">
        <w:rPr>
          <w:sz w:val="24"/>
          <w:szCs w:val="24"/>
        </w:rPr>
        <w:t xml:space="preserve">whereas ‘middle’ and ‘low ability’ students </w:t>
      </w:r>
      <w:r w:rsidR="003D7CB1">
        <w:rPr>
          <w:sz w:val="24"/>
          <w:szCs w:val="24"/>
        </w:rPr>
        <w:t>(</w:t>
      </w:r>
      <w:r w:rsidR="000E17BD">
        <w:rPr>
          <w:sz w:val="24"/>
          <w:szCs w:val="24"/>
        </w:rPr>
        <w:t>including those with SEND</w:t>
      </w:r>
      <w:r w:rsidR="003D7CB1">
        <w:rPr>
          <w:sz w:val="24"/>
          <w:szCs w:val="24"/>
        </w:rPr>
        <w:t>),</w:t>
      </w:r>
      <w:r w:rsidR="000E17BD">
        <w:rPr>
          <w:sz w:val="24"/>
          <w:szCs w:val="24"/>
        </w:rPr>
        <w:t xml:space="preserve"> experienc</w:t>
      </w:r>
      <w:r w:rsidR="009F63D2">
        <w:rPr>
          <w:sz w:val="24"/>
          <w:szCs w:val="24"/>
        </w:rPr>
        <w:t>ing</w:t>
      </w:r>
      <w:r w:rsidR="00387E2F">
        <w:rPr>
          <w:sz w:val="24"/>
          <w:szCs w:val="24"/>
        </w:rPr>
        <w:t xml:space="preserve"> </w:t>
      </w:r>
      <w:r w:rsidR="000E17BD">
        <w:rPr>
          <w:sz w:val="24"/>
          <w:szCs w:val="24"/>
        </w:rPr>
        <w:t xml:space="preserve">more radical change and narrowing </w:t>
      </w:r>
      <w:r w:rsidR="00387E2F">
        <w:rPr>
          <w:sz w:val="24"/>
          <w:szCs w:val="24"/>
        </w:rPr>
        <w:t>of</w:t>
      </w:r>
      <w:r w:rsidR="000E17BD">
        <w:rPr>
          <w:sz w:val="24"/>
          <w:szCs w:val="24"/>
        </w:rPr>
        <w:t xml:space="preserve"> curriculum options</w:t>
      </w:r>
      <w:r w:rsidR="00823C9E">
        <w:rPr>
          <w:sz w:val="24"/>
          <w:szCs w:val="24"/>
        </w:rPr>
        <w:t xml:space="preserve">, hence being </w:t>
      </w:r>
      <w:r w:rsidR="000959AA">
        <w:rPr>
          <w:sz w:val="24"/>
          <w:szCs w:val="24"/>
        </w:rPr>
        <w:t>regarded as potential ‘losers’ of the policy</w:t>
      </w:r>
      <w:r>
        <w:rPr>
          <w:sz w:val="24"/>
          <w:szCs w:val="24"/>
        </w:rPr>
        <w:t xml:space="preserve">. There appeared to be a more </w:t>
      </w:r>
      <w:r w:rsidR="000959AA">
        <w:rPr>
          <w:sz w:val="24"/>
          <w:szCs w:val="24"/>
        </w:rPr>
        <w:t>limited</w:t>
      </w:r>
      <w:r>
        <w:rPr>
          <w:sz w:val="24"/>
          <w:szCs w:val="24"/>
        </w:rPr>
        <w:t xml:space="preserve"> discussion regarding equality issues tha</w:t>
      </w:r>
      <w:r w:rsidR="00EA76C2">
        <w:rPr>
          <w:sz w:val="24"/>
          <w:szCs w:val="24"/>
        </w:rPr>
        <w:t>n</w:t>
      </w:r>
      <w:r>
        <w:rPr>
          <w:sz w:val="24"/>
          <w:szCs w:val="24"/>
        </w:rPr>
        <w:t xml:space="preserve"> the</w:t>
      </w:r>
      <w:r w:rsidR="00EA76C2">
        <w:rPr>
          <w:sz w:val="24"/>
          <w:szCs w:val="24"/>
        </w:rPr>
        <w:t xml:space="preserve"> </w:t>
      </w:r>
      <w:r>
        <w:rPr>
          <w:sz w:val="24"/>
          <w:szCs w:val="24"/>
        </w:rPr>
        <w:t xml:space="preserve">literature </w:t>
      </w:r>
      <w:r w:rsidR="000E17BD">
        <w:rPr>
          <w:sz w:val="24"/>
          <w:szCs w:val="24"/>
        </w:rPr>
        <w:t xml:space="preserve">initially </w:t>
      </w:r>
      <w:r>
        <w:rPr>
          <w:sz w:val="24"/>
          <w:szCs w:val="24"/>
        </w:rPr>
        <w:t xml:space="preserve">led me to expect. </w:t>
      </w:r>
      <w:r w:rsidR="000959AA">
        <w:rPr>
          <w:sz w:val="24"/>
          <w:szCs w:val="24"/>
        </w:rPr>
        <w:t>Teachers did not focus on issues of social class, gender</w:t>
      </w:r>
      <w:r w:rsidR="00336AC6">
        <w:rPr>
          <w:sz w:val="24"/>
          <w:szCs w:val="24"/>
        </w:rPr>
        <w:t xml:space="preserve">, </w:t>
      </w:r>
      <w:r w:rsidR="000959AA">
        <w:rPr>
          <w:sz w:val="24"/>
          <w:szCs w:val="24"/>
        </w:rPr>
        <w:t xml:space="preserve">ethnicity </w:t>
      </w:r>
      <w:r w:rsidR="00336AC6">
        <w:rPr>
          <w:sz w:val="24"/>
          <w:szCs w:val="24"/>
        </w:rPr>
        <w:t>or SEND</w:t>
      </w:r>
      <w:r w:rsidR="004A75A8">
        <w:rPr>
          <w:sz w:val="24"/>
          <w:szCs w:val="24"/>
        </w:rPr>
        <w:t xml:space="preserve">; </w:t>
      </w:r>
      <w:r w:rsidR="000959AA">
        <w:rPr>
          <w:sz w:val="24"/>
          <w:szCs w:val="24"/>
        </w:rPr>
        <w:t>rather t</w:t>
      </w:r>
      <w:r>
        <w:rPr>
          <w:sz w:val="24"/>
          <w:szCs w:val="24"/>
        </w:rPr>
        <w:t xml:space="preserve">eacher discourse around the appropriateness of the EBac was based </w:t>
      </w:r>
      <w:r w:rsidR="00EA76C2">
        <w:rPr>
          <w:sz w:val="24"/>
          <w:szCs w:val="24"/>
        </w:rPr>
        <w:t xml:space="preserve">exclusively </w:t>
      </w:r>
      <w:r>
        <w:rPr>
          <w:sz w:val="24"/>
          <w:szCs w:val="24"/>
        </w:rPr>
        <w:t xml:space="preserve">on notions of </w:t>
      </w:r>
      <w:r w:rsidR="000E17BD">
        <w:rPr>
          <w:sz w:val="24"/>
          <w:szCs w:val="24"/>
        </w:rPr>
        <w:t>‘</w:t>
      </w:r>
      <w:r>
        <w:rPr>
          <w:sz w:val="24"/>
          <w:szCs w:val="24"/>
        </w:rPr>
        <w:t>ability</w:t>
      </w:r>
      <w:r w:rsidR="000E17BD">
        <w:rPr>
          <w:sz w:val="24"/>
          <w:szCs w:val="24"/>
        </w:rPr>
        <w:t>’</w:t>
      </w:r>
      <w:r>
        <w:rPr>
          <w:sz w:val="24"/>
          <w:szCs w:val="24"/>
        </w:rPr>
        <w:t xml:space="preserve">. </w:t>
      </w:r>
      <w:r w:rsidR="000959AA">
        <w:rPr>
          <w:sz w:val="24"/>
          <w:szCs w:val="24"/>
        </w:rPr>
        <w:t>P</w:t>
      </w:r>
      <w:r>
        <w:rPr>
          <w:sz w:val="24"/>
          <w:szCs w:val="24"/>
        </w:rPr>
        <w:t xml:space="preserve">redictive data </w:t>
      </w:r>
      <w:r w:rsidR="000959AA">
        <w:rPr>
          <w:sz w:val="24"/>
          <w:szCs w:val="24"/>
        </w:rPr>
        <w:t>about a child’s ability to achieve a grade C or above</w:t>
      </w:r>
      <w:r>
        <w:rPr>
          <w:sz w:val="24"/>
          <w:szCs w:val="24"/>
        </w:rPr>
        <w:t xml:space="preserve"> appeared to </w:t>
      </w:r>
      <w:r w:rsidR="000959AA">
        <w:rPr>
          <w:sz w:val="24"/>
          <w:szCs w:val="24"/>
        </w:rPr>
        <w:t>direct decisions about which students were suitable for the EBac.</w:t>
      </w:r>
      <w:r>
        <w:rPr>
          <w:sz w:val="24"/>
          <w:szCs w:val="24"/>
        </w:rPr>
        <w:t xml:space="preserve"> </w:t>
      </w:r>
      <w:r w:rsidR="00AA5408">
        <w:rPr>
          <w:sz w:val="24"/>
          <w:szCs w:val="24"/>
        </w:rPr>
        <w:t>In this way</w:t>
      </w:r>
      <w:r w:rsidR="00033A18">
        <w:rPr>
          <w:sz w:val="24"/>
          <w:szCs w:val="24"/>
        </w:rPr>
        <w:t>,</w:t>
      </w:r>
      <w:r w:rsidR="00AA5408">
        <w:rPr>
          <w:sz w:val="24"/>
          <w:szCs w:val="24"/>
        </w:rPr>
        <w:t xml:space="preserve"> Hope’s (2013) discussion of ‘dataveillance’ as a controlling and selective device within education </w:t>
      </w:r>
      <w:r w:rsidR="003D7CB1">
        <w:rPr>
          <w:sz w:val="24"/>
          <w:szCs w:val="24"/>
        </w:rPr>
        <w:t xml:space="preserve">was </w:t>
      </w:r>
      <w:r w:rsidR="00AA5408">
        <w:rPr>
          <w:sz w:val="24"/>
          <w:szCs w:val="24"/>
        </w:rPr>
        <w:t xml:space="preserve">evident. </w:t>
      </w:r>
      <w:r>
        <w:rPr>
          <w:sz w:val="24"/>
          <w:szCs w:val="24"/>
        </w:rPr>
        <w:t>I</w:t>
      </w:r>
      <w:r w:rsidR="00EA76C2">
        <w:rPr>
          <w:sz w:val="24"/>
          <w:szCs w:val="24"/>
        </w:rPr>
        <w:t xml:space="preserve"> </w:t>
      </w:r>
      <w:r w:rsidR="000E17BD">
        <w:rPr>
          <w:sz w:val="24"/>
          <w:szCs w:val="24"/>
        </w:rPr>
        <w:t>believe</w:t>
      </w:r>
      <w:r>
        <w:rPr>
          <w:sz w:val="24"/>
          <w:szCs w:val="24"/>
        </w:rPr>
        <w:t xml:space="preserve"> that the </w:t>
      </w:r>
      <w:r w:rsidR="000959AA">
        <w:rPr>
          <w:sz w:val="24"/>
          <w:szCs w:val="24"/>
        </w:rPr>
        <w:t>focus on outcomes of high-stake test</w:t>
      </w:r>
      <w:r w:rsidR="003D7CB1">
        <w:rPr>
          <w:sz w:val="24"/>
          <w:szCs w:val="24"/>
        </w:rPr>
        <w:t>s</w:t>
      </w:r>
      <w:r w:rsidR="000959AA">
        <w:rPr>
          <w:sz w:val="24"/>
          <w:szCs w:val="24"/>
        </w:rPr>
        <w:t xml:space="preserve"> such as GCSE</w:t>
      </w:r>
      <w:r w:rsidR="004A75A8">
        <w:rPr>
          <w:sz w:val="24"/>
          <w:szCs w:val="24"/>
        </w:rPr>
        <w:t>s</w:t>
      </w:r>
      <w:r w:rsidR="005D1D45">
        <w:rPr>
          <w:sz w:val="24"/>
          <w:szCs w:val="24"/>
        </w:rPr>
        <w:t xml:space="preserve"> </w:t>
      </w:r>
      <w:r>
        <w:rPr>
          <w:sz w:val="24"/>
          <w:szCs w:val="24"/>
        </w:rPr>
        <w:t>can be used to explain this reliance on data</w:t>
      </w:r>
      <w:r w:rsidR="004A75A8">
        <w:rPr>
          <w:sz w:val="24"/>
          <w:szCs w:val="24"/>
        </w:rPr>
        <w:t>,</w:t>
      </w:r>
      <w:r>
        <w:rPr>
          <w:sz w:val="24"/>
          <w:szCs w:val="24"/>
        </w:rPr>
        <w:t xml:space="preserve"> a</w:t>
      </w:r>
      <w:r w:rsidR="00674A20">
        <w:rPr>
          <w:sz w:val="24"/>
          <w:szCs w:val="24"/>
        </w:rPr>
        <w:t>long with issues of</w:t>
      </w:r>
      <w:r>
        <w:rPr>
          <w:sz w:val="24"/>
          <w:szCs w:val="24"/>
        </w:rPr>
        <w:t xml:space="preserve"> </w:t>
      </w:r>
      <w:r w:rsidR="00674A20">
        <w:rPr>
          <w:sz w:val="24"/>
          <w:szCs w:val="24"/>
        </w:rPr>
        <w:t>governance and self-governance</w:t>
      </w:r>
      <w:r>
        <w:rPr>
          <w:sz w:val="24"/>
          <w:szCs w:val="24"/>
        </w:rPr>
        <w:t xml:space="preserve">. </w:t>
      </w:r>
      <w:r w:rsidR="00AA5408">
        <w:rPr>
          <w:sz w:val="24"/>
          <w:szCs w:val="24"/>
        </w:rPr>
        <w:t>Teachers appeared to be using the data to categorise students by ‘ability’</w:t>
      </w:r>
      <w:r w:rsidR="004A75A8">
        <w:rPr>
          <w:sz w:val="24"/>
          <w:szCs w:val="24"/>
        </w:rPr>
        <w:t>,</w:t>
      </w:r>
      <w:r w:rsidR="00AA5408">
        <w:rPr>
          <w:sz w:val="24"/>
          <w:szCs w:val="24"/>
        </w:rPr>
        <w:t xml:space="preserve"> which in turn </w:t>
      </w:r>
      <w:r w:rsidR="004A75A8">
        <w:rPr>
          <w:sz w:val="24"/>
          <w:szCs w:val="24"/>
        </w:rPr>
        <w:t>permitted or denied</w:t>
      </w:r>
      <w:r w:rsidR="00AA5408">
        <w:rPr>
          <w:sz w:val="24"/>
          <w:szCs w:val="24"/>
        </w:rPr>
        <w:t xml:space="preserve"> </w:t>
      </w:r>
      <w:r w:rsidR="006F063B">
        <w:rPr>
          <w:sz w:val="24"/>
          <w:szCs w:val="24"/>
        </w:rPr>
        <w:t>students’</w:t>
      </w:r>
      <w:r w:rsidR="004A75A8">
        <w:rPr>
          <w:sz w:val="24"/>
          <w:szCs w:val="24"/>
        </w:rPr>
        <w:t xml:space="preserve"> </w:t>
      </w:r>
      <w:r w:rsidR="00AA5408">
        <w:rPr>
          <w:sz w:val="24"/>
          <w:szCs w:val="24"/>
        </w:rPr>
        <w:t xml:space="preserve">access to EBac subjects. </w:t>
      </w:r>
      <w:r w:rsidR="00674A20">
        <w:rPr>
          <w:sz w:val="24"/>
          <w:szCs w:val="24"/>
        </w:rPr>
        <w:t>Current accountability measure</w:t>
      </w:r>
      <w:r w:rsidR="004A75A8">
        <w:rPr>
          <w:sz w:val="24"/>
          <w:szCs w:val="24"/>
        </w:rPr>
        <w:t>ment</w:t>
      </w:r>
      <w:r w:rsidR="00674A20">
        <w:rPr>
          <w:sz w:val="24"/>
          <w:szCs w:val="24"/>
        </w:rPr>
        <w:t xml:space="preserve"> hierarchies</w:t>
      </w:r>
      <w:r w:rsidR="00336AC6">
        <w:rPr>
          <w:sz w:val="24"/>
          <w:szCs w:val="24"/>
        </w:rPr>
        <w:t>,</w:t>
      </w:r>
      <w:r w:rsidR="00674A20">
        <w:rPr>
          <w:sz w:val="24"/>
          <w:szCs w:val="24"/>
        </w:rPr>
        <w:t xml:space="preserve"> </w:t>
      </w:r>
      <w:r w:rsidR="00336AC6">
        <w:rPr>
          <w:sz w:val="24"/>
          <w:szCs w:val="24"/>
        </w:rPr>
        <w:t xml:space="preserve">such as the greater importance attached to the </w:t>
      </w:r>
      <w:r w:rsidR="004A75A8">
        <w:rPr>
          <w:sz w:val="24"/>
          <w:szCs w:val="24"/>
        </w:rPr>
        <w:t>five</w:t>
      </w:r>
      <w:r w:rsidR="00336AC6">
        <w:rPr>
          <w:sz w:val="24"/>
          <w:szCs w:val="24"/>
        </w:rPr>
        <w:t xml:space="preserve"> A*-C</w:t>
      </w:r>
      <w:r w:rsidR="004A75A8">
        <w:rPr>
          <w:sz w:val="24"/>
          <w:szCs w:val="24"/>
        </w:rPr>
        <w:t xml:space="preserve"> grade GCSEs</w:t>
      </w:r>
      <w:r w:rsidR="00336AC6">
        <w:rPr>
          <w:sz w:val="24"/>
          <w:szCs w:val="24"/>
        </w:rPr>
        <w:t xml:space="preserve"> including English and Mathematics, </w:t>
      </w:r>
      <w:r w:rsidR="003810A0">
        <w:rPr>
          <w:sz w:val="24"/>
          <w:szCs w:val="24"/>
        </w:rPr>
        <w:t>may ultimately have worked against the full implementation of the EBac as teachers felt great</w:t>
      </w:r>
      <w:r w:rsidR="00694962">
        <w:rPr>
          <w:sz w:val="24"/>
          <w:szCs w:val="24"/>
        </w:rPr>
        <w:t>er</w:t>
      </w:r>
      <w:r w:rsidR="003810A0">
        <w:rPr>
          <w:sz w:val="24"/>
          <w:szCs w:val="24"/>
        </w:rPr>
        <w:t xml:space="preserve"> pressure to </w:t>
      </w:r>
      <w:r w:rsidR="00B2364D">
        <w:rPr>
          <w:sz w:val="24"/>
          <w:szCs w:val="24"/>
        </w:rPr>
        <w:t xml:space="preserve">meet that measure than the </w:t>
      </w:r>
      <w:r w:rsidR="00BA70FA">
        <w:rPr>
          <w:sz w:val="24"/>
          <w:szCs w:val="24"/>
        </w:rPr>
        <w:t>EBac. This result</w:t>
      </w:r>
      <w:r w:rsidR="0069269E">
        <w:rPr>
          <w:sz w:val="24"/>
          <w:szCs w:val="24"/>
        </w:rPr>
        <w:t>ed</w:t>
      </w:r>
      <w:r w:rsidR="00BA70FA">
        <w:rPr>
          <w:sz w:val="24"/>
          <w:szCs w:val="24"/>
        </w:rPr>
        <w:t xml:space="preserve"> in some teachers diverting students away from EBac subjects if </w:t>
      </w:r>
      <w:r w:rsidR="0060389F">
        <w:rPr>
          <w:sz w:val="24"/>
          <w:szCs w:val="24"/>
        </w:rPr>
        <w:t>t</w:t>
      </w:r>
      <w:r w:rsidR="00694962">
        <w:rPr>
          <w:sz w:val="24"/>
          <w:szCs w:val="24"/>
        </w:rPr>
        <w:t>hey</w:t>
      </w:r>
      <w:r w:rsidR="00336AC6">
        <w:rPr>
          <w:sz w:val="24"/>
          <w:szCs w:val="24"/>
        </w:rPr>
        <w:t xml:space="preserve"> </w:t>
      </w:r>
      <w:r w:rsidR="0060389F">
        <w:rPr>
          <w:sz w:val="24"/>
          <w:szCs w:val="24"/>
        </w:rPr>
        <w:t xml:space="preserve">felt </w:t>
      </w:r>
      <w:r w:rsidR="00BA70FA">
        <w:rPr>
          <w:sz w:val="24"/>
          <w:szCs w:val="24"/>
        </w:rPr>
        <w:t xml:space="preserve">students were not capable of achieving a grade C. </w:t>
      </w:r>
      <w:r w:rsidR="00B2364D">
        <w:rPr>
          <w:sz w:val="24"/>
          <w:szCs w:val="24"/>
        </w:rPr>
        <w:t>T</w:t>
      </w:r>
      <w:r w:rsidR="00BA70FA">
        <w:rPr>
          <w:sz w:val="24"/>
          <w:szCs w:val="24"/>
        </w:rPr>
        <w:t>he EBac may never have been intended</w:t>
      </w:r>
      <w:r w:rsidR="00B2364D">
        <w:rPr>
          <w:sz w:val="24"/>
          <w:szCs w:val="24"/>
        </w:rPr>
        <w:t>, however,</w:t>
      </w:r>
      <w:r w:rsidR="00BA70FA">
        <w:rPr>
          <w:sz w:val="24"/>
          <w:szCs w:val="24"/>
        </w:rPr>
        <w:t xml:space="preserve"> to lead to greater student equality</w:t>
      </w:r>
      <w:r w:rsidR="00B2364D">
        <w:rPr>
          <w:sz w:val="24"/>
          <w:szCs w:val="24"/>
        </w:rPr>
        <w:t xml:space="preserve">; </w:t>
      </w:r>
      <w:r w:rsidR="00BA70FA">
        <w:rPr>
          <w:sz w:val="24"/>
          <w:szCs w:val="24"/>
        </w:rPr>
        <w:t>rather</w:t>
      </w:r>
      <w:r w:rsidR="00033A18">
        <w:rPr>
          <w:sz w:val="24"/>
          <w:szCs w:val="24"/>
        </w:rPr>
        <w:t xml:space="preserve"> to</w:t>
      </w:r>
      <w:r w:rsidR="00BA70FA">
        <w:rPr>
          <w:sz w:val="24"/>
          <w:szCs w:val="24"/>
        </w:rPr>
        <w:t xml:space="preserve"> lead to clear</w:t>
      </w:r>
      <w:r w:rsidR="00694962">
        <w:rPr>
          <w:sz w:val="24"/>
          <w:szCs w:val="24"/>
        </w:rPr>
        <w:t>er</w:t>
      </w:r>
      <w:r w:rsidR="00BA70FA">
        <w:rPr>
          <w:sz w:val="24"/>
          <w:szCs w:val="24"/>
        </w:rPr>
        <w:t xml:space="preserve"> divisions between those who </w:t>
      </w:r>
      <w:r w:rsidR="00694962">
        <w:rPr>
          <w:sz w:val="24"/>
          <w:szCs w:val="24"/>
        </w:rPr>
        <w:t>achieve</w:t>
      </w:r>
      <w:r w:rsidR="00BA70FA">
        <w:rPr>
          <w:sz w:val="24"/>
          <w:szCs w:val="24"/>
        </w:rPr>
        <w:t xml:space="preserve"> the EBac and those who do not. </w:t>
      </w:r>
      <w:r w:rsidR="00E44A57">
        <w:rPr>
          <w:sz w:val="24"/>
          <w:szCs w:val="24"/>
        </w:rPr>
        <w:t xml:space="preserve">To present an academic curriculum as the solution to </w:t>
      </w:r>
      <w:r w:rsidR="00694962">
        <w:rPr>
          <w:sz w:val="24"/>
          <w:szCs w:val="24"/>
        </w:rPr>
        <w:t>‘</w:t>
      </w:r>
      <w:r w:rsidR="00E44A57">
        <w:rPr>
          <w:sz w:val="24"/>
          <w:szCs w:val="24"/>
        </w:rPr>
        <w:t>disadvantaged</w:t>
      </w:r>
      <w:r w:rsidR="00694962">
        <w:rPr>
          <w:sz w:val="24"/>
          <w:szCs w:val="24"/>
        </w:rPr>
        <w:t>’</w:t>
      </w:r>
      <w:r w:rsidR="00E44A57">
        <w:rPr>
          <w:sz w:val="24"/>
          <w:szCs w:val="24"/>
        </w:rPr>
        <w:t xml:space="preserve"> student underachievement is to ignore the work of writers such as Carr</w:t>
      </w:r>
      <w:r w:rsidR="00857506">
        <w:rPr>
          <w:sz w:val="24"/>
          <w:szCs w:val="24"/>
        </w:rPr>
        <w:t xml:space="preserve"> </w:t>
      </w:r>
      <w:r w:rsidR="00B2364D">
        <w:rPr>
          <w:sz w:val="24"/>
          <w:szCs w:val="24"/>
        </w:rPr>
        <w:t>and</w:t>
      </w:r>
      <w:r w:rsidR="00AA5408">
        <w:rPr>
          <w:sz w:val="24"/>
          <w:szCs w:val="24"/>
        </w:rPr>
        <w:t xml:space="preserve"> Hartnett </w:t>
      </w:r>
      <w:r w:rsidR="00857506">
        <w:rPr>
          <w:sz w:val="24"/>
          <w:szCs w:val="24"/>
        </w:rPr>
        <w:t>(</w:t>
      </w:r>
      <w:r w:rsidR="00AA5408">
        <w:rPr>
          <w:sz w:val="24"/>
          <w:szCs w:val="24"/>
        </w:rPr>
        <w:t>1996</w:t>
      </w:r>
      <w:r w:rsidR="00857506">
        <w:rPr>
          <w:sz w:val="24"/>
          <w:szCs w:val="24"/>
        </w:rPr>
        <w:t>)</w:t>
      </w:r>
      <w:r w:rsidR="00E44A57">
        <w:rPr>
          <w:sz w:val="24"/>
          <w:szCs w:val="24"/>
        </w:rPr>
        <w:t xml:space="preserve"> and Ball </w:t>
      </w:r>
      <w:r w:rsidR="00857506">
        <w:rPr>
          <w:sz w:val="24"/>
          <w:szCs w:val="24"/>
        </w:rPr>
        <w:t>(</w:t>
      </w:r>
      <w:r w:rsidR="0069269E">
        <w:rPr>
          <w:sz w:val="24"/>
          <w:szCs w:val="24"/>
        </w:rPr>
        <w:t>1994</w:t>
      </w:r>
      <w:r w:rsidR="00857506">
        <w:rPr>
          <w:sz w:val="24"/>
          <w:szCs w:val="24"/>
        </w:rPr>
        <w:t xml:space="preserve">) </w:t>
      </w:r>
      <w:r w:rsidR="00E44A57">
        <w:rPr>
          <w:sz w:val="24"/>
          <w:szCs w:val="24"/>
        </w:rPr>
        <w:t>after the introduction of the 1988 National Curriculum in England</w:t>
      </w:r>
      <w:r w:rsidR="001718AC">
        <w:rPr>
          <w:sz w:val="24"/>
          <w:szCs w:val="24"/>
        </w:rPr>
        <w:t>,</w:t>
      </w:r>
      <w:r w:rsidR="0069269E">
        <w:rPr>
          <w:sz w:val="24"/>
          <w:szCs w:val="24"/>
        </w:rPr>
        <w:t xml:space="preserve"> as well as Lingard </w:t>
      </w:r>
      <w:r w:rsidR="00B2364D">
        <w:rPr>
          <w:sz w:val="24"/>
          <w:szCs w:val="24"/>
        </w:rPr>
        <w:t>and</w:t>
      </w:r>
      <w:r w:rsidR="0069269E">
        <w:rPr>
          <w:sz w:val="24"/>
          <w:szCs w:val="24"/>
        </w:rPr>
        <w:t xml:space="preserve"> Sellar (2013) and Angus (2012) when looking at the impact of neoliberal testing </w:t>
      </w:r>
      <w:r w:rsidR="00815281">
        <w:rPr>
          <w:sz w:val="24"/>
          <w:szCs w:val="24"/>
        </w:rPr>
        <w:t>regimes</w:t>
      </w:r>
      <w:r w:rsidR="00E44A57">
        <w:rPr>
          <w:sz w:val="24"/>
          <w:szCs w:val="24"/>
        </w:rPr>
        <w:t xml:space="preserve">. Such a curriculum benefits schools with </w:t>
      </w:r>
      <w:r w:rsidR="002C1479">
        <w:rPr>
          <w:sz w:val="24"/>
          <w:szCs w:val="24"/>
        </w:rPr>
        <w:t>the EBac</w:t>
      </w:r>
      <w:r w:rsidR="00E44A57">
        <w:rPr>
          <w:sz w:val="24"/>
          <w:szCs w:val="24"/>
        </w:rPr>
        <w:t xml:space="preserve"> curricul</w:t>
      </w:r>
      <w:r w:rsidR="00B2364D">
        <w:rPr>
          <w:sz w:val="24"/>
          <w:szCs w:val="24"/>
        </w:rPr>
        <w:t>um</w:t>
      </w:r>
      <w:r w:rsidR="00E44A57">
        <w:rPr>
          <w:sz w:val="24"/>
          <w:szCs w:val="24"/>
        </w:rPr>
        <w:t xml:space="preserve"> already in place and is therefore likely to widen the achievement gap rather than reduce</w:t>
      </w:r>
      <w:r w:rsidR="00033A18">
        <w:rPr>
          <w:sz w:val="24"/>
          <w:szCs w:val="24"/>
        </w:rPr>
        <w:t xml:space="preserve"> it</w:t>
      </w:r>
      <w:r w:rsidR="00E44A57">
        <w:rPr>
          <w:sz w:val="24"/>
          <w:szCs w:val="24"/>
        </w:rPr>
        <w:t xml:space="preserve">. </w:t>
      </w:r>
      <w:r w:rsidR="00815281">
        <w:rPr>
          <w:sz w:val="24"/>
          <w:szCs w:val="24"/>
        </w:rPr>
        <w:t>As Lingard et al</w:t>
      </w:r>
      <w:r w:rsidR="00033A18">
        <w:rPr>
          <w:sz w:val="24"/>
          <w:szCs w:val="24"/>
        </w:rPr>
        <w:t>.</w:t>
      </w:r>
      <w:r w:rsidR="00815281">
        <w:rPr>
          <w:sz w:val="24"/>
          <w:szCs w:val="24"/>
        </w:rPr>
        <w:t xml:space="preserve"> argue:</w:t>
      </w:r>
    </w:p>
    <w:p w14:paraId="66B77290" w14:textId="0971EDA9" w:rsidR="00815281" w:rsidRDefault="008B5EDB" w:rsidP="00B6050F">
      <w:pPr>
        <w:tabs>
          <w:tab w:val="left" w:pos="7371"/>
          <w:tab w:val="left" w:pos="7513"/>
          <w:tab w:val="left" w:pos="8222"/>
        </w:tabs>
        <w:spacing w:after="0" w:line="240" w:lineRule="auto"/>
        <w:ind w:left="720"/>
        <w:rPr>
          <w:sz w:val="24"/>
          <w:szCs w:val="24"/>
        </w:rPr>
      </w:pPr>
      <w:r>
        <w:rPr>
          <w:sz w:val="24"/>
          <w:szCs w:val="24"/>
        </w:rPr>
        <w:lastRenderedPageBreak/>
        <w:t>T</w:t>
      </w:r>
      <w:r w:rsidR="00815281">
        <w:rPr>
          <w:sz w:val="24"/>
          <w:szCs w:val="24"/>
        </w:rPr>
        <w:t>his most often means that schools serving poor</w:t>
      </w:r>
      <w:r w:rsidR="00674A20">
        <w:rPr>
          <w:sz w:val="24"/>
          <w:szCs w:val="24"/>
        </w:rPr>
        <w:t xml:space="preserve"> </w:t>
      </w:r>
      <w:r w:rsidR="00815281">
        <w:rPr>
          <w:sz w:val="24"/>
          <w:szCs w:val="24"/>
        </w:rPr>
        <w:t>communities need to focus more on improving test scores than those with middle-class clientele, which reduces the likelihood of socially just curriculum provision, narrowing opportunities for young people from poor families to access high-status capitals necessary for educational success</w:t>
      </w:r>
      <w:r w:rsidR="00AA5408">
        <w:rPr>
          <w:sz w:val="24"/>
          <w:szCs w:val="24"/>
        </w:rPr>
        <w:t xml:space="preserve"> (2014</w:t>
      </w:r>
      <w:r w:rsidR="00033A18">
        <w:rPr>
          <w:sz w:val="24"/>
          <w:szCs w:val="24"/>
        </w:rPr>
        <w:t>,</w:t>
      </w:r>
      <w:r w:rsidR="00AA5408">
        <w:rPr>
          <w:sz w:val="24"/>
          <w:szCs w:val="24"/>
        </w:rPr>
        <w:t xml:space="preserve"> p.726).</w:t>
      </w:r>
    </w:p>
    <w:p w14:paraId="7C5D3CD4" w14:textId="77777777" w:rsidR="00B6050F" w:rsidRDefault="00B6050F" w:rsidP="00B6050F">
      <w:pPr>
        <w:tabs>
          <w:tab w:val="left" w:pos="7371"/>
          <w:tab w:val="left" w:pos="7513"/>
          <w:tab w:val="left" w:pos="8222"/>
        </w:tabs>
        <w:spacing w:after="0" w:line="240" w:lineRule="auto"/>
        <w:ind w:left="720"/>
        <w:rPr>
          <w:sz w:val="24"/>
          <w:szCs w:val="24"/>
        </w:rPr>
      </w:pPr>
    </w:p>
    <w:p w14:paraId="193287AC" w14:textId="27F40D12" w:rsidR="00BA70FA" w:rsidRDefault="00BA70FA" w:rsidP="00B6050F">
      <w:pPr>
        <w:tabs>
          <w:tab w:val="left" w:pos="7371"/>
          <w:tab w:val="left" w:pos="7513"/>
          <w:tab w:val="left" w:pos="8222"/>
        </w:tabs>
        <w:spacing w:after="0" w:line="360" w:lineRule="auto"/>
        <w:rPr>
          <w:sz w:val="24"/>
          <w:szCs w:val="24"/>
        </w:rPr>
      </w:pPr>
      <w:r>
        <w:rPr>
          <w:sz w:val="24"/>
          <w:szCs w:val="24"/>
        </w:rPr>
        <w:t xml:space="preserve">If </w:t>
      </w:r>
      <w:r w:rsidR="00FD0514">
        <w:rPr>
          <w:sz w:val="24"/>
          <w:szCs w:val="24"/>
        </w:rPr>
        <w:t xml:space="preserve">academic success </w:t>
      </w:r>
      <w:r>
        <w:rPr>
          <w:sz w:val="24"/>
          <w:szCs w:val="24"/>
        </w:rPr>
        <w:t xml:space="preserve">or failure is regarded as a product of </w:t>
      </w:r>
      <w:r w:rsidR="00674A20">
        <w:rPr>
          <w:sz w:val="24"/>
          <w:szCs w:val="24"/>
        </w:rPr>
        <w:t>‘</w:t>
      </w:r>
      <w:r>
        <w:rPr>
          <w:sz w:val="24"/>
          <w:szCs w:val="24"/>
        </w:rPr>
        <w:t>ability</w:t>
      </w:r>
      <w:r w:rsidR="00674A20">
        <w:rPr>
          <w:sz w:val="24"/>
          <w:szCs w:val="24"/>
        </w:rPr>
        <w:t>’</w:t>
      </w:r>
      <w:r>
        <w:rPr>
          <w:sz w:val="24"/>
          <w:szCs w:val="24"/>
        </w:rPr>
        <w:t xml:space="preserve"> rather than social </w:t>
      </w:r>
      <w:r w:rsidR="00B2364D">
        <w:rPr>
          <w:sz w:val="24"/>
          <w:szCs w:val="24"/>
        </w:rPr>
        <w:t xml:space="preserve">context, </w:t>
      </w:r>
      <w:r>
        <w:rPr>
          <w:sz w:val="24"/>
          <w:szCs w:val="24"/>
        </w:rPr>
        <w:t>then the myth of meritocracy is strengthened (Bowles and Gintis</w:t>
      </w:r>
      <w:r w:rsidR="00B2364D">
        <w:rPr>
          <w:sz w:val="24"/>
          <w:szCs w:val="24"/>
        </w:rPr>
        <w:t>,</w:t>
      </w:r>
      <w:r>
        <w:rPr>
          <w:sz w:val="24"/>
          <w:szCs w:val="24"/>
        </w:rPr>
        <w:t xml:space="preserve"> 1976)</w:t>
      </w:r>
      <w:r w:rsidR="00E44A57">
        <w:rPr>
          <w:sz w:val="24"/>
          <w:szCs w:val="24"/>
        </w:rPr>
        <w:t xml:space="preserve"> and the social position of the elite is secured</w:t>
      </w:r>
      <w:r>
        <w:rPr>
          <w:sz w:val="24"/>
          <w:szCs w:val="24"/>
        </w:rPr>
        <w:t>.</w:t>
      </w:r>
    </w:p>
    <w:p w14:paraId="40E95467" w14:textId="77777777" w:rsidR="00B6050F" w:rsidRDefault="00B6050F" w:rsidP="00B6050F">
      <w:pPr>
        <w:tabs>
          <w:tab w:val="left" w:pos="7371"/>
          <w:tab w:val="left" w:pos="7513"/>
          <w:tab w:val="left" w:pos="8222"/>
        </w:tabs>
        <w:spacing w:after="0" w:line="360" w:lineRule="auto"/>
        <w:rPr>
          <w:sz w:val="24"/>
          <w:szCs w:val="24"/>
        </w:rPr>
      </w:pPr>
    </w:p>
    <w:p w14:paraId="4CA3AAAA" w14:textId="4C0BE1B4" w:rsidR="00B920CF" w:rsidRDefault="00082CD2" w:rsidP="00EA76C2">
      <w:pPr>
        <w:spacing w:line="360" w:lineRule="auto"/>
        <w:rPr>
          <w:sz w:val="24"/>
          <w:szCs w:val="24"/>
        </w:rPr>
      </w:pPr>
      <w:r>
        <w:rPr>
          <w:sz w:val="24"/>
          <w:szCs w:val="24"/>
        </w:rPr>
        <w:t xml:space="preserve">I do not believe that the EBac in its present form has the potential to reduce educational inequalities </w:t>
      </w:r>
      <w:r w:rsidR="0060389F">
        <w:rPr>
          <w:sz w:val="24"/>
          <w:szCs w:val="24"/>
        </w:rPr>
        <w:t>in</w:t>
      </w:r>
      <w:r>
        <w:rPr>
          <w:sz w:val="24"/>
          <w:szCs w:val="24"/>
        </w:rPr>
        <w:t xml:space="preserve"> achievement between different social groups such as social class, ethnicity, gender, or th</w:t>
      </w:r>
      <w:r w:rsidR="004D775F">
        <w:rPr>
          <w:sz w:val="24"/>
          <w:szCs w:val="24"/>
        </w:rPr>
        <w:t>os</w:t>
      </w:r>
      <w:r w:rsidR="00857506">
        <w:rPr>
          <w:sz w:val="24"/>
          <w:szCs w:val="24"/>
        </w:rPr>
        <w:t>e</w:t>
      </w:r>
      <w:r>
        <w:rPr>
          <w:sz w:val="24"/>
          <w:szCs w:val="24"/>
        </w:rPr>
        <w:t xml:space="preserve"> </w:t>
      </w:r>
      <w:r w:rsidR="00EA76C2">
        <w:rPr>
          <w:sz w:val="24"/>
          <w:szCs w:val="24"/>
        </w:rPr>
        <w:t>identified</w:t>
      </w:r>
      <w:r>
        <w:rPr>
          <w:sz w:val="24"/>
          <w:szCs w:val="24"/>
        </w:rPr>
        <w:t xml:space="preserve"> </w:t>
      </w:r>
      <w:r w:rsidR="004D775F">
        <w:rPr>
          <w:sz w:val="24"/>
          <w:szCs w:val="24"/>
        </w:rPr>
        <w:t xml:space="preserve">as </w:t>
      </w:r>
      <w:r w:rsidR="000E17BD">
        <w:rPr>
          <w:sz w:val="24"/>
          <w:szCs w:val="24"/>
        </w:rPr>
        <w:t>‘</w:t>
      </w:r>
      <w:r>
        <w:rPr>
          <w:sz w:val="24"/>
          <w:szCs w:val="24"/>
        </w:rPr>
        <w:t>disadvantaged</w:t>
      </w:r>
      <w:r w:rsidR="000E17BD">
        <w:rPr>
          <w:sz w:val="24"/>
          <w:szCs w:val="24"/>
        </w:rPr>
        <w:t>’</w:t>
      </w:r>
      <w:r w:rsidR="00E92812">
        <w:rPr>
          <w:sz w:val="24"/>
          <w:szCs w:val="24"/>
        </w:rPr>
        <w:t xml:space="preserve">, as </w:t>
      </w:r>
      <w:r w:rsidR="00387E2F">
        <w:rPr>
          <w:sz w:val="24"/>
          <w:szCs w:val="24"/>
        </w:rPr>
        <w:t>stated</w:t>
      </w:r>
      <w:r w:rsidR="00E92812">
        <w:rPr>
          <w:sz w:val="24"/>
          <w:szCs w:val="24"/>
        </w:rPr>
        <w:t xml:space="preserve"> in the Schools White Paper (DfE</w:t>
      </w:r>
      <w:r w:rsidR="00B2364D">
        <w:rPr>
          <w:sz w:val="24"/>
          <w:szCs w:val="24"/>
        </w:rPr>
        <w:t>,</w:t>
      </w:r>
      <w:r w:rsidR="00E92812">
        <w:rPr>
          <w:sz w:val="24"/>
          <w:szCs w:val="24"/>
        </w:rPr>
        <w:t xml:space="preserve"> 2010)</w:t>
      </w:r>
      <w:r>
        <w:rPr>
          <w:sz w:val="24"/>
          <w:szCs w:val="24"/>
        </w:rPr>
        <w:t xml:space="preserve">. The case for the EBac as a progression route for </w:t>
      </w:r>
      <w:r w:rsidR="00BA70FA">
        <w:rPr>
          <w:sz w:val="24"/>
          <w:szCs w:val="24"/>
        </w:rPr>
        <w:t xml:space="preserve">the majority of </w:t>
      </w:r>
      <w:r>
        <w:rPr>
          <w:sz w:val="24"/>
          <w:szCs w:val="24"/>
        </w:rPr>
        <w:t xml:space="preserve">students has not been clearly stated and </w:t>
      </w:r>
      <w:r w:rsidR="00161F49">
        <w:rPr>
          <w:sz w:val="24"/>
          <w:szCs w:val="24"/>
        </w:rPr>
        <w:t xml:space="preserve">the actions of most </w:t>
      </w:r>
      <w:r>
        <w:rPr>
          <w:sz w:val="24"/>
          <w:szCs w:val="24"/>
        </w:rPr>
        <w:t xml:space="preserve">teachers remain </w:t>
      </w:r>
      <w:r w:rsidR="00161F49">
        <w:rPr>
          <w:sz w:val="24"/>
          <w:szCs w:val="24"/>
        </w:rPr>
        <w:t xml:space="preserve">determined by the </w:t>
      </w:r>
      <w:r w:rsidR="00674A20">
        <w:rPr>
          <w:sz w:val="24"/>
          <w:szCs w:val="24"/>
        </w:rPr>
        <w:t xml:space="preserve">neoliberal drive for outcomes and </w:t>
      </w:r>
      <w:r w:rsidR="00161F49">
        <w:rPr>
          <w:sz w:val="24"/>
          <w:szCs w:val="24"/>
        </w:rPr>
        <w:t>performance measures</w:t>
      </w:r>
      <w:r w:rsidR="00B2364D">
        <w:rPr>
          <w:sz w:val="24"/>
          <w:szCs w:val="24"/>
        </w:rPr>
        <w:t>,</w:t>
      </w:r>
      <w:r>
        <w:rPr>
          <w:sz w:val="24"/>
          <w:szCs w:val="24"/>
        </w:rPr>
        <w:t xml:space="preserve"> </w:t>
      </w:r>
      <w:r w:rsidR="00161F49">
        <w:rPr>
          <w:sz w:val="24"/>
          <w:szCs w:val="24"/>
        </w:rPr>
        <w:t>which for the EBac require students to be capable of achieving grade C or above</w:t>
      </w:r>
      <w:r w:rsidR="00BA70FA">
        <w:rPr>
          <w:sz w:val="24"/>
          <w:szCs w:val="24"/>
        </w:rPr>
        <w:t>.</w:t>
      </w:r>
      <w:r w:rsidR="00161F49">
        <w:rPr>
          <w:sz w:val="24"/>
          <w:szCs w:val="24"/>
        </w:rPr>
        <w:t xml:space="preserve"> Rather than encouraging more </w:t>
      </w:r>
      <w:r w:rsidR="00694962">
        <w:rPr>
          <w:sz w:val="24"/>
          <w:szCs w:val="24"/>
        </w:rPr>
        <w:t>‘</w:t>
      </w:r>
      <w:r w:rsidR="00161F49">
        <w:rPr>
          <w:sz w:val="24"/>
          <w:szCs w:val="24"/>
        </w:rPr>
        <w:t>disadvantaged</w:t>
      </w:r>
      <w:r w:rsidR="00694962">
        <w:rPr>
          <w:sz w:val="24"/>
          <w:szCs w:val="24"/>
        </w:rPr>
        <w:t>’</w:t>
      </w:r>
      <w:r w:rsidR="00161F49">
        <w:rPr>
          <w:sz w:val="24"/>
          <w:szCs w:val="24"/>
        </w:rPr>
        <w:t xml:space="preserve"> students to </w:t>
      </w:r>
      <w:r w:rsidR="001D565B">
        <w:rPr>
          <w:sz w:val="24"/>
          <w:szCs w:val="24"/>
        </w:rPr>
        <w:t>study</w:t>
      </w:r>
      <w:r w:rsidR="00161F49">
        <w:rPr>
          <w:sz w:val="24"/>
          <w:szCs w:val="24"/>
        </w:rPr>
        <w:t xml:space="preserve"> the EBac</w:t>
      </w:r>
      <w:r w:rsidR="00694962">
        <w:rPr>
          <w:sz w:val="24"/>
          <w:szCs w:val="24"/>
        </w:rPr>
        <w:t>,</w:t>
      </w:r>
      <w:r w:rsidR="00BA70FA">
        <w:rPr>
          <w:sz w:val="24"/>
          <w:szCs w:val="24"/>
        </w:rPr>
        <w:t xml:space="preserve"> students</w:t>
      </w:r>
      <w:r w:rsidR="00161F49">
        <w:rPr>
          <w:sz w:val="24"/>
          <w:szCs w:val="24"/>
        </w:rPr>
        <w:t xml:space="preserve"> </w:t>
      </w:r>
      <w:r w:rsidR="007A113C">
        <w:rPr>
          <w:sz w:val="24"/>
          <w:szCs w:val="24"/>
        </w:rPr>
        <w:t>are being</w:t>
      </w:r>
      <w:r w:rsidR="00161F49">
        <w:rPr>
          <w:sz w:val="24"/>
          <w:szCs w:val="24"/>
        </w:rPr>
        <w:t xml:space="preserve"> denied the opportunity to </w:t>
      </w:r>
      <w:r w:rsidR="001D565B">
        <w:rPr>
          <w:sz w:val="24"/>
          <w:szCs w:val="24"/>
        </w:rPr>
        <w:t>study</w:t>
      </w:r>
      <w:r w:rsidR="00161F49">
        <w:rPr>
          <w:sz w:val="24"/>
          <w:szCs w:val="24"/>
        </w:rPr>
        <w:t xml:space="preserve"> this combination of subjects at GCSE if they are perceived to have a better chance of gaining a grade C </w:t>
      </w:r>
      <w:r w:rsidR="00BF1BAF">
        <w:rPr>
          <w:sz w:val="24"/>
          <w:szCs w:val="24"/>
        </w:rPr>
        <w:t>in</w:t>
      </w:r>
      <w:r w:rsidR="00161F49">
        <w:rPr>
          <w:sz w:val="24"/>
          <w:szCs w:val="24"/>
        </w:rPr>
        <w:t xml:space="preserve"> </w:t>
      </w:r>
      <w:r w:rsidR="00BF1BAF">
        <w:rPr>
          <w:sz w:val="24"/>
          <w:szCs w:val="24"/>
        </w:rPr>
        <w:t xml:space="preserve">other </w:t>
      </w:r>
      <w:r w:rsidR="00161F49">
        <w:rPr>
          <w:sz w:val="24"/>
          <w:szCs w:val="24"/>
        </w:rPr>
        <w:t>subject</w:t>
      </w:r>
      <w:r w:rsidR="00BF1BAF">
        <w:rPr>
          <w:sz w:val="24"/>
          <w:szCs w:val="24"/>
        </w:rPr>
        <w:t>s</w:t>
      </w:r>
      <w:r w:rsidR="00161F49">
        <w:rPr>
          <w:sz w:val="24"/>
          <w:szCs w:val="24"/>
        </w:rPr>
        <w:t xml:space="preserve"> or qualification</w:t>
      </w:r>
      <w:r w:rsidR="00BF1BAF">
        <w:rPr>
          <w:sz w:val="24"/>
          <w:szCs w:val="24"/>
        </w:rPr>
        <w:t>s</w:t>
      </w:r>
      <w:r w:rsidR="00161F49">
        <w:rPr>
          <w:sz w:val="24"/>
          <w:szCs w:val="24"/>
        </w:rPr>
        <w:t xml:space="preserve">. </w:t>
      </w:r>
      <w:r w:rsidR="00674A20">
        <w:rPr>
          <w:sz w:val="24"/>
          <w:szCs w:val="24"/>
        </w:rPr>
        <w:t>Williams, adopting a p</w:t>
      </w:r>
      <w:r w:rsidR="0036292D">
        <w:rPr>
          <w:sz w:val="24"/>
          <w:szCs w:val="24"/>
        </w:rPr>
        <w:t>oststructural</w:t>
      </w:r>
      <w:r w:rsidR="00674A20">
        <w:rPr>
          <w:sz w:val="24"/>
          <w:szCs w:val="24"/>
        </w:rPr>
        <w:t xml:space="preserve"> position, argues that </w:t>
      </w:r>
      <w:r w:rsidR="0036292D">
        <w:rPr>
          <w:sz w:val="24"/>
          <w:szCs w:val="24"/>
        </w:rPr>
        <w:t>“it is the intertwined threads of genealogies – of historical forms expressed in language and spaces – that restrict the paths that can be take</w:t>
      </w:r>
      <w:r w:rsidR="00674A20">
        <w:rPr>
          <w:sz w:val="24"/>
          <w:szCs w:val="24"/>
        </w:rPr>
        <w:t>n towards the future” (</w:t>
      </w:r>
      <w:r w:rsidR="0036292D">
        <w:rPr>
          <w:sz w:val="24"/>
          <w:szCs w:val="24"/>
        </w:rPr>
        <w:t>2005, p.109).</w:t>
      </w:r>
      <w:r w:rsidR="00674A20">
        <w:rPr>
          <w:sz w:val="24"/>
          <w:szCs w:val="24"/>
        </w:rPr>
        <w:t xml:space="preserve"> In this way</w:t>
      </w:r>
      <w:r w:rsidR="00B2364D">
        <w:rPr>
          <w:sz w:val="24"/>
          <w:szCs w:val="24"/>
        </w:rPr>
        <w:t>,</w:t>
      </w:r>
      <w:r w:rsidR="00674A20">
        <w:rPr>
          <w:sz w:val="24"/>
          <w:szCs w:val="24"/>
        </w:rPr>
        <w:t xml:space="preserve"> a performance measure with a stated aim of supporting the achievement and progression opportunities of the disadvantaged </w:t>
      </w:r>
      <w:r w:rsidR="001B2BB4">
        <w:rPr>
          <w:sz w:val="24"/>
          <w:szCs w:val="24"/>
        </w:rPr>
        <w:t xml:space="preserve">child </w:t>
      </w:r>
      <w:r w:rsidR="00674A20">
        <w:rPr>
          <w:sz w:val="24"/>
          <w:szCs w:val="24"/>
        </w:rPr>
        <w:t>actually exacerbates</w:t>
      </w:r>
      <w:r w:rsidR="001B2BB4">
        <w:rPr>
          <w:sz w:val="24"/>
          <w:szCs w:val="24"/>
        </w:rPr>
        <w:t xml:space="preserve"> the</w:t>
      </w:r>
      <w:r w:rsidR="00674A20">
        <w:rPr>
          <w:sz w:val="24"/>
          <w:szCs w:val="24"/>
        </w:rPr>
        <w:t xml:space="preserve"> very problem it aims to solve.</w:t>
      </w:r>
    </w:p>
    <w:p w14:paraId="2730606F" w14:textId="663EC7CF" w:rsidR="00EF348C" w:rsidRPr="009D62FB" w:rsidRDefault="005102EE" w:rsidP="00531995">
      <w:pPr>
        <w:pStyle w:val="Heading2"/>
      </w:pPr>
      <w:bookmarkStart w:id="114" w:name="_Toc452316397"/>
      <w:r>
        <w:t>6</w:t>
      </w:r>
      <w:r w:rsidR="00EF348C" w:rsidRPr="009D62FB">
        <w:t>.3 Recommendations for policy and practice</w:t>
      </w:r>
      <w:bookmarkEnd w:id="114"/>
    </w:p>
    <w:p w14:paraId="7DA6A185" w14:textId="41F4D3D2" w:rsidR="00E93961" w:rsidRDefault="00EF348C" w:rsidP="00B6050F">
      <w:pPr>
        <w:spacing w:line="360" w:lineRule="auto"/>
        <w:rPr>
          <w:sz w:val="24"/>
          <w:szCs w:val="24"/>
        </w:rPr>
      </w:pPr>
      <w:r w:rsidRPr="009D62FB">
        <w:rPr>
          <w:sz w:val="24"/>
          <w:szCs w:val="24"/>
        </w:rPr>
        <w:t xml:space="preserve">In light of my </w:t>
      </w:r>
      <w:r w:rsidR="00E84F2D">
        <w:rPr>
          <w:sz w:val="24"/>
          <w:szCs w:val="24"/>
        </w:rPr>
        <w:t>study</w:t>
      </w:r>
      <w:r w:rsidR="00033A18">
        <w:rPr>
          <w:sz w:val="24"/>
          <w:szCs w:val="24"/>
        </w:rPr>
        <w:t>,</w:t>
      </w:r>
      <w:r w:rsidRPr="009D62FB">
        <w:rPr>
          <w:sz w:val="24"/>
          <w:szCs w:val="24"/>
        </w:rPr>
        <w:t xml:space="preserve"> I </w:t>
      </w:r>
      <w:r w:rsidR="00033A18">
        <w:rPr>
          <w:sz w:val="24"/>
          <w:szCs w:val="24"/>
        </w:rPr>
        <w:t>now</w:t>
      </w:r>
      <w:r w:rsidRPr="009D62FB">
        <w:rPr>
          <w:sz w:val="24"/>
          <w:szCs w:val="24"/>
        </w:rPr>
        <w:t xml:space="preserve"> </w:t>
      </w:r>
      <w:r w:rsidR="00E84F2D">
        <w:rPr>
          <w:sz w:val="24"/>
          <w:szCs w:val="24"/>
        </w:rPr>
        <w:t xml:space="preserve">turn to </w:t>
      </w:r>
      <w:r w:rsidRPr="009D62FB">
        <w:rPr>
          <w:sz w:val="24"/>
          <w:szCs w:val="24"/>
        </w:rPr>
        <w:t xml:space="preserve">suggest </w:t>
      </w:r>
      <w:r w:rsidR="00C60788">
        <w:rPr>
          <w:sz w:val="24"/>
          <w:szCs w:val="24"/>
        </w:rPr>
        <w:t>eight</w:t>
      </w:r>
      <w:r w:rsidR="00B920CF">
        <w:rPr>
          <w:sz w:val="24"/>
          <w:szCs w:val="24"/>
        </w:rPr>
        <w:t xml:space="preserve"> </w:t>
      </w:r>
      <w:r w:rsidR="00B920CF" w:rsidRPr="009D62FB">
        <w:rPr>
          <w:sz w:val="24"/>
          <w:szCs w:val="24"/>
        </w:rPr>
        <w:t>recommendations</w:t>
      </w:r>
      <w:r w:rsidR="00B920CF">
        <w:rPr>
          <w:sz w:val="24"/>
          <w:szCs w:val="24"/>
        </w:rPr>
        <w:t xml:space="preserve">; </w:t>
      </w:r>
      <w:r w:rsidR="00B4261B">
        <w:rPr>
          <w:sz w:val="24"/>
          <w:szCs w:val="24"/>
        </w:rPr>
        <w:t>f</w:t>
      </w:r>
      <w:r w:rsidR="00C60788">
        <w:rPr>
          <w:sz w:val="24"/>
          <w:szCs w:val="24"/>
        </w:rPr>
        <w:t>our</w:t>
      </w:r>
      <w:r w:rsidR="00B920CF">
        <w:rPr>
          <w:sz w:val="24"/>
          <w:szCs w:val="24"/>
        </w:rPr>
        <w:t xml:space="preserve"> </w:t>
      </w:r>
      <w:r w:rsidR="00E308F5">
        <w:rPr>
          <w:sz w:val="24"/>
          <w:szCs w:val="24"/>
        </w:rPr>
        <w:t xml:space="preserve">of which propose </w:t>
      </w:r>
      <w:r w:rsidR="001F343C">
        <w:rPr>
          <w:sz w:val="24"/>
          <w:szCs w:val="24"/>
        </w:rPr>
        <w:t xml:space="preserve">new </w:t>
      </w:r>
      <w:r w:rsidR="00E44A57">
        <w:rPr>
          <w:sz w:val="24"/>
          <w:szCs w:val="24"/>
        </w:rPr>
        <w:t>development</w:t>
      </w:r>
      <w:r w:rsidR="00E84F2D">
        <w:rPr>
          <w:sz w:val="24"/>
          <w:szCs w:val="24"/>
        </w:rPr>
        <w:t xml:space="preserve">s to improve current </w:t>
      </w:r>
      <w:r w:rsidRPr="009D62FB">
        <w:rPr>
          <w:sz w:val="24"/>
          <w:szCs w:val="24"/>
        </w:rPr>
        <w:t>EBac policy and practice</w:t>
      </w:r>
      <w:r w:rsidR="001F343C">
        <w:rPr>
          <w:sz w:val="24"/>
          <w:szCs w:val="24"/>
        </w:rPr>
        <w:t xml:space="preserve"> </w:t>
      </w:r>
      <w:r w:rsidRPr="009D62FB">
        <w:rPr>
          <w:sz w:val="24"/>
          <w:szCs w:val="24"/>
        </w:rPr>
        <w:t xml:space="preserve">and </w:t>
      </w:r>
      <w:r>
        <w:rPr>
          <w:sz w:val="24"/>
          <w:szCs w:val="24"/>
        </w:rPr>
        <w:t>four</w:t>
      </w:r>
      <w:r w:rsidR="00B2364D">
        <w:rPr>
          <w:sz w:val="24"/>
          <w:szCs w:val="24"/>
        </w:rPr>
        <w:t xml:space="preserve"> that</w:t>
      </w:r>
      <w:r w:rsidR="00B87293">
        <w:rPr>
          <w:sz w:val="24"/>
          <w:szCs w:val="24"/>
        </w:rPr>
        <w:t xml:space="preserve"> </w:t>
      </w:r>
      <w:r w:rsidRPr="009D62FB">
        <w:rPr>
          <w:sz w:val="24"/>
          <w:szCs w:val="24"/>
        </w:rPr>
        <w:t>call for the rejection of EBac and performance measure discourse</w:t>
      </w:r>
      <w:r w:rsidR="00387E2F">
        <w:rPr>
          <w:sz w:val="24"/>
          <w:szCs w:val="24"/>
        </w:rPr>
        <w:t>s</w:t>
      </w:r>
      <w:r w:rsidR="00B6050F">
        <w:rPr>
          <w:sz w:val="24"/>
          <w:szCs w:val="24"/>
        </w:rPr>
        <w:t>.</w:t>
      </w:r>
    </w:p>
    <w:p w14:paraId="43F259AF" w14:textId="0DBE412D" w:rsidR="00AD012F" w:rsidRPr="00E93961" w:rsidRDefault="00FE0B50" w:rsidP="00E93961">
      <w:pPr>
        <w:pStyle w:val="Heading3"/>
      </w:pPr>
      <w:bookmarkStart w:id="115" w:name="_Toc452316398"/>
      <w:r>
        <w:t xml:space="preserve">6.3.1 </w:t>
      </w:r>
      <w:r w:rsidR="00B4261B">
        <w:t>F</w:t>
      </w:r>
      <w:r w:rsidR="00C60788">
        <w:t>our</w:t>
      </w:r>
      <w:r w:rsidR="00B4261B">
        <w:t xml:space="preserve"> </w:t>
      </w:r>
      <w:r w:rsidR="00B920CF" w:rsidRPr="00B920CF">
        <w:t xml:space="preserve">recommendations </w:t>
      </w:r>
      <w:r w:rsidR="001F343C">
        <w:t xml:space="preserve">of reform to </w:t>
      </w:r>
      <w:r w:rsidR="00B74C41" w:rsidRPr="00B920CF">
        <w:t>EBac policy and practice</w:t>
      </w:r>
      <w:bookmarkEnd w:id="115"/>
    </w:p>
    <w:p w14:paraId="6BD3E4B7" w14:textId="69FF9FB9" w:rsidR="00EF348C" w:rsidRDefault="00EF348C" w:rsidP="00B6050F">
      <w:pPr>
        <w:spacing w:after="0" w:line="360" w:lineRule="auto"/>
        <w:rPr>
          <w:sz w:val="24"/>
          <w:szCs w:val="24"/>
        </w:rPr>
      </w:pPr>
      <w:r w:rsidRPr="009D62FB">
        <w:rPr>
          <w:sz w:val="24"/>
          <w:szCs w:val="24"/>
        </w:rPr>
        <w:t xml:space="preserve">My </w:t>
      </w:r>
      <w:r w:rsidR="007D0662">
        <w:rPr>
          <w:sz w:val="24"/>
          <w:szCs w:val="24"/>
        </w:rPr>
        <w:t>first</w:t>
      </w:r>
      <w:r w:rsidRPr="009D62FB">
        <w:rPr>
          <w:sz w:val="24"/>
          <w:szCs w:val="24"/>
        </w:rPr>
        <w:t xml:space="preserve"> recommendation is to </w:t>
      </w:r>
      <w:r w:rsidR="00B4261B">
        <w:rPr>
          <w:sz w:val="24"/>
          <w:szCs w:val="24"/>
        </w:rPr>
        <w:t>acknowledge EBac success at all GCSE grades</w:t>
      </w:r>
      <w:r w:rsidR="00010CD6">
        <w:rPr>
          <w:sz w:val="24"/>
          <w:szCs w:val="24"/>
        </w:rPr>
        <w:t>,</w:t>
      </w:r>
      <w:r w:rsidR="00B4261B">
        <w:rPr>
          <w:sz w:val="24"/>
          <w:szCs w:val="24"/>
        </w:rPr>
        <w:t xml:space="preserve"> not only at grade C or above. </w:t>
      </w:r>
      <w:r w:rsidR="00F725D2">
        <w:rPr>
          <w:sz w:val="24"/>
          <w:szCs w:val="24"/>
        </w:rPr>
        <w:t xml:space="preserve">If the EBac </w:t>
      </w:r>
      <w:r w:rsidR="00E92812">
        <w:rPr>
          <w:sz w:val="24"/>
          <w:szCs w:val="24"/>
        </w:rPr>
        <w:t>wa</w:t>
      </w:r>
      <w:r w:rsidR="00F725D2">
        <w:rPr>
          <w:sz w:val="24"/>
          <w:szCs w:val="24"/>
        </w:rPr>
        <w:t>s created</w:t>
      </w:r>
      <w:r w:rsidR="00E92812">
        <w:rPr>
          <w:sz w:val="24"/>
          <w:szCs w:val="24"/>
        </w:rPr>
        <w:t>, as claimed,</w:t>
      </w:r>
      <w:r w:rsidR="00F725D2">
        <w:rPr>
          <w:sz w:val="24"/>
          <w:szCs w:val="24"/>
        </w:rPr>
        <w:t xml:space="preserve"> with the intention that </w:t>
      </w:r>
      <w:r w:rsidRPr="009D62FB">
        <w:rPr>
          <w:sz w:val="24"/>
          <w:szCs w:val="24"/>
        </w:rPr>
        <w:t xml:space="preserve">core </w:t>
      </w:r>
      <w:r w:rsidRPr="009D62FB">
        <w:rPr>
          <w:sz w:val="24"/>
          <w:szCs w:val="24"/>
        </w:rPr>
        <w:lastRenderedPageBreak/>
        <w:t xml:space="preserve">knowledge </w:t>
      </w:r>
      <w:r w:rsidR="00F725D2">
        <w:rPr>
          <w:sz w:val="24"/>
          <w:szCs w:val="24"/>
        </w:rPr>
        <w:t xml:space="preserve">is a valuable part of </w:t>
      </w:r>
      <w:r w:rsidR="00F725D2" w:rsidRPr="0018035B">
        <w:rPr>
          <w:i/>
          <w:sz w:val="24"/>
        </w:rPr>
        <w:t>a</w:t>
      </w:r>
      <w:r w:rsidR="00E92812" w:rsidRPr="0018035B">
        <w:rPr>
          <w:i/>
          <w:sz w:val="24"/>
        </w:rPr>
        <w:t>ll</w:t>
      </w:r>
      <w:r w:rsidR="00F725D2" w:rsidRPr="002C1479">
        <w:rPr>
          <w:b/>
          <w:sz w:val="24"/>
          <w:szCs w:val="24"/>
        </w:rPr>
        <w:t xml:space="preserve"> </w:t>
      </w:r>
      <w:r w:rsidR="00E92812">
        <w:rPr>
          <w:sz w:val="24"/>
          <w:szCs w:val="24"/>
        </w:rPr>
        <w:t xml:space="preserve">students’ </w:t>
      </w:r>
      <w:r w:rsidR="00F725D2">
        <w:rPr>
          <w:sz w:val="24"/>
          <w:szCs w:val="24"/>
        </w:rPr>
        <w:t xml:space="preserve">education up to age 16 in England </w:t>
      </w:r>
      <w:r w:rsidRPr="009D62FB">
        <w:rPr>
          <w:sz w:val="24"/>
          <w:szCs w:val="24"/>
        </w:rPr>
        <w:t xml:space="preserve">then the arbitrary cut off of </w:t>
      </w:r>
      <w:r w:rsidR="00E92812" w:rsidRPr="009D62FB">
        <w:rPr>
          <w:sz w:val="24"/>
          <w:szCs w:val="24"/>
        </w:rPr>
        <w:t xml:space="preserve">grade </w:t>
      </w:r>
      <w:r w:rsidR="00010CD6">
        <w:rPr>
          <w:sz w:val="24"/>
          <w:szCs w:val="24"/>
        </w:rPr>
        <w:t xml:space="preserve">of </w:t>
      </w:r>
      <w:r w:rsidR="00E92812" w:rsidRPr="009D62FB">
        <w:rPr>
          <w:sz w:val="24"/>
          <w:szCs w:val="24"/>
        </w:rPr>
        <w:t xml:space="preserve">C </w:t>
      </w:r>
      <w:r w:rsidR="00E92812">
        <w:rPr>
          <w:sz w:val="24"/>
          <w:szCs w:val="24"/>
        </w:rPr>
        <w:t>or above i</w:t>
      </w:r>
      <w:r w:rsidR="007A113C">
        <w:rPr>
          <w:sz w:val="24"/>
          <w:szCs w:val="24"/>
        </w:rPr>
        <w:t xml:space="preserve">n </w:t>
      </w:r>
      <w:r w:rsidRPr="009D62FB">
        <w:rPr>
          <w:sz w:val="24"/>
          <w:szCs w:val="24"/>
        </w:rPr>
        <w:t>all EBac subjects counter</w:t>
      </w:r>
      <w:r w:rsidR="001F343C">
        <w:rPr>
          <w:sz w:val="24"/>
          <w:szCs w:val="24"/>
        </w:rPr>
        <w:t>s</w:t>
      </w:r>
      <w:r w:rsidRPr="009D62FB">
        <w:rPr>
          <w:sz w:val="24"/>
          <w:szCs w:val="24"/>
        </w:rPr>
        <w:t xml:space="preserve"> this intent. </w:t>
      </w:r>
      <w:r w:rsidR="00387E2F">
        <w:rPr>
          <w:sz w:val="24"/>
          <w:szCs w:val="24"/>
        </w:rPr>
        <w:t>F</w:t>
      </w:r>
      <w:r w:rsidRPr="009D62FB">
        <w:rPr>
          <w:sz w:val="24"/>
          <w:szCs w:val="24"/>
        </w:rPr>
        <w:t xml:space="preserve">or a student to achieve a grade D in a </w:t>
      </w:r>
      <w:r w:rsidR="00AD012F">
        <w:rPr>
          <w:sz w:val="24"/>
          <w:szCs w:val="24"/>
        </w:rPr>
        <w:t>l</w:t>
      </w:r>
      <w:r w:rsidRPr="009D62FB">
        <w:rPr>
          <w:sz w:val="24"/>
          <w:szCs w:val="24"/>
        </w:rPr>
        <w:t xml:space="preserve">anguage or </w:t>
      </w:r>
      <w:r w:rsidR="0058337A">
        <w:rPr>
          <w:sz w:val="24"/>
          <w:szCs w:val="24"/>
        </w:rPr>
        <w:t>History</w:t>
      </w:r>
      <w:r w:rsidRPr="009D62FB">
        <w:rPr>
          <w:sz w:val="24"/>
          <w:szCs w:val="24"/>
        </w:rPr>
        <w:t xml:space="preserve"> </w:t>
      </w:r>
      <w:r w:rsidR="001F343C">
        <w:rPr>
          <w:sz w:val="24"/>
          <w:szCs w:val="24"/>
        </w:rPr>
        <w:t xml:space="preserve">after working hard </w:t>
      </w:r>
      <w:r w:rsidRPr="009D62FB">
        <w:rPr>
          <w:sz w:val="24"/>
          <w:szCs w:val="24"/>
        </w:rPr>
        <w:t xml:space="preserve">allows them access </w:t>
      </w:r>
      <w:r w:rsidR="00033A18">
        <w:rPr>
          <w:sz w:val="24"/>
          <w:szCs w:val="24"/>
        </w:rPr>
        <w:t xml:space="preserve">to </w:t>
      </w:r>
      <w:r w:rsidRPr="009D62FB">
        <w:rPr>
          <w:sz w:val="24"/>
          <w:szCs w:val="24"/>
        </w:rPr>
        <w:t xml:space="preserve">core knowledge and </w:t>
      </w:r>
      <w:r w:rsidR="00387E2F">
        <w:rPr>
          <w:sz w:val="24"/>
          <w:szCs w:val="24"/>
        </w:rPr>
        <w:t>warrants recognition</w:t>
      </w:r>
      <w:r w:rsidRPr="009D62FB">
        <w:rPr>
          <w:sz w:val="24"/>
          <w:szCs w:val="24"/>
        </w:rPr>
        <w:t xml:space="preserve">. The evidence from my </w:t>
      </w:r>
      <w:r w:rsidR="00F725D2">
        <w:rPr>
          <w:sz w:val="24"/>
          <w:szCs w:val="24"/>
        </w:rPr>
        <w:t>interviews</w:t>
      </w:r>
      <w:r w:rsidRPr="009D62FB">
        <w:rPr>
          <w:sz w:val="24"/>
          <w:szCs w:val="24"/>
        </w:rPr>
        <w:t xml:space="preserve"> showed that students deemed </w:t>
      </w:r>
      <w:r w:rsidR="00B4261B">
        <w:rPr>
          <w:sz w:val="24"/>
          <w:szCs w:val="24"/>
        </w:rPr>
        <w:t>‘</w:t>
      </w:r>
      <w:r w:rsidRPr="009D62FB">
        <w:rPr>
          <w:sz w:val="24"/>
          <w:szCs w:val="24"/>
        </w:rPr>
        <w:t>not capable</w:t>
      </w:r>
      <w:r w:rsidR="00B4261B">
        <w:rPr>
          <w:sz w:val="24"/>
          <w:szCs w:val="24"/>
        </w:rPr>
        <w:t>’</w:t>
      </w:r>
      <w:r w:rsidRPr="009D62FB">
        <w:rPr>
          <w:sz w:val="24"/>
          <w:szCs w:val="24"/>
        </w:rPr>
        <w:t xml:space="preserve"> of achieving a grade C were directed away from </w:t>
      </w:r>
      <w:r w:rsidR="00387E2F">
        <w:rPr>
          <w:sz w:val="24"/>
          <w:szCs w:val="24"/>
        </w:rPr>
        <w:t>EBac subjects</w:t>
      </w:r>
      <w:r w:rsidR="001F343C">
        <w:rPr>
          <w:sz w:val="24"/>
          <w:szCs w:val="24"/>
        </w:rPr>
        <w:t xml:space="preserve">. This </w:t>
      </w:r>
      <w:r w:rsidRPr="009D62FB">
        <w:rPr>
          <w:sz w:val="24"/>
          <w:szCs w:val="24"/>
        </w:rPr>
        <w:t>appear</w:t>
      </w:r>
      <w:r w:rsidR="001F343C">
        <w:rPr>
          <w:sz w:val="24"/>
          <w:szCs w:val="24"/>
        </w:rPr>
        <w:t>s</w:t>
      </w:r>
      <w:r w:rsidRPr="009D62FB">
        <w:rPr>
          <w:sz w:val="24"/>
          <w:szCs w:val="24"/>
        </w:rPr>
        <w:t xml:space="preserve"> to </w:t>
      </w:r>
      <w:r w:rsidR="001F343C">
        <w:rPr>
          <w:sz w:val="24"/>
          <w:szCs w:val="24"/>
        </w:rPr>
        <w:t xml:space="preserve">contradict </w:t>
      </w:r>
      <w:r w:rsidRPr="009D62FB">
        <w:rPr>
          <w:sz w:val="24"/>
          <w:szCs w:val="24"/>
        </w:rPr>
        <w:t xml:space="preserve">the policy of </w:t>
      </w:r>
      <w:r w:rsidR="001F343C">
        <w:rPr>
          <w:sz w:val="24"/>
          <w:szCs w:val="24"/>
        </w:rPr>
        <w:t xml:space="preserve">giving </w:t>
      </w:r>
      <w:r w:rsidR="00AD012F">
        <w:rPr>
          <w:sz w:val="24"/>
          <w:szCs w:val="24"/>
        </w:rPr>
        <w:t xml:space="preserve">all </w:t>
      </w:r>
      <w:r w:rsidRPr="009D62FB">
        <w:rPr>
          <w:sz w:val="24"/>
          <w:szCs w:val="24"/>
        </w:rPr>
        <w:t xml:space="preserve">students access </w:t>
      </w:r>
      <w:r w:rsidR="001F343C">
        <w:rPr>
          <w:sz w:val="24"/>
          <w:szCs w:val="24"/>
        </w:rPr>
        <w:t xml:space="preserve">to </w:t>
      </w:r>
      <w:r w:rsidRPr="009D62FB">
        <w:rPr>
          <w:sz w:val="24"/>
          <w:szCs w:val="24"/>
        </w:rPr>
        <w:t>core knowledge and skills. I recommend that that the EBac performance measure is divided into two</w:t>
      </w:r>
      <w:r w:rsidR="00AD012F">
        <w:rPr>
          <w:sz w:val="24"/>
          <w:szCs w:val="24"/>
        </w:rPr>
        <w:t xml:space="preserve"> sets</w:t>
      </w:r>
      <w:r w:rsidRPr="009D62FB">
        <w:rPr>
          <w:sz w:val="24"/>
          <w:szCs w:val="24"/>
        </w:rPr>
        <w:t xml:space="preserve">, </w:t>
      </w:r>
      <w:r w:rsidR="00AD012F">
        <w:rPr>
          <w:sz w:val="24"/>
          <w:szCs w:val="24"/>
        </w:rPr>
        <w:t xml:space="preserve">for </w:t>
      </w:r>
      <w:r w:rsidRPr="009D62FB">
        <w:rPr>
          <w:sz w:val="24"/>
          <w:szCs w:val="24"/>
        </w:rPr>
        <w:t>EBac A*-G and EBac A*-C. In this way,</w:t>
      </w:r>
      <w:r w:rsidR="00F725D2">
        <w:rPr>
          <w:sz w:val="24"/>
          <w:szCs w:val="24"/>
        </w:rPr>
        <w:t xml:space="preserve"> </w:t>
      </w:r>
      <w:r w:rsidR="00B74C41" w:rsidRPr="0018035B">
        <w:rPr>
          <w:i/>
          <w:sz w:val="24"/>
        </w:rPr>
        <w:t>every</w:t>
      </w:r>
      <w:r w:rsidR="00B74C41">
        <w:rPr>
          <w:sz w:val="24"/>
          <w:szCs w:val="24"/>
        </w:rPr>
        <w:t xml:space="preserve"> </w:t>
      </w:r>
      <w:r w:rsidRPr="009D62FB">
        <w:rPr>
          <w:sz w:val="24"/>
          <w:szCs w:val="24"/>
        </w:rPr>
        <w:t xml:space="preserve">student who embarks on the EBac is acknowledged and counted within school performance tables. It may be that this recommendation is addressed wholly </w:t>
      </w:r>
      <w:r w:rsidR="004B4A02">
        <w:rPr>
          <w:sz w:val="24"/>
          <w:szCs w:val="24"/>
        </w:rPr>
        <w:t xml:space="preserve">or partially by the move to </w:t>
      </w:r>
      <w:r w:rsidR="005A2318">
        <w:rPr>
          <w:sz w:val="24"/>
          <w:szCs w:val="24"/>
        </w:rPr>
        <w:t>Progress</w:t>
      </w:r>
      <w:r w:rsidR="004B4A02">
        <w:rPr>
          <w:sz w:val="24"/>
          <w:szCs w:val="24"/>
        </w:rPr>
        <w:t xml:space="preserve"> and Attainment 8 performance m</w:t>
      </w:r>
      <w:r w:rsidRPr="009D62FB">
        <w:rPr>
          <w:sz w:val="24"/>
          <w:szCs w:val="24"/>
        </w:rPr>
        <w:t>easure</w:t>
      </w:r>
      <w:r w:rsidR="004B4A02">
        <w:rPr>
          <w:rStyle w:val="FootnoteReference"/>
          <w:sz w:val="24"/>
          <w:szCs w:val="24"/>
        </w:rPr>
        <w:footnoteReference w:id="45"/>
      </w:r>
      <w:r w:rsidR="00AD012F">
        <w:rPr>
          <w:sz w:val="24"/>
          <w:szCs w:val="24"/>
        </w:rPr>
        <w:t>,</w:t>
      </w:r>
      <w:r w:rsidR="00010CD6">
        <w:rPr>
          <w:sz w:val="24"/>
          <w:szCs w:val="24"/>
        </w:rPr>
        <w:t xml:space="preserve"> </w:t>
      </w:r>
      <w:r w:rsidRPr="009D62FB">
        <w:rPr>
          <w:sz w:val="24"/>
          <w:szCs w:val="24"/>
        </w:rPr>
        <w:t xml:space="preserve">where any achievement in </w:t>
      </w:r>
      <w:r w:rsidR="00B4261B">
        <w:rPr>
          <w:sz w:val="24"/>
          <w:szCs w:val="24"/>
        </w:rPr>
        <w:t xml:space="preserve">any </w:t>
      </w:r>
      <w:r w:rsidRPr="009D62FB">
        <w:rPr>
          <w:sz w:val="24"/>
          <w:szCs w:val="24"/>
        </w:rPr>
        <w:t>three EBac subjects is</w:t>
      </w:r>
      <w:r w:rsidR="00336AC6">
        <w:rPr>
          <w:sz w:val="24"/>
          <w:szCs w:val="24"/>
        </w:rPr>
        <w:t xml:space="preserve"> recognised</w:t>
      </w:r>
      <w:r w:rsidR="00033A18">
        <w:rPr>
          <w:sz w:val="24"/>
          <w:szCs w:val="24"/>
        </w:rPr>
        <w:t>,</w:t>
      </w:r>
      <w:r w:rsidR="00336AC6">
        <w:rPr>
          <w:sz w:val="24"/>
          <w:szCs w:val="24"/>
        </w:rPr>
        <w:t xml:space="preserve"> </w:t>
      </w:r>
      <w:r w:rsidRPr="009D62FB">
        <w:rPr>
          <w:sz w:val="24"/>
          <w:szCs w:val="24"/>
        </w:rPr>
        <w:t xml:space="preserve">or it may be that a </w:t>
      </w:r>
      <w:r w:rsidR="00707B3C">
        <w:rPr>
          <w:sz w:val="24"/>
          <w:szCs w:val="24"/>
        </w:rPr>
        <w:t xml:space="preserve">different kind of </w:t>
      </w:r>
      <w:r w:rsidRPr="009D62FB">
        <w:rPr>
          <w:sz w:val="24"/>
          <w:szCs w:val="24"/>
        </w:rPr>
        <w:t>filtering device is adopted by teachers and schools to try to maximise achievement on this measure irrespective of the underpinning desire to increase access to particular subjects.</w:t>
      </w:r>
    </w:p>
    <w:p w14:paraId="2D474BA5" w14:textId="77777777" w:rsidR="00B6050F" w:rsidRPr="007D6082" w:rsidRDefault="00B6050F" w:rsidP="00B6050F">
      <w:pPr>
        <w:spacing w:after="0" w:line="360" w:lineRule="auto"/>
        <w:rPr>
          <w:sz w:val="24"/>
          <w:szCs w:val="24"/>
        </w:rPr>
      </w:pPr>
    </w:p>
    <w:p w14:paraId="2C11FC99" w14:textId="39EFED7D" w:rsidR="00EF348C" w:rsidRPr="007D6082" w:rsidRDefault="001F343C" w:rsidP="00B6050F">
      <w:pPr>
        <w:spacing w:after="0" w:line="360" w:lineRule="auto"/>
        <w:rPr>
          <w:sz w:val="24"/>
          <w:szCs w:val="24"/>
        </w:rPr>
      </w:pPr>
      <w:r>
        <w:rPr>
          <w:sz w:val="24"/>
          <w:szCs w:val="24"/>
        </w:rPr>
        <w:t xml:space="preserve">I </w:t>
      </w:r>
      <w:r w:rsidR="00EF348C" w:rsidRPr="009D62FB">
        <w:rPr>
          <w:sz w:val="24"/>
          <w:szCs w:val="24"/>
        </w:rPr>
        <w:t>recommend</w:t>
      </w:r>
      <w:r>
        <w:rPr>
          <w:sz w:val="24"/>
          <w:szCs w:val="24"/>
        </w:rPr>
        <w:t xml:space="preserve"> </w:t>
      </w:r>
      <w:r w:rsidR="007D0662">
        <w:rPr>
          <w:sz w:val="24"/>
          <w:szCs w:val="24"/>
        </w:rPr>
        <w:t>secondly</w:t>
      </w:r>
      <w:r>
        <w:rPr>
          <w:sz w:val="24"/>
          <w:szCs w:val="24"/>
        </w:rPr>
        <w:t xml:space="preserve"> that </w:t>
      </w:r>
      <w:r w:rsidR="00010CD6">
        <w:rPr>
          <w:sz w:val="24"/>
          <w:szCs w:val="24"/>
        </w:rPr>
        <w:t>the</w:t>
      </w:r>
      <w:r>
        <w:rPr>
          <w:sz w:val="24"/>
          <w:szCs w:val="24"/>
        </w:rPr>
        <w:t xml:space="preserve"> </w:t>
      </w:r>
      <w:r w:rsidR="007D0662">
        <w:rPr>
          <w:sz w:val="24"/>
          <w:szCs w:val="24"/>
        </w:rPr>
        <w:t>g</w:t>
      </w:r>
      <w:r>
        <w:rPr>
          <w:sz w:val="24"/>
          <w:szCs w:val="24"/>
        </w:rPr>
        <w:t xml:space="preserve">overnment </w:t>
      </w:r>
      <w:r w:rsidR="00EF348C" w:rsidRPr="009D62FB">
        <w:rPr>
          <w:sz w:val="24"/>
          <w:szCs w:val="24"/>
        </w:rPr>
        <w:t>consider</w:t>
      </w:r>
      <w:r>
        <w:rPr>
          <w:sz w:val="24"/>
          <w:szCs w:val="24"/>
        </w:rPr>
        <w:t>s</w:t>
      </w:r>
      <w:r w:rsidR="00EF348C" w:rsidRPr="009D62FB">
        <w:rPr>
          <w:sz w:val="24"/>
          <w:szCs w:val="24"/>
        </w:rPr>
        <w:t xml:space="preserve"> the impact </w:t>
      </w:r>
      <w:r w:rsidR="00E44A57">
        <w:rPr>
          <w:sz w:val="24"/>
          <w:szCs w:val="24"/>
        </w:rPr>
        <w:t xml:space="preserve">on schools, teachers and future recruitment of subject specialists </w:t>
      </w:r>
      <w:r w:rsidR="00EF348C" w:rsidRPr="009D62FB">
        <w:rPr>
          <w:sz w:val="24"/>
          <w:szCs w:val="24"/>
        </w:rPr>
        <w:t>of creating an additional hierarchy of academic subjects within the school curriculum</w:t>
      </w:r>
      <w:r w:rsidR="00E44A57">
        <w:rPr>
          <w:sz w:val="24"/>
          <w:szCs w:val="24"/>
        </w:rPr>
        <w:t xml:space="preserve"> (currently in state schools</w:t>
      </w:r>
      <w:r w:rsidR="00092CA6">
        <w:rPr>
          <w:sz w:val="24"/>
          <w:szCs w:val="24"/>
        </w:rPr>
        <w:t>,</w:t>
      </w:r>
      <w:r w:rsidR="00E44A57">
        <w:rPr>
          <w:sz w:val="24"/>
          <w:szCs w:val="24"/>
        </w:rPr>
        <w:t xml:space="preserve"> Math</w:t>
      </w:r>
      <w:r w:rsidR="007D0662">
        <w:rPr>
          <w:sz w:val="24"/>
          <w:szCs w:val="24"/>
        </w:rPr>
        <w:t>ematics</w:t>
      </w:r>
      <w:r w:rsidR="00E44A57">
        <w:rPr>
          <w:sz w:val="24"/>
          <w:szCs w:val="24"/>
        </w:rPr>
        <w:t xml:space="preserve"> and English are considered the most important subjects up to the age of </w:t>
      </w:r>
      <w:r w:rsidR="00537065">
        <w:rPr>
          <w:sz w:val="24"/>
          <w:szCs w:val="24"/>
        </w:rPr>
        <w:t xml:space="preserve">16 </w:t>
      </w:r>
      <w:r w:rsidR="00E44A57">
        <w:rPr>
          <w:sz w:val="24"/>
          <w:szCs w:val="24"/>
        </w:rPr>
        <w:t>a</w:t>
      </w:r>
      <w:r w:rsidR="00E308F5">
        <w:rPr>
          <w:sz w:val="24"/>
          <w:szCs w:val="24"/>
        </w:rPr>
        <w:t>nd</w:t>
      </w:r>
      <w:r w:rsidR="00E44A57">
        <w:rPr>
          <w:sz w:val="24"/>
          <w:szCs w:val="24"/>
        </w:rPr>
        <w:t xml:space="preserve"> the performance tables are heavily skewed towards these subjects</w:t>
      </w:r>
      <w:r w:rsidR="00AE23B0">
        <w:rPr>
          <w:sz w:val="24"/>
          <w:szCs w:val="24"/>
        </w:rPr>
        <w:t>)</w:t>
      </w:r>
      <w:r w:rsidR="00537065">
        <w:rPr>
          <w:rStyle w:val="FootnoteReference"/>
          <w:sz w:val="24"/>
          <w:szCs w:val="24"/>
        </w:rPr>
        <w:footnoteReference w:id="46"/>
      </w:r>
      <w:r w:rsidR="00AE23B0">
        <w:rPr>
          <w:sz w:val="24"/>
          <w:szCs w:val="24"/>
        </w:rPr>
        <w:t xml:space="preserve">. </w:t>
      </w:r>
      <w:r w:rsidR="000F47E7">
        <w:rPr>
          <w:sz w:val="24"/>
          <w:szCs w:val="24"/>
        </w:rPr>
        <w:t>S</w:t>
      </w:r>
      <w:r w:rsidR="00EF348C" w:rsidRPr="009D62FB">
        <w:rPr>
          <w:sz w:val="24"/>
          <w:szCs w:val="24"/>
        </w:rPr>
        <w:t xml:space="preserve">uch </w:t>
      </w:r>
      <w:r w:rsidR="00336AC6" w:rsidRPr="009D62FB">
        <w:rPr>
          <w:sz w:val="24"/>
          <w:szCs w:val="24"/>
        </w:rPr>
        <w:t>a</w:t>
      </w:r>
      <w:r w:rsidR="00EF348C" w:rsidRPr="009D62FB">
        <w:rPr>
          <w:sz w:val="24"/>
          <w:szCs w:val="24"/>
        </w:rPr>
        <w:t xml:space="preserve"> </w:t>
      </w:r>
      <w:r w:rsidR="00E84F2D">
        <w:rPr>
          <w:sz w:val="24"/>
          <w:szCs w:val="24"/>
        </w:rPr>
        <w:t>hierarchy</w:t>
      </w:r>
      <w:r w:rsidR="00336AC6">
        <w:rPr>
          <w:sz w:val="24"/>
          <w:szCs w:val="24"/>
        </w:rPr>
        <w:t xml:space="preserve"> </w:t>
      </w:r>
      <w:r w:rsidR="00A16072">
        <w:rPr>
          <w:sz w:val="24"/>
          <w:szCs w:val="24"/>
        </w:rPr>
        <w:t>is</w:t>
      </w:r>
      <w:r w:rsidR="00EF348C" w:rsidRPr="009D62FB">
        <w:rPr>
          <w:sz w:val="24"/>
          <w:szCs w:val="24"/>
        </w:rPr>
        <w:t xml:space="preserve"> </w:t>
      </w:r>
      <w:r w:rsidR="000F47E7">
        <w:rPr>
          <w:sz w:val="24"/>
          <w:szCs w:val="24"/>
        </w:rPr>
        <w:t>un</w:t>
      </w:r>
      <w:r w:rsidR="00EF348C" w:rsidRPr="009D62FB">
        <w:rPr>
          <w:sz w:val="24"/>
          <w:szCs w:val="24"/>
        </w:rPr>
        <w:t>support</w:t>
      </w:r>
      <w:r w:rsidR="00A16072">
        <w:rPr>
          <w:sz w:val="24"/>
          <w:szCs w:val="24"/>
        </w:rPr>
        <w:t>ive of</w:t>
      </w:r>
      <w:r w:rsidR="00EF348C" w:rsidRPr="009D62FB">
        <w:rPr>
          <w:sz w:val="24"/>
          <w:szCs w:val="24"/>
        </w:rPr>
        <w:t xml:space="preserve"> the desire to enhance</w:t>
      </w:r>
      <w:r w:rsidR="00AE23B0">
        <w:rPr>
          <w:sz w:val="24"/>
          <w:szCs w:val="24"/>
        </w:rPr>
        <w:t xml:space="preserve"> the</w:t>
      </w:r>
      <w:r w:rsidR="00EF348C" w:rsidRPr="009D62FB">
        <w:rPr>
          <w:sz w:val="24"/>
          <w:szCs w:val="24"/>
        </w:rPr>
        <w:t xml:space="preserve"> achievement of all students and to allow them access to high</w:t>
      </w:r>
      <w:r w:rsidR="00AE23B0">
        <w:rPr>
          <w:sz w:val="24"/>
          <w:szCs w:val="24"/>
        </w:rPr>
        <w:t>-</w:t>
      </w:r>
      <w:r w:rsidR="00EF348C" w:rsidRPr="009D62FB">
        <w:rPr>
          <w:sz w:val="24"/>
          <w:szCs w:val="24"/>
        </w:rPr>
        <w:t>status progression routes</w:t>
      </w:r>
      <w:r w:rsidR="00A16072">
        <w:rPr>
          <w:sz w:val="24"/>
          <w:szCs w:val="24"/>
        </w:rPr>
        <w:t>.</w:t>
      </w:r>
      <w:r w:rsidR="00EF348C" w:rsidRPr="009D62FB">
        <w:rPr>
          <w:sz w:val="24"/>
          <w:szCs w:val="24"/>
        </w:rPr>
        <w:t xml:space="preserve"> </w:t>
      </w:r>
      <w:r w:rsidR="00A16072">
        <w:rPr>
          <w:sz w:val="24"/>
          <w:szCs w:val="24"/>
        </w:rPr>
        <w:t xml:space="preserve">The EBac has </w:t>
      </w:r>
      <w:r w:rsidR="00EF348C" w:rsidRPr="009D62FB">
        <w:rPr>
          <w:sz w:val="24"/>
          <w:szCs w:val="24"/>
        </w:rPr>
        <w:t>create</w:t>
      </w:r>
      <w:r w:rsidR="00A16072">
        <w:rPr>
          <w:sz w:val="24"/>
          <w:szCs w:val="24"/>
        </w:rPr>
        <w:t>d</w:t>
      </w:r>
      <w:r w:rsidR="00EF348C" w:rsidRPr="009D62FB">
        <w:rPr>
          <w:sz w:val="24"/>
          <w:szCs w:val="24"/>
        </w:rPr>
        <w:t xml:space="preserve"> a</w:t>
      </w:r>
      <w:r w:rsidR="006F746A">
        <w:rPr>
          <w:sz w:val="24"/>
          <w:szCs w:val="24"/>
        </w:rPr>
        <w:t xml:space="preserve"> divisive labelling process</w:t>
      </w:r>
      <w:r w:rsidR="00AE23B0">
        <w:rPr>
          <w:sz w:val="24"/>
          <w:szCs w:val="24"/>
        </w:rPr>
        <w:t>,</w:t>
      </w:r>
      <w:r w:rsidR="00EF348C" w:rsidRPr="009D62FB">
        <w:rPr>
          <w:sz w:val="24"/>
          <w:szCs w:val="24"/>
        </w:rPr>
        <w:t xml:space="preserve"> as some students realise that they have chosen or been filtered out from </w:t>
      </w:r>
      <w:r w:rsidR="00E84F2D">
        <w:rPr>
          <w:sz w:val="24"/>
          <w:szCs w:val="24"/>
        </w:rPr>
        <w:t xml:space="preserve">studying </w:t>
      </w:r>
      <w:r w:rsidR="00EF348C" w:rsidRPr="009D62FB">
        <w:rPr>
          <w:sz w:val="24"/>
          <w:szCs w:val="24"/>
        </w:rPr>
        <w:t>high</w:t>
      </w:r>
      <w:r w:rsidR="00AE23B0">
        <w:rPr>
          <w:sz w:val="24"/>
          <w:szCs w:val="24"/>
        </w:rPr>
        <w:t>-</w:t>
      </w:r>
      <w:r w:rsidR="00EF348C" w:rsidRPr="009D62FB">
        <w:rPr>
          <w:sz w:val="24"/>
          <w:szCs w:val="24"/>
        </w:rPr>
        <w:t>status subjects</w:t>
      </w:r>
      <w:r w:rsidR="00A16072">
        <w:rPr>
          <w:sz w:val="24"/>
          <w:szCs w:val="24"/>
        </w:rPr>
        <w:t>.</w:t>
      </w:r>
      <w:r w:rsidR="00EF348C" w:rsidRPr="009D62FB">
        <w:rPr>
          <w:sz w:val="24"/>
          <w:szCs w:val="24"/>
        </w:rPr>
        <w:t xml:space="preserve"> Subject associations for non</w:t>
      </w:r>
      <w:r w:rsidR="00D21D50">
        <w:rPr>
          <w:sz w:val="24"/>
          <w:szCs w:val="24"/>
        </w:rPr>
        <w:t>-</w:t>
      </w:r>
      <w:r w:rsidR="00EF348C" w:rsidRPr="009D62FB">
        <w:rPr>
          <w:sz w:val="24"/>
          <w:szCs w:val="24"/>
        </w:rPr>
        <w:t xml:space="preserve">EBac subjects such as </w:t>
      </w:r>
      <w:r w:rsidR="003D6D7D">
        <w:rPr>
          <w:sz w:val="24"/>
          <w:szCs w:val="24"/>
        </w:rPr>
        <w:t>D</w:t>
      </w:r>
      <w:r w:rsidR="00EF348C" w:rsidRPr="009D62FB">
        <w:rPr>
          <w:sz w:val="24"/>
          <w:szCs w:val="24"/>
        </w:rPr>
        <w:t>esign</w:t>
      </w:r>
      <w:r w:rsidR="00AE23B0">
        <w:rPr>
          <w:sz w:val="24"/>
          <w:szCs w:val="24"/>
        </w:rPr>
        <w:t xml:space="preserve"> and</w:t>
      </w:r>
      <w:r w:rsidR="00EF348C" w:rsidRPr="009D62FB">
        <w:rPr>
          <w:sz w:val="24"/>
          <w:szCs w:val="24"/>
        </w:rPr>
        <w:t xml:space="preserve"> </w:t>
      </w:r>
      <w:r w:rsidR="003D6D7D">
        <w:rPr>
          <w:sz w:val="24"/>
          <w:szCs w:val="24"/>
        </w:rPr>
        <w:t>T</w:t>
      </w:r>
      <w:r w:rsidR="00EF348C" w:rsidRPr="009D62FB">
        <w:rPr>
          <w:sz w:val="24"/>
          <w:szCs w:val="24"/>
        </w:rPr>
        <w:t xml:space="preserve">echnology, </w:t>
      </w:r>
      <w:r w:rsidR="003D6D7D">
        <w:rPr>
          <w:sz w:val="24"/>
          <w:szCs w:val="24"/>
        </w:rPr>
        <w:t>R</w:t>
      </w:r>
      <w:r w:rsidR="00EF348C" w:rsidRPr="009D62FB">
        <w:rPr>
          <w:sz w:val="24"/>
          <w:szCs w:val="24"/>
        </w:rPr>
        <w:t xml:space="preserve">eligious </w:t>
      </w:r>
      <w:r w:rsidR="003D6D7D">
        <w:rPr>
          <w:sz w:val="24"/>
          <w:szCs w:val="24"/>
        </w:rPr>
        <w:t>S</w:t>
      </w:r>
      <w:r w:rsidR="00EF348C" w:rsidRPr="009D62FB">
        <w:rPr>
          <w:sz w:val="24"/>
          <w:szCs w:val="24"/>
        </w:rPr>
        <w:t xml:space="preserve">tudies, </w:t>
      </w:r>
      <w:r w:rsidR="003D6D7D">
        <w:rPr>
          <w:sz w:val="24"/>
          <w:szCs w:val="24"/>
        </w:rPr>
        <w:t>M</w:t>
      </w:r>
      <w:r w:rsidR="00EF348C" w:rsidRPr="009D62FB">
        <w:rPr>
          <w:sz w:val="24"/>
          <w:szCs w:val="24"/>
        </w:rPr>
        <w:t>usic</w:t>
      </w:r>
      <w:r w:rsidR="00AE23B0">
        <w:rPr>
          <w:sz w:val="24"/>
          <w:szCs w:val="24"/>
        </w:rPr>
        <w:t>,</w:t>
      </w:r>
      <w:r w:rsidR="00EF348C" w:rsidRPr="009D62FB">
        <w:rPr>
          <w:sz w:val="24"/>
          <w:szCs w:val="24"/>
        </w:rPr>
        <w:t xml:space="preserve"> and </w:t>
      </w:r>
      <w:r w:rsidR="003D6D7D">
        <w:rPr>
          <w:sz w:val="24"/>
          <w:szCs w:val="24"/>
        </w:rPr>
        <w:t>D</w:t>
      </w:r>
      <w:r w:rsidR="00EF348C" w:rsidRPr="009D62FB">
        <w:rPr>
          <w:sz w:val="24"/>
          <w:szCs w:val="24"/>
        </w:rPr>
        <w:t xml:space="preserve">rama have been very </w:t>
      </w:r>
      <w:r w:rsidR="000F47E7">
        <w:rPr>
          <w:sz w:val="24"/>
          <w:szCs w:val="24"/>
        </w:rPr>
        <w:t xml:space="preserve">critical </w:t>
      </w:r>
      <w:r w:rsidR="00EF348C" w:rsidRPr="009D62FB">
        <w:rPr>
          <w:sz w:val="24"/>
          <w:szCs w:val="24"/>
        </w:rPr>
        <w:t>at being excluded from the EBac</w:t>
      </w:r>
      <w:r w:rsidR="000F47E7">
        <w:rPr>
          <w:sz w:val="24"/>
          <w:szCs w:val="24"/>
        </w:rPr>
        <w:t xml:space="preserve">, </w:t>
      </w:r>
      <w:r w:rsidR="00EF348C" w:rsidRPr="009D62FB">
        <w:rPr>
          <w:sz w:val="24"/>
          <w:szCs w:val="24"/>
        </w:rPr>
        <w:t>draw</w:t>
      </w:r>
      <w:r w:rsidR="000F47E7">
        <w:rPr>
          <w:sz w:val="24"/>
          <w:szCs w:val="24"/>
        </w:rPr>
        <w:t>ing</w:t>
      </w:r>
      <w:r w:rsidR="00EF348C" w:rsidRPr="009D62FB">
        <w:rPr>
          <w:sz w:val="24"/>
          <w:szCs w:val="24"/>
        </w:rPr>
        <w:t xml:space="preserve"> attention to the declining number of students opting for these subjects at GCSE</w:t>
      </w:r>
      <w:r w:rsidR="00D5540F">
        <w:rPr>
          <w:sz w:val="24"/>
          <w:szCs w:val="24"/>
        </w:rPr>
        <w:t xml:space="preserve"> (Religious Education Council</w:t>
      </w:r>
      <w:r w:rsidR="00AE23B0">
        <w:rPr>
          <w:sz w:val="24"/>
          <w:szCs w:val="24"/>
        </w:rPr>
        <w:t>,</w:t>
      </w:r>
      <w:r w:rsidR="00D5540F">
        <w:rPr>
          <w:sz w:val="24"/>
          <w:szCs w:val="24"/>
        </w:rPr>
        <w:t xml:space="preserve"> 2011</w:t>
      </w:r>
      <w:r w:rsidR="00536C8C">
        <w:rPr>
          <w:sz w:val="24"/>
          <w:szCs w:val="24"/>
        </w:rPr>
        <w:t>)</w:t>
      </w:r>
      <w:r w:rsidR="00EF348C" w:rsidRPr="009D62FB">
        <w:rPr>
          <w:sz w:val="24"/>
          <w:szCs w:val="24"/>
        </w:rPr>
        <w:t xml:space="preserve">. </w:t>
      </w:r>
    </w:p>
    <w:p w14:paraId="4914458F" w14:textId="052B1EB3" w:rsidR="00EF348C" w:rsidRDefault="007D0662" w:rsidP="00B6050F">
      <w:pPr>
        <w:tabs>
          <w:tab w:val="left" w:pos="8647"/>
        </w:tabs>
        <w:spacing w:after="0" w:line="360" w:lineRule="auto"/>
        <w:rPr>
          <w:sz w:val="24"/>
          <w:szCs w:val="24"/>
        </w:rPr>
      </w:pPr>
      <w:r>
        <w:rPr>
          <w:sz w:val="24"/>
          <w:szCs w:val="24"/>
        </w:rPr>
        <w:lastRenderedPageBreak/>
        <w:t>Third</w:t>
      </w:r>
      <w:r w:rsidR="000F47E7">
        <w:rPr>
          <w:sz w:val="24"/>
          <w:szCs w:val="24"/>
        </w:rPr>
        <w:t xml:space="preserve">, </w:t>
      </w:r>
      <w:r w:rsidR="00536C8C">
        <w:rPr>
          <w:sz w:val="24"/>
          <w:szCs w:val="24"/>
        </w:rPr>
        <w:t xml:space="preserve">politicians and educationalists </w:t>
      </w:r>
      <w:r w:rsidR="000F47E7">
        <w:rPr>
          <w:sz w:val="24"/>
          <w:szCs w:val="24"/>
        </w:rPr>
        <w:t>should</w:t>
      </w:r>
      <w:r w:rsidR="00EF348C" w:rsidRPr="009D62FB">
        <w:rPr>
          <w:sz w:val="24"/>
          <w:szCs w:val="24"/>
        </w:rPr>
        <w:t xml:space="preserve"> engage in a wider debate about </w:t>
      </w:r>
      <w:r w:rsidR="00010CD6">
        <w:rPr>
          <w:sz w:val="24"/>
          <w:szCs w:val="24"/>
        </w:rPr>
        <w:t>different progression routes</w:t>
      </w:r>
      <w:r w:rsidR="00010CD6" w:rsidRPr="009D62FB">
        <w:rPr>
          <w:sz w:val="24"/>
          <w:szCs w:val="24"/>
        </w:rPr>
        <w:t xml:space="preserve"> </w:t>
      </w:r>
      <w:r w:rsidR="00010CD6">
        <w:rPr>
          <w:sz w:val="24"/>
          <w:szCs w:val="24"/>
        </w:rPr>
        <w:t xml:space="preserve">and </w:t>
      </w:r>
      <w:r w:rsidR="00EF348C" w:rsidRPr="009D62FB">
        <w:rPr>
          <w:sz w:val="24"/>
          <w:szCs w:val="24"/>
        </w:rPr>
        <w:t xml:space="preserve">the </w:t>
      </w:r>
      <w:r w:rsidR="00707B3C">
        <w:rPr>
          <w:sz w:val="24"/>
          <w:szCs w:val="24"/>
        </w:rPr>
        <w:t xml:space="preserve">value of </w:t>
      </w:r>
      <w:r w:rsidR="00E84F2D">
        <w:rPr>
          <w:sz w:val="24"/>
          <w:szCs w:val="24"/>
        </w:rPr>
        <w:t>the</w:t>
      </w:r>
      <w:r w:rsidR="00010CD6">
        <w:rPr>
          <w:sz w:val="24"/>
          <w:szCs w:val="24"/>
        </w:rPr>
        <w:t>m</w:t>
      </w:r>
      <w:r w:rsidR="00E84F2D">
        <w:rPr>
          <w:sz w:val="24"/>
          <w:szCs w:val="24"/>
        </w:rPr>
        <w:t xml:space="preserve"> </w:t>
      </w:r>
      <w:r w:rsidR="00A16072">
        <w:rPr>
          <w:sz w:val="24"/>
          <w:szCs w:val="24"/>
        </w:rPr>
        <w:t>for</w:t>
      </w:r>
      <w:r w:rsidR="00EF348C" w:rsidRPr="009D62FB">
        <w:rPr>
          <w:sz w:val="24"/>
          <w:szCs w:val="24"/>
        </w:rPr>
        <w:t xml:space="preserve"> different subjects and qualifications. </w:t>
      </w:r>
      <w:r w:rsidR="00707B3C">
        <w:rPr>
          <w:sz w:val="24"/>
          <w:szCs w:val="24"/>
        </w:rPr>
        <w:t>Under</w:t>
      </w:r>
      <w:r w:rsidR="008B5EDB">
        <w:rPr>
          <w:sz w:val="24"/>
          <w:szCs w:val="24"/>
        </w:rPr>
        <w:t xml:space="preserve"> </w:t>
      </w:r>
      <w:r w:rsidR="00707B3C">
        <w:rPr>
          <w:sz w:val="24"/>
          <w:szCs w:val="24"/>
        </w:rPr>
        <w:t xml:space="preserve">Labour, </w:t>
      </w:r>
      <w:r w:rsidR="00A16072">
        <w:rPr>
          <w:sz w:val="24"/>
          <w:szCs w:val="24"/>
        </w:rPr>
        <w:t>t</w:t>
      </w:r>
      <w:r w:rsidR="00EF348C" w:rsidRPr="009D62FB">
        <w:rPr>
          <w:sz w:val="24"/>
          <w:szCs w:val="24"/>
        </w:rPr>
        <w:t>he</w:t>
      </w:r>
      <w:r w:rsidR="00010CD6">
        <w:rPr>
          <w:sz w:val="24"/>
          <w:szCs w:val="24"/>
        </w:rPr>
        <w:t xml:space="preserve"> </w:t>
      </w:r>
      <w:r w:rsidR="00EF348C" w:rsidRPr="009D62FB">
        <w:rPr>
          <w:sz w:val="24"/>
          <w:szCs w:val="24"/>
        </w:rPr>
        <w:t xml:space="preserve">education system </w:t>
      </w:r>
      <w:r w:rsidR="003D6D7D">
        <w:rPr>
          <w:sz w:val="24"/>
          <w:szCs w:val="24"/>
        </w:rPr>
        <w:t xml:space="preserve">in England </w:t>
      </w:r>
      <w:r w:rsidR="00290740">
        <w:rPr>
          <w:sz w:val="24"/>
          <w:szCs w:val="24"/>
        </w:rPr>
        <w:t>was</w:t>
      </w:r>
      <w:r w:rsidR="00EF348C" w:rsidRPr="009D62FB">
        <w:rPr>
          <w:sz w:val="24"/>
          <w:szCs w:val="24"/>
        </w:rPr>
        <w:t xml:space="preserve"> encouraged to expand the range </w:t>
      </w:r>
      <w:r w:rsidR="00290740">
        <w:rPr>
          <w:sz w:val="24"/>
          <w:szCs w:val="24"/>
        </w:rPr>
        <w:t xml:space="preserve">and </w:t>
      </w:r>
      <w:r w:rsidR="00EF348C" w:rsidRPr="009D62FB">
        <w:rPr>
          <w:sz w:val="24"/>
          <w:szCs w:val="24"/>
        </w:rPr>
        <w:t>type of subjects and assessments</w:t>
      </w:r>
      <w:r w:rsidR="008B5EDB">
        <w:rPr>
          <w:sz w:val="24"/>
          <w:szCs w:val="24"/>
        </w:rPr>
        <w:t>,</w:t>
      </w:r>
      <w:r w:rsidR="00EF348C" w:rsidRPr="009D62FB">
        <w:rPr>
          <w:sz w:val="24"/>
          <w:szCs w:val="24"/>
        </w:rPr>
        <w:t xml:space="preserve"> which resulted in a confused and fractured system in which some students were faced with curriculum outcomes that ultimately left them with restrict</w:t>
      </w:r>
      <w:r w:rsidR="000F47E7">
        <w:rPr>
          <w:sz w:val="24"/>
          <w:szCs w:val="24"/>
        </w:rPr>
        <w:t>ed</w:t>
      </w:r>
      <w:r w:rsidR="00EF348C" w:rsidRPr="009D62FB">
        <w:rPr>
          <w:sz w:val="24"/>
          <w:szCs w:val="24"/>
        </w:rPr>
        <w:t xml:space="preserve"> or non-existent progression options</w:t>
      </w:r>
      <w:r w:rsidR="00536C8C">
        <w:rPr>
          <w:sz w:val="24"/>
          <w:szCs w:val="24"/>
        </w:rPr>
        <w:t xml:space="preserve"> (Wolf</w:t>
      </w:r>
      <w:r w:rsidR="00AE23B0">
        <w:rPr>
          <w:sz w:val="24"/>
          <w:szCs w:val="24"/>
        </w:rPr>
        <w:t>,</w:t>
      </w:r>
      <w:r w:rsidR="00536C8C">
        <w:rPr>
          <w:sz w:val="24"/>
          <w:szCs w:val="24"/>
        </w:rPr>
        <w:t xml:space="preserve"> 2011)</w:t>
      </w:r>
      <w:r w:rsidR="00A16072">
        <w:rPr>
          <w:sz w:val="24"/>
          <w:szCs w:val="24"/>
        </w:rPr>
        <w:t>.</w:t>
      </w:r>
      <w:r w:rsidR="00EF348C" w:rsidRPr="009D62FB">
        <w:rPr>
          <w:sz w:val="24"/>
          <w:szCs w:val="24"/>
        </w:rPr>
        <w:t xml:space="preserve"> The </w:t>
      </w:r>
      <w:r w:rsidR="00290740">
        <w:rPr>
          <w:sz w:val="24"/>
          <w:szCs w:val="24"/>
        </w:rPr>
        <w:t xml:space="preserve">attempt </w:t>
      </w:r>
      <w:r w:rsidR="00A16072">
        <w:rPr>
          <w:sz w:val="24"/>
          <w:szCs w:val="24"/>
        </w:rPr>
        <w:t>to eradicate all vocational qualifications and pathways</w:t>
      </w:r>
      <w:r w:rsidR="003D6D7D">
        <w:rPr>
          <w:sz w:val="24"/>
          <w:szCs w:val="24"/>
        </w:rPr>
        <w:t xml:space="preserve"> </w:t>
      </w:r>
      <w:r w:rsidR="00290740">
        <w:rPr>
          <w:sz w:val="24"/>
          <w:szCs w:val="24"/>
        </w:rPr>
        <w:t>within secondary schools</w:t>
      </w:r>
      <w:r w:rsidR="00022A57">
        <w:rPr>
          <w:sz w:val="24"/>
          <w:szCs w:val="24"/>
        </w:rPr>
        <w:t xml:space="preserve"> </w:t>
      </w:r>
      <w:r w:rsidR="000F47E7">
        <w:rPr>
          <w:sz w:val="24"/>
          <w:szCs w:val="24"/>
        </w:rPr>
        <w:t>continue</w:t>
      </w:r>
      <w:r w:rsidR="008B5EDB">
        <w:rPr>
          <w:sz w:val="24"/>
          <w:szCs w:val="24"/>
        </w:rPr>
        <w:t>s</w:t>
      </w:r>
      <w:r w:rsidR="000F47E7">
        <w:rPr>
          <w:sz w:val="24"/>
          <w:szCs w:val="24"/>
        </w:rPr>
        <w:t xml:space="preserve"> to </w:t>
      </w:r>
      <w:r w:rsidR="003D6D7D">
        <w:rPr>
          <w:sz w:val="24"/>
          <w:szCs w:val="24"/>
        </w:rPr>
        <w:t>disadvantage many students.</w:t>
      </w:r>
    </w:p>
    <w:p w14:paraId="32750B19" w14:textId="77777777" w:rsidR="00B6050F" w:rsidRPr="007D6082" w:rsidRDefault="00B6050F" w:rsidP="00B6050F">
      <w:pPr>
        <w:tabs>
          <w:tab w:val="left" w:pos="8647"/>
        </w:tabs>
        <w:spacing w:after="0" w:line="360" w:lineRule="auto"/>
        <w:rPr>
          <w:sz w:val="24"/>
          <w:szCs w:val="24"/>
        </w:rPr>
      </w:pPr>
    </w:p>
    <w:p w14:paraId="29BD5FD5" w14:textId="20779771" w:rsidR="00EF348C" w:rsidRDefault="00EF348C" w:rsidP="00B6050F">
      <w:pPr>
        <w:spacing w:after="0" w:line="360" w:lineRule="auto"/>
        <w:rPr>
          <w:sz w:val="24"/>
          <w:szCs w:val="24"/>
        </w:rPr>
      </w:pPr>
      <w:r w:rsidRPr="009D62FB">
        <w:rPr>
          <w:sz w:val="24"/>
          <w:szCs w:val="24"/>
        </w:rPr>
        <w:t xml:space="preserve">My </w:t>
      </w:r>
      <w:r w:rsidR="006F746A">
        <w:rPr>
          <w:sz w:val="24"/>
          <w:szCs w:val="24"/>
        </w:rPr>
        <w:t>f</w:t>
      </w:r>
      <w:r w:rsidR="007D0662">
        <w:rPr>
          <w:sz w:val="24"/>
          <w:szCs w:val="24"/>
        </w:rPr>
        <w:t>ourth</w:t>
      </w:r>
      <w:r w:rsidR="00A16072">
        <w:rPr>
          <w:sz w:val="24"/>
          <w:szCs w:val="24"/>
        </w:rPr>
        <w:t xml:space="preserve"> </w:t>
      </w:r>
      <w:r w:rsidRPr="009D62FB">
        <w:rPr>
          <w:sz w:val="24"/>
          <w:szCs w:val="24"/>
        </w:rPr>
        <w:t xml:space="preserve">recommendation </w:t>
      </w:r>
      <w:r w:rsidR="00E84F2D">
        <w:rPr>
          <w:sz w:val="24"/>
          <w:szCs w:val="24"/>
        </w:rPr>
        <w:t>concerns</w:t>
      </w:r>
      <w:r w:rsidR="00AE23B0">
        <w:rPr>
          <w:sz w:val="24"/>
          <w:szCs w:val="24"/>
        </w:rPr>
        <w:t xml:space="preserve"> the</w:t>
      </w:r>
      <w:r w:rsidR="00E84F2D">
        <w:rPr>
          <w:sz w:val="24"/>
          <w:szCs w:val="24"/>
        </w:rPr>
        <w:t xml:space="preserve"> </w:t>
      </w:r>
      <w:r w:rsidRPr="009D62FB">
        <w:rPr>
          <w:sz w:val="24"/>
          <w:szCs w:val="24"/>
        </w:rPr>
        <w:t xml:space="preserve">support needed by schools, particularly small or financially insecure schools, to offer a broad, high quality curriculum. </w:t>
      </w:r>
      <w:r w:rsidR="00536C8C">
        <w:rPr>
          <w:sz w:val="24"/>
          <w:szCs w:val="24"/>
        </w:rPr>
        <w:t xml:space="preserve">Small schools </w:t>
      </w:r>
      <w:r w:rsidR="000F47E7">
        <w:rPr>
          <w:sz w:val="24"/>
          <w:szCs w:val="24"/>
        </w:rPr>
        <w:t>cann</w:t>
      </w:r>
      <w:r w:rsidR="00B8035D">
        <w:rPr>
          <w:sz w:val="24"/>
          <w:szCs w:val="24"/>
        </w:rPr>
        <w:t>o</w:t>
      </w:r>
      <w:r w:rsidR="000F47E7">
        <w:rPr>
          <w:sz w:val="24"/>
          <w:szCs w:val="24"/>
        </w:rPr>
        <w:t>t resource</w:t>
      </w:r>
      <w:r w:rsidR="00536C8C">
        <w:rPr>
          <w:sz w:val="24"/>
          <w:szCs w:val="24"/>
        </w:rPr>
        <w:t xml:space="preserve"> a wide range of subjects and therefore are </w:t>
      </w:r>
      <w:r w:rsidRPr="009D62FB">
        <w:rPr>
          <w:sz w:val="24"/>
          <w:szCs w:val="24"/>
        </w:rPr>
        <w:t xml:space="preserve">less likely </w:t>
      </w:r>
      <w:r w:rsidR="00536C8C">
        <w:rPr>
          <w:sz w:val="24"/>
          <w:szCs w:val="24"/>
        </w:rPr>
        <w:t>to</w:t>
      </w:r>
      <w:r w:rsidRPr="009D62FB">
        <w:rPr>
          <w:sz w:val="24"/>
          <w:szCs w:val="24"/>
        </w:rPr>
        <w:t xml:space="preserve"> offer a curriculum t</w:t>
      </w:r>
      <w:r w:rsidR="00536C8C">
        <w:rPr>
          <w:sz w:val="24"/>
          <w:szCs w:val="24"/>
        </w:rPr>
        <w:t>hat</w:t>
      </w:r>
      <w:r w:rsidRPr="009D62FB">
        <w:rPr>
          <w:sz w:val="24"/>
          <w:szCs w:val="24"/>
        </w:rPr>
        <w:t xml:space="preserve"> meet the needs of all of their students, </w:t>
      </w:r>
      <w:r w:rsidR="000F47E7">
        <w:rPr>
          <w:sz w:val="24"/>
          <w:szCs w:val="24"/>
        </w:rPr>
        <w:t xml:space="preserve">especially </w:t>
      </w:r>
      <w:r w:rsidRPr="009D62FB">
        <w:rPr>
          <w:sz w:val="24"/>
          <w:szCs w:val="24"/>
        </w:rPr>
        <w:t>if the student cohort has very diverse or demanding needs. No school can offer unlimited courses, but the options available to students at different schools, even within my small scale sample, are wide and</w:t>
      </w:r>
      <w:r w:rsidR="007D0662">
        <w:rPr>
          <w:sz w:val="24"/>
          <w:szCs w:val="24"/>
        </w:rPr>
        <w:t xml:space="preserve"> </w:t>
      </w:r>
      <w:r w:rsidRPr="009D62FB">
        <w:rPr>
          <w:sz w:val="24"/>
          <w:szCs w:val="24"/>
        </w:rPr>
        <w:t xml:space="preserve">have a </w:t>
      </w:r>
      <w:r w:rsidR="00B87293">
        <w:rPr>
          <w:sz w:val="24"/>
          <w:szCs w:val="24"/>
        </w:rPr>
        <w:t>large</w:t>
      </w:r>
      <w:r w:rsidRPr="009D62FB">
        <w:rPr>
          <w:sz w:val="24"/>
          <w:szCs w:val="24"/>
        </w:rPr>
        <w:t xml:space="preserve"> impact on future progression for </w:t>
      </w:r>
      <w:r w:rsidR="00AE23B0">
        <w:rPr>
          <w:sz w:val="24"/>
          <w:szCs w:val="24"/>
        </w:rPr>
        <w:t>many</w:t>
      </w:r>
      <w:r w:rsidRPr="009D62FB">
        <w:rPr>
          <w:sz w:val="24"/>
          <w:szCs w:val="24"/>
        </w:rPr>
        <w:t xml:space="preserve"> students. Achievement </w:t>
      </w:r>
      <w:r w:rsidR="000F47E7">
        <w:rPr>
          <w:sz w:val="24"/>
          <w:szCs w:val="24"/>
        </w:rPr>
        <w:t>in a</w:t>
      </w:r>
      <w:r w:rsidRPr="009D62FB">
        <w:rPr>
          <w:sz w:val="24"/>
          <w:szCs w:val="24"/>
        </w:rPr>
        <w:t xml:space="preserve"> single performance measure such as the EBac cannot tell the full story of whether any school is providing the most appropriate type, range and quality of </w:t>
      </w:r>
      <w:r w:rsidR="000F47E7">
        <w:rPr>
          <w:sz w:val="24"/>
          <w:szCs w:val="24"/>
        </w:rPr>
        <w:t>curriculum</w:t>
      </w:r>
      <w:r w:rsidRPr="009D62FB">
        <w:rPr>
          <w:sz w:val="24"/>
          <w:szCs w:val="24"/>
        </w:rPr>
        <w:t xml:space="preserve"> for its students. Indeed, a focus on the EBac may actually have diverted some schools away from this aim. </w:t>
      </w:r>
    </w:p>
    <w:p w14:paraId="59277E3A" w14:textId="77777777" w:rsidR="00B6050F" w:rsidRPr="007D6082" w:rsidRDefault="00B6050F" w:rsidP="00B6050F">
      <w:pPr>
        <w:spacing w:after="0" w:line="360" w:lineRule="auto"/>
        <w:rPr>
          <w:sz w:val="24"/>
          <w:szCs w:val="24"/>
        </w:rPr>
      </w:pPr>
    </w:p>
    <w:p w14:paraId="611242E5" w14:textId="6C292ECF" w:rsidR="00EF348C" w:rsidRDefault="00EF348C" w:rsidP="00FE0B50">
      <w:pPr>
        <w:tabs>
          <w:tab w:val="left" w:pos="7230"/>
        </w:tabs>
        <w:spacing w:line="360" w:lineRule="auto"/>
        <w:rPr>
          <w:sz w:val="24"/>
          <w:szCs w:val="24"/>
        </w:rPr>
      </w:pPr>
      <w:r w:rsidRPr="009D62FB">
        <w:rPr>
          <w:sz w:val="24"/>
          <w:szCs w:val="24"/>
        </w:rPr>
        <w:t xml:space="preserve">The above policy and practice recommendations </w:t>
      </w:r>
      <w:r w:rsidR="00A16072">
        <w:rPr>
          <w:sz w:val="24"/>
          <w:szCs w:val="24"/>
        </w:rPr>
        <w:t xml:space="preserve">are based around </w:t>
      </w:r>
      <w:r w:rsidR="000F47E7">
        <w:rPr>
          <w:sz w:val="24"/>
          <w:szCs w:val="24"/>
        </w:rPr>
        <w:t>reforming</w:t>
      </w:r>
      <w:r w:rsidR="00A16072">
        <w:rPr>
          <w:sz w:val="24"/>
          <w:szCs w:val="24"/>
        </w:rPr>
        <w:t xml:space="preserve"> the </w:t>
      </w:r>
      <w:r w:rsidR="003D6D7D">
        <w:rPr>
          <w:sz w:val="24"/>
          <w:szCs w:val="24"/>
        </w:rPr>
        <w:t>current po</w:t>
      </w:r>
      <w:r w:rsidR="00290740">
        <w:rPr>
          <w:sz w:val="24"/>
          <w:szCs w:val="24"/>
        </w:rPr>
        <w:t>licy</w:t>
      </w:r>
      <w:r w:rsidR="00AE23B0">
        <w:rPr>
          <w:sz w:val="24"/>
          <w:szCs w:val="24"/>
        </w:rPr>
        <w:t>.</w:t>
      </w:r>
      <w:r w:rsidR="00A16072">
        <w:rPr>
          <w:sz w:val="24"/>
          <w:szCs w:val="24"/>
        </w:rPr>
        <w:t xml:space="preserve"> </w:t>
      </w:r>
      <w:r w:rsidR="00AE23B0">
        <w:rPr>
          <w:sz w:val="24"/>
          <w:szCs w:val="24"/>
        </w:rPr>
        <w:t xml:space="preserve">In the following section, I present some more radical </w:t>
      </w:r>
      <w:r w:rsidR="00A16072">
        <w:rPr>
          <w:sz w:val="24"/>
          <w:szCs w:val="24"/>
        </w:rPr>
        <w:t>suggestions for change</w:t>
      </w:r>
      <w:r w:rsidR="000F47E7">
        <w:rPr>
          <w:sz w:val="24"/>
          <w:szCs w:val="24"/>
        </w:rPr>
        <w:t xml:space="preserve"> emerging from my research. </w:t>
      </w:r>
    </w:p>
    <w:p w14:paraId="2823E4A5" w14:textId="62C73DDE" w:rsidR="00B9762A" w:rsidRPr="00EA74AB" w:rsidRDefault="00FE0B50" w:rsidP="00531995">
      <w:pPr>
        <w:pStyle w:val="Heading3"/>
      </w:pPr>
      <w:bookmarkStart w:id="116" w:name="_Toc452316399"/>
      <w:r>
        <w:t xml:space="preserve">6.3.2 </w:t>
      </w:r>
      <w:r w:rsidR="00EA74AB" w:rsidRPr="00EA74AB">
        <w:t>Recommendations for radical policy and practice change</w:t>
      </w:r>
      <w:bookmarkEnd w:id="116"/>
    </w:p>
    <w:p w14:paraId="149D4733" w14:textId="2131D8FD" w:rsidR="00EF348C" w:rsidRDefault="00EA74AB" w:rsidP="0018035B">
      <w:pPr>
        <w:tabs>
          <w:tab w:val="left" w:pos="7513"/>
          <w:tab w:val="left" w:pos="8789"/>
        </w:tabs>
        <w:spacing w:after="0" w:line="360" w:lineRule="auto"/>
        <w:rPr>
          <w:sz w:val="24"/>
          <w:szCs w:val="24"/>
        </w:rPr>
      </w:pPr>
      <w:r>
        <w:rPr>
          <w:sz w:val="24"/>
          <w:szCs w:val="24"/>
        </w:rPr>
        <w:t xml:space="preserve">My first </w:t>
      </w:r>
      <w:r w:rsidR="00EF348C" w:rsidRPr="009D62FB">
        <w:rPr>
          <w:sz w:val="24"/>
          <w:szCs w:val="24"/>
        </w:rPr>
        <w:t>recommend</w:t>
      </w:r>
      <w:r>
        <w:rPr>
          <w:sz w:val="24"/>
          <w:szCs w:val="24"/>
        </w:rPr>
        <w:t xml:space="preserve">ation is </w:t>
      </w:r>
      <w:r w:rsidR="00EF348C" w:rsidRPr="009D62FB">
        <w:rPr>
          <w:sz w:val="24"/>
          <w:szCs w:val="24"/>
        </w:rPr>
        <w:t xml:space="preserve">the immediate abolition of </w:t>
      </w:r>
      <w:r w:rsidR="00536C8C">
        <w:rPr>
          <w:sz w:val="24"/>
          <w:szCs w:val="24"/>
        </w:rPr>
        <w:t>the EBac</w:t>
      </w:r>
      <w:r w:rsidR="00707B3C">
        <w:rPr>
          <w:sz w:val="24"/>
          <w:szCs w:val="24"/>
        </w:rPr>
        <w:t xml:space="preserve"> policy</w:t>
      </w:r>
      <w:r w:rsidR="00EF348C" w:rsidRPr="009D62FB">
        <w:rPr>
          <w:sz w:val="24"/>
          <w:szCs w:val="24"/>
        </w:rPr>
        <w:t xml:space="preserve">. </w:t>
      </w:r>
      <w:r w:rsidR="00536C8C">
        <w:rPr>
          <w:sz w:val="24"/>
          <w:szCs w:val="24"/>
        </w:rPr>
        <w:t xml:space="preserve">The EBac can be regarded as a </w:t>
      </w:r>
      <w:r w:rsidR="00EF348C" w:rsidRPr="009D62FB">
        <w:rPr>
          <w:sz w:val="24"/>
          <w:szCs w:val="24"/>
        </w:rPr>
        <w:t>symbolic solution</w:t>
      </w:r>
      <w:r w:rsidR="00536C8C">
        <w:rPr>
          <w:sz w:val="24"/>
          <w:szCs w:val="24"/>
        </w:rPr>
        <w:t xml:space="preserve"> (Scheurich</w:t>
      </w:r>
      <w:r w:rsidR="006B0348">
        <w:rPr>
          <w:sz w:val="24"/>
          <w:szCs w:val="24"/>
        </w:rPr>
        <w:t>,</w:t>
      </w:r>
      <w:r w:rsidR="00536C8C">
        <w:rPr>
          <w:sz w:val="24"/>
          <w:szCs w:val="24"/>
        </w:rPr>
        <w:t xml:space="preserve"> 1994)</w:t>
      </w:r>
      <w:r w:rsidR="000F47E7">
        <w:rPr>
          <w:sz w:val="24"/>
          <w:szCs w:val="24"/>
        </w:rPr>
        <w:t>, a</w:t>
      </w:r>
      <w:r w:rsidR="00EF348C" w:rsidRPr="009D62FB">
        <w:rPr>
          <w:sz w:val="24"/>
          <w:szCs w:val="24"/>
        </w:rPr>
        <w:t xml:space="preserve"> solution n</w:t>
      </w:r>
      <w:r w:rsidR="000F47E7">
        <w:rPr>
          <w:sz w:val="24"/>
          <w:szCs w:val="24"/>
        </w:rPr>
        <w:t>ot</w:t>
      </w:r>
      <w:r w:rsidR="00EF348C" w:rsidRPr="009D62FB">
        <w:rPr>
          <w:sz w:val="24"/>
          <w:szCs w:val="24"/>
        </w:rPr>
        <w:t xml:space="preserve"> designed to solve the original problem, the underachievement of disadvantaged children, but rather to encourage people to think it solve</w:t>
      </w:r>
      <w:r w:rsidR="00022A57">
        <w:rPr>
          <w:sz w:val="24"/>
          <w:szCs w:val="24"/>
        </w:rPr>
        <w:t>s</w:t>
      </w:r>
      <w:r w:rsidR="00EF348C" w:rsidRPr="009D62FB">
        <w:rPr>
          <w:sz w:val="24"/>
          <w:szCs w:val="24"/>
        </w:rPr>
        <w:t xml:space="preserve"> </w:t>
      </w:r>
      <w:r w:rsidR="00DD1146">
        <w:rPr>
          <w:sz w:val="24"/>
          <w:szCs w:val="24"/>
        </w:rPr>
        <w:t>this problem. T</w:t>
      </w:r>
      <w:r w:rsidR="00EF348C" w:rsidRPr="009D62FB">
        <w:rPr>
          <w:sz w:val="24"/>
          <w:szCs w:val="24"/>
        </w:rPr>
        <w:t xml:space="preserve">his </w:t>
      </w:r>
      <w:r w:rsidR="000F47E7">
        <w:rPr>
          <w:sz w:val="24"/>
          <w:szCs w:val="24"/>
        </w:rPr>
        <w:t>being</w:t>
      </w:r>
      <w:r w:rsidR="00EF348C" w:rsidRPr="009D62FB">
        <w:rPr>
          <w:sz w:val="24"/>
          <w:szCs w:val="24"/>
        </w:rPr>
        <w:t xml:space="preserve"> the case</w:t>
      </w:r>
      <w:r w:rsidR="000F47E7">
        <w:rPr>
          <w:sz w:val="24"/>
          <w:szCs w:val="24"/>
        </w:rPr>
        <w:t xml:space="preserve">, </w:t>
      </w:r>
      <w:r w:rsidR="00EF348C" w:rsidRPr="009D62FB">
        <w:rPr>
          <w:sz w:val="24"/>
          <w:szCs w:val="24"/>
        </w:rPr>
        <w:t xml:space="preserve">actually abolishing performance tables </w:t>
      </w:r>
      <w:r w:rsidR="008B2DE3">
        <w:rPr>
          <w:sz w:val="24"/>
          <w:szCs w:val="24"/>
        </w:rPr>
        <w:t xml:space="preserve">as technologies of governance (Lingard </w:t>
      </w:r>
      <w:r w:rsidR="006B0348">
        <w:rPr>
          <w:sz w:val="24"/>
          <w:szCs w:val="24"/>
        </w:rPr>
        <w:t>and</w:t>
      </w:r>
      <w:r w:rsidR="008B2DE3">
        <w:rPr>
          <w:sz w:val="24"/>
          <w:szCs w:val="24"/>
        </w:rPr>
        <w:t xml:space="preserve"> Sellar</w:t>
      </w:r>
      <w:r w:rsidR="006B0348">
        <w:rPr>
          <w:sz w:val="24"/>
          <w:szCs w:val="24"/>
        </w:rPr>
        <w:t>,</w:t>
      </w:r>
      <w:r w:rsidR="008B2DE3">
        <w:rPr>
          <w:sz w:val="24"/>
          <w:szCs w:val="24"/>
        </w:rPr>
        <w:t xml:space="preserve"> 2013) </w:t>
      </w:r>
      <w:r w:rsidR="00EF348C" w:rsidRPr="009D62FB">
        <w:rPr>
          <w:sz w:val="24"/>
          <w:szCs w:val="24"/>
        </w:rPr>
        <w:t>is a</w:t>
      </w:r>
      <w:r w:rsidR="000F47E7">
        <w:rPr>
          <w:sz w:val="24"/>
          <w:szCs w:val="24"/>
        </w:rPr>
        <w:t>n</w:t>
      </w:r>
      <w:r w:rsidR="00EF348C" w:rsidRPr="009D62FB">
        <w:rPr>
          <w:sz w:val="24"/>
          <w:szCs w:val="24"/>
        </w:rPr>
        <w:t xml:space="preserve"> appropriate way to tackle the underlying issue. </w:t>
      </w:r>
      <w:r w:rsidR="006B0348">
        <w:rPr>
          <w:sz w:val="24"/>
          <w:szCs w:val="24"/>
        </w:rPr>
        <w:t>S</w:t>
      </w:r>
      <w:r w:rsidR="00EF348C" w:rsidRPr="009D62FB">
        <w:rPr>
          <w:sz w:val="24"/>
          <w:szCs w:val="24"/>
        </w:rPr>
        <w:t xml:space="preserve">chools can </w:t>
      </w:r>
      <w:r w:rsidR="006B0348">
        <w:rPr>
          <w:sz w:val="24"/>
          <w:szCs w:val="24"/>
        </w:rPr>
        <w:t xml:space="preserve">then </w:t>
      </w:r>
      <w:r w:rsidR="00EF348C" w:rsidRPr="009D62FB">
        <w:rPr>
          <w:sz w:val="24"/>
          <w:szCs w:val="24"/>
        </w:rPr>
        <w:t xml:space="preserve">return to providing the most appropriate </w:t>
      </w:r>
      <w:r w:rsidR="00EF348C" w:rsidRPr="009D62FB">
        <w:rPr>
          <w:sz w:val="24"/>
          <w:szCs w:val="24"/>
        </w:rPr>
        <w:lastRenderedPageBreak/>
        <w:t xml:space="preserve">education for each student without </w:t>
      </w:r>
      <w:r>
        <w:rPr>
          <w:sz w:val="24"/>
          <w:szCs w:val="24"/>
        </w:rPr>
        <w:t>having to be “skilled at meeting government targets” (DfE</w:t>
      </w:r>
      <w:r w:rsidR="006B0348">
        <w:rPr>
          <w:sz w:val="24"/>
          <w:szCs w:val="24"/>
        </w:rPr>
        <w:t>,</w:t>
      </w:r>
      <w:r>
        <w:rPr>
          <w:sz w:val="24"/>
          <w:szCs w:val="24"/>
        </w:rPr>
        <w:t xml:space="preserve"> 2010</w:t>
      </w:r>
      <w:r w:rsidR="00010CD6">
        <w:rPr>
          <w:sz w:val="24"/>
          <w:szCs w:val="24"/>
        </w:rPr>
        <w:t>,</w:t>
      </w:r>
      <w:r>
        <w:rPr>
          <w:sz w:val="24"/>
          <w:szCs w:val="24"/>
        </w:rPr>
        <w:t xml:space="preserve"> p.8) </w:t>
      </w:r>
      <w:r w:rsidR="00536C8C">
        <w:rPr>
          <w:sz w:val="24"/>
          <w:szCs w:val="24"/>
        </w:rPr>
        <w:t xml:space="preserve">and </w:t>
      </w:r>
      <w:r>
        <w:rPr>
          <w:sz w:val="24"/>
          <w:szCs w:val="24"/>
        </w:rPr>
        <w:t xml:space="preserve">without reference to </w:t>
      </w:r>
      <w:r w:rsidR="00EF348C" w:rsidRPr="009D62FB">
        <w:rPr>
          <w:sz w:val="24"/>
          <w:szCs w:val="24"/>
        </w:rPr>
        <w:t>how many qualifications they</w:t>
      </w:r>
      <w:r w:rsidR="00DD1146">
        <w:rPr>
          <w:sz w:val="24"/>
          <w:szCs w:val="24"/>
        </w:rPr>
        <w:t xml:space="preserve"> offer</w:t>
      </w:r>
      <w:r w:rsidR="00EF348C" w:rsidRPr="009D62FB">
        <w:rPr>
          <w:sz w:val="24"/>
          <w:szCs w:val="24"/>
        </w:rPr>
        <w:t xml:space="preserve"> and how many points they accrue</w:t>
      </w:r>
      <w:r w:rsidR="006B0348">
        <w:rPr>
          <w:sz w:val="24"/>
          <w:szCs w:val="24"/>
        </w:rPr>
        <w:t>. A</w:t>
      </w:r>
      <w:r w:rsidR="008B2DE3">
        <w:rPr>
          <w:sz w:val="24"/>
          <w:szCs w:val="24"/>
        </w:rPr>
        <w:t xml:space="preserve">ll </w:t>
      </w:r>
      <w:r w:rsidR="00EF348C" w:rsidRPr="009D62FB">
        <w:rPr>
          <w:sz w:val="24"/>
          <w:szCs w:val="24"/>
        </w:rPr>
        <w:t xml:space="preserve">students </w:t>
      </w:r>
      <w:r w:rsidR="00DD1146">
        <w:rPr>
          <w:sz w:val="24"/>
          <w:szCs w:val="24"/>
        </w:rPr>
        <w:t>w</w:t>
      </w:r>
      <w:r w:rsidR="006B0348">
        <w:rPr>
          <w:sz w:val="24"/>
          <w:szCs w:val="24"/>
        </w:rPr>
        <w:t>ould then</w:t>
      </w:r>
      <w:r w:rsidR="00DD1146">
        <w:rPr>
          <w:sz w:val="24"/>
          <w:szCs w:val="24"/>
        </w:rPr>
        <w:t xml:space="preserve"> </w:t>
      </w:r>
      <w:r w:rsidR="00EF348C" w:rsidRPr="009D62FB">
        <w:rPr>
          <w:sz w:val="24"/>
          <w:szCs w:val="24"/>
        </w:rPr>
        <w:t xml:space="preserve">have a better chance of succeeding and progressing to the next </w:t>
      </w:r>
      <w:r w:rsidR="00DD1146">
        <w:rPr>
          <w:sz w:val="24"/>
          <w:szCs w:val="24"/>
        </w:rPr>
        <w:t>educational</w:t>
      </w:r>
      <w:r w:rsidR="00DD1146" w:rsidRPr="009D62FB">
        <w:rPr>
          <w:sz w:val="24"/>
          <w:szCs w:val="24"/>
        </w:rPr>
        <w:t xml:space="preserve"> </w:t>
      </w:r>
      <w:r w:rsidR="00EF348C" w:rsidRPr="009D62FB">
        <w:rPr>
          <w:sz w:val="24"/>
          <w:szCs w:val="24"/>
        </w:rPr>
        <w:t>stage.</w:t>
      </w:r>
      <w:r>
        <w:rPr>
          <w:sz w:val="24"/>
          <w:szCs w:val="24"/>
        </w:rPr>
        <w:t xml:space="preserve"> </w:t>
      </w:r>
      <w:r w:rsidR="008B2DE3">
        <w:rPr>
          <w:sz w:val="24"/>
          <w:szCs w:val="24"/>
        </w:rPr>
        <w:t>“We must keep chipping away at the greater goal of achieving democratic schooling for social justice” (Angus</w:t>
      </w:r>
      <w:r w:rsidR="006B0348">
        <w:rPr>
          <w:sz w:val="24"/>
          <w:szCs w:val="24"/>
        </w:rPr>
        <w:t>,</w:t>
      </w:r>
      <w:r w:rsidR="008B2DE3">
        <w:rPr>
          <w:sz w:val="24"/>
          <w:szCs w:val="24"/>
        </w:rPr>
        <w:t xml:space="preserve"> 2012</w:t>
      </w:r>
      <w:r w:rsidR="00010CD6">
        <w:rPr>
          <w:sz w:val="24"/>
          <w:szCs w:val="24"/>
        </w:rPr>
        <w:t>,</w:t>
      </w:r>
      <w:r w:rsidR="008B2DE3">
        <w:rPr>
          <w:sz w:val="24"/>
          <w:szCs w:val="24"/>
        </w:rPr>
        <w:t xml:space="preserve"> p. 247).</w:t>
      </w:r>
    </w:p>
    <w:p w14:paraId="3EC90246" w14:textId="77777777" w:rsidR="006B0348" w:rsidRPr="007D6082" w:rsidRDefault="006B0348" w:rsidP="00151BA7">
      <w:pPr>
        <w:tabs>
          <w:tab w:val="left" w:pos="7513"/>
          <w:tab w:val="left" w:pos="8789"/>
        </w:tabs>
        <w:spacing w:after="0" w:line="360" w:lineRule="auto"/>
        <w:rPr>
          <w:sz w:val="24"/>
          <w:szCs w:val="24"/>
        </w:rPr>
      </w:pPr>
    </w:p>
    <w:p w14:paraId="70C13A9A" w14:textId="55C808BA" w:rsidR="00EF348C" w:rsidRDefault="00EF348C" w:rsidP="00B6050F">
      <w:pPr>
        <w:spacing w:after="0" w:line="360" w:lineRule="auto"/>
        <w:rPr>
          <w:sz w:val="24"/>
          <w:szCs w:val="24"/>
        </w:rPr>
      </w:pPr>
      <w:r w:rsidRPr="008F4096">
        <w:rPr>
          <w:sz w:val="24"/>
          <w:szCs w:val="24"/>
        </w:rPr>
        <w:t xml:space="preserve">My </w:t>
      </w:r>
      <w:r w:rsidR="00EA74AB">
        <w:rPr>
          <w:sz w:val="24"/>
          <w:szCs w:val="24"/>
        </w:rPr>
        <w:t>second</w:t>
      </w:r>
      <w:r>
        <w:rPr>
          <w:sz w:val="24"/>
          <w:szCs w:val="24"/>
        </w:rPr>
        <w:t xml:space="preserve"> </w:t>
      </w:r>
      <w:r w:rsidR="00DF7C68" w:rsidRPr="008F4096">
        <w:rPr>
          <w:sz w:val="24"/>
          <w:szCs w:val="24"/>
        </w:rPr>
        <w:t>recommendation</w:t>
      </w:r>
      <w:r w:rsidRPr="008F4096">
        <w:rPr>
          <w:sz w:val="24"/>
          <w:szCs w:val="24"/>
        </w:rPr>
        <w:t xml:space="preserve"> is that the country needs a much more radical plan for putting in place high quality, high status vocational education. The academic</w:t>
      </w:r>
      <w:r w:rsidR="00990D62">
        <w:rPr>
          <w:sz w:val="24"/>
          <w:szCs w:val="24"/>
        </w:rPr>
        <w:t>-</w:t>
      </w:r>
      <w:r w:rsidRPr="008F4096">
        <w:rPr>
          <w:sz w:val="24"/>
          <w:szCs w:val="24"/>
        </w:rPr>
        <w:t xml:space="preserve">vocational divide is now </w:t>
      </w:r>
      <w:r w:rsidR="00707B3C">
        <w:rPr>
          <w:sz w:val="24"/>
          <w:szCs w:val="24"/>
        </w:rPr>
        <w:t xml:space="preserve">a serious threat to </w:t>
      </w:r>
      <w:r w:rsidRPr="008F4096">
        <w:rPr>
          <w:sz w:val="24"/>
          <w:szCs w:val="24"/>
        </w:rPr>
        <w:t>the eco</w:t>
      </w:r>
      <w:r w:rsidRPr="003F3440">
        <w:rPr>
          <w:sz w:val="24"/>
          <w:szCs w:val="24"/>
        </w:rPr>
        <w:t>nomy in that there are insufficient skilled workers (</w:t>
      </w:r>
      <w:r w:rsidR="003F3440" w:rsidRPr="003F3440">
        <w:rPr>
          <w:sz w:val="24"/>
          <w:szCs w:val="24"/>
        </w:rPr>
        <w:t>HM Treasury, 2015, p.23)</w:t>
      </w:r>
      <w:r w:rsidR="00D8729E" w:rsidRPr="003F3440">
        <w:rPr>
          <w:sz w:val="24"/>
          <w:szCs w:val="24"/>
        </w:rPr>
        <w:t xml:space="preserve">, whilst </w:t>
      </w:r>
      <w:r w:rsidR="00D8729E">
        <w:rPr>
          <w:sz w:val="24"/>
          <w:szCs w:val="24"/>
        </w:rPr>
        <w:t>also</w:t>
      </w:r>
      <w:r w:rsidRPr="008F4096">
        <w:rPr>
          <w:sz w:val="24"/>
          <w:szCs w:val="24"/>
        </w:rPr>
        <w:t xml:space="preserve"> </w:t>
      </w:r>
      <w:r>
        <w:rPr>
          <w:sz w:val="24"/>
          <w:szCs w:val="24"/>
        </w:rPr>
        <w:t xml:space="preserve">affecting </w:t>
      </w:r>
      <w:r w:rsidRPr="008F4096">
        <w:rPr>
          <w:sz w:val="24"/>
          <w:szCs w:val="24"/>
        </w:rPr>
        <w:t xml:space="preserve">students who could excel in a vocational situation </w:t>
      </w:r>
      <w:r w:rsidR="00D8729E">
        <w:rPr>
          <w:sz w:val="24"/>
          <w:szCs w:val="24"/>
        </w:rPr>
        <w:t>but struggle to</w:t>
      </w:r>
      <w:r w:rsidRPr="008F4096">
        <w:rPr>
          <w:sz w:val="24"/>
          <w:szCs w:val="24"/>
        </w:rPr>
        <w:t xml:space="preserve"> excel in a</w:t>
      </w:r>
      <w:r w:rsidR="00AD7A43">
        <w:rPr>
          <w:sz w:val="24"/>
          <w:szCs w:val="24"/>
        </w:rPr>
        <w:t>n academic</w:t>
      </w:r>
      <w:r w:rsidR="00D545B7">
        <w:rPr>
          <w:sz w:val="24"/>
          <w:szCs w:val="24"/>
        </w:rPr>
        <w:t xml:space="preserve"> </w:t>
      </w:r>
      <w:r w:rsidR="00D545B7" w:rsidRPr="008F4096">
        <w:rPr>
          <w:sz w:val="24"/>
          <w:szCs w:val="24"/>
        </w:rPr>
        <w:t>classroom</w:t>
      </w:r>
      <w:r w:rsidRPr="008F4096">
        <w:rPr>
          <w:sz w:val="24"/>
          <w:szCs w:val="24"/>
        </w:rPr>
        <w:t xml:space="preserve">. The </w:t>
      </w:r>
      <w:r w:rsidR="0018035B">
        <w:rPr>
          <w:sz w:val="24"/>
          <w:szCs w:val="24"/>
        </w:rPr>
        <w:t>University Technical Colleges (</w:t>
      </w:r>
      <w:r w:rsidRPr="008F4096">
        <w:rPr>
          <w:sz w:val="24"/>
          <w:szCs w:val="24"/>
        </w:rPr>
        <w:t>UTCs</w:t>
      </w:r>
      <w:r w:rsidR="0018035B">
        <w:rPr>
          <w:sz w:val="24"/>
          <w:szCs w:val="24"/>
        </w:rPr>
        <w:t>)</w:t>
      </w:r>
      <w:r w:rsidR="0018035B">
        <w:rPr>
          <w:rStyle w:val="FootnoteReference"/>
          <w:sz w:val="24"/>
          <w:szCs w:val="24"/>
        </w:rPr>
        <w:footnoteReference w:id="47"/>
      </w:r>
      <w:r w:rsidR="00D8729E">
        <w:rPr>
          <w:sz w:val="24"/>
          <w:szCs w:val="24"/>
        </w:rPr>
        <w:t xml:space="preserve"> </w:t>
      </w:r>
      <w:r w:rsidRPr="008F4096">
        <w:rPr>
          <w:sz w:val="24"/>
          <w:szCs w:val="24"/>
        </w:rPr>
        <w:t xml:space="preserve">may well provide a blueprint for </w:t>
      </w:r>
      <w:r w:rsidR="008714A7">
        <w:rPr>
          <w:sz w:val="24"/>
          <w:szCs w:val="24"/>
        </w:rPr>
        <w:t>new vocational</w:t>
      </w:r>
      <w:r w:rsidRPr="008F4096">
        <w:rPr>
          <w:sz w:val="24"/>
          <w:szCs w:val="24"/>
        </w:rPr>
        <w:t xml:space="preserve"> thinking and provision.</w:t>
      </w:r>
    </w:p>
    <w:p w14:paraId="165058E5" w14:textId="77777777" w:rsidR="00B6050F" w:rsidRPr="007D6082" w:rsidRDefault="00B6050F" w:rsidP="00B6050F">
      <w:pPr>
        <w:spacing w:after="0" w:line="360" w:lineRule="auto"/>
        <w:rPr>
          <w:sz w:val="24"/>
          <w:szCs w:val="24"/>
        </w:rPr>
      </w:pPr>
    </w:p>
    <w:p w14:paraId="3FF2264C" w14:textId="00B00041" w:rsidR="00EF348C" w:rsidRDefault="00EF348C" w:rsidP="00B6050F">
      <w:pPr>
        <w:tabs>
          <w:tab w:val="left" w:pos="7230"/>
        </w:tabs>
        <w:spacing w:after="0" w:line="360" w:lineRule="auto"/>
        <w:rPr>
          <w:sz w:val="24"/>
          <w:szCs w:val="24"/>
        </w:rPr>
      </w:pPr>
      <w:r w:rsidRPr="008F4096">
        <w:rPr>
          <w:sz w:val="24"/>
          <w:szCs w:val="24"/>
        </w:rPr>
        <w:t xml:space="preserve">My </w:t>
      </w:r>
      <w:r w:rsidR="00EA74AB">
        <w:rPr>
          <w:sz w:val="24"/>
          <w:szCs w:val="24"/>
        </w:rPr>
        <w:t xml:space="preserve">third </w:t>
      </w:r>
      <w:r w:rsidRPr="008F4096">
        <w:rPr>
          <w:sz w:val="24"/>
          <w:szCs w:val="24"/>
        </w:rPr>
        <w:t>recommendation requires a large injection of funding to schools in challenging situations</w:t>
      </w:r>
      <w:r w:rsidR="006F746A">
        <w:rPr>
          <w:sz w:val="24"/>
          <w:szCs w:val="24"/>
        </w:rPr>
        <w:t xml:space="preserve"> </w:t>
      </w:r>
      <w:r w:rsidRPr="008F4096">
        <w:rPr>
          <w:sz w:val="24"/>
          <w:szCs w:val="24"/>
        </w:rPr>
        <w:t>with high levels of FSM, SEND and EAL</w:t>
      </w:r>
      <w:r w:rsidR="00986463">
        <w:rPr>
          <w:sz w:val="24"/>
          <w:szCs w:val="24"/>
        </w:rPr>
        <w:t>,</w:t>
      </w:r>
      <w:r w:rsidRPr="008F4096">
        <w:rPr>
          <w:sz w:val="24"/>
          <w:szCs w:val="24"/>
        </w:rPr>
        <w:t xml:space="preserve"> and high levels of student mobility, usually located in areas of high deprivation. These schools requir</w:t>
      </w:r>
      <w:r w:rsidR="00290740">
        <w:rPr>
          <w:sz w:val="24"/>
          <w:szCs w:val="24"/>
        </w:rPr>
        <w:t>e</w:t>
      </w:r>
      <w:r w:rsidRPr="008F4096">
        <w:rPr>
          <w:sz w:val="24"/>
          <w:szCs w:val="24"/>
        </w:rPr>
        <w:t xml:space="preserve"> the highest quality of resources and provision</w:t>
      </w:r>
      <w:r w:rsidR="00986463">
        <w:rPr>
          <w:sz w:val="24"/>
          <w:szCs w:val="24"/>
        </w:rPr>
        <w:t xml:space="preserve">, </w:t>
      </w:r>
      <w:r w:rsidRPr="008F4096">
        <w:rPr>
          <w:sz w:val="24"/>
          <w:szCs w:val="24"/>
        </w:rPr>
        <w:t xml:space="preserve">yet </w:t>
      </w:r>
      <w:r w:rsidR="003F3440">
        <w:rPr>
          <w:sz w:val="24"/>
          <w:szCs w:val="24"/>
        </w:rPr>
        <w:t>often they face inequalities of funding compared to schools in more affluent areas (DfE, 2014</w:t>
      </w:r>
      <w:r w:rsidR="00CD2F36">
        <w:rPr>
          <w:sz w:val="24"/>
          <w:szCs w:val="24"/>
        </w:rPr>
        <w:t>c</w:t>
      </w:r>
      <w:r w:rsidR="003F3440">
        <w:rPr>
          <w:sz w:val="24"/>
          <w:szCs w:val="24"/>
        </w:rPr>
        <w:t xml:space="preserve">). </w:t>
      </w:r>
      <w:r w:rsidRPr="008F4096">
        <w:rPr>
          <w:sz w:val="24"/>
          <w:szCs w:val="24"/>
        </w:rPr>
        <w:t xml:space="preserve">Students who already face challenging situations </w:t>
      </w:r>
      <w:r w:rsidR="009F25E2">
        <w:rPr>
          <w:sz w:val="24"/>
          <w:szCs w:val="24"/>
        </w:rPr>
        <w:t xml:space="preserve">at home and in the community </w:t>
      </w:r>
      <w:r w:rsidRPr="008F4096">
        <w:rPr>
          <w:sz w:val="24"/>
          <w:szCs w:val="24"/>
        </w:rPr>
        <w:t>require small, bespoke teaching groups where</w:t>
      </w:r>
      <w:r w:rsidR="00290740">
        <w:rPr>
          <w:sz w:val="24"/>
          <w:szCs w:val="24"/>
        </w:rPr>
        <w:t xml:space="preserve"> </w:t>
      </w:r>
      <w:r w:rsidRPr="008F4096">
        <w:rPr>
          <w:sz w:val="24"/>
          <w:szCs w:val="24"/>
        </w:rPr>
        <w:t xml:space="preserve">individual needs can be met </w:t>
      </w:r>
      <w:r w:rsidR="00290740">
        <w:rPr>
          <w:sz w:val="24"/>
          <w:szCs w:val="24"/>
        </w:rPr>
        <w:t>through</w:t>
      </w:r>
      <w:r w:rsidRPr="008F4096">
        <w:rPr>
          <w:sz w:val="24"/>
          <w:szCs w:val="24"/>
        </w:rPr>
        <w:t xml:space="preserve"> high quality, highly trained</w:t>
      </w:r>
      <w:r w:rsidR="00790914">
        <w:rPr>
          <w:sz w:val="24"/>
          <w:szCs w:val="24"/>
        </w:rPr>
        <w:t>,</w:t>
      </w:r>
      <w:r w:rsidRPr="008F4096">
        <w:rPr>
          <w:sz w:val="24"/>
          <w:szCs w:val="24"/>
        </w:rPr>
        <w:t xml:space="preserve"> permanent teachers</w:t>
      </w:r>
      <w:r w:rsidR="00EA3B85">
        <w:rPr>
          <w:sz w:val="24"/>
          <w:szCs w:val="24"/>
        </w:rPr>
        <w:t xml:space="preserve"> and access to appropriate curriculum materials</w:t>
      </w:r>
      <w:r w:rsidRPr="008F4096">
        <w:rPr>
          <w:sz w:val="24"/>
          <w:szCs w:val="24"/>
        </w:rPr>
        <w:t xml:space="preserve">. </w:t>
      </w:r>
    </w:p>
    <w:p w14:paraId="13DC1B49" w14:textId="77777777" w:rsidR="00B6050F" w:rsidRPr="007D6082" w:rsidRDefault="00B6050F" w:rsidP="00B6050F">
      <w:pPr>
        <w:tabs>
          <w:tab w:val="left" w:pos="7230"/>
        </w:tabs>
        <w:spacing w:after="0" w:line="360" w:lineRule="auto"/>
        <w:rPr>
          <w:sz w:val="24"/>
          <w:szCs w:val="24"/>
        </w:rPr>
      </w:pPr>
    </w:p>
    <w:p w14:paraId="71E6B4A3" w14:textId="2D06F36D" w:rsidR="00EF348C" w:rsidRDefault="00EF348C" w:rsidP="0018035B">
      <w:pPr>
        <w:spacing w:line="360" w:lineRule="auto"/>
        <w:rPr>
          <w:sz w:val="24"/>
          <w:szCs w:val="24"/>
        </w:rPr>
      </w:pPr>
      <w:r w:rsidRPr="008F4096">
        <w:rPr>
          <w:sz w:val="24"/>
          <w:szCs w:val="24"/>
        </w:rPr>
        <w:t xml:space="preserve">My </w:t>
      </w:r>
      <w:r>
        <w:rPr>
          <w:sz w:val="24"/>
          <w:szCs w:val="24"/>
        </w:rPr>
        <w:t>final</w:t>
      </w:r>
      <w:r w:rsidR="00697E61">
        <w:rPr>
          <w:sz w:val="24"/>
          <w:szCs w:val="24"/>
        </w:rPr>
        <w:t xml:space="preserve"> </w:t>
      </w:r>
      <w:r w:rsidRPr="008F4096">
        <w:rPr>
          <w:sz w:val="24"/>
          <w:szCs w:val="24"/>
        </w:rPr>
        <w:t>recommendation is that the education system and</w:t>
      </w:r>
      <w:r w:rsidR="00290740">
        <w:rPr>
          <w:sz w:val="24"/>
          <w:szCs w:val="24"/>
        </w:rPr>
        <w:t xml:space="preserve"> </w:t>
      </w:r>
      <w:r w:rsidRPr="008F4096">
        <w:rPr>
          <w:sz w:val="24"/>
          <w:szCs w:val="24"/>
        </w:rPr>
        <w:t>policy is taken out of the hands of politicians</w:t>
      </w:r>
      <w:r w:rsidR="0018035B">
        <w:rPr>
          <w:sz w:val="24"/>
          <w:szCs w:val="24"/>
        </w:rPr>
        <w:t xml:space="preserve"> and given to educational practitioners and organisations or a new body such as a democratically elected teaching council</w:t>
      </w:r>
      <w:r w:rsidRPr="008F4096">
        <w:rPr>
          <w:sz w:val="24"/>
          <w:szCs w:val="24"/>
        </w:rPr>
        <w:t>. The fact that</w:t>
      </w:r>
      <w:r w:rsidR="009F25E2">
        <w:rPr>
          <w:sz w:val="24"/>
          <w:szCs w:val="24"/>
        </w:rPr>
        <w:t xml:space="preserve"> </w:t>
      </w:r>
      <w:r w:rsidRPr="008F4096">
        <w:rPr>
          <w:sz w:val="24"/>
          <w:szCs w:val="24"/>
        </w:rPr>
        <w:t xml:space="preserve">Gove remained as Secretary of </w:t>
      </w:r>
      <w:r w:rsidR="00690E36">
        <w:rPr>
          <w:sz w:val="24"/>
          <w:szCs w:val="24"/>
        </w:rPr>
        <w:t>S</w:t>
      </w:r>
      <w:r w:rsidRPr="008F4096">
        <w:rPr>
          <w:sz w:val="24"/>
          <w:szCs w:val="24"/>
        </w:rPr>
        <w:t xml:space="preserve">tate for </w:t>
      </w:r>
      <w:r w:rsidR="00690E36">
        <w:rPr>
          <w:sz w:val="24"/>
          <w:szCs w:val="24"/>
        </w:rPr>
        <w:t>E</w:t>
      </w:r>
      <w:r w:rsidRPr="008F4096">
        <w:rPr>
          <w:sz w:val="24"/>
          <w:szCs w:val="24"/>
        </w:rPr>
        <w:t xml:space="preserve">ducation for </w:t>
      </w:r>
      <w:r w:rsidR="00697E61">
        <w:rPr>
          <w:sz w:val="24"/>
          <w:szCs w:val="24"/>
        </w:rPr>
        <w:t>four years from 2010</w:t>
      </w:r>
      <w:r w:rsidR="00986463">
        <w:rPr>
          <w:sz w:val="24"/>
          <w:szCs w:val="24"/>
        </w:rPr>
        <w:t>-</w:t>
      </w:r>
      <w:r w:rsidR="00697E61">
        <w:rPr>
          <w:sz w:val="24"/>
          <w:szCs w:val="24"/>
        </w:rPr>
        <w:t>2014</w:t>
      </w:r>
      <w:r w:rsidRPr="008F4096">
        <w:rPr>
          <w:sz w:val="24"/>
          <w:szCs w:val="24"/>
        </w:rPr>
        <w:t xml:space="preserve"> is an unusual situation. </w:t>
      </w:r>
      <w:r w:rsidR="00986463">
        <w:rPr>
          <w:sz w:val="24"/>
          <w:szCs w:val="24"/>
        </w:rPr>
        <w:t>U</w:t>
      </w:r>
      <w:r w:rsidRPr="008F4096">
        <w:rPr>
          <w:sz w:val="24"/>
          <w:szCs w:val="24"/>
        </w:rPr>
        <w:t xml:space="preserve">nder the Labour </w:t>
      </w:r>
      <w:r w:rsidR="00697E61">
        <w:rPr>
          <w:sz w:val="24"/>
          <w:szCs w:val="24"/>
        </w:rPr>
        <w:t>g</w:t>
      </w:r>
      <w:r w:rsidRPr="008F4096">
        <w:rPr>
          <w:sz w:val="24"/>
          <w:szCs w:val="24"/>
        </w:rPr>
        <w:t>overnment</w:t>
      </w:r>
      <w:r w:rsidR="00986463">
        <w:rPr>
          <w:sz w:val="24"/>
          <w:szCs w:val="24"/>
        </w:rPr>
        <w:t>,</w:t>
      </w:r>
      <w:r w:rsidRPr="008F4096">
        <w:rPr>
          <w:sz w:val="24"/>
          <w:szCs w:val="24"/>
        </w:rPr>
        <w:t xml:space="preserve"> education ministers had </w:t>
      </w:r>
      <w:r w:rsidR="00690E36">
        <w:rPr>
          <w:sz w:val="24"/>
          <w:szCs w:val="24"/>
        </w:rPr>
        <w:t>much</w:t>
      </w:r>
      <w:r w:rsidRPr="008F4096">
        <w:rPr>
          <w:sz w:val="24"/>
          <w:szCs w:val="24"/>
        </w:rPr>
        <w:t xml:space="preserve"> short</w:t>
      </w:r>
      <w:r w:rsidR="00690E36">
        <w:rPr>
          <w:sz w:val="24"/>
          <w:szCs w:val="24"/>
        </w:rPr>
        <w:t>er</w:t>
      </w:r>
      <w:r w:rsidRPr="008F4096">
        <w:rPr>
          <w:sz w:val="24"/>
          <w:szCs w:val="24"/>
        </w:rPr>
        <w:t xml:space="preserve"> tenure</w:t>
      </w:r>
      <w:r w:rsidR="009F25E2">
        <w:rPr>
          <w:sz w:val="24"/>
          <w:szCs w:val="24"/>
        </w:rPr>
        <w:t>s</w:t>
      </w:r>
      <w:r w:rsidRPr="008F4096">
        <w:rPr>
          <w:sz w:val="24"/>
          <w:szCs w:val="24"/>
        </w:rPr>
        <w:t>. Any institution or business that face</w:t>
      </w:r>
      <w:r w:rsidR="00290740">
        <w:rPr>
          <w:sz w:val="24"/>
          <w:szCs w:val="24"/>
        </w:rPr>
        <w:t>s</w:t>
      </w:r>
      <w:r w:rsidRPr="008F4096">
        <w:rPr>
          <w:sz w:val="24"/>
          <w:szCs w:val="24"/>
        </w:rPr>
        <w:t xml:space="preserve"> a change of leadership at </w:t>
      </w:r>
      <w:r w:rsidR="00690E36">
        <w:rPr>
          <w:sz w:val="24"/>
          <w:szCs w:val="24"/>
        </w:rPr>
        <w:t>such</w:t>
      </w:r>
      <w:r w:rsidRPr="008F4096">
        <w:rPr>
          <w:sz w:val="24"/>
          <w:szCs w:val="24"/>
        </w:rPr>
        <w:t xml:space="preserve"> short notice with a requirement to make instantaneous, </w:t>
      </w:r>
      <w:r w:rsidRPr="008F4096">
        <w:rPr>
          <w:sz w:val="24"/>
          <w:szCs w:val="24"/>
        </w:rPr>
        <w:lastRenderedPageBreak/>
        <w:t>popular changes to attempt to ensure re-election every five years is built on unstable foundation</w:t>
      </w:r>
      <w:r w:rsidR="00290740">
        <w:rPr>
          <w:sz w:val="24"/>
          <w:szCs w:val="24"/>
        </w:rPr>
        <w:t>s</w:t>
      </w:r>
      <w:r w:rsidRPr="008F4096">
        <w:rPr>
          <w:sz w:val="24"/>
          <w:szCs w:val="24"/>
        </w:rPr>
        <w:t xml:space="preserve">. </w:t>
      </w:r>
    </w:p>
    <w:p w14:paraId="7AF34EB9" w14:textId="1E861A38" w:rsidR="00F24FBB" w:rsidRDefault="00B174EC" w:rsidP="00531995">
      <w:pPr>
        <w:pStyle w:val="Heading2"/>
      </w:pPr>
      <w:bookmarkStart w:id="117" w:name="_Toc452316400"/>
      <w:r>
        <w:t>6</w:t>
      </w:r>
      <w:r w:rsidR="00F24FBB">
        <w:t xml:space="preserve">.4 </w:t>
      </w:r>
      <w:r w:rsidR="008714A7">
        <w:t>Original c</w:t>
      </w:r>
      <w:r w:rsidR="00F24FBB">
        <w:t>ontribution to knowledge</w:t>
      </w:r>
      <w:bookmarkEnd w:id="117"/>
    </w:p>
    <w:p w14:paraId="12577A34" w14:textId="4E4F8601" w:rsidR="00F21BEF" w:rsidRDefault="00D8729E" w:rsidP="0018035B">
      <w:pPr>
        <w:spacing w:after="0" w:line="360" w:lineRule="auto"/>
        <w:rPr>
          <w:bCs/>
          <w:sz w:val="24"/>
          <w:szCs w:val="24"/>
        </w:rPr>
      </w:pPr>
      <w:r>
        <w:rPr>
          <w:bCs/>
          <w:sz w:val="24"/>
          <w:szCs w:val="24"/>
        </w:rPr>
        <w:t>M</w:t>
      </w:r>
      <w:r w:rsidR="00F21BEF">
        <w:rPr>
          <w:bCs/>
          <w:sz w:val="24"/>
          <w:szCs w:val="24"/>
        </w:rPr>
        <w:t>y work provide</w:t>
      </w:r>
      <w:r w:rsidR="001B5BCF">
        <w:rPr>
          <w:bCs/>
          <w:sz w:val="24"/>
          <w:szCs w:val="24"/>
        </w:rPr>
        <w:t>s</w:t>
      </w:r>
      <w:r w:rsidR="00F21BEF">
        <w:rPr>
          <w:bCs/>
          <w:sz w:val="24"/>
          <w:szCs w:val="24"/>
        </w:rPr>
        <w:t xml:space="preserve"> a contemporary investigation and analysis into a Coalition government </w:t>
      </w:r>
      <w:r w:rsidR="00F30E14">
        <w:rPr>
          <w:bCs/>
          <w:sz w:val="24"/>
          <w:szCs w:val="24"/>
        </w:rPr>
        <w:t xml:space="preserve">policy </w:t>
      </w:r>
      <w:r w:rsidR="00F21BEF">
        <w:rPr>
          <w:bCs/>
          <w:sz w:val="24"/>
          <w:szCs w:val="24"/>
        </w:rPr>
        <w:t>and charts a period of intense change in education</w:t>
      </w:r>
      <w:r w:rsidR="002454C9">
        <w:rPr>
          <w:bCs/>
          <w:sz w:val="24"/>
          <w:szCs w:val="24"/>
        </w:rPr>
        <w:t xml:space="preserve">. </w:t>
      </w:r>
      <w:r w:rsidR="004F6AD7">
        <w:rPr>
          <w:bCs/>
          <w:sz w:val="24"/>
          <w:szCs w:val="24"/>
        </w:rPr>
        <w:t xml:space="preserve">Across four schools, </w:t>
      </w:r>
      <w:r w:rsidR="008714A7">
        <w:rPr>
          <w:bCs/>
          <w:sz w:val="24"/>
          <w:szCs w:val="24"/>
        </w:rPr>
        <w:t xml:space="preserve">I </w:t>
      </w:r>
      <w:r w:rsidR="00265F33">
        <w:rPr>
          <w:bCs/>
          <w:sz w:val="24"/>
          <w:szCs w:val="24"/>
        </w:rPr>
        <w:t>investigated</w:t>
      </w:r>
      <w:r w:rsidR="002454C9">
        <w:rPr>
          <w:bCs/>
          <w:sz w:val="24"/>
          <w:szCs w:val="24"/>
        </w:rPr>
        <w:t xml:space="preserve"> the implementation of the EBac policy</w:t>
      </w:r>
      <w:r w:rsidR="008714A7">
        <w:rPr>
          <w:bCs/>
          <w:sz w:val="24"/>
          <w:szCs w:val="24"/>
        </w:rPr>
        <w:t>,</w:t>
      </w:r>
      <w:r w:rsidR="002454C9">
        <w:rPr>
          <w:bCs/>
          <w:sz w:val="24"/>
          <w:szCs w:val="24"/>
        </w:rPr>
        <w:t xml:space="preserve"> </w:t>
      </w:r>
      <w:r w:rsidR="008714A7">
        <w:rPr>
          <w:bCs/>
          <w:sz w:val="24"/>
          <w:szCs w:val="24"/>
        </w:rPr>
        <w:t>from its announcement in 2010 until the summer of 2013</w:t>
      </w:r>
      <w:r>
        <w:rPr>
          <w:bCs/>
          <w:sz w:val="24"/>
          <w:szCs w:val="24"/>
        </w:rPr>
        <w:t>,</w:t>
      </w:r>
      <w:r w:rsidR="00B8035D">
        <w:rPr>
          <w:bCs/>
          <w:sz w:val="24"/>
          <w:szCs w:val="24"/>
        </w:rPr>
        <w:t xml:space="preserve"> </w:t>
      </w:r>
      <w:r w:rsidR="002454C9">
        <w:rPr>
          <w:bCs/>
          <w:sz w:val="24"/>
          <w:szCs w:val="24"/>
        </w:rPr>
        <w:t>incorporating national statistics on the impact of the EBac. I</w:t>
      </w:r>
      <w:r w:rsidR="0062290B">
        <w:rPr>
          <w:bCs/>
          <w:sz w:val="24"/>
          <w:szCs w:val="24"/>
        </w:rPr>
        <w:t xml:space="preserve"> have</w:t>
      </w:r>
      <w:r w:rsidR="002454C9">
        <w:rPr>
          <w:bCs/>
          <w:sz w:val="24"/>
          <w:szCs w:val="24"/>
        </w:rPr>
        <w:t xml:space="preserve"> illuminated three in</w:t>
      </w:r>
      <w:r w:rsidR="007A113C">
        <w:rPr>
          <w:bCs/>
          <w:sz w:val="24"/>
          <w:szCs w:val="24"/>
        </w:rPr>
        <w:t xml:space="preserve">adequacies </w:t>
      </w:r>
      <w:r w:rsidR="002454C9">
        <w:rPr>
          <w:bCs/>
          <w:sz w:val="24"/>
          <w:szCs w:val="24"/>
        </w:rPr>
        <w:t>in the policy</w:t>
      </w:r>
      <w:r w:rsidR="00011792">
        <w:rPr>
          <w:bCs/>
          <w:sz w:val="24"/>
          <w:szCs w:val="24"/>
        </w:rPr>
        <w:t>:</w:t>
      </w:r>
      <w:r w:rsidR="002454C9">
        <w:rPr>
          <w:bCs/>
          <w:sz w:val="24"/>
          <w:szCs w:val="24"/>
        </w:rPr>
        <w:t xml:space="preserve"> </w:t>
      </w:r>
      <w:r w:rsidR="00011792">
        <w:rPr>
          <w:bCs/>
          <w:sz w:val="24"/>
          <w:szCs w:val="24"/>
        </w:rPr>
        <w:t>f</w:t>
      </w:r>
      <w:r w:rsidR="002454C9">
        <w:rPr>
          <w:bCs/>
          <w:sz w:val="24"/>
          <w:szCs w:val="24"/>
        </w:rPr>
        <w:t>irst</w:t>
      </w:r>
      <w:r w:rsidR="00986463">
        <w:rPr>
          <w:bCs/>
          <w:sz w:val="24"/>
          <w:szCs w:val="24"/>
        </w:rPr>
        <w:t>ly</w:t>
      </w:r>
      <w:r w:rsidR="0072433E">
        <w:rPr>
          <w:bCs/>
          <w:sz w:val="24"/>
          <w:szCs w:val="24"/>
        </w:rPr>
        <w:t>,</w:t>
      </w:r>
      <w:r w:rsidR="002454C9">
        <w:rPr>
          <w:bCs/>
          <w:sz w:val="24"/>
          <w:szCs w:val="24"/>
        </w:rPr>
        <w:t xml:space="preserve"> </w:t>
      </w:r>
      <w:r w:rsidR="00265F33">
        <w:rPr>
          <w:bCs/>
          <w:sz w:val="24"/>
          <w:szCs w:val="24"/>
        </w:rPr>
        <w:t xml:space="preserve">the </w:t>
      </w:r>
      <w:r w:rsidR="002454C9">
        <w:rPr>
          <w:bCs/>
          <w:sz w:val="24"/>
          <w:szCs w:val="24"/>
        </w:rPr>
        <w:t>claim that</w:t>
      </w:r>
      <w:r w:rsidR="007A113C">
        <w:rPr>
          <w:bCs/>
          <w:sz w:val="24"/>
          <w:szCs w:val="24"/>
        </w:rPr>
        <w:t xml:space="preserve"> </w:t>
      </w:r>
      <w:r w:rsidR="002454C9">
        <w:rPr>
          <w:bCs/>
          <w:sz w:val="24"/>
          <w:szCs w:val="24"/>
        </w:rPr>
        <w:t xml:space="preserve">schools were </w:t>
      </w:r>
      <w:r w:rsidR="00EA3B85">
        <w:rPr>
          <w:bCs/>
          <w:sz w:val="24"/>
          <w:szCs w:val="24"/>
        </w:rPr>
        <w:t xml:space="preserve">already </w:t>
      </w:r>
      <w:r w:rsidR="002454C9">
        <w:rPr>
          <w:bCs/>
          <w:sz w:val="24"/>
          <w:szCs w:val="24"/>
        </w:rPr>
        <w:t xml:space="preserve">working towards performance measures </w:t>
      </w:r>
      <w:r w:rsidR="001B5BCF">
        <w:rPr>
          <w:bCs/>
          <w:sz w:val="24"/>
          <w:szCs w:val="24"/>
        </w:rPr>
        <w:t xml:space="preserve">to the detriment of </w:t>
      </w:r>
      <w:r w:rsidR="00265F33">
        <w:rPr>
          <w:bCs/>
          <w:sz w:val="24"/>
          <w:szCs w:val="24"/>
        </w:rPr>
        <w:t xml:space="preserve">individual </w:t>
      </w:r>
      <w:r w:rsidR="001B5BCF">
        <w:rPr>
          <w:bCs/>
          <w:sz w:val="24"/>
          <w:szCs w:val="24"/>
        </w:rPr>
        <w:t>students</w:t>
      </w:r>
      <w:r w:rsidR="00011792">
        <w:rPr>
          <w:bCs/>
          <w:sz w:val="24"/>
          <w:szCs w:val="24"/>
        </w:rPr>
        <w:t>,</w:t>
      </w:r>
      <w:r w:rsidR="001B5BCF">
        <w:rPr>
          <w:bCs/>
          <w:sz w:val="24"/>
          <w:szCs w:val="24"/>
        </w:rPr>
        <w:t xml:space="preserve"> </w:t>
      </w:r>
      <w:r w:rsidR="002454C9">
        <w:rPr>
          <w:bCs/>
          <w:sz w:val="24"/>
          <w:szCs w:val="24"/>
        </w:rPr>
        <w:t xml:space="preserve">but then </w:t>
      </w:r>
      <w:r w:rsidR="00EA3B85">
        <w:rPr>
          <w:bCs/>
          <w:sz w:val="24"/>
          <w:szCs w:val="24"/>
        </w:rPr>
        <w:t>a further performance measure, the EBac</w:t>
      </w:r>
      <w:r w:rsidR="00011792">
        <w:rPr>
          <w:bCs/>
          <w:sz w:val="24"/>
          <w:szCs w:val="24"/>
        </w:rPr>
        <w:t>,</w:t>
      </w:r>
      <w:r w:rsidR="00EA3B85">
        <w:rPr>
          <w:bCs/>
          <w:sz w:val="24"/>
          <w:szCs w:val="24"/>
        </w:rPr>
        <w:t xml:space="preserve"> was </w:t>
      </w:r>
      <w:r w:rsidR="002454C9">
        <w:rPr>
          <w:bCs/>
          <w:sz w:val="24"/>
          <w:szCs w:val="24"/>
        </w:rPr>
        <w:t>introduc</w:t>
      </w:r>
      <w:r w:rsidR="00EA3B85">
        <w:rPr>
          <w:bCs/>
          <w:sz w:val="24"/>
          <w:szCs w:val="24"/>
        </w:rPr>
        <w:t>ed</w:t>
      </w:r>
      <w:r w:rsidR="00011792">
        <w:rPr>
          <w:bCs/>
          <w:sz w:val="24"/>
          <w:szCs w:val="24"/>
        </w:rPr>
        <w:t>;</w:t>
      </w:r>
      <w:r w:rsidR="002454C9">
        <w:rPr>
          <w:bCs/>
          <w:sz w:val="24"/>
          <w:szCs w:val="24"/>
        </w:rPr>
        <w:t xml:space="preserve"> </w:t>
      </w:r>
      <w:r w:rsidR="00011792">
        <w:rPr>
          <w:bCs/>
          <w:sz w:val="24"/>
          <w:szCs w:val="24"/>
        </w:rPr>
        <w:t>s</w:t>
      </w:r>
      <w:r w:rsidR="002454C9">
        <w:rPr>
          <w:bCs/>
          <w:sz w:val="24"/>
          <w:szCs w:val="24"/>
        </w:rPr>
        <w:t>econd</w:t>
      </w:r>
      <w:r w:rsidR="00986463">
        <w:rPr>
          <w:bCs/>
          <w:sz w:val="24"/>
          <w:szCs w:val="24"/>
        </w:rPr>
        <w:t>ly</w:t>
      </w:r>
      <w:r w:rsidR="0072433E">
        <w:rPr>
          <w:bCs/>
          <w:sz w:val="24"/>
          <w:szCs w:val="24"/>
        </w:rPr>
        <w:t>,</w:t>
      </w:r>
      <w:r w:rsidR="002454C9">
        <w:rPr>
          <w:bCs/>
          <w:sz w:val="24"/>
          <w:szCs w:val="24"/>
        </w:rPr>
        <w:t xml:space="preserve"> the stated intention that the EBac would support </w:t>
      </w:r>
      <w:r w:rsidR="00EA3B85">
        <w:rPr>
          <w:bCs/>
          <w:sz w:val="24"/>
          <w:szCs w:val="24"/>
        </w:rPr>
        <w:t>‘</w:t>
      </w:r>
      <w:r w:rsidR="002454C9">
        <w:rPr>
          <w:bCs/>
          <w:sz w:val="24"/>
          <w:szCs w:val="24"/>
        </w:rPr>
        <w:t>disadvantaged</w:t>
      </w:r>
      <w:r w:rsidR="00EA3B85">
        <w:rPr>
          <w:bCs/>
          <w:sz w:val="24"/>
          <w:szCs w:val="24"/>
        </w:rPr>
        <w:t>’</w:t>
      </w:r>
      <w:r w:rsidR="002454C9">
        <w:rPr>
          <w:bCs/>
          <w:sz w:val="24"/>
          <w:szCs w:val="24"/>
        </w:rPr>
        <w:t xml:space="preserve"> students into higher status courses and universities</w:t>
      </w:r>
      <w:r w:rsidR="00986463">
        <w:rPr>
          <w:bCs/>
          <w:sz w:val="24"/>
          <w:szCs w:val="24"/>
        </w:rPr>
        <w:t>,</w:t>
      </w:r>
      <w:r w:rsidR="002454C9">
        <w:rPr>
          <w:bCs/>
          <w:sz w:val="24"/>
          <w:szCs w:val="24"/>
        </w:rPr>
        <w:t xml:space="preserve"> </w:t>
      </w:r>
      <w:r w:rsidR="00011792">
        <w:rPr>
          <w:bCs/>
          <w:sz w:val="24"/>
          <w:szCs w:val="24"/>
        </w:rPr>
        <w:t xml:space="preserve">therefore </w:t>
      </w:r>
      <w:r w:rsidR="002454C9">
        <w:rPr>
          <w:bCs/>
          <w:sz w:val="24"/>
          <w:szCs w:val="24"/>
        </w:rPr>
        <w:t>reduc</w:t>
      </w:r>
      <w:r w:rsidR="00011792">
        <w:rPr>
          <w:bCs/>
          <w:sz w:val="24"/>
          <w:szCs w:val="24"/>
        </w:rPr>
        <w:t>ing</w:t>
      </w:r>
      <w:r w:rsidR="002454C9">
        <w:rPr>
          <w:bCs/>
          <w:sz w:val="24"/>
          <w:szCs w:val="24"/>
        </w:rPr>
        <w:t xml:space="preserve"> inequalities</w:t>
      </w:r>
      <w:r w:rsidR="00011792">
        <w:rPr>
          <w:bCs/>
          <w:sz w:val="24"/>
          <w:szCs w:val="24"/>
        </w:rPr>
        <w:t>,</w:t>
      </w:r>
      <w:r w:rsidR="002454C9">
        <w:rPr>
          <w:bCs/>
          <w:sz w:val="24"/>
          <w:szCs w:val="24"/>
        </w:rPr>
        <w:t xml:space="preserve"> when the national statistics show that there is still a gap between the entries for the EBac across different types of schools (DfE</w:t>
      </w:r>
      <w:r w:rsidR="00986463">
        <w:rPr>
          <w:bCs/>
          <w:sz w:val="24"/>
          <w:szCs w:val="24"/>
        </w:rPr>
        <w:t>,</w:t>
      </w:r>
      <w:r w:rsidR="002454C9">
        <w:rPr>
          <w:bCs/>
          <w:sz w:val="24"/>
          <w:szCs w:val="24"/>
        </w:rPr>
        <w:t xml:space="preserve"> 2013)</w:t>
      </w:r>
      <w:r w:rsidR="00986463">
        <w:rPr>
          <w:bCs/>
          <w:sz w:val="24"/>
          <w:szCs w:val="24"/>
        </w:rPr>
        <w:t>,</w:t>
      </w:r>
      <w:r w:rsidR="00011792">
        <w:rPr>
          <w:bCs/>
          <w:sz w:val="24"/>
          <w:szCs w:val="24"/>
        </w:rPr>
        <w:t xml:space="preserve"> and finally, </w:t>
      </w:r>
      <w:r w:rsidR="002454C9">
        <w:rPr>
          <w:bCs/>
          <w:sz w:val="24"/>
          <w:szCs w:val="24"/>
        </w:rPr>
        <w:t>the claim that schools would be free to implement actions they believed would support student progress while simultaneously introducing stronger accountability measures</w:t>
      </w:r>
      <w:r w:rsidR="005F1218">
        <w:rPr>
          <w:bCs/>
          <w:sz w:val="24"/>
          <w:szCs w:val="24"/>
        </w:rPr>
        <w:t xml:space="preserve"> which reduced school freedoms</w:t>
      </w:r>
      <w:r w:rsidR="002454C9">
        <w:rPr>
          <w:bCs/>
          <w:sz w:val="24"/>
          <w:szCs w:val="24"/>
        </w:rPr>
        <w:t>.</w:t>
      </w:r>
    </w:p>
    <w:p w14:paraId="32CE087B" w14:textId="77777777" w:rsidR="00986463" w:rsidRDefault="00986463" w:rsidP="0018035B">
      <w:pPr>
        <w:spacing w:after="0" w:line="360" w:lineRule="auto"/>
        <w:rPr>
          <w:bCs/>
          <w:sz w:val="24"/>
          <w:szCs w:val="24"/>
        </w:rPr>
      </w:pPr>
    </w:p>
    <w:p w14:paraId="79C120C0" w14:textId="710A9A32" w:rsidR="002454C9" w:rsidRDefault="002454C9" w:rsidP="00B6050F">
      <w:pPr>
        <w:spacing w:after="0" w:line="360" w:lineRule="auto"/>
        <w:rPr>
          <w:bCs/>
          <w:sz w:val="24"/>
          <w:szCs w:val="24"/>
        </w:rPr>
      </w:pPr>
      <w:r>
        <w:rPr>
          <w:bCs/>
          <w:sz w:val="24"/>
          <w:szCs w:val="24"/>
        </w:rPr>
        <w:t xml:space="preserve">I believe that my reference </w:t>
      </w:r>
      <w:r w:rsidR="00740318">
        <w:rPr>
          <w:bCs/>
          <w:sz w:val="24"/>
          <w:szCs w:val="24"/>
        </w:rPr>
        <w:t>to</w:t>
      </w:r>
      <w:r w:rsidR="00011792">
        <w:rPr>
          <w:bCs/>
          <w:sz w:val="24"/>
          <w:szCs w:val="24"/>
        </w:rPr>
        <w:t>,</w:t>
      </w:r>
      <w:r w:rsidR="00740318">
        <w:rPr>
          <w:bCs/>
          <w:sz w:val="24"/>
          <w:szCs w:val="24"/>
        </w:rPr>
        <w:t xml:space="preserve"> and links between</w:t>
      </w:r>
      <w:r w:rsidR="00011792">
        <w:rPr>
          <w:bCs/>
          <w:sz w:val="24"/>
          <w:szCs w:val="24"/>
        </w:rPr>
        <w:t>,</w:t>
      </w:r>
      <w:r w:rsidR="00740318">
        <w:rPr>
          <w:bCs/>
          <w:sz w:val="24"/>
          <w:szCs w:val="24"/>
        </w:rPr>
        <w:t xml:space="preserve"> my findings on the EBac and </w:t>
      </w:r>
      <w:r>
        <w:rPr>
          <w:bCs/>
          <w:sz w:val="24"/>
          <w:szCs w:val="24"/>
        </w:rPr>
        <w:t xml:space="preserve">the literature of </w:t>
      </w:r>
      <w:r w:rsidR="00740318">
        <w:rPr>
          <w:bCs/>
          <w:sz w:val="24"/>
          <w:szCs w:val="24"/>
        </w:rPr>
        <w:t>Bourdieu and Passeron (1977</w:t>
      </w:r>
      <w:r w:rsidR="00790914">
        <w:rPr>
          <w:bCs/>
          <w:sz w:val="24"/>
          <w:szCs w:val="24"/>
        </w:rPr>
        <w:t>)</w:t>
      </w:r>
      <w:r w:rsidR="00740318">
        <w:rPr>
          <w:bCs/>
          <w:sz w:val="24"/>
          <w:szCs w:val="24"/>
        </w:rPr>
        <w:t>, Carr and Hartnett (1996)</w:t>
      </w:r>
      <w:r w:rsidR="00986463">
        <w:rPr>
          <w:bCs/>
          <w:sz w:val="24"/>
          <w:szCs w:val="24"/>
        </w:rPr>
        <w:t>,</w:t>
      </w:r>
      <w:r w:rsidR="005B7DFE">
        <w:rPr>
          <w:bCs/>
          <w:sz w:val="24"/>
          <w:szCs w:val="24"/>
        </w:rPr>
        <w:t xml:space="preserve"> </w:t>
      </w:r>
      <w:r w:rsidR="00740318">
        <w:rPr>
          <w:bCs/>
          <w:sz w:val="24"/>
          <w:szCs w:val="24"/>
        </w:rPr>
        <w:t xml:space="preserve">Apple (1996) </w:t>
      </w:r>
      <w:r w:rsidR="00DF7C68">
        <w:rPr>
          <w:bCs/>
          <w:sz w:val="24"/>
          <w:szCs w:val="24"/>
        </w:rPr>
        <w:t>and Lingard et al</w:t>
      </w:r>
      <w:r w:rsidR="00011792">
        <w:rPr>
          <w:bCs/>
          <w:sz w:val="24"/>
          <w:szCs w:val="24"/>
        </w:rPr>
        <w:t>.</w:t>
      </w:r>
      <w:r w:rsidR="00DF7C68">
        <w:rPr>
          <w:bCs/>
          <w:sz w:val="24"/>
          <w:szCs w:val="24"/>
        </w:rPr>
        <w:t xml:space="preserve"> (2014) </w:t>
      </w:r>
      <w:r w:rsidR="00740318">
        <w:rPr>
          <w:bCs/>
          <w:sz w:val="24"/>
          <w:szCs w:val="24"/>
        </w:rPr>
        <w:t xml:space="preserve">have </w:t>
      </w:r>
      <w:r w:rsidR="0072433E">
        <w:rPr>
          <w:bCs/>
          <w:sz w:val="24"/>
          <w:szCs w:val="24"/>
        </w:rPr>
        <w:t>demonstrated</w:t>
      </w:r>
      <w:r w:rsidR="00740318">
        <w:rPr>
          <w:bCs/>
          <w:sz w:val="24"/>
          <w:szCs w:val="24"/>
        </w:rPr>
        <w:t xml:space="preserve"> that the provision of a specified </w:t>
      </w:r>
      <w:r w:rsidR="008714A7">
        <w:rPr>
          <w:bCs/>
          <w:sz w:val="24"/>
          <w:szCs w:val="24"/>
        </w:rPr>
        <w:t xml:space="preserve">common </w:t>
      </w:r>
      <w:r w:rsidR="00740318">
        <w:rPr>
          <w:bCs/>
          <w:sz w:val="24"/>
          <w:szCs w:val="24"/>
        </w:rPr>
        <w:t xml:space="preserve">curriculum does not </w:t>
      </w:r>
      <w:r w:rsidR="008714A7">
        <w:rPr>
          <w:bCs/>
          <w:sz w:val="24"/>
          <w:szCs w:val="24"/>
        </w:rPr>
        <w:t xml:space="preserve">necessarily </w:t>
      </w:r>
      <w:r w:rsidR="00740318">
        <w:rPr>
          <w:bCs/>
          <w:sz w:val="24"/>
          <w:szCs w:val="24"/>
        </w:rPr>
        <w:t>ensure that everyone is able or willing to succeed</w:t>
      </w:r>
      <w:r w:rsidR="00986463">
        <w:rPr>
          <w:bCs/>
          <w:sz w:val="24"/>
          <w:szCs w:val="24"/>
        </w:rPr>
        <w:t xml:space="preserve"> in that framework</w:t>
      </w:r>
      <w:r w:rsidR="00740318">
        <w:rPr>
          <w:bCs/>
          <w:sz w:val="24"/>
          <w:szCs w:val="24"/>
        </w:rPr>
        <w:t>. The EBac does not provide a level playing field for children to be compared and assessed against and will not</w:t>
      </w:r>
      <w:r w:rsidR="00011792">
        <w:rPr>
          <w:bCs/>
          <w:sz w:val="24"/>
          <w:szCs w:val="24"/>
        </w:rPr>
        <w:t>,</w:t>
      </w:r>
      <w:r w:rsidR="00740318">
        <w:rPr>
          <w:bCs/>
          <w:sz w:val="24"/>
          <w:szCs w:val="24"/>
        </w:rPr>
        <w:t xml:space="preserve"> on its own</w:t>
      </w:r>
      <w:r w:rsidR="00011792">
        <w:rPr>
          <w:bCs/>
          <w:sz w:val="24"/>
          <w:szCs w:val="24"/>
        </w:rPr>
        <w:t>,</w:t>
      </w:r>
      <w:r w:rsidR="00740318">
        <w:rPr>
          <w:bCs/>
          <w:sz w:val="24"/>
          <w:szCs w:val="24"/>
        </w:rPr>
        <w:t xml:space="preserve"> ensure equality of outcome</w:t>
      </w:r>
      <w:r w:rsidR="00011792">
        <w:rPr>
          <w:bCs/>
          <w:sz w:val="24"/>
          <w:szCs w:val="24"/>
        </w:rPr>
        <w:t>,</w:t>
      </w:r>
      <w:r w:rsidR="00740318">
        <w:rPr>
          <w:bCs/>
          <w:sz w:val="24"/>
          <w:szCs w:val="24"/>
        </w:rPr>
        <w:t xml:space="preserve"> or that FSM children access Oxbridge in the same proportions as other groups.</w:t>
      </w:r>
    </w:p>
    <w:p w14:paraId="42A727C7" w14:textId="77777777" w:rsidR="00B6050F" w:rsidRDefault="00B6050F" w:rsidP="00B6050F">
      <w:pPr>
        <w:spacing w:after="0" w:line="360" w:lineRule="auto"/>
        <w:rPr>
          <w:bCs/>
          <w:sz w:val="24"/>
          <w:szCs w:val="24"/>
        </w:rPr>
      </w:pPr>
    </w:p>
    <w:p w14:paraId="29FC534E" w14:textId="17BC761E" w:rsidR="00740318" w:rsidRDefault="00283AE1" w:rsidP="00B6050F">
      <w:pPr>
        <w:tabs>
          <w:tab w:val="left" w:pos="7371"/>
        </w:tabs>
        <w:spacing w:after="0" w:line="360" w:lineRule="auto"/>
        <w:rPr>
          <w:bCs/>
          <w:sz w:val="24"/>
          <w:szCs w:val="24"/>
        </w:rPr>
      </w:pPr>
      <w:r>
        <w:rPr>
          <w:bCs/>
          <w:sz w:val="24"/>
          <w:szCs w:val="24"/>
        </w:rPr>
        <w:t xml:space="preserve">I stated that my research would investigate issues surrounding </w:t>
      </w:r>
      <w:r w:rsidR="00FE0B50">
        <w:rPr>
          <w:bCs/>
          <w:sz w:val="24"/>
          <w:szCs w:val="24"/>
        </w:rPr>
        <w:t>governance</w:t>
      </w:r>
      <w:r w:rsidR="00986463">
        <w:rPr>
          <w:bCs/>
          <w:sz w:val="24"/>
          <w:szCs w:val="24"/>
        </w:rPr>
        <w:t>. T</w:t>
      </w:r>
      <w:r w:rsidR="001C7E8F">
        <w:rPr>
          <w:bCs/>
          <w:sz w:val="24"/>
          <w:szCs w:val="24"/>
        </w:rPr>
        <w:t xml:space="preserve">he discourse of </w:t>
      </w:r>
      <w:r w:rsidR="00EA3B85">
        <w:rPr>
          <w:bCs/>
          <w:sz w:val="24"/>
          <w:szCs w:val="24"/>
        </w:rPr>
        <w:t>‘</w:t>
      </w:r>
      <w:r w:rsidR="001C7E8F">
        <w:rPr>
          <w:bCs/>
          <w:sz w:val="24"/>
          <w:szCs w:val="24"/>
        </w:rPr>
        <w:t>ability</w:t>
      </w:r>
      <w:r w:rsidR="00EA3B85">
        <w:rPr>
          <w:bCs/>
          <w:sz w:val="24"/>
          <w:szCs w:val="24"/>
        </w:rPr>
        <w:t>’</w:t>
      </w:r>
      <w:r w:rsidR="001C7E8F">
        <w:rPr>
          <w:bCs/>
          <w:sz w:val="24"/>
          <w:szCs w:val="24"/>
        </w:rPr>
        <w:t xml:space="preserve"> became an important aspect of my research</w:t>
      </w:r>
      <w:r w:rsidR="00EA3B85">
        <w:rPr>
          <w:bCs/>
          <w:sz w:val="24"/>
          <w:szCs w:val="24"/>
        </w:rPr>
        <w:t>, with</w:t>
      </w:r>
      <w:r w:rsidR="001C7E8F">
        <w:rPr>
          <w:bCs/>
          <w:sz w:val="24"/>
          <w:szCs w:val="24"/>
        </w:rPr>
        <w:t xml:space="preserve"> refer</w:t>
      </w:r>
      <w:r w:rsidR="00EA3B85">
        <w:rPr>
          <w:bCs/>
          <w:sz w:val="24"/>
          <w:szCs w:val="24"/>
        </w:rPr>
        <w:t>ence</w:t>
      </w:r>
      <w:r w:rsidR="001C7E8F">
        <w:rPr>
          <w:bCs/>
          <w:sz w:val="24"/>
          <w:szCs w:val="24"/>
        </w:rPr>
        <w:t xml:space="preserve"> to the work of Hope (2013) into governmentality and school surveillance</w:t>
      </w:r>
      <w:r w:rsidR="00011792">
        <w:rPr>
          <w:bCs/>
          <w:sz w:val="24"/>
          <w:szCs w:val="24"/>
        </w:rPr>
        <w:t>,</w:t>
      </w:r>
      <w:r w:rsidR="001C7E8F">
        <w:rPr>
          <w:bCs/>
          <w:sz w:val="24"/>
          <w:szCs w:val="24"/>
        </w:rPr>
        <w:t xml:space="preserve"> along with the work of Rose (1999).</w:t>
      </w:r>
      <w:r w:rsidR="005F1218">
        <w:rPr>
          <w:bCs/>
          <w:sz w:val="24"/>
          <w:szCs w:val="24"/>
        </w:rPr>
        <w:t xml:space="preserve"> </w:t>
      </w:r>
      <w:r w:rsidR="00DF7C68">
        <w:rPr>
          <w:bCs/>
          <w:sz w:val="24"/>
          <w:szCs w:val="24"/>
        </w:rPr>
        <w:t>Also</w:t>
      </w:r>
      <w:r w:rsidR="001C7E8F">
        <w:rPr>
          <w:bCs/>
          <w:sz w:val="24"/>
          <w:szCs w:val="24"/>
        </w:rPr>
        <w:t xml:space="preserve"> considering the work by Billington (2000) into the pathologi</w:t>
      </w:r>
      <w:r w:rsidR="00986463">
        <w:rPr>
          <w:bCs/>
          <w:sz w:val="24"/>
          <w:szCs w:val="24"/>
        </w:rPr>
        <w:t>s</w:t>
      </w:r>
      <w:r w:rsidR="00EA3B85">
        <w:rPr>
          <w:bCs/>
          <w:sz w:val="24"/>
          <w:szCs w:val="24"/>
        </w:rPr>
        <w:t>ation</w:t>
      </w:r>
      <w:r w:rsidR="001C7E8F">
        <w:rPr>
          <w:bCs/>
          <w:sz w:val="24"/>
          <w:szCs w:val="24"/>
        </w:rPr>
        <w:t xml:space="preserve"> of children and how labels such as </w:t>
      </w:r>
      <w:r w:rsidR="005C6B01">
        <w:rPr>
          <w:bCs/>
          <w:sz w:val="24"/>
          <w:szCs w:val="24"/>
        </w:rPr>
        <w:t>‘</w:t>
      </w:r>
      <w:r w:rsidR="001C7E8F">
        <w:rPr>
          <w:bCs/>
          <w:sz w:val="24"/>
          <w:szCs w:val="24"/>
        </w:rPr>
        <w:t>low ability</w:t>
      </w:r>
      <w:r w:rsidR="005C6B01">
        <w:rPr>
          <w:bCs/>
          <w:sz w:val="24"/>
          <w:szCs w:val="24"/>
        </w:rPr>
        <w:t>’</w:t>
      </w:r>
      <w:r w:rsidR="001C7E8F">
        <w:rPr>
          <w:bCs/>
          <w:sz w:val="24"/>
          <w:szCs w:val="24"/>
        </w:rPr>
        <w:t xml:space="preserve"> or </w:t>
      </w:r>
      <w:r w:rsidR="005C6B01">
        <w:rPr>
          <w:bCs/>
          <w:sz w:val="24"/>
          <w:szCs w:val="24"/>
        </w:rPr>
        <w:t>‘</w:t>
      </w:r>
      <w:r w:rsidR="001C7E8F">
        <w:rPr>
          <w:bCs/>
          <w:sz w:val="24"/>
          <w:szCs w:val="24"/>
        </w:rPr>
        <w:t>not capable</w:t>
      </w:r>
      <w:r w:rsidR="005C6B01">
        <w:rPr>
          <w:bCs/>
          <w:sz w:val="24"/>
          <w:szCs w:val="24"/>
        </w:rPr>
        <w:t>’</w:t>
      </w:r>
      <w:r w:rsidR="001C7E8F">
        <w:rPr>
          <w:bCs/>
          <w:sz w:val="24"/>
          <w:szCs w:val="24"/>
        </w:rPr>
        <w:t xml:space="preserve"> are generated from the huge amount of data </w:t>
      </w:r>
      <w:r w:rsidR="003E16E5">
        <w:rPr>
          <w:bCs/>
          <w:sz w:val="24"/>
          <w:szCs w:val="24"/>
        </w:rPr>
        <w:t xml:space="preserve">that </w:t>
      </w:r>
      <w:r w:rsidR="003E16E5">
        <w:rPr>
          <w:bCs/>
          <w:sz w:val="24"/>
          <w:szCs w:val="24"/>
        </w:rPr>
        <w:lastRenderedPageBreak/>
        <w:t xml:space="preserve">is now collected on children and used to predict outcomes. </w:t>
      </w:r>
      <w:r w:rsidR="00DF7C68">
        <w:rPr>
          <w:bCs/>
          <w:sz w:val="24"/>
          <w:szCs w:val="24"/>
        </w:rPr>
        <w:t xml:space="preserve">Further research into recent literature </w:t>
      </w:r>
      <w:r w:rsidR="00986463">
        <w:rPr>
          <w:bCs/>
          <w:sz w:val="24"/>
          <w:szCs w:val="24"/>
        </w:rPr>
        <w:t xml:space="preserve">has </w:t>
      </w:r>
      <w:r w:rsidR="00DF7C68">
        <w:rPr>
          <w:bCs/>
          <w:sz w:val="24"/>
          <w:szCs w:val="24"/>
        </w:rPr>
        <w:t>highlighted the debate about the effects and inequalities of high-stakes testing within a neoliberal perspective. Such literature (Lingard et al</w:t>
      </w:r>
      <w:r w:rsidR="00011792">
        <w:rPr>
          <w:bCs/>
          <w:sz w:val="24"/>
          <w:szCs w:val="24"/>
        </w:rPr>
        <w:t>.</w:t>
      </w:r>
      <w:r w:rsidR="00DF7C68">
        <w:rPr>
          <w:bCs/>
          <w:sz w:val="24"/>
          <w:szCs w:val="24"/>
        </w:rPr>
        <w:t xml:space="preserve"> 2014</w:t>
      </w:r>
      <w:r w:rsidR="00986463">
        <w:rPr>
          <w:bCs/>
          <w:sz w:val="24"/>
          <w:szCs w:val="24"/>
        </w:rPr>
        <w:t>;</w:t>
      </w:r>
      <w:r w:rsidR="00DF7C68">
        <w:rPr>
          <w:bCs/>
          <w:sz w:val="24"/>
          <w:szCs w:val="24"/>
        </w:rPr>
        <w:t xml:space="preserve"> Lingard </w:t>
      </w:r>
      <w:r w:rsidR="00986463">
        <w:rPr>
          <w:bCs/>
          <w:sz w:val="24"/>
          <w:szCs w:val="24"/>
        </w:rPr>
        <w:t>and</w:t>
      </w:r>
      <w:r w:rsidR="00DF7C68">
        <w:rPr>
          <w:bCs/>
          <w:sz w:val="24"/>
          <w:szCs w:val="24"/>
        </w:rPr>
        <w:t xml:space="preserve"> Sellar 2012</w:t>
      </w:r>
      <w:r w:rsidR="00986463">
        <w:rPr>
          <w:bCs/>
          <w:sz w:val="24"/>
          <w:szCs w:val="24"/>
        </w:rPr>
        <w:t>;</w:t>
      </w:r>
      <w:r w:rsidR="00DF7C68">
        <w:rPr>
          <w:bCs/>
          <w:sz w:val="24"/>
          <w:szCs w:val="24"/>
        </w:rPr>
        <w:t xml:space="preserve"> Ball et al</w:t>
      </w:r>
      <w:r w:rsidR="00011792">
        <w:rPr>
          <w:bCs/>
          <w:sz w:val="24"/>
          <w:szCs w:val="24"/>
        </w:rPr>
        <w:t>.</w:t>
      </w:r>
      <w:r w:rsidR="00DF7C68">
        <w:rPr>
          <w:bCs/>
          <w:sz w:val="24"/>
          <w:szCs w:val="24"/>
        </w:rPr>
        <w:t xml:space="preserve"> 2012</w:t>
      </w:r>
      <w:r w:rsidR="00986463">
        <w:rPr>
          <w:bCs/>
          <w:sz w:val="24"/>
          <w:szCs w:val="24"/>
        </w:rPr>
        <w:t xml:space="preserve">; </w:t>
      </w:r>
      <w:r w:rsidR="00DF7C68">
        <w:rPr>
          <w:bCs/>
          <w:sz w:val="24"/>
          <w:szCs w:val="24"/>
        </w:rPr>
        <w:t>Angus 2012) reflect</w:t>
      </w:r>
      <w:r w:rsidR="00011792">
        <w:rPr>
          <w:bCs/>
          <w:sz w:val="24"/>
          <w:szCs w:val="24"/>
        </w:rPr>
        <w:t>s</w:t>
      </w:r>
      <w:r w:rsidR="00DF7C68">
        <w:rPr>
          <w:bCs/>
          <w:sz w:val="24"/>
          <w:szCs w:val="24"/>
        </w:rPr>
        <w:t xml:space="preserve"> Foucault’s concept of governmentality</w:t>
      </w:r>
      <w:r w:rsidR="00986463">
        <w:rPr>
          <w:bCs/>
          <w:sz w:val="24"/>
          <w:szCs w:val="24"/>
        </w:rPr>
        <w:t>,</w:t>
      </w:r>
      <w:r w:rsidR="00DF7C68">
        <w:rPr>
          <w:bCs/>
          <w:sz w:val="24"/>
          <w:szCs w:val="24"/>
        </w:rPr>
        <w:t xml:space="preserve"> particularly </w:t>
      </w:r>
      <w:r w:rsidR="004F35B7">
        <w:rPr>
          <w:bCs/>
          <w:sz w:val="24"/>
          <w:szCs w:val="24"/>
        </w:rPr>
        <w:t xml:space="preserve">the move to </w:t>
      </w:r>
      <w:r w:rsidR="00DF7C68">
        <w:rPr>
          <w:bCs/>
          <w:sz w:val="24"/>
          <w:szCs w:val="24"/>
        </w:rPr>
        <w:t>self-governance</w:t>
      </w:r>
      <w:r w:rsidR="00986463">
        <w:rPr>
          <w:bCs/>
          <w:sz w:val="24"/>
          <w:szCs w:val="24"/>
        </w:rPr>
        <w:t>,</w:t>
      </w:r>
      <w:r w:rsidR="00DF7C68">
        <w:rPr>
          <w:bCs/>
          <w:sz w:val="24"/>
          <w:szCs w:val="24"/>
        </w:rPr>
        <w:t xml:space="preserve"> which creates a situation where teachers </w:t>
      </w:r>
      <w:r w:rsidR="004F35B7">
        <w:rPr>
          <w:bCs/>
          <w:sz w:val="24"/>
          <w:szCs w:val="24"/>
        </w:rPr>
        <w:t>and students do not require external control but rather internalise</w:t>
      </w:r>
      <w:r w:rsidR="00011792">
        <w:rPr>
          <w:bCs/>
          <w:sz w:val="24"/>
          <w:szCs w:val="24"/>
        </w:rPr>
        <w:t>, with</w:t>
      </w:r>
      <w:r w:rsidR="004F35B7">
        <w:rPr>
          <w:bCs/>
          <w:sz w:val="24"/>
          <w:szCs w:val="24"/>
        </w:rPr>
        <w:t xml:space="preserve"> self-surveillance and control evident. </w:t>
      </w:r>
      <w:r w:rsidR="003E16E5">
        <w:rPr>
          <w:bCs/>
          <w:sz w:val="24"/>
          <w:szCs w:val="24"/>
        </w:rPr>
        <w:t xml:space="preserve">The teachers in my research framed all </w:t>
      </w:r>
      <w:r w:rsidR="00F30E14">
        <w:rPr>
          <w:bCs/>
          <w:sz w:val="24"/>
          <w:szCs w:val="24"/>
        </w:rPr>
        <w:t xml:space="preserve">responses to </w:t>
      </w:r>
      <w:r w:rsidR="003E16E5">
        <w:rPr>
          <w:bCs/>
          <w:sz w:val="24"/>
          <w:szCs w:val="24"/>
        </w:rPr>
        <w:t xml:space="preserve">questions about equality in </w:t>
      </w:r>
      <w:r w:rsidR="00F30E14">
        <w:rPr>
          <w:bCs/>
          <w:sz w:val="24"/>
          <w:szCs w:val="24"/>
        </w:rPr>
        <w:t>the form</w:t>
      </w:r>
      <w:r w:rsidR="003E16E5">
        <w:rPr>
          <w:bCs/>
          <w:sz w:val="24"/>
          <w:szCs w:val="24"/>
        </w:rPr>
        <w:t xml:space="preserve"> of perceived </w:t>
      </w:r>
      <w:r w:rsidR="004F35B7">
        <w:rPr>
          <w:bCs/>
          <w:sz w:val="24"/>
          <w:szCs w:val="24"/>
        </w:rPr>
        <w:t>‘</w:t>
      </w:r>
      <w:r w:rsidR="003E16E5">
        <w:rPr>
          <w:bCs/>
          <w:sz w:val="24"/>
          <w:szCs w:val="24"/>
        </w:rPr>
        <w:t>ability</w:t>
      </w:r>
      <w:r w:rsidR="004F35B7">
        <w:rPr>
          <w:bCs/>
          <w:sz w:val="24"/>
          <w:szCs w:val="24"/>
        </w:rPr>
        <w:t>’</w:t>
      </w:r>
      <w:r w:rsidR="003E16E5">
        <w:rPr>
          <w:bCs/>
          <w:sz w:val="24"/>
          <w:szCs w:val="24"/>
        </w:rPr>
        <w:t xml:space="preserve"> rather than</w:t>
      </w:r>
      <w:r w:rsidR="005C6B01">
        <w:rPr>
          <w:bCs/>
          <w:sz w:val="24"/>
          <w:szCs w:val="24"/>
        </w:rPr>
        <w:t xml:space="preserve"> social characteristics</w:t>
      </w:r>
      <w:r w:rsidR="003E16E5">
        <w:rPr>
          <w:bCs/>
          <w:sz w:val="24"/>
          <w:szCs w:val="24"/>
        </w:rPr>
        <w:t xml:space="preserve"> such as social class, ethnicity or gender.</w:t>
      </w:r>
      <w:r w:rsidR="005F1218">
        <w:rPr>
          <w:bCs/>
          <w:sz w:val="24"/>
          <w:szCs w:val="24"/>
        </w:rPr>
        <w:t xml:space="preserve"> Despite</w:t>
      </w:r>
      <w:r w:rsidR="0062290B">
        <w:rPr>
          <w:bCs/>
          <w:sz w:val="24"/>
          <w:szCs w:val="24"/>
        </w:rPr>
        <w:t xml:space="preserve"> (</w:t>
      </w:r>
      <w:r w:rsidR="004F35B7">
        <w:rPr>
          <w:bCs/>
          <w:sz w:val="24"/>
          <w:szCs w:val="24"/>
        </w:rPr>
        <w:t>or maybe because of</w:t>
      </w:r>
      <w:r w:rsidR="0062290B">
        <w:rPr>
          <w:bCs/>
          <w:sz w:val="24"/>
          <w:szCs w:val="24"/>
        </w:rPr>
        <w:t xml:space="preserve">) </w:t>
      </w:r>
      <w:r w:rsidR="005F1218">
        <w:rPr>
          <w:bCs/>
          <w:sz w:val="24"/>
          <w:szCs w:val="24"/>
        </w:rPr>
        <w:t>working in education for 22 years</w:t>
      </w:r>
      <w:r w:rsidR="0062290B">
        <w:rPr>
          <w:bCs/>
          <w:sz w:val="24"/>
          <w:szCs w:val="24"/>
        </w:rPr>
        <w:t>,</w:t>
      </w:r>
      <w:r w:rsidR="005F1218">
        <w:rPr>
          <w:bCs/>
          <w:sz w:val="24"/>
          <w:szCs w:val="24"/>
        </w:rPr>
        <w:t xml:space="preserve"> I had not appreciated how totalising the discourse o</w:t>
      </w:r>
      <w:r w:rsidR="00EA3B85">
        <w:rPr>
          <w:bCs/>
          <w:sz w:val="24"/>
          <w:szCs w:val="24"/>
        </w:rPr>
        <w:t>f</w:t>
      </w:r>
      <w:r w:rsidR="005F1218">
        <w:rPr>
          <w:bCs/>
          <w:sz w:val="24"/>
          <w:szCs w:val="24"/>
        </w:rPr>
        <w:t xml:space="preserve"> </w:t>
      </w:r>
      <w:r w:rsidR="004F35B7">
        <w:rPr>
          <w:bCs/>
          <w:sz w:val="24"/>
          <w:szCs w:val="24"/>
        </w:rPr>
        <w:t>‘</w:t>
      </w:r>
      <w:r w:rsidR="005F1218">
        <w:rPr>
          <w:bCs/>
          <w:sz w:val="24"/>
          <w:szCs w:val="24"/>
        </w:rPr>
        <w:t>ability</w:t>
      </w:r>
      <w:r w:rsidR="004F35B7">
        <w:rPr>
          <w:bCs/>
          <w:sz w:val="24"/>
          <w:szCs w:val="24"/>
        </w:rPr>
        <w:t>’</w:t>
      </w:r>
      <w:r w:rsidR="005F1218">
        <w:rPr>
          <w:bCs/>
          <w:sz w:val="24"/>
          <w:szCs w:val="24"/>
        </w:rPr>
        <w:t xml:space="preserve"> and data had become</w:t>
      </w:r>
      <w:r w:rsidR="004F35B7">
        <w:rPr>
          <w:bCs/>
          <w:sz w:val="24"/>
          <w:szCs w:val="24"/>
        </w:rPr>
        <w:t xml:space="preserve"> and how far my actions can be seen as part of this governance both </w:t>
      </w:r>
      <w:r w:rsidR="00011792">
        <w:rPr>
          <w:bCs/>
          <w:sz w:val="24"/>
          <w:szCs w:val="24"/>
        </w:rPr>
        <w:t xml:space="preserve">through </w:t>
      </w:r>
      <w:r w:rsidR="004F35B7">
        <w:rPr>
          <w:bCs/>
          <w:sz w:val="24"/>
          <w:szCs w:val="24"/>
        </w:rPr>
        <w:t xml:space="preserve">my expectations and demands of others but also </w:t>
      </w:r>
      <w:r w:rsidR="00011792">
        <w:rPr>
          <w:bCs/>
          <w:sz w:val="24"/>
          <w:szCs w:val="24"/>
        </w:rPr>
        <w:t xml:space="preserve">in </w:t>
      </w:r>
      <w:r w:rsidR="004F35B7">
        <w:rPr>
          <w:bCs/>
          <w:sz w:val="24"/>
          <w:szCs w:val="24"/>
        </w:rPr>
        <w:t xml:space="preserve">my </w:t>
      </w:r>
      <w:r w:rsidR="00EA3B85">
        <w:rPr>
          <w:bCs/>
          <w:sz w:val="24"/>
          <w:szCs w:val="24"/>
        </w:rPr>
        <w:t xml:space="preserve">own </w:t>
      </w:r>
      <w:r w:rsidR="004F35B7">
        <w:rPr>
          <w:bCs/>
          <w:sz w:val="24"/>
          <w:szCs w:val="24"/>
        </w:rPr>
        <w:t>behaviours</w:t>
      </w:r>
      <w:r w:rsidR="00BF1BAF">
        <w:rPr>
          <w:bCs/>
          <w:sz w:val="24"/>
          <w:szCs w:val="24"/>
        </w:rPr>
        <w:t xml:space="preserve"> and beliefs</w:t>
      </w:r>
      <w:r w:rsidR="005F1218">
        <w:rPr>
          <w:bCs/>
          <w:sz w:val="24"/>
          <w:szCs w:val="24"/>
        </w:rPr>
        <w:t>. The EBac</w:t>
      </w:r>
      <w:r w:rsidR="00265F33">
        <w:rPr>
          <w:bCs/>
          <w:sz w:val="24"/>
          <w:szCs w:val="24"/>
        </w:rPr>
        <w:t xml:space="preserve"> </w:t>
      </w:r>
      <w:r w:rsidR="005F1218">
        <w:rPr>
          <w:bCs/>
          <w:sz w:val="24"/>
          <w:szCs w:val="24"/>
        </w:rPr>
        <w:t>c</w:t>
      </w:r>
      <w:r w:rsidR="004F35B7">
        <w:rPr>
          <w:bCs/>
          <w:sz w:val="24"/>
          <w:szCs w:val="24"/>
        </w:rPr>
        <w:t>an</w:t>
      </w:r>
      <w:r w:rsidR="005F1218">
        <w:rPr>
          <w:bCs/>
          <w:sz w:val="24"/>
          <w:szCs w:val="24"/>
        </w:rPr>
        <w:t xml:space="preserve"> be seen as a way of encouraging teachers to reflect on their assessment of student ability and to expect that all </w:t>
      </w:r>
      <w:r w:rsidR="00EA3B85">
        <w:rPr>
          <w:bCs/>
          <w:sz w:val="24"/>
          <w:szCs w:val="24"/>
        </w:rPr>
        <w:t xml:space="preserve">their students </w:t>
      </w:r>
      <w:r w:rsidR="005F1218">
        <w:rPr>
          <w:bCs/>
          <w:sz w:val="24"/>
          <w:szCs w:val="24"/>
        </w:rPr>
        <w:t xml:space="preserve">can </w:t>
      </w:r>
      <w:r w:rsidR="001D565B">
        <w:rPr>
          <w:bCs/>
          <w:sz w:val="24"/>
          <w:szCs w:val="24"/>
        </w:rPr>
        <w:t>study</w:t>
      </w:r>
      <w:r w:rsidR="005F1218">
        <w:rPr>
          <w:bCs/>
          <w:sz w:val="24"/>
          <w:szCs w:val="24"/>
        </w:rPr>
        <w:t xml:space="preserve"> and succeed </w:t>
      </w:r>
      <w:r w:rsidR="00EA3B85">
        <w:rPr>
          <w:bCs/>
          <w:sz w:val="24"/>
          <w:szCs w:val="24"/>
        </w:rPr>
        <w:t>in</w:t>
      </w:r>
      <w:r w:rsidR="005F1218">
        <w:rPr>
          <w:bCs/>
          <w:sz w:val="24"/>
          <w:szCs w:val="24"/>
        </w:rPr>
        <w:t xml:space="preserve"> </w:t>
      </w:r>
      <w:r w:rsidR="00EA3B85">
        <w:rPr>
          <w:bCs/>
          <w:sz w:val="24"/>
          <w:szCs w:val="24"/>
        </w:rPr>
        <w:t>EBac</w:t>
      </w:r>
      <w:r w:rsidR="005F1218">
        <w:rPr>
          <w:bCs/>
          <w:sz w:val="24"/>
          <w:szCs w:val="24"/>
        </w:rPr>
        <w:t xml:space="preserve"> subjects. </w:t>
      </w:r>
      <w:r w:rsidR="00986463">
        <w:rPr>
          <w:bCs/>
          <w:sz w:val="24"/>
          <w:szCs w:val="24"/>
        </w:rPr>
        <w:t>I</w:t>
      </w:r>
      <w:r w:rsidR="005F1218">
        <w:rPr>
          <w:bCs/>
          <w:sz w:val="24"/>
          <w:szCs w:val="24"/>
        </w:rPr>
        <w:t>n reality</w:t>
      </w:r>
      <w:r w:rsidR="00EA3B85">
        <w:rPr>
          <w:bCs/>
          <w:sz w:val="24"/>
          <w:szCs w:val="24"/>
        </w:rPr>
        <w:t>,</w:t>
      </w:r>
      <w:r w:rsidR="00986463">
        <w:rPr>
          <w:bCs/>
          <w:sz w:val="24"/>
          <w:szCs w:val="24"/>
        </w:rPr>
        <w:t xml:space="preserve"> however,</w:t>
      </w:r>
      <w:r w:rsidR="005F1218">
        <w:rPr>
          <w:bCs/>
          <w:sz w:val="24"/>
          <w:szCs w:val="24"/>
        </w:rPr>
        <w:t xml:space="preserve"> the EBac</w:t>
      </w:r>
      <w:r w:rsidR="005C6B01">
        <w:rPr>
          <w:bCs/>
          <w:sz w:val="24"/>
          <w:szCs w:val="24"/>
        </w:rPr>
        <w:t xml:space="preserve"> </w:t>
      </w:r>
      <w:r w:rsidR="005F1218">
        <w:rPr>
          <w:bCs/>
          <w:sz w:val="24"/>
          <w:szCs w:val="24"/>
        </w:rPr>
        <w:t>confirm</w:t>
      </w:r>
      <w:r w:rsidR="005C6B01">
        <w:rPr>
          <w:bCs/>
          <w:sz w:val="24"/>
          <w:szCs w:val="24"/>
        </w:rPr>
        <w:t>ed</w:t>
      </w:r>
      <w:r w:rsidR="005F1218">
        <w:rPr>
          <w:bCs/>
          <w:sz w:val="24"/>
          <w:szCs w:val="24"/>
        </w:rPr>
        <w:t xml:space="preserve"> the ‘ability’ discourse</w:t>
      </w:r>
      <w:r w:rsidR="00EA3B85">
        <w:rPr>
          <w:bCs/>
          <w:sz w:val="24"/>
          <w:szCs w:val="24"/>
        </w:rPr>
        <w:t xml:space="preserve"> -</w:t>
      </w:r>
      <w:r w:rsidR="005F1218">
        <w:rPr>
          <w:bCs/>
          <w:sz w:val="24"/>
          <w:szCs w:val="24"/>
        </w:rPr>
        <w:t xml:space="preserve"> that these subjects were only </w:t>
      </w:r>
      <w:r w:rsidR="005F1218" w:rsidRPr="00C21398">
        <w:rPr>
          <w:bCs/>
          <w:sz w:val="24"/>
          <w:szCs w:val="24"/>
        </w:rPr>
        <w:t>for a ‘certain type’ of student</w:t>
      </w:r>
      <w:r w:rsidR="00EA3B85">
        <w:rPr>
          <w:bCs/>
          <w:sz w:val="24"/>
          <w:szCs w:val="24"/>
        </w:rPr>
        <w:t>,</w:t>
      </w:r>
      <w:r w:rsidR="00265F33" w:rsidRPr="00C21398">
        <w:rPr>
          <w:bCs/>
          <w:sz w:val="24"/>
          <w:szCs w:val="24"/>
        </w:rPr>
        <w:t xml:space="preserve"> which </w:t>
      </w:r>
      <w:r w:rsidR="00EA3B85">
        <w:rPr>
          <w:bCs/>
          <w:sz w:val="24"/>
          <w:szCs w:val="24"/>
        </w:rPr>
        <w:t xml:space="preserve">therefore </w:t>
      </w:r>
      <w:r w:rsidR="00265F33" w:rsidRPr="00C21398">
        <w:rPr>
          <w:bCs/>
          <w:sz w:val="24"/>
          <w:szCs w:val="24"/>
        </w:rPr>
        <w:t>encourage</w:t>
      </w:r>
      <w:r w:rsidR="00EA3B85">
        <w:rPr>
          <w:bCs/>
          <w:sz w:val="24"/>
          <w:szCs w:val="24"/>
        </w:rPr>
        <w:t>d</w:t>
      </w:r>
      <w:r w:rsidR="00265F33" w:rsidRPr="00C21398">
        <w:rPr>
          <w:bCs/>
          <w:sz w:val="24"/>
          <w:szCs w:val="24"/>
        </w:rPr>
        <w:t xml:space="preserve"> teachers to further restrict access to these subjects for some students</w:t>
      </w:r>
      <w:r w:rsidR="004F35B7" w:rsidRPr="00C21398">
        <w:rPr>
          <w:bCs/>
          <w:sz w:val="24"/>
          <w:szCs w:val="24"/>
        </w:rPr>
        <w:t xml:space="preserve"> (Ball et al</w:t>
      </w:r>
      <w:r w:rsidR="00011792">
        <w:rPr>
          <w:bCs/>
          <w:sz w:val="24"/>
          <w:szCs w:val="24"/>
        </w:rPr>
        <w:t>.</w:t>
      </w:r>
      <w:r w:rsidR="00986463">
        <w:rPr>
          <w:bCs/>
          <w:sz w:val="24"/>
          <w:szCs w:val="24"/>
        </w:rPr>
        <w:t>,</w:t>
      </w:r>
      <w:r w:rsidR="004F35B7" w:rsidRPr="00C21398">
        <w:rPr>
          <w:bCs/>
          <w:sz w:val="24"/>
          <w:szCs w:val="24"/>
        </w:rPr>
        <w:t xml:space="preserve"> 2012).</w:t>
      </w:r>
    </w:p>
    <w:p w14:paraId="5D1709E2" w14:textId="77777777" w:rsidR="00B6050F" w:rsidRPr="00C21398" w:rsidRDefault="00B6050F" w:rsidP="00B6050F">
      <w:pPr>
        <w:tabs>
          <w:tab w:val="left" w:pos="7371"/>
        </w:tabs>
        <w:spacing w:after="0" w:line="360" w:lineRule="auto"/>
        <w:rPr>
          <w:bCs/>
          <w:sz w:val="24"/>
          <w:szCs w:val="24"/>
        </w:rPr>
      </w:pPr>
    </w:p>
    <w:p w14:paraId="50A0097C" w14:textId="2428DF4B" w:rsidR="00C21398" w:rsidRDefault="007A7A95" w:rsidP="00C21398">
      <w:pPr>
        <w:pStyle w:val="Default"/>
        <w:tabs>
          <w:tab w:val="left" w:pos="7371"/>
          <w:tab w:val="left" w:pos="8789"/>
        </w:tabs>
        <w:spacing w:line="360" w:lineRule="auto"/>
        <w:rPr>
          <w:rFonts w:asciiTheme="minorHAnsi" w:hAnsiTheme="minorHAnsi" w:cstheme="minorHAnsi"/>
          <w:bCs/>
        </w:rPr>
      </w:pPr>
      <w:r w:rsidRPr="00C21398">
        <w:rPr>
          <w:rFonts w:asciiTheme="minorHAnsi" w:hAnsiTheme="minorHAnsi" w:cstheme="minorHAnsi"/>
          <w:bCs/>
        </w:rPr>
        <w:t>Finally</w:t>
      </w:r>
      <w:r w:rsidR="00011792">
        <w:rPr>
          <w:rFonts w:asciiTheme="minorHAnsi" w:hAnsiTheme="minorHAnsi" w:cstheme="minorHAnsi"/>
          <w:bCs/>
        </w:rPr>
        <w:t>,</w:t>
      </w:r>
      <w:r w:rsidRPr="00C21398">
        <w:rPr>
          <w:rFonts w:asciiTheme="minorHAnsi" w:hAnsiTheme="minorHAnsi" w:cstheme="minorHAnsi"/>
          <w:bCs/>
        </w:rPr>
        <w:t xml:space="preserve"> I stated that my research would contribute to the continuing tradition of critical </w:t>
      </w:r>
      <w:r w:rsidR="008714A7" w:rsidRPr="00C21398">
        <w:rPr>
          <w:rFonts w:asciiTheme="minorHAnsi" w:hAnsiTheme="minorHAnsi" w:cstheme="minorHAnsi"/>
          <w:bCs/>
        </w:rPr>
        <w:t xml:space="preserve">policy </w:t>
      </w:r>
      <w:r w:rsidRPr="00C21398">
        <w:rPr>
          <w:rFonts w:asciiTheme="minorHAnsi" w:hAnsiTheme="minorHAnsi" w:cstheme="minorHAnsi"/>
          <w:bCs/>
        </w:rPr>
        <w:t xml:space="preserve">research with the intention of encouraging </w:t>
      </w:r>
      <w:r w:rsidR="00F30E14" w:rsidRPr="00C21398">
        <w:rPr>
          <w:rFonts w:asciiTheme="minorHAnsi" w:hAnsiTheme="minorHAnsi" w:cstheme="minorHAnsi"/>
          <w:bCs/>
        </w:rPr>
        <w:t xml:space="preserve">educational </w:t>
      </w:r>
      <w:r w:rsidRPr="00C21398">
        <w:rPr>
          <w:rFonts w:asciiTheme="minorHAnsi" w:hAnsiTheme="minorHAnsi" w:cstheme="minorHAnsi"/>
          <w:bCs/>
        </w:rPr>
        <w:t xml:space="preserve">change. </w:t>
      </w:r>
      <w:r w:rsidR="00C542B8" w:rsidRPr="00C21398">
        <w:rPr>
          <w:rFonts w:asciiTheme="minorHAnsi" w:hAnsiTheme="minorHAnsi" w:cstheme="minorHAnsi"/>
          <w:bCs/>
        </w:rPr>
        <w:t>In m</w:t>
      </w:r>
      <w:r w:rsidRPr="00C21398">
        <w:rPr>
          <w:rFonts w:asciiTheme="minorHAnsi" w:hAnsiTheme="minorHAnsi" w:cstheme="minorHAnsi"/>
          <w:bCs/>
        </w:rPr>
        <w:t xml:space="preserve">y </w:t>
      </w:r>
      <w:r w:rsidR="00C542B8" w:rsidRPr="00C21398">
        <w:rPr>
          <w:rFonts w:asciiTheme="minorHAnsi" w:hAnsiTheme="minorHAnsi" w:cstheme="minorHAnsi"/>
          <w:bCs/>
        </w:rPr>
        <w:t xml:space="preserve">study I </w:t>
      </w:r>
      <w:r w:rsidR="00FE0B50" w:rsidRPr="00C21398">
        <w:rPr>
          <w:rFonts w:asciiTheme="minorHAnsi" w:hAnsiTheme="minorHAnsi" w:cstheme="minorHAnsi"/>
          <w:bCs/>
        </w:rPr>
        <w:t xml:space="preserve">applied and critiqued </w:t>
      </w:r>
      <w:r w:rsidR="00F30E14" w:rsidRPr="00C21398">
        <w:rPr>
          <w:rFonts w:asciiTheme="minorHAnsi" w:hAnsiTheme="minorHAnsi" w:cstheme="minorHAnsi"/>
          <w:bCs/>
        </w:rPr>
        <w:t xml:space="preserve">Scheurich’s </w:t>
      </w:r>
      <w:r w:rsidR="00DF24E7">
        <w:rPr>
          <w:rFonts w:asciiTheme="minorHAnsi" w:hAnsiTheme="minorHAnsi" w:cstheme="minorHAnsi"/>
          <w:bCs/>
        </w:rPr>
        <w:t xml:space="preserve">PA </w:t>
      </w:r>
      <w:r w:rsidR="00FE0B50" w:rsidRPr="00C21398">
        <w:rPr>
          <w:rFonts w:asciiTheme="minorHAnsi" w:hAnsiTheme="minorHAnsi" w:cstheme="minorHAnsi"/>
          <w:bCs/>
        </w:rPr>
        <w:t>framework</w:t>
      </w:r>
      <w:r w:rsidR="00F30E14" w:rsidRPr="00C21398">
        <w:rPr>
          <w:rFonts w:asciiTheme="minorHAnsi" w:hAnsiTheme="minorHAnsi" w:cstheme="minorHAnsi"/>
          <w:bCs/>
        </w:rPr>
        <w:t>,</w:t>
      </w:r>
      <w:r w:rsidR="00FE0B50" w:rsidRPr="00C21398">
        <w:rPr>
          <w:rFonts w:asciiTheme="minorHAnsi" w:hAnsiTheme="minorHAnsi" w:cstheme="minorHAnsi"/>
          <w:bCs/>
        </w:rPr>
        <w:t xml:space="preserve"> </w:t>
      </w:r>
      <w:r w:rsidR="005F1218" w:rsidRPr="00C21398">
        <w:rPr>
          <w:rFonts w:asciiTheme="minorHAnsi" w:hAnsiTheme="minorHAnsi" w:cstheme="minorHAnsi"/>
          <w:bCs/>
        </w:rPr>
        <w:t xml:space="preserve">creating a method of explicitly identifying the many </w:t>
      </w:r>
      <w:r w:rsidR="005C6B01" w:rsidRPr="00C21398">
        <w:rPr>
          <w:rFonts w:asciiTheme="minorHAnsi" w:hAnsiTheme="minorHAnsi" w:cstheme="minorHAnsi"/>
          <w:bCs/>
        </w:rPr>
        <w:t xml:space="preserve">interacting </w:t>
      </w:r>
      <w:r w:rsidR="005F1218" w:rsidRPr="00C21398">
        <w:rPr>
          <w:rFonts w:asciiTheme="minorHAnsi" w:hAnsiTheme="minorHAnsi" w:cstheme="minorHAnsi"/>
          <w:bCs/>
        </w:rPr>
        <w:t xml:space="preserve">components </w:t>
      </w:r>
      <w:r w:rsidR="00072F5E" w:rsidRPr="00C21398">
        <w:rPr>
          <w:rFonts w:asciiTheme="minorHAnsi" w:hAnsiTheme="minorHAnsi" w:cstheme="minorHAnsi"/>
          <w:bCs/>
        </w:rPr>
        <w:t xml:space="preserve">associate with </w:t>
      </w:r>
      <w:r w:rsidR="005F1218" w:rsidRPr="00C21398">
        <w:rPr>
          <w:rFonts w:asciiTheme="minorHAnsi" w:hAnsiTheme="minorHAnsi" w:cstheme="minorHAnsi"/>
          <w:bCs/>
        </w:rPr>
        <w:t>th</w:t>
      </w:r>
      <w:r w:rsidR="005C6B01" w:rsidRPr="00C21398">
        <w:rPr>
          <w:rFonts w:asciiTheme="minorHAnsi" w:hAnsiTheme="minorHAnsi" w:cstheme="minorHAnsi"/>
          <w:bCs/>
        </w:rPr>
        <w:t>is</w:t>
      </w:r>
      <w:r w:rsidR="005F1218" w:rsidRPr="00C21398">
        <w:rPr>
          <w:rFonts w:asciiTheme="minorHAnsi" w:hAnsiTheme="minorHAnsi" w:cstheme="minorHAnsi"/>
          <w:bCs/>
        </w:rPr>
        <w:t xml:space="preserve"> policy. I </w:t>
      </w:r>
      <w:r w:rsidR="004F35B7" w:rsidRPr="00C21398">
        <w:rPr>
          <w:rFonts w:asciiTheme="minorHAnsi" w:hAnsiTheme="minorHAnsi" w:cstheme="minorHAnsi"/>
          <w:bCs/>
        </w:rPr>
        <w:t>devised</w:t>
      </w:r>
      <w:r w:rsidR="005F1218" w:rsidRPr="00C21398">
        <w:rPr>
          <w:rFonts w:asciiTheme="minorHAnsi" w:hAnsiTheme="minorHAnsi" w:cstheme="minorHAnsi"/>
          <w:bCs/>
        </w:rPr>
        <w:t xml:space="preserve"> a fourfold typology for classifying the response</w:t>
      </w:r>
      <w:r w:rsidR="00072F5E" w:rsidRPr="00C21398">
        <w:rPr>
          <w:rFonts w:asciiTheme="minorHAnsi" w:hAnsiTheme="minorHAnsi" w:cstheme="minorHAnsi"/>
          <w:bCs/>
        </w:rPr>
        <w:t>s</w:t>
      </w:r>
      <w:r w:rsidR="005F1218" w:rsidRPr="00C21398">
        <w:rPr>
          <w:rFonts w:asciiTheme="minorHAnsi" w:hAnsiTheme="minorHAnsi" w:cstheme="minorHAnsi"/>
          <w:bCs/>
        </w:rPr>
        <w:t xml:space="preserve"> of schools to policy initiatives</w:t>
      </w:r>
      <w:r w:rsidR="004B4A02">
        <w:rPr>
          <w:rFonts w:asciiTheme="minorHAnsi" w:hAnsiTheme="minorHAnsi" w:cstheme="minorHAnsi"/>
          <w:bCs/>
        </w:rPr>
        <w:t xml:space="preserve"> (see appendix 8)</w:t>
      </w:r>
      <w:r w:rsidR="005F1218" w:rsidRPr="00C21398">
        <w:rPr>
          <w:rFonts w:asciiTheme="minorHAnsi" w:hAnsiTheme="minorHAnsi" w:cstheme="minorHAnsi"/>
          <w:bCs/>
        </w:rPr>
        <w:t xml:space="preserve">, which </w:t>
      </w:r>
      <w:r w:rsidRPr="00C21398">
        <w:rPr>
          <w:rFonts w:asciiTheme="minorHAnsi" w:hAnsiTheme="minorHAnsi" w:cstheme="minorHAnsi"/>
          <w:bCs/>
        </w:rPr>
        <w:t>prom</w:t>
      </w:r>
      <w:r w:rsidR="00072F5E" w:rsidRPr="00C21398">
        <w:rPr>
          <w:rFonts w:asciiTheme="minorHAnsi" w:hAnsiTheme="minorHAnsi" w:cstheme="minorHAnsi"/>
          <w:bCs/>
        </w:rPr>
        <w:t>p</w:t>
      </w:r>
      <w:r w:rsidRPr="00C21398">
        <w:rPr>
          <w:rFonts w:asciiTheme="minorHAnsi" w:hAnsiTheme="minorHAnsi" w:cstheme="minorHAnsi"/>
          <w:bCs/>
        </w:rPr>
        <w:t xml:space="preserve">ted </w:t>
      </w:r>
      <w:r w:rsidR="00072F5E" w:rsidRPr="00C21398">
        <w:rPr>
          <w:rFonts w:asciiTheme="minorHAnsi" w:hAnsiTheme="minorHAnsi" w:cstheme="minorHAnsi"/>
          <w:bCs/>
        </w:rPr>
        <w:t xml:space="preserve">me to give </w:t>
      </w:r>
      <w:r w:rsidR="00FE0B50" w:rsidRPr="00C21398">
        <w:rPr>
          <w:rFonts w:asciiTheme="minorHAnsi" w:hAnsiTheme="minorHAnsi" w:cstheme="minorHAnsi"/>
          <w:bCs/>
        </w:rPr>
        <w:t xml:space="preserve">critical </w:t>
      </w:r>
      <w:r w:rsidRPr="00C21398">
        <w:rPr>
          <w:rFonts w:asciiTheme="minorHAnsi" w:hAnsiTheme="minorHAnsi" w:cstheme="minorHAnsi"/>
          <w:bCs/>
        </w:rPr>
        <w:t xml:space="preserve">consideration and reflection </w:t>
      </w:r>
      <w:r w:rsidR="00072F5E" w:rsidRPr="00C21398">
        <w:rPr>
          <w:rFonts w:asciiTheme="minorHAnsi" w:hAnsiTheme="minorHAnsi" w:cstheme="minorHAnsi"/>
          <w:bCs/>
        </w:rPr>
        <w:t xml:space="preserve">to </w:t>
      </w:r>
      <w:r w:rsidRPr="00C21398">
        <w:rPr>
          <w:rFonts w:asciiTheme="minorHAnsi" w:hAnsiTheme="minorHAnsi" w:cstheme="minorHAnsi"/>
          <w:bCs/>
        </w:rPr>
        <w:t xml:space="preserve">my own </w:t>
      </w:r>
      <w:r w:rsidR="00265F33" w:rsidRPr="00C21398">
        <w:rPr>
          <w:rFonts w:asciiTheme="minorHAnsi" w:hAnsiTheme="minorHAnsi" w:cstheme="minorHAnsi"/>
          <w:bCs/>
        </w:rPr>
        <w:t>practice</w:t>
      </w:r>
      <w:r w:rsidR="00072F5E" w:rsidRPr="00C21398">
        <w:rPr>
          <w:rFonts w:asciiTheme="minorHAnsi" w:hAnsiTheme="minorHAnsi" w:cstheme="minorHAnsi"/>
          <w:bCs/>
        </w:rPr>
        <w:t>.</w:t>
      </w:r>
      <w:r w:rsidR="00C21398" w:rsidRPr="00C21398">
        <w:rPr>
          <w:rFonts w:asciiTheme="minorHAnsi" w:hAnsiTheme="minorHAnsi" w:cstheme="minorHAnsi"/>
          <w:bCs/>
        </w:rPr>
        <w:t xml:space="preserve"> My typology included the responses of:</w:t>
      </w:r>
    </w:p>
    <w:p w14:paraId="2AAE5824" w14:textId="77777777" w:rsidR="00D7475B" w:rsidRPr="00C21398" w:rsidRDefault="00D7475B" w:rsidP="00C21398">
      <w:pPr>
        <w:pStyle w:val="Default"/>
        <w:tabs>
          <w:tab w:val="left" w:pos="7371"/>
          <w:tab w:val="left" w:pos="8789"/>
        </w:tabs>
        <w:spacing w:line="360" w:lineRule="auto"/>
        <w:rPr>
          <w:rFonts w:asciiTheme="minorHAnsi" w:eastAsia="Calibri" w:hAnsiTheme="minorHAnsi" w:cstheme="minorHAnsi"/>
        </w:rPr>
      </w:pPr>
    </w:p>
    <w:p w14:paraId="3EDFEB8F" w14:textId="11592086" w:rsidR="00C21398" w:rsidRPr="00C21398" w:rsidRDefault="00986463" w:rsidP="00C21398">
      <w:pPr>
        <w:pStyle w:val="Default"/>
        <w:numPr>
          <w:ilvl w:val="3"/>
          <w:numId w:val="9"/>
        </w:numPr>
        <w:tabs>
          <w:tab w:val="left" w:pos="7513"/>
          <w:tab w:val="left" w:pos="7655"/>
          <w:tab w:val="left" w:pos="7797"/>
        </w:tabs>
        <w:spacing w:line="360" w:lineRule="auto"/>
        <w:rPr>
          <w:rFonts w:asciiTheme="minorHAnsi" w:eastAsia="Calibri" w:hAnsiTheme="minorHAnsi" w:cstheme="minorHAnsi"/>
        </w:rPr>
      </w:pPr>
      <w:r>
        <w:rPr>
          <w:rFonts w:asciiTheme="minorHAnsi" w:eastAsia="Calibri" w:hAnsiTheme="minorHAnsi" w:cstheme="minorHAnsi"/>
          <w:b/>
        </w:rPr>
        <w:t>A</w:t>
      </w:r>
      <w:r w:rsidR="00C21398" w:rsidRPr="005B7DFE">
        <w:rPr>
          <w:rFonts w:asciiTheme="minorHAnsi" w:eastAsia="Calibri" w:hAnsiTheme="minorHAnsi" w:cstheme="minorHAnsi"/>
          <w:b/>
        </w:rPr>
        <w:t>cce</w:t>
      </w:r>
      <w:r w:rsidR="00C21398" w:rsidRPr="00C21398">
        <w:rPr>
          <w:rFonts w:asciiTheme="minorHAnsi" w:eastAsia="Calibri" w:hAnsiTheme="minorHAnsi" w:cstheme="minorHAnsi"/>
          <w:b/>
        </w:rPr>
        <w:t>ptance</w:t>
      </w:r>
      <w:r w:rsidR="00C21398" w:rsidRPr="00C21398">
        <w:rPr>
          <w:rFonts w:asciiTheme="minorHAnsi" w:eastAsia="Calibri" w:hAnsiTheme="minorHAnsi" w:cstheme="minorHAnsi"/>
        </w:rPr>
        <w:t xml:space="preserve">, the ethos, cultural and structural components of a school provides an ideal backdrop for initial and future success adopting the given policy. </w:t>
      </w:r>
    </w:p>
    <w:p w14:paraId="7AA80E0B" w14:textId="610D7312" w:rsidR="00C21398" w:rsidRPr="00C21398" w:rsidRDefault="00986463" w:rsidP="00C21398">
      <w:pPr>
        <w:pStyle w:val="Default"/>
        <w:numPr>
          <w:ilvl w:val="3"/>
          <w:numId w:val="9"/>
        </w:numPr>
        <w:tabs>
          <w:tab w:val="left" w:pos="7513"/>
          <w:tab w:val="left" w:pos="7655"/>
          <w:tab w:val="left" w:pos="7797"/>
        </w:tabs>
        <w:spacing w:line="360" w:lineRule="auto"/>
        <w:rPr>
          <w:rFonts w:ascii="Calibri" w:eastAsia="Calibri" w:hAnsi="Calibri" w:cs="Calibri"/>
        </w:rPr>
      </w:pPr>
      <w:r>
        <w:rPr>
          <w:rFonts w:asciiTheme="minorHAnsi" w:eastAsia="Calibri" w:hAnsiTheme="minorHAnsi" w:cstheme="minorHAnsi"/>
          <w:b/>
        </w:rPr>
        <w:t>R</w:t>
      </w:r>
      <w:r w:rsidR="00C21398" w:rsidRPr="00C21398">
        <w:rPr>
          <w:rFonts w:asciiTheme="minorHAnsi" w:eastAsia="Calibri" w:hAnsiTheme="minorHAnsi" w:cstheme="minorHAnsi"/>
          <w:b/>
        </w:rPr>
        <w:t>esist</w:t>
      </w:r>
      <w:r w:rsidR="00151BA7">
        <w:rPr>
          <w:rFonts w:asciiTheme="minorHAnsi" w:eastAsia="Calibri" w:hAnsiTheme="minorHAnsi" w:cstheme="minorHAnsi"/>
          <w:b/>
        </w:rPr>
        <w:t>ance</w:t>
      </w:r>
      <w:r w:rsidR="00C21398" w:rsidRPr="00C21398">
        <w:rPr>
          <w:rFonts w:asciiTheme="minorHAnsi" w:eastAsia="Calibri" w:hAnsiTheme="minorHAnsi" w:cstheme="minorHAnsi"/>
        </w:rPr>
        <w:t xml:space="preserve">, the confidence and belief of the school in their current course of action leads them to be determined not to be driven solely by the given policy. Care must be </w:t>
      </w:r>
      <w:r w:rsidR="00C21398" w:rsidRPr="00C21398">
        <w:rPr>
          <w:rFonts w:asciiTheme="minorHAnsi" w:eastAsia="Calibri" w:hAnsiTheme="minorHAnsi" w:cstheme="minorHAnsi"/>
        </w:rPr>
        <w:lastRenderedPageBreak/>
        <w:t>taken to ensure that resistance does not become an end in itself to the detriment of the students or the school.</w:t>
      </w:r>
    </w:p>
    <w:p w14:paraId="28C2567B" w14:textId="1F31791C" w:rsidR="00C21398" w:rsidRPr="00C21398" w:rsidRDefault="00986463" w:rsidP="00C21398">
      <w:pPr>
        <w:pStyle w:val="Default"/>
        <w:numPr>
          <w:ilvl w:val="3"/>
          <w:numId w:val="9"/>
        </w:numPr>
        <w:tabs>
          <w:tab w:val="left" w:pos="7513"/>
          <w:tab w:val="left" w:pos="7655"/>
          <w:tab w:val="left" w:pos="7797"/>
        </w:tabs>
        <w:spacing w:line="360" w:lineRule="auto"/>
        <w:rPr>
          <w:rFonts w:ascii="Calibri" w:eastAsia="Calibri" w:hAnsi="Calibri" w:cs="Calibri"/>
        </w:rPr>
      </w:pPr>
      <w:r>
        <w:rPr>
          <w:rFonts w:asciiTheme="minorHAnsi" w:eastAsia="Calibri" w:hAnsiTheme="minorHAnsi" w:cstheme="minorHAnsi"/>
          <w:b/>
        </w:rPr>
        <w:t>C</w:t>
      </w:r>
      <w:r w:rsidR="00C21398" w:rsidRPr="00C21398">
        <w:rPr>
          <w:rFonts w:asciiTheme="minorHAnsi" w:eastAsia="Calibri" w:hAnsiTheme="minorHAnsi" w:cstheme="minorHAnsi"/>
          <w:b/>
        </w:rPr>
        <w:t>ompliance</w:t>
      </w:r>
      <w:r w:rsidR="00C21398" w:rsidRPr="00C21398">
        <w:rPr>
          <w:rFonts w:asciiTheme="minorHAnsi" w:eastAsia="Calibri" w:hAnsiTheme="minorHAnsi" w:cstheme="minorHAnsi"/>
        </w:rPr>
        <w:t xml:space="preserve"> is the reaction by a school which feels that it had no power to determine its own course, even when it may have structural freedoms such as academy status which imply opportunity to deviate from national policy. </w:t>
      </w:r>
    </w:p>
    <w:p w14:paraId="2BB397B9" w14:textId="47FFF70C" w:rsidR="00C21398" w:rsidRDefault="00986463" w:rsidP="00C21398">
      <w:pPr>
        <w:pStyle w:val="Default"/>
        <w:numPr>
          <w:ilvl w:val="3"/>
          <w:numId w:val="9"/>
        </w:numPr>
        <w:tabs>
          <w:tab w:val="left" w:pos="7513"/>
          <w:tab w:val="left" w:pos="7655"/>
          <w:tab w:val="left" w:pos="7797"/>
        </w:tabs>
        <w:spacing w:line="360" w:lineRule="auto"/>
        <w:rPr>
          <w:rFonts w:ascii="Calibri" w:eastAsia="Calibri" w:hAnsi="Calibri" w:cs="Calibri"/>
        </w:rPr>
      </w:pPr>
      <w:r>
        <w:rPr>
          <w:rFonts w:ascii="Calibri" w:eastAsia="Calibri" w:hAnsi="Calibri" w:cs="Calibri"/>
          <w:b/>
        </w:rPr>
        <w:t>C</w:t>
      </w:r>
      <w:r w:rsidR="00C21398" w:rsidRPr="00C21398">
        <w:rPr>
          <w:rFonts w:ascii="Calibri" w:eastAsia="Calibri" w:hAnsi="Calibri" w:cs="Calibri"/>
          <w:b/>
        </w:rPr>
        <w:t>onfusion</w:t>
      </w:r>
      <w:r w:rsidR="00C21398" w:rsidRPr="00C21398">
        <w:rPr>
          <w:rFonts w:ascii="Calibri" w:eastAsia="Calibri" w:hAnsi="Calibri" w:cs="Calibri"/>
        </w:rPr>
        <w:t xml:space="preserve"> is experienced by a school that reacts quickly to policy announcements and does not consider the implications of decisions taken and does not prepare and plan for the changes implemented. </w:t>
      </w:r>
    </w:p>
    <w:p w14:paraId="52CB7955" w14:textId="77777777" w:rsidR="00BF1BAF" w:rsidRDefault="00BF1BAF" w:rsidP="00BF1BAF">
      <w:pPr>
        <w:pStyle w:val="Default"/>
        <w:tabs>
          <w:tab w:val="left" w:pos="7513"/>
          <w:tab w:val="left" w:pos="7655"/>
          <w:tab w:val="left" w:pos="7797"/>
        </w:tabs>
        <w:spacing w:line="360" w:lineRule="auto"/>
        <w:rPr>
          <w:rFonts w:ascii="Calibri" w:eastAsia="Calibri" w:hAnsi="Calibri" w:cs="Calibri"/>
        </w:rPr>
      </w:pPr>
    </w:p>
    <w:p w14:paraId="13ACF352" w14:textId="3B0EA354" w:rsidR="00BF1BAF" w:rsidRDefault="00BF1BAF" w:rsidP="00B6050F">
      <w:pPr>
        <w:tabs>
          <w:tab w:val="left" w:pos="7371"/>
        </w:tabs>
        <w:spacing w:after="0" w:line="360" w:lineRule="auto"/>
        <w:rPr>
          <w:bCs/>
          <w:sz w:val="24"/>
          <w:szCs w:val="24"/>
        </w:rPr>
      </w:pPr>
      <w:r>
        <w:rPr>
          <w:bCs/>
          <w:sz w:val="24"/>
          <w:szCs w:val="24"/>
        </w:rPr>
        <w:t>This typology may be of use when evaluating the actions taken by schools when considering or implementing future policy initiatives</w:t>
      </w:r>
      <w:r w:rsidR="00E23227">
        <w:rPr>
          <w:bCs/>
          <w:sz w:val="24"/>
          <w:szCs w:val="24"/>
        </w:rPr>
        <w:t>,</w:t>
      </w:r>
      <w:r w:rsidR="00B438D6">
        <w:rPr>
          <w:bCs/>
          <w:sz w:val="24"/>
          <w:szCs w:val="24"/>
        </w:rPr>
        <w:t xml:space="preserve"> however, </w:t>
      </w:r>
      <w:r w:rsidR="00B14ED6">
        <w:rPr>
          <w:bCs/>
          <w:sz w:val="24"/>
          <w:szCs w:val="24"/>
        </w:rPr>
        <w:t xml:space="preserve">there may be other </w:t>
      </w:r>
      <w:r w:rsidR="00B438D6">
        <w:rPr>
          <w:bCs/>
          <w:sz w:val="24"/>
          <w:szCs w:val="24"/>
        </w:rPr>
        <w:t>c</w:t>
      </w:r>
      <w:r w:rsidR="00B14ED6">
        <w:rPr>
          <w:bCs/>
          <w:sz w:val="24"/>
          <w:szCs w:val="24"/>
        </w:rPr>
        <w:t xml:space="preserve">ategories not </w:t>
      </w:r>
      <w:r w:rsidR="00B438D6">
        <w:rPr>
          <w:bCs/>
          <w:sz w:val="24"/>
          <w:szCs w:val="24"/>
        </w:rPr>
        <w:t>covered</w:t>
      </w:r>
      <w:r w:rsidR="00B14ED6">
        <w:rPr>
          <w:bCs/>
          <w:sz w:val="24"/>
          <w:szCs w:val="24"/>
        </w:rPr>
        <w:t xml:space="preserve"> in this study.</w:t>
      </w:r>
    </w:p>
    <w:p w14:paraId="618E82E2" w14:textId="77777777" w:rsidR="00B6050F" w:rsidRDefault="00B6050F" w:rsidP="00B6050F">
      <w:pPr>
        <w:tabs>
          <w:tab w:val="left" w:pos="7371"/>
        </w:tabs>
        <w:spacing w:after="0" w:line="360" w:lineRule="auto"/>
        <w:rPr>
          <w:bCs/>
          <w:sz w:val="24"/>
          <w:szCs w:val="24"/>
        </w:rPr>
      </w:pPr>
    </w:p>
    <w:p w14:paraId="5256C541" w14:textId="65DA2D05" w:rsidR="00E93961" w:rsidRPr="00127F71" w:rsidRDefault="004F35B7" w:rsidP="00FE0B50">
      <w:pPr>
        <w:tabs>
          <w:tab w:val="left" w:pos="7371"/>
        </w:tabs>
        <w:spacing w:line="360" w:lineRule="auto"/>
        <w:rPr>
          <w:bCs/>
          <w:sz w:val="24"/>
          <w:szCs w:val="24"/>
        </w:rPr>
      </w:pPr>
      <w:r w:rsidRPr="00C21398">
        <w:rPr>
          <w:bCs/>
          <w:sz w:val="24"/>
          <w:szCs w:val="24"/>
        </w:rPr>
        <w:t xml:space="preserve">I have also reflected on my approach to the testing and performativity discourse and the restrictions and limitations this places on my actions </w:t>
      </w:r>
      <w:r w:rsidR="00B14ED6">
        <w:rPr>
          <w:bCs/>
          <w:sz w:val="24"/>
          <w:szCs w:val="24"/>
        </w:rPr>
        <w:t xml:space="preserve">as a school leader </w:t>
      </w:r>
      <w:r w:rsidRPr="00C21398">
        <w:rPr>
          <w:bCs/>
          <w:sz w:val="24"/>
          <w:szCs w:val="24"/>
        </w:rPr>
        <w:t>and my expectations of others.</w:t>
      </w:r>
      <w:r w:rsidR="00C21398">
        <w:rPr>
          <w:bCs/>
          <w:sz w:val="24"/>
          <w:szCs w:val="24"/>
        </w:rPr>
        <w:t xml:space="preserve"> Many of my current actions can be regarded as “thoroughly ‘enfolded’ into and part of the calculated technologies of performance” (Ball et al</w:t>
      </w:r>
      <w:r w:rsidR="00E23227">
        <w:rPr>
          <w:bCs/>
          <w:sz w:val="24"/>
          <w:szCs w:val="24"/>
        </w:rPr>
        <w:t>.</w:t>
      </w:r>
      <w:r w:rsidR="00986463">
        <w:rPr>
          <w:bCs/>
          <w:sz w:val="24"/>
          <w:szCs w:val="24"/>
        </w:rPr>
        <w:t>,</w:t>
      </w:r>
      <w:r w:rsidR="00C21398">
        <w:rPr>
          <w:bCs/>
          <w:sz w:val="24"/>
          <w:szCs w:val="24"/>
        </w:rPr>
        <w:t xml:space="preserve"> 2012</w:t>
      </w:r>
      <w:r w:rsidR="00E23227">
        <w:rPr>
          <w:bCs/>
          <w:sz w:val="24"/>
          <w:szCs w:val="24"/>
        </w:rPr>
        <w:t>,</w:t>
      </w:r>
      <w:r w:rsidR="00C21398">
        <w:rPr>
          <w:bCs/>
          <w:sz w:val="24"/>
          <w:szCs w:val="24"/>
        </w:rPr>
        <w:t xml:space="preserve"> p.518). My </w:t>
      </w:r>
      <w:r w:rsidR="00127F71">
        <w:rPr>
          <w:bCs/>
          <w:sz w:val="24"/>
          <w:szCs w:val="24"/>
        </w:rPr>
        <w:t>aim</w:t>
      </w:r>
      <w:r w:rsidR="00C21398">
        <w:rPr>
          <w:bCs/>
          <w:sz w:val="24"/>
          <w:szCs w:val="24"/>
        </w:rPr>
        <w:t xml:space="preserve"> now is to maintain this conscious awareness and to seek ways that I can challenge these technologies from within the system for the benefit of students and teachers.</w:t>
      </w:r>
    </w:p>
    <w:p w14:paraId="63201AB9" w14:textId="24EA0BF9" w:rsidR="00F24FBB" w:rsidRDefault="00B174EC" w:rsidP="00E93961">
      <w:pPr>
        <w:pStyle w:val="Heading2"/>
      </w:pPr>
      <w:bookmarkStart w:id="118" w:name="_Toc452316401"/>
      <w:r>
        <w:t>6</w:t>
      </w:r>
      <w:r w:rsidR="00F24FBB">
        <w:t>.5 Contribution of my theoretical framework</w:t>
      </w:r>
      <w:bookmarkEnd w:id="118"/>
    </w:p>
    <w:p w14:paraId="29AE6C12" w14:textId="6DCB5D78" w:rsidR="001D7837" w:rsidRPr="00E93961" w:rsidRDefault="007A7A95" w:rsidP="00E93961">
      <w:pPr>
        <w:spacing w:line="360" w:lineRule="auto"/>
        <w:rPr>
          <w:bCs/>
          <w:sz w:val="24"/>
          <w:szCs w:val="24"/>
        </w:rPr>
      </w:pPr>
      <w:r w:rsidRPr="007A7A95">
        <w:rPr>
          <w:bCs/>
          <w:sz w:val="24"/>
          <w:szCs w:val="24"/>
        </w:rPr>
        <w:t xml:space="preserve">My theoretical position </w:t>
      </w:r>
      <w:r>
        <w:rPr>
          <w:bCs/>
          <w:sz w:val="24"/>
          <w:szCs w:val="24"/>
        </w:rPr>
        <w:t xml:space="preserve">changed and developed throughout the course of my research. I began with a structuralist, </w:t>
      </w:r>
      <w:r w:rsidR="001B5BCF">
        <w:rPr>
          <w:bCs/>
          <w:sz w:val="24"/>
          <w:szCs w:val="24"/>
        </w:rPr>
        <w:t>Neo</w:t>
      </w:r>
      <w:r w:rsidR="00BA4ED2">
        <w:rPr>
          <w:bCs/>
          <w:sz w:val="24"/>
          <w:szCs w:val="24"/>
        </w:rPr>
        <w:t>-</w:t>
      </w:r>
      <w:r>
        <w:rPr>
          <w:bCs/>
          <w:sz w:val="24"/>
          <w:szCs w:val="24"/>
        </w:rPr>
        <w:t>Marxist framework associated with the work of Bowles and Gintis (1976), Bourdieu and Passeron (1977)</w:t>
      </w:r>
      <w:r w:rsidR="001D7837">
        <w:rPr>
          <w:bCs/>
          <w:sz w:val="24"/>
          <w:szCs w:val="24"/>
        </w:rPr>
        <w:t>,</w:t>
      </w:r>
      <w:r>
        <w:rPr>
          <w:bCs/>
          <w:sz w:val="24"/>
          <w:szCs w:val="24"/>
        </w:rPr>
        <w:t xml:space="preserve"> and Apple (1996)</w:t>
      </w:r>
      <w:r w:rsidR="001343BD">
        <w:rPr>
          <w:bCs/>
          <w:sz w:val="24"/>
          <w:szCs w:val="24"/>
        </w:rPr>
        <w:t>,</w:t>
      </w:r>
      <w:r>
        <w:rPr>
          <w:bCs/>
          <w:sz w:val="24"/>
          <w:szCs w:val="24"/>
        </w:rPr>
        <w:t xml:space="preserve"> but slowly realised that my increasing references to the work of Foucault, the policy analysis framework of Scheurich (1994)</w:t>
      </w:r>
      <w:r w:rsidR="005102EE">
        <w:rPr>
          <w:bCs/>
          <w:sz w:val="24"/>
          <w:szCs w:val="24"/>
        </w:rPr>
        <w:t xml:space="preserve">, </w:t>
      </w:r>
      <w:r>
        <w:rPr>
          <w:bCs/>
          <w:sz w:val="24"/>
          <w:szCs w:val="24"/>
        </w:rPr>
        <w:t xml:space="preserve">my use of CDA </w:t>
      </w:r>
      <w:r w:rsidR="005102EE">
        <w:rPr>
          <w:bCs/>
          <w:sz w:val="24"/>
          <w:szCs w:val="24"/>
        </w:rPr>
        <w:t xml:space="preserve">and my application of </w:t>
      </w:r>
      <w:r w:rsidR="00127F71">
        <w:rPr>
          <w:bCs/>
          <w:sz w:val="24"/>
          <w:szCs w:val="24"/>
        </w:rPr>
        <w:t>self-governance</w:t>
      </w:r>
      <w:r w:rsidR="005102EE">
        <w:rPr>
          <w:bCs/>
          <w:sz w:val="24"/>
          <w:szCs w:val="24"/>
        </w:rPr>
        <w:t xml:space="preserve"> </w:t>
      </w:r>
      <w:r w:rsidR="001343BD">
        <w:rPr>
          <w:bCs/>
          <w:sz w:val="24"/>
          <w:szCs w:val="24"/>
        </w:rPr>
        <w:t>(</w:t>
      </w:r>
      <w:r w:rsidR="005102EE">
        <w:rPr>
          <w:bCs/>
          <w:sz w:val="24"/>
          <w:szCs w:val="24"/>
        </w:rPr>
        <w:t xml:space="preserve">Rose 1999) </w:t>
      </w:r>
      <w:r>
        <w:rPr>
          <w:bCs/>
          <w:sz w:val="24"/>
          <w:szCs w:val="24"/>
        </w:rPr>
        <w:t xml:space="preserve">were all </w:t>
      </w:r>
      <w:r w:rsidR="005102EE">
        <w:rPr>
          <w:bCs/>
          <w:sz w:val="24"/>
          <w:szCs w:val="24"/>
        </w:rPr>
        <w:t xml:space="preserve">guiding me towards a </w:t>
      </w:r>
      <w:r w:rsidR="00C542B8">
        <w:rPr>
          <w:bCs/>
          <w:sz w:val="24"/>
          <w:szCs w:val="24"/>
        </w:rPr>
        <w:t xml:space="preserve">more </w:t>
      </w:r>
      <w:r w:rsidR="005102EE">
        <w:rPr>
          <w:bCs/>
          <w:sz w:val="24"/>
          <w:szCs w:val="24"/>
        </w:rPr>
        <w:t xml:space="preserve">poststructuralist </w:t>
      </w:r>
      <w:r w:rsidR="00C542B8">
        <w:rPr>
          <w:bCs/>
          <w:sz w:val="24"/>
          <w:szCs w:val="24"/>
        </w:rPr>
        <w:t>perspective</w:t>
      </w:r>
      <w:r w:rsidR="005102EE">
        <w:rPr>
          <w:bCs/>
          <w:sz w:val="24"/>
          <w:szCs w:val="24"/>
        </w:rPr>
        <w:t>. Carlson</w:t>
      </w:r>
      <w:r w:rsidR="00C542B8">
        <w:rPr>
          <w:bCs/>
          <w:sz w:val="24"/>
          <w:szCs w:val="24"/>
        </w:rPr>
        <w:t xml:space="preserve"> </w:t>
      </w:r>
      <w:r w:rsidR="005102EE">
        <w:rPr>
          <w:bCs/>
          <w:sz w:val="24"/>
          <w:szCs w:val="24"/>
        </w:rPr>
        <w:t>(2006) resol</w:t>
      </w:r>
      <w:r w:rsidR="00C542B8">
        <w:rPr>
          <w:bCs/>
          <w:sz w:val="24"/>
          <w:szCs w:val="24"/>
        </w:rPr>
        <w:t>ved</w:t>
      </w:r>
      <w:r w:rsidR="007A113C">
        <w:rPr>
          <w:bCs/>
          <w:sz w:val="24"/>
          <w:szCs w:val="24"/>
        </w:rPr>
        <w:t xml:space="preserve"> </w:t>
      </w:r>
      <w:r w:rsidR="00C542B8">
        <w:rPr>
          <w:bCs/>
          <w:sz w:val="24"/>
          <w:szCs w:val="24"/>
        </w:rPr>
        <w:t>the seeming tensions between</w:t>
      </w:r>
      <w:r w:rsidR="007A113C">
        <w:rPr>
          <w:bCs/>
          <w:sz w:val="24"/>
          <w:szCs w:val="24"/>
        </w:rPr>
        <w:t xml:space="preserve"> </w:t>
      </w:r>
      <w:r w:rsidR="005102EE">
        <w:rPr>
          <w:bCs/>
          <w:sz w:val="24"/>
          <w:szCs w:val="24"/>
        </w:rPr>
        <w:t xml:space="preserve">my contrasting frameworks and I have attempted to apply a poststructuralist </w:t>
      </w:r>
      <w:r w:rsidR="00C542B8">
        <w:rPr>
          <w:bCs/>
          <w:sz w:val="24"/>
          <w:szCs w:val="24"/>
        </w:rPr>
        <w:t>lens</w:t>
      </w:r>
      <w:r w:rsidR="005102EE">
        <w:rPr>
          <w:bCs/>
          <w:sz w:val="24"/>
          <w:szCs w:val="24"/>
        </w:rPr>
        <w:t xml:space="preserve"> </w:t>
      </w:r>
      <w:r w:rsidR="00C542B8">
        <w:rPr>
          <w:bCs/>
          <w:sz w:val="24"/>
          <w:szCs w:val="24"/>
        </w:rPr>
        <w:t>by trying to uncover what is not said and what is hidden from sight (Miller et al</w:t>
      </w:r>
      <w:r w:rsidR="001343BD">
        <w:rPr>
          <w:bCs/>
          <w:sz w:val="24"/>
          <w:szCs w:val="24"/>
        </w:rPr>
        <w:t>.</w:t>
      </w:r>
      <w:r w:rsidR="00C542B8">
        <w:rPr>
          <w:bCs/>
          <w:sz w:val="24"/>
          <w:szCs w:val="24"/>
        </w:rPr>
        <w:t xml:space="preserve"> 2013) through </w:t>
      </w:r>
      <w:r w:rsidR="005102EE">
        <w:rPr>
          <w:bCs/>
          <w:sz w:val="24"/>
          <w:szCs w:val="24"/>
        </w:rPr>
        <w:t xml:space="preserve">my data analysis, </w:t>
      </w:r>
      <w:r w:rsidR="00C542B8">
        <w:rPr>
          <w:bCs/>
          <w:sz w:val="24"/>
          <w:szCs w:val="24"/>
        </w:rPr>
        <w:t>interpretations,</w:t>
      </w:r>
      <w:r w:rsidR="005102EE">
        <w:rPr>
          <w:bCs/>
          <w:sz w:val="24"/>
          <w:szCs w:val="24"/>
        </w:rPr>
        <w:t xml:space="preserve"> discussions and conclusions.</w:t>
      </w:r>
      <w:r w:rsidR="00B174EC">
        <w:rPr>
          <w:bCs/>
          <w:sz w:val="24"/>
          <w:szCs w:val="24"/>
        </w:rPr>
        <w:t xml:space="preserve"> </w:t>
      </w:r>
      <w:r w:rsidR="0036292D">
        <w:rPr>
          <w:bCs/>
          <w:sz w:val="24"/>
          <w:szCs w:val="24"/>
        </w:rPr>
        <w:t>I have attempted to adopt Foucault’s approach as articulated by Williams (2005</w:t>
      </w:r>
      <w:r w:rsidR="001A064F">
        <w:rPr>
          <w:bCs/>
          <w:sz w:val="24"/>
          <w:szCs w:val="24"/>
        </w:rPr>
        <w:t>, p.109</w:t>
      </w:r>
      <w:r w:rsidR="0036292D">
        <w:rPr>
          <w:bCs/>
          <w:sz w:val="24"/>
          <w:szCs w:val="24"/>
        </w:rPr>
        <w:t xml:space="preserve">) in </w:t>
      </w:r>
      <w:r w:rsidR="0036292D">
        <w:rPr>
          <w:bCs/>
          <w:sz w:val="24"/>
          <w:szCs w:val="24"/>
        </w:rPr>
        <w:lastRenderedPageBreak/>
        <w:t xml:space="preserve">order to question the EBac policy </w:t>
      </w:r>
      <w:r w:rsidR="001A064F">
        <w:rPr>
          <w:bCs/>
          <w:sz w:val="24"/>
          <w:szCs w:val="24"/>
        </w:rPr>
        <w:t xml:space="preserve">and </w:t>
      </w:r>
      <w:r w:rsidR="00B14ED6">
        <w:rPr>
          <w:bCs/>
          <w:sz w:val="24"/>
          <w:szCs w:val="24"/>
        </w:rPr>
        <w:t xml:space="preserve">its </w:t>
      </w:r>
      <w:r w:rsidR="001A064F">
        <w:rPr>
          <w:bCs/>
          <w:sz w:val="24"/>
          <w:szCs w:val="24"/>
        </w:rPr>
        <w:t xml:space="preserve">implementation </w:t>
      </w:r>
      <w:r w:rsidR="0036292D">
        <w:rPr>
          <w:bCs/>
          <w:sz w:val="24"/>
          <w:szCs w:val="24"/>
        </w:rPr>
        <w:t xml:space="preserve">and make visible some of the </w:t>
      </w:r>
      <w:r w:rsidR="001A064F">
        <w:rPr>
          <w:bCs/>
          <w:sz w:val="24"/>
          <w:szCs w:val="24"/>
        </w:rPr>
        <w:t xml:space="preserve">background </w:t>
      </w:r>
      <w:r w:rsidR="0036292D">
        <w:rPr>
          <w:bCs/>
          <w:sz w:val="24"/>
          <w:szCs w:val="24"/>
        </w:rPr>
        <w:t>elements contained within this policy. Elements that lead not to a socially just curriculum paving the way to uni</w:t>
      </w:r>
      <w:r w:rsidR="001A064F">
        <w:rPr>
          <w:bCs/>
          <w:sz w:val="24"/>
          <w:szCs w:val="24"/>
        </w:rPr>
        <w:t xml:space="preserve">versity and high status progress </w:t>
      </w:r>
      <w:r w:rsidR="0036292D">
        <w:rPr>
          <w:bCs/>
          <w:sz w:val="24"/>
          <w:szCs w:val="24"/>
        </w:rPr>
        <w:t>for all</w:t>
      </w:r>
      <w:r w:rsidR="001343BD">
        <w:rPr>
          <w:bCs/>
          <w:sz w:val="24"/>
          <w:szCs w:val="24"/>
        </w:rPr>
        <w:t>,</w:t>
      </w:r>
      <w:r w:rsidR="0036292D">
        <w:rPr>
          <w:bCs/>
          <w:sz w:val="24"/>
          <w:szCs w:val="24"/>
        </w:rPr>
        <w:t xml:space="preserve"> but a socially unjust curriculum which serves to reinforce inequalities and barriers </w:t>
      </w:r>
      <w:r w:rsidR="001A064F">
        <w:rPr>
          <w:bCs/>
          <w:sz w:val="24"/>
          <w:szCs w:val="24"/>
        </w:rPr>
        <w:t xml:space="preserve">for some. </w:t>
      </w:r>
      <w:r w:rsidR="00507594">
        <w:rPr>
          <w:bCs/>
          <w:sz w:val="24"/>
          <w:szCs w:val="24"/>
        </w:rPr>
        <w:t xml:space="preserve">My research </w:t>
      </w:r>
      <w:r w:rsidR="00D7475B">
        <w:rPr>
          <w:bCs/>
          <w:sz w:val="24"/>
          <w:szCs w:val="24"/>
        </w:rPr>
        <w:t xml:space="preserve">has </w:t>
      </w:r>
      <w:r w:rsidR="00507594">
        <w:rPr>
          <w:bCs/>
          <w:sz w:val="24"/>
          <w:szCs w:val="24"/>
        </w:rPr>
        <w:t xml:space="preserve">highlighted that the EBac curriculum presented few difficulties of implementation or student uptake in schools which were already high achieving (Bluefield). For other schools the need to increase performance on measures such as 5A*-C with English and Mathematics appeared to override curriculum decisions and also led to teachers ‘dissuading’ certain students from taking the EBac if they were felt more likely to achieve grade C in other subjects. The EBac </w:t>
      </w:r>
      <w:r w:rsidR="001A064F">
        <w:rPr>
          <w:bCs/>
          <w:sz w:val="24"/>
          <w:szCs w:val="24"/>
        </w:rPr>
        <w:t>curriculum</w:t>
      </w:r>
      <w:r w:rsidR="00507594">
        <w:rPr>
          <w:bCs/>
          <w:sz w:val="24"/>
          <w:szCs w:val="24"/>
        </w:rPr>
        <w:t xml:space="preserve"> therefore</w:t>
      </w:r>
      <w:r w:rsidR="001A064F">
        <w:rPr>
          <w:bCs/>
          <w:sz w:val="24"/>
          <w:szCs w:val="24"/>
        </w:rPr>
        <w:t xml:space="preserve"> intersects with the </w:t>
      </w:r>
      <w:r w:rsidR="00BA4ED2">
        <w:rPr>
          <w:bCs/>
          <w:sz w:val="24"/>
          <w:szCs w:val="24"/>
        </w:rPr>
        <w:t>neo</w:t>
      </w:r>
      <w:r w:rsidR="001A064F">
        <w:rPr>
          <w:bCs/>
          <w:sz w:val="24"/>
          <w:szCs w:val="24"/>
        </w:rPr>
        <w:t xml:space="preserve">liberal focus on high stakes testing </w:t>
      </w:r>
      <w:r w:rsidR="00A93818">
        <w:rPr>
          <w:bCs/>
          <w:sz w:val="24"/>
          <w:szCs w:val="24"/>
        </w:rPr>
        <w:t xml:space="preserve">with consequences for </w:t>
      </w:r>
      <w:r w:rsidR="00947526">
        <w:rPr>
          <w:bCs/>
          <w:sz w:val="24"/>
          <w:szCs w:val="24"/>
        </w:rPr>
        <w:t xml:space="preserve">EBac </w:t>
      </w:r>
      <w:r w:rsidR="00A93818">
        <w:rPr>
          <w:bCs/>
          <w:sz w:val="24"/>
          <w:szCs w:val="24"/>
        </w:rPr>
        <w:t>implementation</w:t>
      </w:r>
      <w:r w:rsidR="001426F2">
        <w:rPr>
          <w:bCs/>
          <w:sz w:val="24"/>
          <w:szCs w:val="24"/>
        </w:rPr>
        <w:t>,</w:t>
      </w:r>
      <w:r w:rsidR="00A93818">
        <w:rPr>
          <w:bCs/>
          <w:sz w:val="24"/>
          <w:szCs w:val="24"/>
        </w:rPr>
        <w:t xml:space="preserve"> as these </w:t>
      </w:r>
      <w:r w:rsidR="00947526">
        <w:rPr>
          <w:bCs/>
          <w:sz w:val="24"/>
          <w:szCs w:val="24"/>
        </w:rPr>
        <w:t xml:space="preserve">drivers appear in some circumstances to </w:t>
      </w:r>
      <w:r w:rsidR="001A064F">
        <w:rPr>
          <w:bCs/>
          <w:sz w:val="24"/>
          <w:szCs w:val="24"/>
        </w:rPr>
        <w:t xml:space="preserve">work in opposition to each other. </w:t>
      </w:r>
    </w:p>
    <w:p w14:paraId="3AACBCAA" w14:textId="72F83489" w:rsidR="00EF348C" w:rsidRPr="007D6082" w:rsidRDefault="00B174EC" w:rsidP="00531995">
      <w:pPr>
        <w:pStyle w:val="Heading2"/>
      </w:pPr>
      <w:bookmarkStart w:id="119" w:name="_Toc452316402"/>
      <w:r>
        <w:t>6</w:t>
      </w:r>
      <w:r w:rsidR="00EF348C" w:rsidRPr="007D6082">
        <w:t>.</w:t>
      </w:r>
      <w:r w:rsidR="005102EE">
        <w:t>6</w:t>
      </w:r>
      <w:r w:rsidR="00EF348C" w:rsidRPr="007D6082">
        <w:t xml:space="preserve"> Strengths and limitations of </w:t>
      </w:r>
      <w:r w:rsidR="001D7837">
        <w:t xml:space="preserve">the </w:t>
      </w:r>
      <w:r w:rsidR="00EF348C" w:rsidRPr="007D6082">
        <w:t>study</w:t>
      </w:r>
      <w:bookmarkEnd w:id="119"/>
    </w:p>
    <w:p w14:paraId="762BE0BF" w14:textId="1E6D12E6" w:rsidR="001D7837" w:rsidRDefault="00B174EC" w:rsidP="00F553B7">
      <w:pPr>
        <w:spacing w:line="360" w:lineRule="auto"/>
        <w:rPr>
          <w:sz w:val="24"/>
          <w:szCs w:val="24"/>
        </w:rPr>
      </w:pPr>
      <w:r>
        <w:rPr>
          <w:sz w:val="24"/>
          <w:szCs w:val="24"/>
        </w:rPr>
        <w:t xml:space="preserve">This section </w:t>
      </w:r>
      <w:r w:rsidR="001D7837">
        <w:rPr>
          <w:sz w:val="24"/>
          <w:szCs w:val="24"/>
        </w:rPr>
        <w:t xml:space="preserve">begins with </w:t>
      </w:r>
      <w:r>
        <w:rPr>
          <w:sz w:val="24"/>
          <w:szCs w:val="24"/>
        </w:rPr>
        <w:t>a discussion of the strengths of my study</w:t>
      </w:r>
      <w:r w:rsidR="001D7837">
        <w:rPr>
          <w:sz w:val="24"/>
          <w:szCs w:val="24"/>
        </w:rPr>
        <w:t xml:space="preserve">, followed by </w:t>
      </w:r>
      <w:r>
        <w:rPr>
          <w:sz w:val="24"/>
          <w:szCs w:val="24"/>
        </w:rPr>
        <w:t>a consideration of the limitations</w:t>
      </w:r>
      <w:r w:rsidR="001D7837">
        <w:rPr>
          <w:sz w:val="24"/>
          <w:szCs w:val="24"/>
        </w:rPr>
        <w:t xml:space="preserve"> and concludes with</w:t>
      </w:r>
      <w:r>
        <w:rPr>
          <w:sz w:val="24"/>
          <w:szCs w:val="24"/>
        </w:rPr>
        <w:t xml:space="preserve"> suggesti</w:t>
      </w:r>
      <w:r w:rsidR="001343BD">
        <w:rPr>
          <w:sz w:val="24"/>
          <w:szCs w:val="24"/>
        </w:rPr>
        <w:t>o</w:t>
      </w:r>
      <w:r>
        <w:rPr>
          <w:sz w:val="24"/>
          <w:szCs w:val="24"/>
        </w:rPr>
        <w:t>n</w:t>
      </w:r>
      <w:r w:rsidR="001343BD">
        <w:rPr>
          <w:sz w:val="24"/>
          <w:szCs w:val="24"/>
        </w:rPr>
        <w:t>s</w:t>
      </w:r>
      <w:r>
        <w:rPr>
          <w:sz w:val="24"/>
          <w:szCs w:val="24"/>
        </w:rPr>
        <w:t xml:space="preserve"> </w:t>
      </w:r>
      <w:r w:rsidR="001D7837">
        <w:rPr>
          <w:sz w:val="24"/>
          <w:szCs w:val="24"/>
        </w:rPr>
        <w:t xml:space="preserve">for </w:t>
      </w:r>
      <w:r>
        <w:rPr>
          <w:sz w:val="24"/>
          <w:szCs w:val="24"/>
        </w:rPr>
        <w:t xml:space="preserve">changes I would make if I were </w:t>
      </w:r>
      <w:r w:rsidR="001D7837">
        <w:rPr>
          <w:sz w:val="24"/>
          <w:szCs w:val="24"/>
        </w:rPr>
        <w:t xml:space="preserve">to </w:t>
      </w:r>
      <w:r>
        <w:rPr>
          <w:sz w:val="24"/>
          <w:szCs w:val="24"/>
        </w:rPr>
        <w:t>repeat this research.</w:t>
      </w:r>
    </w:p>
    <w:p w14:paraId="0E2E096F" w14:textId="7AC4B79B" w:rsidR="00B174EC" w:rsidRPr="00130008" w:rsidRDefault="00FE0B50" w:rsidP="00531995">
      <w:pPr>
        <w:pStyle w:val="Heading3"/>
      </w:pPr>
      <w:bookmarkStart w:id="120" w:name="_Toc452316403"/>
      <w:r>
        <w:t xml:space="preserve">6.6.1 </w:t>
      </w:r>
      <w:r w:rsidR="00B174EC" w:rsidRPr="00B174EC">
        <w:t>Strengths</w:t>
      </w:r>
      <w:r w:rsidR="00B174EC" w:rsidRPr="00130008">
        <w:t xml:space="preserve"> of study</w:t>
      </w:r>
      <w:bookmarkEnd w:id="120"/>
    </w:p>
    <w:p w14:paraId="735B8B8C" w14:textId="6BC9BD9E" w:rsidR="00130008" w:rsidRDefault="00432E03" w:rsidP="00151BA7">
      <w:pPr>
        <w:spacing w:after="0" w:line="360" w:lineRule="auto"/>
        <w:rPr>
          <w:sz w:val="24"/>
          <w:szCs w:val="24"/>
        </w:rPr>
      </w:pPr>
      <w:r>
        <w:rPr>
          <w:sz w:val="24"/>
          <w:szCs w:val="24"/>
        </w:rPr>
        <w:t xml:space="preserve">My study has </w:t>
      </w:r>
      <w:r w:rsidR="003738F5">
        <w:rPr>
          <w:sz w:val="24"/>
          <w:szCs w:val="24"/>
        </w:rPr>
        <w:t>five</w:t>
      </w:r>
      <w:r w:rsidR="00B174EC">
        <w:rPr>
          <w:sz w:val="24"/>
          <w:szCs w:val="24"/>
        </w:rPr>
        <w:t xml:space="preserve"> main strengths. First</w:t>
      </w:r>
      <w:r w:rsidR="00681850">
        <w:rPr>
          <w:sz w:val="24"/>
          <w:szCs w:val="24"/>
        </w:rPr>
        <w:t>,</w:t>
      </w:r>
      <w:r w:rsidR="00B174EC">
        <w:rPr>
          <w:sz w:val="24"/>
          <w:szCs w:val="24"/>
        </w:rPr>
        <w:t xml:space="preserve"> </w:t>
      </w:r>
      <w:r w:rsidR="00EF348C" w:rsidRPr="008F4096">
        <w:rPr>
          <w:sz w:val="24"/>
          <w:szCs w:val="24"/>
        </w:rPr>
        <w:t xml:space="preserve">my research is a contemporary study into an aspect of the first education policy of the </w:t>
      </w:r>
      <w:r w:rsidR="00130008">
        <w:rPr>
          <w:sz w:val="24"/>
          <w:szCs w:val="24"/>
        </w:rPr>
        <w:t xml:space="preserve">Conservative/Liberal Democrat </w:t>
      </w:r>
      <w:r w:rsidR="00B14ED6">
        <w:rPr>
          <w:sz w:val="24"/>
          <w:szCs w:val="24"/>
        </w:rPr>
        <w:t>C</w:t>
      </w:r>
      <w:r w:rsidR="00EF348C" w:rsidRPr="008F4096">
        <w:rPr>
          <w:sz w:val="24"/>
          <w:szCs w:val="24"/>
        </w:rPr>
        <w:t>oalition government</w:t>
      </w:r>
      <w:r w:rsidR="00130008">
        <w:rPr>
          <w:sz w:val="24"/>
          <w:szCs w:val="24"/>
        </w:rPr>
        <w:t>.</w:t>
      </w:r>
      <w:r w:rsidR="00EF348C" w:rsidRPr="008F4096">
        <w:rPr>
          <w:sz w:val="24"/>
          <w:szCs w:val="24"/>
        </w:rPr>
        <w:t xml:space="preserve"> At the time</w:t>
      </w:r>
      <w:r w:rsidR="00130008">
        <w:rPr>
          <w:sz w:val="24"/>
          <w:szCs w:val="24"/>
        </w:rPr>
        <w:t xml:space="preserve"> of publication </w:t>
      </w:r>
      <w:r w:rsidR="00650667">
        <w:rPr>
          <w:sz w:val="24"/>
          <w:szCs w:val="24"/>
        </w:rPr>
        <w:t xml:space="preserve">of the </w:t>
      </w:r>
      <w:r w:rsidR="007D0662">
        <w:rPr>
          <w:sz w:val="24"/>
          <w:szCs w:val="24"/>
        </w:rPr>
        <w:t xml:space="preserve">EBac </w:t>
      </w:r>
      <w:r w:rsidR="00650667">
        <w:rPr>
          <w:sz w:val="24"/>
          <w:szCs w:val="24"/>
        </w:rPr>
        <w:t xml:space="preserve">policy </w:t>
      </w:r>
      <w:r w:rsidR="00130008">
        <w:rPr>
          <w:sz w:val="24"/>
          <w:szCs w:val="24"/>
        </w:rPr>
        <w:t>(October 2010)</w:t>
      </w:r>
      <w:r w:rsidR="00EF348C" w:rsidRPr="008F4096">
        <w:rPr>
          <w:sz w:val="24"/>
          <w:szCs w:val="24"/>
        </w:rPr>
        <w:t xml:space="preserve">, </w:t>
      </w:r>
      <w:r w:rsidR="00314EBA">
        <w:rPr>
          <w:sz w:val="24"/>
          <w:szCs w:val="24"/>
        </w:rPr>
        <w:t xml:space="preserve">many </w:t>
      </w:r>
      <w:r w:rsidR="005C6B01" w:rsidRPr="008F4096">
        <w:rPr>
          <w:sz w:val="24"/>
          <w:szCs w:val="24"/>
        </w:rPr>
        <w:t>were</w:t>
      </w:r>
      <w:r w:rsidR="00EF348C" w:rsidRPr="008F4096">
        <w:rPr>
          <w:sz w:val="24"/>
          <w:szCs w:val="24"/>
        </w:rPr>
        <w:t xml:space="preserve"> unsure </w:t>
      </w:r>
      <w:r w:rsidR="007D0662">
        <w:rPr>
          <w:sz w:val="24"/>
          <w:szCs w:val="24"/>
        </w:rPr>
        <w:t>how</w:t>
      </w:r>
      <w:r w:rsidR="00EF348C" w:rsidRPr="008F4096">
        <w:rPr>
          <w:sz w:val="24"/>
          <w:szCs w:val="24"/>
        </w:rPr>
        <w:t xml:space="preserve"> the </w:t>
      </w:r>
      <w:r w:rsidR="00B14ED6">
        <w:rPr>
          <w:sz w:val="24"/>
          <w:szCs w:val="24"/>
        </w:rPr>
        <w:t>C</w:t>
      </w:r>
      <w:r w:rsidR="00EF348C" w:rsidRPr="008F4096">
        <w:rPr>
          <w:sz w:val="24"/>
          <w:szCs w:val="24"/>
        </w:rPr>
        <w:t>oalition government would amalgamate differ</w:t>
      </w:r>
      <w:r w:rsidR="005C6B01">
        <w:rPr>
          <w:sz w:val="24"/>
          <w:szCs w:val="24"/>
        </w:rPr>
        <w:t>ing</w:t>
      </w:r>
      <w:r w:rsidR="00EF348C" w:rsidRPr="008F4096">
        <w:rPr>
          <w:sz w:val="24"/>
          <w:szCs w:val="24"/>
        </w:rPr>
        <w:t xml:space="preserve"> ideological positions into coherent policies</w:t>
      </w:r>
      <w:r w:rsidR="00314EBA">
        <w:rPr>
          <w:sz w:val="24"/>
          <w:szCs w:val="24"/>
        </w:rPr>
        <w:t xml:space="preserve"> (Quinn et al., 2011)</w:t>
      </w:r>
      <w:r w:rsidR="00EF348C" w:rsidRPr="008F4096">
        <w:rPr>
          <w:sz w:val="24"/>
          <w:szCs w:val="24"/>
        </w:rPr>
        <w:t xml:space="preserve">. </w:t>
      </w:r>
      <w:r w:rsidR="00130008">
        <w:rPr>
          <w:sz w:val="24"/>
          <w:szCs w:val="24"/>
        </w:rPr>
        <w:t>My study provide</w:t>
      </w:r>
      <w:r w:rsidR="00B6095D">
        <w:rPr>
          <w:sz w:val="24"/>
          <w:szCs w:val="24"/>
        </w:rPr>
        <w:t>s</w:t>
      </w:r>
      <w:r w:rsidR="00130008">
        <w:rPr>
          <w:sz w:val="24"/>
          <w:szCs w:val="24"/>
        </w:rPr>
        <w:t xml:space="preserve"> a</w:t>
      </w:r>
      <w:r w:rsidR="00C542B8">
        <w:rPr>
          <w:sz w:val="24"/>
          <w:szCs w:val="24"/>
        </w:rPr>
        <w:t>n original</w:t>
      </w:r>
      <w:r w:rsidR="00130008">
        <w:rPr>
          <w:sz w:val="24"/>
          <w:szCs w:val="24"/>
        </w:rPr>
        <w:t xml:space="preserve"> analysis of key parts of the policy text and a </w:t>
      </w:r>
      <w:r w:rsidR="00C542B8">
        <w:rPr>
          <w:sz w:val="24"/>
          <w:szCs w:val="24"/>
        </w:rPr>
        <w:t xml:space="preserve">contextualised </w:t>
      </w:r>
      <w:r w:rsidR="00130008">
        <w:rPr>
          <w:sz w:val="24"/>
          <w:szCs w:val="24"/>
        </w:rPr>
        <w:t xml:space="preserve">reflection on EBac </w:t>
      </w:r>
      <w:r w:rsidR="00C542B8">
        <w:rPr>
          <w:sz w:val="24"/>
          <w:szCs w:val="24"/>
        </w:rPr>
        <w:t xml:space="preserve">policy </w:t>
      </w:r>
      <w:r w:rsidR="00130008">
        <w:rPr>
          <w:sz w:val="24"/>
          <w:szCs w:val="24"/>
        </w:rPr>
        <w:t>implementation in four differing secondary schools in England from 2010 to 2013.</w:t>
      </w:r>
    </w:p>
    <w:p w14:paraId="3B247769" w14:textId="77777777" w:rsidR="00432E03" w:rsidRDefault="00432E03" w:rsidP="00151BA7">
      <w:pPr>
        <w:spacing w:after="0" w:line="360" w:lineRule="auto"/>
        <w:rPr>
          <w:sz w:val="24"/>
          <w:szCs w:val="24"/>
        </w:rPr>
      </w:pPr>
    </w:p>
    <w:p w14:paraId="20FD994C" w14:textId="50162AF1" w:rsidR="00130008" w:rsidRDefault="00130008" w:rsidP="00B6050F">
      <w:pPr>
        <w:tabs>
          <w:tab w:val="left" w:pos="8789"/>
        </w:tabs>
        <w:spacing w:after="0" w:line="360" w:lineRule="auto"/>
        <w:rPr>
          <w:sz w:val="24"/>
          <w:szCs w:val="24"/>
        </w:rPr>
      </w:pPr>
      <w:r>
        <w:rPr>
          <w:sz w:val="24"/>
          <w:szCs w:val="24"/>
        </w:rPr>
        <w:t xml:space="preserve">A second strength is the period of time spent completing the study. </w:t>
      </w:r>
      <w:r w:rsidR="007A113C">
        <w:rPr>
          <w:sz w:val="24"/>
          <w:szCs w:val="24"/>
        </w:rPr>
        <w:t>Given</w:t>
      </w:r>
      <w:r w:rsidR="00C542B8">
        <w:rPr>
          <w:sz w:val="24"/>
          <w:szCs w:val="24"/>
        </w:rPr>
        <w:t xml:space="preserve"> recent </w:t>
      </w:r>
      <w:r>
        <w:rPr>
          <w:sz w:val="24"/>
          <w:szCs w:val="24"/>
        </w:rPr>
        <w:t>rapid change</w:t>
      </w:r>
      <w:r w:rsidR="00C542B8">
        <w:rPr>
          <w:sz w:val="24"/>
          <w:szCs w:val="24"/>
        </w:rPr>
        <w:t>s</w:t>
      </w:r>
      <w:r>
        <w:rPr>
          <w:sz w:val="24"/>
          <w:szCs w:val="24"/>
        </w:rPr>
        <w:t xml:space="preserve"> in educational policy</w:t>
      </w:r>
      <w:r w:rsidR="00B14ED6">
        <w:rPr>
          <w:sz w:val="24"/>
          <w:szCs w:val="24"/>
        </w:rPr>
        <w:t>,</w:t>
      </w:r>
      <w:r>
        <w:rPr>
          <w:sz w:val="24"/>
          <w:szCs w:val="24"/>
        </w:rPr>
        <w:t xml:space="preserve"> I was</w:t>
      </w:r>
      <w:r w:rsidR="00B14ED6">
        <w:rPr>
          <w:sz w:val="24"/>
          <w:szCs w:val="24"/>
        </w:rPr>
        <w:t xml:space="preserve"> un</w:t>
      </w:r>
      <w:r>
        <w:rPr>
          <w:sz w:val="24"/>
          <w:szCs w:val="24"/>
        </w:rPr>
        <w:t xml:space="preserve">sure if the EBac policy would have </w:t>
      </w:r>
      <w:r w:rsidR="00681850">
        <w:rPr>
          <w:sz w:val="24"/>
          <w:szCs w:val="24"/>
        </w:rPr>
        <w:t xml:space="preserve">the </w:t>
      </w:r>
      <w:r>
        <w:rPr>
          <w:sz w:val="24"/>
          <w:szCs w:val="24"/>
        </w:rPr>
        <w:t xml:space="preserve">longevity </w:t>
      </w:r>
      <w:r w:rsidR="00681850">
        <w:rPr>
          <w:sz w:val="24"/>
          <w:szCs w:val="24"/>
        </w:rPr>
        <w:t>required for a</w:t>
      </w:r>
      <w:r>
        <w:rPr>
          <w:sz w:val="24"/>
          <w:szCs w:val="24"/>
        </w:rPr>
        <w:t xml:space="preserve"> study</w:t>
      </w:r>
      <w:r w:rsidR="00681850">
        <w:rPr>
          <w:sz w:val="24"/>
          <w:szCs w:val="24"/>
        </w:rPr>
        <w:t xml:space="preserve"> of this nature</w:t>
      </w:r>
      <w:r>
        <w:rPr>
          <w:sz w:val="24"/>
          <w:szCs w:val="24"/>
        </w:rPr>
        <w:t xml:space="preserve">. The Statistical First release </w:t>
      </w:r>
      <w:r w:rsidR="00681850">
        <w:rPr>
          <w:sz w:val="24"/>
          <w:szCs w:val="24"/>
        </w:rPr>
        <w:t>(</w:t>
      </w:r>
      <w:r>
        <w:rPr>
          <w:sz w:val="24"/>
          <w:szCs w:val="24"/>
        </w:rPr>
        <w:t>201</w:t>
      </w:r>
      <w:r w:rsidR="00FE0B50">
        <w:rPr>
          <w:sz w:val="24"/>
          <w:szCs w:val="24"/>
        </w:rPr>
        <w:t>4</w:t>
      </w:r>
      <w:r w:rsidR="008211D1">
        <w:rPr>
          <w:sz w:val="24"/>
          <w:szCs w:val="24"/>
        </w:rPr>
        <w:t>c</w:t>
      </w:r>
      <w:r w:rsidR="00681850">
        <w:rPr>
          <w:sz w:val="24"/>
          <w:szCs w:val="24"/>
        </w:rPr>
        <w:t>)</w:t>
      </w:r>
      <w:r>
        <w:rPr>
          <w:sz w:val="24"/>
          <w:szCs w:val="24"/>
        </w:rPr>
        <w:t xml:space="preserve"> demonstrates impact </w:t>
      </w:r>
      <w:r w:rsidR="00265F33">
        <w:rPr>
          <w:sz w:val="24"/>
          <w:szCs w:val="24"/>
        </w:rPr>
        <w:t xml:space="preserve">in terms of increased uptake of EBac subjects over the last five years. </w:t>
      </w:r>
      <w:r w:rsidRPr="008F4096">
        <w:rPr>
          <w:sz w:val="24"/>
          <w:szCs w:val="24"/>
        </w:rPr>
        <w:t xml:space="preserve">My research </w:t>
      </w:r>
      <w:r w:rsidR="007D63AB">
        <w:rPr>
          <w:sz w:val="24"/>
          <w:szCs w:val="24"/>
        </w:rPr>
        <w:t xml:space="preserve">began with </w:t>
      </w:r>
      <w:r w:rsidRPr="008F4096">
        <w:rPr>
          <w:sz w:val="24"/>
          <w:szCs w:val="24"/>
        </w:rPr>
        <w:t>reflection</w:t>
      </w:r>
      <w:r w:rsidR="007D63AB">
        <w:rPr>
          <w:sz w:val="24"/>
          <w:szCs w:val="24"/>
        </w:rPr>
        <w:t xml:space="preserve"> on</w:t>
      </w:r>
      <w:r w:rsidR="00681850">
        <w:rPr>
          <w:sz w:val="24"/>
          <w:szCs w:val="24"/>
        </w:rPr>
        <w:t>,</w:t>
      </w:r>
      <w:r w:rsidRPr="008F4096">
        <w:rPr>
          <w:sz w:val="24"/>
          <w:szCs w:val="24"/>
        </w:rPr>
        <w:t xml:space="preserve"> and critical analysis of</w:t>
      </w:r>
      <w:r w:rsidR="00681850">
        <w:rPr>
          <w:sz w:val="24"/>
          <w:szCs w:val="24"/>
        </w:rPr>
        <w:t>,</w:t>
      </w:r>
      <w:r w:rsidRPr="008F4096">
        <w:rPr>
          <w:sz w:val="24"/>
          <w:szCs w:val="24"/>
        </w:rPr>
        <w:t xml:space="preserve"> parts of the policy documents using Hyatt’s CDA </w:t>
      </w:r>
      <w:r w:rsidRPr="008F4096">
        <w:rPr>
          <w:sz w:val="24"/>
          <w:szCs w:val="24"/>
        </w:rPr>
        <w:lastRenderedPageBreak/>
        <w:t>framework. Th</w:t>
      </w:r>
      <w:r w:rsidR="007D63AB">
        <w:rPr>
          <w:sz w:val="24"/>
          <w:szCs w:val="24"/>
        </w:rPr>
        <w:t>e results</w:t>
      </w:r>
      <w:r w:rsidRPr="008F4096">
        <w:rPr>
          <w:sz w:val="24"/>
          <w:szCs w:val="24"/>
        </w:rPr>
        <w:t xml:space="preserve"> in turn</w:t>
      </w:r>
      <w:r w:rsidR="007D63AB">
        <w:rPr>
          <w:sz w:val="24"/>
          <w:szCs w:val="24"/>
        </w:rPr>
        <w:t xml:space="preserve"> fed into the </w:t>
      </w:r>
      <w:r w:rsidRPr="008F4096">
        <w:rPr>
          <w:sz w:val="24"/>
          <w:szCs w:val="24"/>
        </w:rPr>
        <w:t>semi-structured interview</w:t>
      </w:r>
      <w:r w:rsidR="007D63AB">
        <w:rPr>
          <w:sz w:val="24"/>
          <w:szCs w:val="24"/>
        </w:rPr>
        <w:t xml:space="preserve"> questions</w:t>
      </w:r>
      <w:r w:rsidRPr="008F4096">
        <w:rPr>
          <w:sz w:val="24"/>
          <w:szCs w:val="24"/>
        </w:rPr>
        <w:t xml:space="preserve">. </w:t>
      </w:r>
      <w:r w:rsidR="007D63AB">
        <w:rPr>
          <w:sz w:val="24"/>
          <w:szCs w:val="24"/>
        </w:rPr>
        <w:t xml:space="preserve">The timing of the research study was judged so that reactions to </w:t>
      </w:r>
      <w:r w:rsidRPr="008F4096">
        <w:rPr>
          <w:sz w:val="24"/>
          <w:szCs w:val="24"/>
        </w:rPr>
        <w:t xml:space="preserve">the initial policy </w:t>
      </w:r>
      <w:r w:rsidR="007D63AB">
        <w:rPr>
          <w:sz w:val="24"/>
          <w:szCs w:val="24"/>
        </w:rPr>
        <w:t xml:space="preserve">were made, </w:t>
      </w:r>
      <w:r w:rsidRPr="008F4096">
        <w:rPr>
          <w:sz w:val="24"/>
          <w:szCs w:val="24"/>
        </w:rPr>
        <w:t xml:space="preserve">embedded and amended by schools before </w:t>
      </w:r>
      <w:r w:rsidR="007D63AB">
        <w:rPr>
          <w:sz w:val="24"/>
          <w:szCs w:val="24"/>
        </w:rPr>
        <w:t xml:space="preserve">I </w:t>
      </w:r>
      <w:r w:rsidR="007F5A87">
        <w:rPr>
          <w:sz w:val="24"/>
          <w:szCs w:val="24"/>
        </w:rPr>
        <w:t xml:space="preserve">carried </w:t>
      </w:r>
      <w:r w:rsidRPr="008F4096">
        <w:rPr>
          <w:sz w:val="24"/>
          <w:szCs w:val="24"/>
        </w:rPr>
        <w:t>out my interviews in 2013</w:t>
      </w:r>
      <w:r w:rsidR="007D63AB">
        <w:rPr>
          <w:sz w:val="24"/>
          <w:szCs w:val="24"/>
        </w:rPr>
        <w:t xml:space="preserve">. This allowed </w:t>
      </w:r>
      <w:r w:rsidR="00650667">
        <w:rPr>
          <w:sz w:val="24"/>
          <w:szCs w:val="24"/>
        </w:rPr>
        <w:t xml:space="preserve">a timely study </w:t>
      </w:r>
      <w:r w:rsidR="00B14ED6">
        <w:rPr>
          <w:sz w:val="24"/>
          <w:szCs w:val="24"/>
        </w:rPr>
        <w:t>focusing on</w:t>
      </w:r>
      <w:r w:rsidR="00650667">
        <w:rPr>
          <w:sz w:val="24"/>
          <w:szCs w:val="24"/>
        </w:rPr>
        <w:t xml:space="preserve"> </w:t>
      </w:r>
      <w:r w:rsidRPr="008F4096">
        <w:rPr>
          <w:sz w:val="24"/>
          <w:szCs w:val="24"/>
        </w:rPr>
        <w:t xml:space="preserve">the implementation of the EBac policy at school level. </w:t>
      </w:r>
    </w:p>
    <w:p w14:paraId="3BA08A2F" w14:textId="77777777" w:rsidR="00B6050F" w:rsidRPr="008F4096" w:rsidRDefault="00B6050F" w:rsidP="00B6050F">
      <w:pPr>
        <w:tabs>
          <w:tab w:val="left" w:pos="8789"/>
        </w:tabs>
        <w:spacing w:after="0" w:line="360" w:lineRule="auto"/>
        <w:rPr>
          <w:sz w:val="24"/>
          <w:szCs w:val="24"/>
        </w:rPr>
      </w:pPr>
    </w:p>
    <w:p w14:paraId="302062D6" w14:textId="73FDDD50" w:rsidR="00E60E71" w:rsidRDefault="004B4A02" w:rsidP="00B6050F">
      <w:pPr>
        <w:tabs>
          <w:tab w:val="left" w:pos="7371"/>
        </w:tabs>
        <w:spacing w:after="0" w:line="360" w:lineRule="auto"/>
        <w:rPr>
          <w:sz w:val="24"/>
          <w:szCs w:val="24"/>
        </w:rPr>
      </w:pPr>
      <w:r>
        <w:rPr>
          <w:sz w:val="24"/>
          <w:szCs w:val="24"/>
        </w:rPr>
        <w:t>Third,</w:t>
      </w:r>
      <w:r w:rsidR="00130008">
        <w:rPr>
          <w:sz w:val="24"/>
          <w:szCs w:val="24"/>
        </w:rPr>
        <w:t xml:space="preserve"> is the inclusion of </w:t>
      </w:r>
      <w:r w:rsidR="007D63AB">
        <w:rPr>
          <w:sz w:val="24"/>
          <w:szCs w:val="24"/>
        </w:rPr>
        <w:t>four</w:t>
      </w:r>
      <w:r w:rsidR="00B6095D">
        <w:rPr>
          <w:sz w:val="24"/>
          <w:szCs w:val="24"/>
        </w:rPr>
        <w:t xml:space="preserve"> differ</w:t>
      </w:r>
      <w:r w:rsidR="007D63AB">
        <w:rPr>
          <w:sz w:val="24"/>
          <w:szCs w:val="24"/>
        </w:rPr>
        <w:t>ent</w:t>
      </w:r>
      <w:r w:rsidR="00B6095D">
        <w:rPr>
          <w:sz w:val="24"/>
          <w:szCs w:val="24"/>
        </w:rPr>
        <w:t xml:space="preserve"> case</w:t>
      </w:r>
      <w:r w:rsidR="00681850">
        <w:rPr>
          <w:sz w:val="24"/>
          <w:szCs w:val="24"/>
        </w:rPr>
        <w:t xml:space="preserve"> </w:t>
      </w:r>
      <w:r w:rsidR="00B6095D">
        <w:rPr>
          <w:sz w:val="24"/>
          <w:szCs w:val="24"/>
        </w:rPr>
        <w:t>study schools</w:t>
      </w:r>
      <w:r w:rsidR="00130008">
        <w:rPr>
          <w:sz w:val="24"/>
          <w:szCs w:val="24"/>
        </w:rPr>
        <w:t>. This allowed me to compare and contrast the key issues from the EBac policy that have impacted on sc</w:t>
      </w:r>
      <w:r w:rsidR="00A91971">
        <w:rPr>
          <w:sz w:val="24"/>
          <w:szCs w:val="24"/>
        </w:rPr>
        <w:t xml:space="preserve">hools in different circumstances. My sample is not representative </w:t>
      </w:r>
      <w:r w:rsidR="00681850">
        <w:rPr>
          <w:sz w:val="24"/>
          <w:szCs w:val="24"/>
        </w:rPr>
        <w:t xml:space="preserve">and cannot be </w:t>
      </w:r>
      <w:r w:rsidR="00A91971">
        <w:rPr>
          <w:sz w:val="24"/>
          <w:szCs w:val="24"/>
        </w:rPr>
        <w:t>generalis</w:t>
      </w:r>
      <w:r w:rsidR="00681850">
        <w:rPr>
          <w:sz w:val="24"/>
          <w:szCs w:val="24"/>
        </w:rPr>
        <w:t>ed,</w:t>
      </w:r>
      <w:r w:rsidR="00A91971">
        <w:rPr>
          <w:sz w:val="24"/>
          <w:szCs w:val="24"/>
        </w:rPr>
        <w:t xml:space="preserve"> but I believe that the four contrasting situations of the schools in my study </w:t>
      </w:r>
      <w:r w:rsidR="00681850">
        <w:rPr>
          <w:sz w:val="24"/>
          <w:szCs w:val="24"/>
        </w:rPr>
        <w:t xml:space="preserve">can </w:t>
      </w:r>
      <w:r w:rsidR="00A91971">
        <w:rPr>
          <w:sz w:val="24"/>
          <w:szCs w:val="24"/>
        </w:rPr>
        <w:t xml:space="preserve">allow others to find </w:t>
      </w:r>
      <w:r w:rsidR="007D0662">
        <w:rPr>
          <w:sz w:val="24"/>
          <w:szCs w:val="24"/>
        </w:rPr>
        <w:t xml:space="preserve">resonance </w:t>
      </w:r>
      <w:r w:rsidR="006D5CE7">
        <w:rPr>
          <w:sz w:val="24"/>
          <w:szCs w:val="24"/>
        </w:rPr>
        <w:t>with other similar contexts</w:t>
      </w:r>
      <w:r w:rsidR="007D0662">
        <w:rPr>
          <w:sz w:val="24"/>
          <w:szCs w:val="24"/>
        </w:rPr>
        <w:t xml:space="preserve"> (Bassey’s 1998)</w:t>
      </w:r>
      <w:r w:rsidR="0057012D">
        <w:rPr>
          <w:sz w:val="24"/>
          <w:szCs w:val="24"/>
        </w:rPr>
        <w:t>.</w:t>
      </w:r>
      <w:r w:rsidR="00A91971">
        <w:rPr>
          <w:sz w:val="24"/>
          <w:szCs w:val="24"/>
        </w:rPr>
        <w:t xml:space="preserve">  </w:t>
      </w:r>
    </w:p>
    <w:p w14:paraId="41A5E863" w14:textId="77777777" w:rsidR="00B6050F" w:rsidRDefault="00B6050F" w:rsidP="00B6050F">
      <w:pPr>
        <w:tabs>
          <w:tab w:val="left" w:pos="7371"/>
        </w:tabs>
        <w:spacing w:after="0" w:line="360" w:lineRule="auto"/>
        <w:rPr>
          <w:sz w:val="24"/>
          <w:szCs w:val="24"/>
        </w:rPr>
      </w:pPr>
    </w:p>
    <w:p w14:paraId="0A4FFB9F" w14:textId="5694F98F" w:rsidR="00E60E71" w:rsidRDefault="004B4A02" w:rsidP="00B6050F">
      <w:pPr>
        <w:tabs>
          <w:tab w:val="left" w:pos="7371"/>
        </w:tabs>
        <w:spacing w:after="0" w:line="360" w:lineRule="auto"/>
        <w:rPr>
          <w:sz w:val="24"/>
          <w:szCs w:val="24"/>
        </w:rPr>
      </w:pPr>
      <w:r>
        <w:rPr>
          <w:sz w:val="24"/>
          <w:szCs w:val="24"/>
        </w:rPr>
        <w:t>T</w:t>
      </w:r>
      <w:r w:rsidR="00A91971">
        <w:rPr>
          <w:sz w:val="24"/>
          <w:szCs w:val="24"/>
        </w:rPr>
        <w:t xml:space="preserve">he use of semi-structured interviews with </w:t>
      </w:r>
      <w:r w:rsidR="00E60E71">
        <w:rPr>
          <w:sz w:val="24"/>
          <w:szCs w:val="24"/>
        </w:rPr>
        <w:t>school leaders</w:t>
      </w:r>
      <w:r>
        <w:rPr>
          <w:sz w:val="24"/>
          <w:szCs w:val="24"/>
        </w:rPr>
        <w:t xml:space="preserve"> is a fourth strength</w:t>
      </w:r>
      <w:r w:rsidR="00650667">
        <w:rPr>
          <w:sz w:val="24"/>
          <w:szCs w:val="24"/>
        </w:rPr>
        <w:t>. These</w:t>
      </w:r>
      <w:r w:rsidR="00A91971">
        <w:rPr>
          <w:sz w:val="24"/>
          <w:szCs w:val="24"/>
        </w:rPr>
        <w:t xml:space="preserve"> allowed me to explore implementation issues relating to the EBac at school level from a number of perspectives. I was able to gather rich</w:t>
      </w:r>
      <w:r w:rsidR="005C6B01">
        <w:rPr>
          <w:sz w:val="24"/>
          <w:szCs w:val="24"/>
        </w:rPr>
        <w:t xml:space="preserve">, </w:t>
      </w:r>
      <w:r w:rsidR="00681850">
        <w:rPr>
          <w:sz w:val="24"/>
          <w:szCs w:val="24"/>
        </w:rPr>
        <w:t xml:space="preserve">valid </w:t>
      </w:r>
      <w:r w:rsidR="00A91971">
        <w:rPr>
          <w:sz w:val="24"/>
          <w:szCs w:val="24"/>
        </w:rPr>
        <w:t>data in order to begin to understand and critically reflect on the context</w:t>
      </w:r>
      <w:r w:rsidR="00B14ED6">
        <w:rPr>
          <w:sz w:val="24"/>
          <w:szCs w:val="24"/>
        </w:rPr>
        <w:t>s</w:t>
      </w:r>
      <w:r w:rsidR="00A91971">
        <w:rPr>
          <w:sz w:val="24"/>
          <w:szCs w:val="24"/>
        </w:rPr>
        <w:t>, pressures and issues impacting on different members of staff in different school</w:t>
      </w:r>
      <w:r w:rsidR="005C6B01">
        <w:rPr>
          <w:sz w:val="24"/>
          <w:szCs w:val="24"/>
        </w:rPr>
        <w:t>s</w:t>
      </w:r>
      <w:r w:rsidR="00A91971">
        <w:rPr>
          <w:sz w:val="24"/>
          <w:szCs w:val="24"/>
        </w:rPr>
        <w:t>.</w:t>
      </w:r>
      <w:r w:rsidR="006D5CE7">
        <w:rPr>
          <w:sz w:val="24"/>
          <w:szCs w:val="24"/>
        </w:rPr>
        <w:t xml:space="preserve"> Ten interviews of approximately one hour </w:t>
      </w:r>
      <w:r w:rsidR="00681850">
        <w:rPr>
          <w:sz w:val="24"/>
          <w:szCs w:val="24"/>
        </w:rPr>
        <w:t>each</w:t>
      </w:r>
      <w:r w:rsidR="006D5CE7">
        <w:rPr>
          <w:sz w:val="24"/>
          <w:szCs w:val="24"/>
        </w:rPr>
        <w:t xml:space="preserve"> provided a wealth of research data from which to analys</w:t>
      </w:r>
      <w:r w:rsidR="0057012D">
        <w:rPr>
          <w:sz w:val="24"/>
          <w:szCs w:val="24"/>
        </w:rPr>
        <w:t>e</w:t>
      </w:r>
      <w:r w:rsidR="006D5CE7">
        <w:rPr>
          <w:sz w:val="24"/>
          <w:szCs w:val="24"/>
        </w:rPr>
        <w:t xml:space="preserve"> and ultimately draw conclusions. </w:t>
      </w:r>
    </w:p>
    <w:p w14:paraId="1B5AD5A0" w14:textId="77777777" w:rsidR="00B6050F" w:rsidRDefault="00B6050F" w:rsidP="00B6050F">
      <w:pPr>
        <w:tabs>
          <w:tab w:val="left" w:pos="7371"/>
        </w:tabs>
        <w:spacing w:after="0" w:line="360" w:lineRule="auto"/>
        <w:rPr>
          <w:sz w:val="24"/>
          <w:szCs w:val="24"/>
        </w:rPr>
      </w:pPr>
    </w:p>
    <w:p w14:paraId="551CEB40" w14:textId="3974B57D" w:rsidR="00EF348C" w:rsidRDefault="00A91971" w:rsidP="0057012D">
      <w:pPr>
        <w:tabs>
          <w:tab w:val="left" w:pos="7371"/>
        </w:tabs>
        <w:spacing w:line="360" w:lineRule="auto"/>
        <w:rPr>
          <w:sz w:val="24"/>
          <w:szCs w:val="24"/>
        </w:rPr>
      </w:pPr>
      <w:r>
        <w:rPr>
          <w:sz w:val="24"/>
          <w:szCs w:val="24"/>
        </w:rPr>
        <w:t>Fifth</w:t>
      </w:r>
      <w:r w:rsidR="00681850">
        <w:rPr>
          <w:sz w:val="24"/>
          <w:szCs w:val="24"/>
        </w:rPr>
        <w:t>,</w:t>
      </w:r>
      <w:r>
        <w:rPr>
          <w:sz w:val="24"/>
          <w:szCs w:val="24"/>
        </w:rPr>
        <w:t xml:space="preserve"> m</w:t>
      </w:r>
      <w:r w:rsidR="00EF348C" w:rsidRPr="008F4096">
        <w:rPr>
          <w:sz w:val="24"/>
          <w:szCs w:val="24"/>
        </w:rPr>
        <w:t xml:space="preserve">y critical stance has allowed me to put forward a range of recommendations for policy and practice improvements which have caused me to reflect on my </w:t>
      </w:r>
      <w:r w:rsidR="00650667">
        <w:rPr>
          <w:sz w:val="24"/>
          <w:szCs w:val="24"/>
        </w:rPr>
        <w:t>own</w:t>
      </w:r>
      <w:r w:rsidR="00B14ED6">
        <w:rPr>
          <w:sz w:val="24"/>
          <w:szCs w:val="24"/>
        </w:rPr>
        <w:t xml:space="preserve"> beliefs, values and</w:t>
      </w:r>
      <w:r w:rsidR="00650667">
        <w:rPr>
          <w:sz w:val="24"/>
          <w:szCs w:val="24"/>
        </w:rPr>
        <w:t xml:space="preserve"> </w:t>
      </w:r>
      <w:r w:rsidR="00EF348C" w:rsidRPr="008F4096">
        <w:rPr>
          <w:sz w:val="24"/>
          <w:szCs w:val="24"/>
        </w:rPr>
        <w:t>practice</w:t>
      </w:r>
      <w:r w:rsidR="00B14ED6">
        <w:rPr>
          <w:sz w:val="24"/>
          <w:szCs w:val="24"/>
        </w:rPr>
        <w:t>s</w:t>
      </w:r>
      <w:r w:rsidR="00EF348C" w:rsidRPr="008F4096">
        <w:rPr>
          <w:sz w:val="24"/>
          <w:szCs w:val="24"/>
        </w:rPr>
        <w:t xml:space="preserve"> as a school leader and I hope encourage</w:t>
      </w:r>
      <w:r w:rsidR="00681850">
        <w:rPr>
          <w:sz w:val="24"/>
          <w:szCs w:val="24"/>
        </w:rPr>
        <w:t>s</w:t>
      </w:r>
      <w:r w:rsidR="00EF348C" w:rsidRPr="008F4096">
        <w:rPr>
          <w:sz w:val="24"/>
          <w:szCs w:val="24"/>
        </w:rPr>
        <w:t xml:space="preserve"> others to do so even if ultimately they reach differing conclusions.</w:t>
      </w:r>
    </w:p>
    <w:p w14:paraId="7B911A88" w14:textId="375EA9AC" w:rsidR="003738F5" w:rsidRPr="006222D5" w:rsidRDefault="0057012D" w:rsidP="00531995">
      <w:pPr>
        <w:pStyle w:val="Heading3"/>
      </w:pPr>
      <w:bookmarkStart w:id="121" w:name="_Toc452316404"/>
      <w:r>
        <w:t xml:space="preserve">6.6.2 </w:t>
      </w:r>
      <w:r w:rsidR="003738F5" w:rsidRPr="006222D5">
        <w:t xml:space="preserve">Limitations of </w:t>
      </w:r>
      <w:r w:rsidR="00432E03">
        <w:t xml:space="preserve">the </w:t>
      </w:r>
      <w:r w:rsidR="003738F5" w:rsidRPr="006222D5">
        <w:t>study</w:t>
      </w:r>
      <w:bookmarkEnd w:id="121"/>
    </w:p>
    <w:p w14:paraId="15A6E076" w14:textId="1F577FB8" w:rsidR="006D5CE7" w:rsidRDefault="00E60E71" w:rsidP="00151BA7">
      <w:pPr>
        <w:spacing w:after="0" w:line="360" w:lineRule="auto"/>
        <w:rPr>
          <w:sz w:val="24"/>
          <w:szCs w:val="24"/>
        </w:rPr>
      </w:pPr>
      <w:r>
        <w:rPr>
          <w:sz w:val="24"/>
          <w:szCs w:val="24"/>
        </w:rPr>
        <w:t>T</w:t>
      </w:r>
      <w:r w:rsidR="00BE4BE5">
        <w:rPr>
          <w:sz w:val="24"/>
          <w:szCs w:val="24"/>
        </w:rPr>
        <w:t xml:space="preserve">his is </w:t>
      </w:r>
      <w:r w:rsidR="00EF348C" w:rsidRPr="008F4096">
        <w:rPr>
          <w:sz w:val="24"/>
          <w:szCs w:val="24"/>
        </w:rPr>
        <w:t>a small scale</w:t>
      </w:r>
      <w:r w:rsidR="00BE4BE5">
        <w:rPr>
          <w:sz w:val="24"/>
          <w:szCs w:val="24"/>
        </w:rPr>
        <w:t>,</w:t>
      </w:r>
      <w:r w:rsidR="00EF348C" w:rsidRPr="008F4096">
        <w:rPr>
          <w:sz w:val="24"/>
          <w:szCs w:val="24"/>
        </w:rPr>
        <w:t xml:space="preserve"> </w:t>
      </w:r>
      <w:r w:rsidR="00BE4BE5">
        <w:rPr>
          <w:sz w:val="24"/>
          <w:szCs w:val="24"/>
        </w:rPr>
        <w:t>four</w:t>
      </w:r>
      <w:r w:rsidR="00432E03">
        <w:rPr>
          <w:sz w:val="24"/>
          <w:szCs w:val="24"/>
        </w:rPr>
        <w:t>-</w:t>
      </w:r>
      <w:r w:rsidR="00BE4BE5">
        <w:rPr>
          <w:sz w:val="24"/>
          <w:szCs w:val="24"/>
        </w:rPr>
        <w:t>school</w:t>
      </w:r>
      <w:r w:rsidR="00BE4BE5" w:rsidRPr="008F4096">
        <w:rPr>
          <w:sz w:val="24"/>
          <w:szCs w:val="24"/>
        </w:rPr>
        <w:t xml:space="preserve"> study</w:t>
      </w:r>
      <w:r w:rsidR="00BE4BE5">
        <w:rPr>
          <w:sz w:val="24"/>
          <w:szCs w:val="24"/>
        </w:rPr>
        <w:t xml:space="preserve">, a sample </w:t>
      </w:r>
      <w:r w:rsidR="00EF348C" w:rsidRPr="008F4096">
        <w:rPr>
          <w:sz w:val="24"/>
          <w:szCs w:val="24"/>
        </w:rPr>
        <w:t>whic</w:t>
      </w:r>
      <w:r w:rsidR="002602A1">
        <w:rPr>
          <w:sz w:val="24"/>
          <w:szCs w:val="24"/>
        </w:rPr>
        <w:t>h is not</w:t>
      </w:r>
      <w:r w:rsidR="00EF348C" w:rsidRPr="008F4096">
        <w:rPr>
          <w:sz w:val="24"/>
          <w:szCs w:val="24"/>
        </w:rPr>
        <w:t xml:space="preserve"> representative of different schools within one </w:t>
      </w:r>
      <w:r w:rsidR="00B6095D">
        <w:rPr>
          <w:sz w:val="24"/>
          <w:szCs w:val="24"/>
        </w:rPr>
        <w:t>L</w:t>
      </w:r>
      <w:r w:rsidR="00151BA7">
        <w:rPr>
          <w:sz w:val="24"/>
          <w:szCs w:val="24"/>
        </w:rPr>
        <w:t>A</w:t>
      </w:r>
      <w:r w:rsidR="00EF348C" w:rsidRPr="008F4096">
        <w:rPr>
          <w:sz w:val="24"/>
          <w:szCs w:val="24"/>
        </w:rPr>
        <w:t xml:space="preserve">. </w:t>
      </w:r>
      <w:r w:rsidR="006D5CE7">
        <w:rPr>
          <w:sz w:val="24"/>
          <w:szCs w:val="24"/>
        </w:rPr>
        <w:t xml:space="preserve">I </w:t>
      </w:r>
      <w:r w:rsidR="004B4A02">
        <w:rPr>
          <w:sz w:val="24"/>
          <w:szCs w:val="24"/>
        </w:rPr>
        <w:t xml:space="preserve">initially </w:t>
      </w:r>
      <w:r w:rsidR="006D5CE7">
        <w:rPr>
          <w:sz w:val="24"/>
          <w:szCs w:val="24"/>
        </w:rPr>
        <w:t>believe</w:t>
      </w:r>
      <w:r w:rsidR="004B4A02">
        <w:rPr>
          <w:sz w:val="24"/>
          <w:szCs w:val="24"/>
        </w:rPr>
        <w:t>d</w:t>
      </w:r>
      <w:r w:rsidR="006D5CE7">
        <w:rPr>
          <w:sz w:val="24"/>
          <w:szCs w:val="24"/>
        </w:rPr>
        <w:t xml:space="preserve"> </w:t>
      </w:r>
      <w:r w:rsidR="00432E03">
        <w:rPr>
          <w:sz w:val="24"/>
          <w:szCs w:val="24"/>
        </w:rPr>
        <w:t>the</w:t>
      </w:r>
      <w:r w:rsidR="00681850">
        <w:rPr>
          <w:sz w:val="24"/>
          <w:szCs w:val="24"/>
        </w:rPr>
        <w:t xml:space="preserve"> second limitation </w:t>
      </w:r>
      <w:r w:rsidR="004B4A02">
        <w:rPr>
          <w:sz w:val="24"/>
          <w:szCs w:val="24"/>
        </w:rPr>
        <w:t>to be</w:t>
      </w:r>
      <w:r w:rsidR="00BE4BE5">
        <w:rPr>
          <w:sz w:val="24"/>
          <w:szCs w:val="24"/>
        </w:rPr>
        <w:t xml:space="preserve"> my neglect </w:t>
      </w:r>
      <w:r w:rsidR="006D5CE7">
        <w:rPr>
          <w:sz w:val="24"/>
          <w:szCs w:val="24"/>
        </w:rPr>
        <w:t>within the interviews o</w:t>
      </w:r>
      <w:r w:rsidR="00BE4BE5">
        <w:rPr>
          <w:sz w:val="24"/>
          <w:szCs w:val="24"/>
        </w:rPr>
        <w:t>f</w:t>
      </w:r>
      <w:r w:rsidR="006D5CE7">
        <w:rPr>
          <w:sz w:val="24"/>
          <w:szCs w:val="24"/>
        </w:rPr>
        <w:t xml:space="preserve"> </w:t>
      </w:r>
      <w:r w:rsidR="004B4A02">
        <w:rPr>
          <w:sz w:val="24"/>
          <w:szCs w:val="24"/>
        </w:rPr>
        <w:t xml:space="preserve">explicitly </w:t>
      </w:r>
      <w:r w:rsidR="00B14ED6">
        <w:rPr>
          <w:sz w:val="24"/>
          <w:szCs w:val="24"/>
        </w:rPr>
        <w:t xml:space="preserve">addressing </w:t>
      </w:r>
      <w:r w:rsidR="00432E03">
        <w:rPr>
          <w:sz w:val="24"/>
          <w:szCs w:val="24"/>
        </w:rPr>
        <w:t xml:space="preserve">the impact of the EBac </w:t>
      </w:r>
      <w:r w:rsidR="006D5CE7">
        <w:rPr>
          <w:sz w:val="24"/>
          <w:szCs w:val="24"/>
        </w:rPr>
        <w:t xml:space="preserve">on different social groups. </w:t>
      </w:r>
      <w:r w:rsidR="006222D5">
        <w:rPr>
          <w:sz w:val="24"/>
          <w:szCs w:val="24"/>
        </w:rPr>
        <w:t xml:space="preserve">I </w:t>
      </w:r>
      <w:r w:rsidR="00127F71">
        <w:rPr>
          <w:sz w:val="24"/>
          <w:szCs w:val="24"/>
        </w:rPr>
        <w:t xml:space="preserve">originally </w:t>
      </w:r>
      <w:r w:rsidR="006222D5">
        <w:rPr>
          <w:sz w:val="24"/>
          <w:szCs w:val="24"/>
        </w:rPr>
        <w:t xml:space="preserve">felt that this omission </w:t>
      </w:r>
      <w:r w:rsidR="002602A1">
        <w:rPr>
          <w:sz w:val="24"/>
          <w:szCs w:val="24"/>
        </w:rPr>
        <w:t>was</w:t>
      </w:r>
      <w:r w:rsidR="006222D5">
        <w:rPr>
          <w:sz w:val="24"/>
          <w:szCs w:val="24"/>
        </w:rPr>
        <w:t xml:space="preserve"> due t</w:t>
      </w:r>
      <w:r w:rsidR="002602A1">
        <w:rPr>
          <w:sz w:val="24"/>
          <w:szCs w:val="24"/>
        </w:rPr>
        <w:t>o</w:t>
      </w:r>
      <w:r w:rsidR="006222D5">
        <w:rPr>
          <w:sz w:val="24"/>
          <w:szCs w:val="24"/>
        </w:rPr>
        <w:t xml:space="preserve"> issue</w:t>
      </w:r>
      <w:r w:rsidR="002602A1">
        <w:rPr>
          <w:sz w:val="24"/>
          <w:szCs w:val="24"/>
        </w:rPr>
        <w:t>s</w:t>
      </w:r>
      <w:r w:rsidR="006222D5">
        <w:rPr>
          <w:sz w:val="24"/>
          <w:szCs w:val="24"/>
        </w:rPr>
        <w:t xml:space="preserve"> with my interviewing skills</w:t>
      </w:r>
      <w:r w:rsidR="00681850">
        <w:rPr>
          <w:sz w:val="24"/>
          <w:szCs w:val="24"/>
        </w:rPr>
        <w:t>,</w:t>
      </w:r>
      <w:r w:rsidR="006222D5">
        <w:rPr>
          <w:sz w:val="24"/>
          <w:szCs w:val="24"/>
        </w:rPr>
        <w:t xml:space="preserve"> or a structural problem with my question framework. After careful </w:t>
      </w:r>
      <w:r w:rsidR="00BE4BE5">
        <w:rPr>
          <w:sz w:val="24"/>
          <w:szCs w:val="24"/>
        </w:rPr>
        <w:t>revisiting of the data</w:t>
      </w:r>
      <w:r w:rsidR="00681850">
        <w:rPr>
          <w:sz w:val="24"/>
          <w:szCs w:val="24"/>
        </w:rPr>
        <w:t>,</w:t>
      </w:r>
      <w:r w:rsidR="00BE4BE5">
        <w:rPr>
          <w:sz w:val="24"/>
          <w:szCs w:val="24"/>
        </w:rPr>
        <w:t xml:space="preserve"> and </w:t>
      </w:r>
      <w:r w:rsidR="006222D5">
        <w:rPr>
          <w:sz w:val="24"/>
          <w:szCs w:val="24"/>
        </w:rPr>
        <w:t xml:space="preserve">reflection </w:t>
      </w:r>
      <w:r w:rsidR="00BE4BE5">
        <w:rPr>
          <w:sz w:val="24"/>
          <w:szCs w:val="24"/>
        </w:rPr>
        <w:t xml:space="preserve">on </w:t>
      </w:r>
      <w:r w:rsidR="006222D5">
        <w:rPr>
          <w:sz w:val="24"/>
          <w:szCs w:val="24"/>
        </w:rPr>
        <w:t>a wider set of literature (</w:t>
      </w:r>
      <w:r w:rsidR="00127F71">
        <w:rPr>
          <w:sz w:val="24"/>
          <w:szCs w:val="24"/>
        </w:rPr>
        <w:t>Ball et al</w:t>
      </w:r>
      <w:r w:rsidR="00681850">
        <w:rPr>
          <w:sz w:val="24"/>
          <w:szCs w:val="24"/>
        </w:rPr>
        <w:t>.</w:t>
      </w:r>
      <w:r w:rsidR="00432E03">
        <w:rPr>
          <w:sz w:val="24"/>
          <w:szCs w:val="24"/>
        </w:rPr>
        <w:t>,</w:t>
      </w:r>
      <w:r w:rsidR="00127F71">
        <w:rPr>
          <w:sz w:val="24"/>
          <w:szCs w:val="24"/>
        </w:rPr>
        <w:t xml:space="preserve"> 2012</w:t>
      </w:r>
      <w:r w:rsidR="00681850">
        <w:rPr>
          <w:sz w:val="24"/>
          <w:szCs w:val="24"/>
        </w:rPr>
        <w:t>;</w:t>
      </w:r>
      <w:r w:rsidR="00127F71">
        <w:rPr>
          <w:sz w:val="24"/>
          <w:szCs w:val="24"/>
        </w:rPr>
        <w:t xml:space="preserve"> Angus 2012</w:t>
      </w:r>
      <w:r w:rsidR="00681850">
        <w:rPr>
          <w:sz w:val="24"/>
          <w:szCs w:val="24"/>
        </w:rPr>
        <w:t>;</w:t>
      </w:r>
      <w:r w:rsidR="00127F71">
        <w:rPr>
          <w:sz w:val="24"/>
          <w:szCs w:val="24"/>
        </w:rPr>
        <w:t xml:space="preserve"> Lingard </w:t>
      </w:r>
      <w:r w:rsidR="00432E03">
        <w:rPr>
          <w:sz w:val="24"/>
          <w:szCs w:val="24"/>
        </w:rPr>
        <w:t>and</w:t>
      </w:r>
      <w:r w:rsidR="00127F71">
        <w:rPr>
          <w:sz w:val="24"/>
          <w:szCs w:val="24"/>
        </w:rPr>
        <w:t xml:space="preserve"> Sellar</w:t>
      </w:r>
      <w:r w:rsidR="00432E03">
        <w:rPr>
          <w:sz w:val="24"/>
          <w:szCs w:val="24"/>
        </w:rPr>
        <w:t>,</w:t>
      </w:r>
      <w:r w:rsidR="00127F71">
        <w:rPr>
          <w:sz w:val="24"/>
          <w:szCs w:val="24"/>
        </w:rPr>
        <w:t xml:space="preserve"> 2013</w:t>
      </w:r>
      <w:r w:rsidR="00432E03">
        <w:rPr>
          <w:sz w:val="24"/>
          <w:szCs w:val="24"/>
        </w:rPr>
        <w:t>;</w:t>
      </w:r>
      <w:r w:rsidR="00127F71">
        <w:rPr>
          <w:sz w:val="24"/>
          <w:szCs w:val="24"/>
        </w:rPr>
        <w:t xml:space="preserve"> Lingard et </w:t>
      </w:r>
      <w:r w:rsidR="00127F71">
        <w:rPr>
          <w:sz w:val="24"/>
          <w:szCs w:val="24"/>
        </w:rPr>
        <w:lastRenderedPageBreak/>
        <w:t>al</w:t>
      </w:r>
      <w:r w:rsidR="00681850">
        <w:rPr>
          <w:sz w:val="24"/>
          <w:szCs w:val="24"/>
        </w:rPr>
        <w:t>.</w:t>
      </w:r>
      <w:r w:rsidR="00432E03">
        <w:rPr>
          <w:sz w:val="24"/>
          <w:szCs w:val="24"/>
        </w:rPr>
        <w:t>,</w:t>
      </w:r>
      <w:r w:rsidR="00127F71">
        <w:rPr>
          <w:sz w:val="24"/>
          <w:szCs w:val="24"/>
        </w:rPr>
        <w:t xml:space="preserve"> 2014</w:t>
      </w:r>
      <w:r w:rsidR="006222D5">
        <w:rPr>
          <w:sz w:val="24"/>
          <w:szCs w:val="24"/>
        </w:rPr>
        <w:t>)</w:t>
      </w:r>
      <w:r w:rsidR="00681850">
        <w:rPr>
          <w:sz w:val="24"/>
          <w:szCs w:val="24"/>
        </w:rPr>
        <w:t>,</w:t>
      </w:r>
      <w:r w:rsidR="006222D5">
        <w:rPr>
          <w:sz w:val="24"/>
          <w:szCs w:val="24"/>
        </w:rPr>
        <w:t xml:space="preserve"> I have realised that this </w:t>
      </w:r>
      <w:r w:rsidR="00681850">
        <w:rPr>
          <w:sz w:val="24"/>
          <w:szCs w:val="24"/>
        </w:rPr>
        <w:t>was</w:t>
      </w:r>
      <w:r w:rsidR="00BE4BE5">
        <w:rPr>
          <w:sz w:val="24"/>
          <w:szCs w:val="24"/>
        </w:rPr>
        <w:t xml:space="preserve"> </w:t>
      </w:r>
      <w:r w:rsidR="00681850">
        <w:rPr>
          <w:sz w:val="24"/>
          <w:szCs w:val="24"/>
        </w:rPr>
        <w:t>in fact</w:t>
      </w:r>
      <w:r w:rsidR="00BE4BE5">
        <w:rPr>
          <w:sz w:val="24"/>
          <w:szCs w:val="24"/>
        </w:rPr>
        <w:t xml:space="preserve"> </w:t>
      </w:r>
      <w:r w:rsidR="006222D5">
        <w:rPr>
          <w:sz w:val="24"/>
          <w:szCs w:val="24"/>
        </w:rPr>
        <w:t xml:space="preserve">a key finding that required additional analysis and reflection in order to </w:t>
      </w:r>
      <w:r w:rsidR="00127F71">
        <w:rPr>
          <w:sz w:val="24"/>
          <w:szCs w:val="24"/>
        </w:rPr>
        <w:t xml:space="preserve">attempt to </w:t>
      </w:r>
      <w:r w:rsidR="006222D5">
        <w:rPr>
          <w:sz w:val="24"/>
          <w:szCs w:val="24"/>
        </w:rPr>
        <w:t xml:space="preserve">uncover </w:t>
      </w:r>
      <w:r w:rsidR="002602A1">
        <w:rPr>
          <w:sz w:val="24"/>
          <w:szCs w:val="24"/>
        </w:rPr>
        <w:t>the</w:t>
      </w:r>
      <w:r w:rsidR="006222D5">
        <w:rPr>
          <w:sz w:val="24"/>
          <w:szCs w:val="24"/>
        </w:rPr>
        <w:t xml:space="preserve"> social processes in operation.</w:t>
      </w:r>
    </w:p>
    <w:p w14:paraId="6ED2D225" w14:textId="77777777" w:rsidR="00432E03" w:rsidRPr="007D6082" w:rsidRDefault="00432E03" w:rsidP="00151BA7">
      <w:pPr>
        <w:spacing w:after="0" w:line="360" w:lineRule="auto"/>
        <w:rPr>
          <w:sz w:val="24"/>
          <w:szCs w:val="24"/>
        </w:rPr>
      </w:pPr>
    </w:p>
    <w:p w14:paraId="4553A6C6" w14:textId="7DE06DBB" w:rsidR="00380869" w:rsidRPr="007D6082" w:rsidRDefault="00EF348C" w:rsidP="00EF348C">
      <w:pPr>
        <w:spacing w:line="360" w:lineRule="auto"/>
        <w:rPr>
          <w:sz w:val="24"/>
          <w:szCs w:val="24"/>
        </w:rPr>
      </w:pPr>
      <w:r w:rsidRPr="008F4096">
        <w:rPr>
          <w:sz w:val="24"/>
          <w:szCs w:val="24"/>
        </w:rPr>
        <w:t>A final limitation</w:t>
      </w:r>
      <w:r w:rsidR="006222D5">
        <w:rPr>
          <w:sz w:val="24"/>
          <w:szCs w:val="24"/>
        </w:rPr>
        <w:t xml:space="preserve"> </w:t>
      </w:r>
      <w:r w:rsidR="00E12250">
        <w:rPr>
          <w:sz w:val="24"/>
          <w:szCs w:val="24"/>
        </w:rPr>
        <w:t xml:space="preserve">of this study </w:t>
      </w:r>
      <w:r w:rsidR="006222D5">
        <w:rPr>
          <w:sz w:val="24"/>
          <w:szCs w:val="24"/>
        </w:rPr>
        <w:t>is the volume of data</w:t>
      </w:r>
      <w:r w:rsidR="00A54E10">
        <w:rPr>
          <w:sz w:val="24"/>
          <w:szCs w:val="24"/>
        </w:rPr>
        <w:t xml:space="preserve"> </w:t>
      </w:r>
      <w:r w:rsidR="00015815">
        <w:rPr>
          <w:sz w:val="24"/>
          <w:szCs w:val="24"/>
        </w:rPr>
        <w:t>collected using</w:t>
      </w:r>
      <w:r w:rsidR="00864C7B">
        <w:rPr>
          <w:sz w:val="24"/>
          <w:szCs w:val="24"/>
        </w:rPr>
        <w:t xml:space="preserve"> </w:t>
      </w:r>
      <w:r w:rsidR="006222D5">
        <w:rPr>
          <w:sz w:val="24"/>
          <w:szCs w:val="24"/>
        </w:rPr>
        <w:t>two research methods. Wellington (2000</w:t>
      </w:r>
      <w:r w:rsidR="00E60E71">
        <w:rPr>
          <w:sz w:val="24"/>
          <w:szCs w:val="24"/>
        </w:rPr>
        <w:t xml:space="preserve">) cautions that researchers have a tendency “to </w:t>
      </w:r>
      <w:r w:rsidR="00E60E71" w:rsidRPr="00E60E71">
        <w:rPr>
          <w:i/>
          <w:sz w:val="24"/>
          <w:szCs w:val="24"/>
        </w:rPr>
        <w:t>over</w:t>
      </w:r>
      <w:r w:rsidR="00E60E71">
        <w:rPr>
          <w:sz w:val="24"/>
          <w:szCs w:val="24"/>
        </w:rPr>
        <w:t xml:space="preserve">-collect and </w:t>
      </w:r>
      <w:r w:rsidR="00E60E71" w:rsidRPr="00E60E71">
        <w:rPr>
          <w:i/>
          <w:sz w:val="24"/>
          <w:szCs w:val="24"/>
        </w:rPr>
        <w:t>under</w:t>
      </w:r>
      <w:r w:rsidR="00E60E71">
        <w:rPr>
          <w:sz w:val="24"/>
          <w:szCs w:val="24"/>
        </w:rPr>
        <w:t>-analyse”</w:t>
      </w:r>
      <w:r w:rsidR="00D7475B">
        <w:rPr>
          <w:sz w:val="24"/>
          <w:szCs w:val="24"/>
        </w:rPr>
        <w:t xml:space="preserve"> </w:t>
      </w:r>
      <w:r w:rsidR="00E60E71">
        <w:rPr>
          <w:sz w:val="24"/>
          <w:szCs w:val="24"/>
        </w:rPr>
        <w:t>(p.133)</w:t>
      </w:r>
      <w:r w:rsidR="006222D5">
        <w:rPr>
          <w:sz w:val="24"/>
          <w:szCs w:val="24"/>
        </w:rPr>
        <w:t>. My data analysis eventually took place over two years</w:t>
      </w:r>
      <w:r w:rsidR="00E12250">
        <w:rPr>
          <w:sz w:val="24"/>
          <w:szCs w:val="24"/>
        </w:rPr>
        <w:t>,</w:t>
      </w:r>
      <w:r w:rsidR="006222D5">
        <w:rPr>
          <w:sz w:val="24"/>
          <w:szCs w:val="24"/>
        </w:rPr>
        <w:t xml:space="preserve"> with the CDA in 2012 and the interview data analysis from August 2013 </w:t>
      </w:r>
      <w:r w:rsidR="00432E03">
        <w:rPr>
          <w:sz w:val="24"/>
          <w:szCs w:val="24"/>
        </w:rPr>
        <w:t>until</w:t>
      </w:r>
      <w:r w:rsidR="006222D5">
        <w:rPr>
          <w:sz w:val="24"/>
          <w:szCs w:val="24"/>
        </w:rPr>
        <w:t xml:space="preserve"> April 2014. Such a time period has allowed for consideration and ref</w:t>
      </w:r>
      <w:r w:rsidR="00432E03">
        <w:rPr>
          <w:sz w:val="24"/>
          <w:szCs w:val="24"/>
        </w:rPr>
        <w:t>l</w:t>
      </w:r>
      <w:r w:rsidR="006222D5">
        <w:rPr>
          <w:sz w:val="24"/>
          <w:szCs w:val="24"/>
        </w:rPr>
        <w:t>ection</w:t>
      </w:r>
      <w:r w:rsidR="00432E03">
        <w:rPr>
          <w:sz w:val="24"/>
          <w:szCs w:val="24"/>
        </w:rPr>
        <w:t>. W</w:t>
      </w:r>
      <w:r w:rsidR="006222D5">
        <w:rPr>
          <w:sz w:val="24"/>
          <w:szCs w:val="24"/>
        </w:rPr>
        <w:t xml:space="preserve">hile much of my </w:t>
      </w:r>
      <w:r w:rsidR="00380869">
        <w:rPr>
          <w:sz w:val="24"/>
          <w:szCs w:val="24"/>
        </w:rPr>
        <w:t xml:space="preserve">original </w:t>
      </w:r>
      <w:r w:rsidR="006222D5">
        <w:rPr>
          <w:sz w:val="24"/>
          <w:szCs w:val="24"/>
        </w:rPr>
        <w:t xml:space="preserve">data is </w:t>
      </w:r>
      <w:r w:rsidR="00380869">
        <w:rPr>
          <w:sz w:val="24"/>
          <w:szCs w:val="24"/>
        </w:rPr>
        <w:t xml:space="preserve">not </w:t>
      </w:r>
      <w:r w:rsidR="00E12250">
        <w:rPr>
          <w:sz w:val="24"/>
          <w:szCs w:val="24"/>
        </w:rPr>
        <w:t xml:space="preserve">necessarily </w:t>
      </w:r>
      <w:r w:rsidR="00BE4BE5">
        <w:rPr>
          <w:sz w:val="24"/>
          <w:szCs w:val="24"/>
        </w:rPr>
        <w:t>included in</w:t>
      </w:r>
      <w:r w:rsidR="00380869">
        <w:rPr>
          <w:sz w:val="24"/>
          <w:szCs w:val="24"/>
        </w:rPr>
        <w:t xml:space="preserve"> my final thesis</w:t>
      </w:r>
      <w:r w:rsidR="00E12250">
        <w:rPr>
          <w:sz w:val="24"/>
          <w:szCs w:val="24"/>
        </w:rPr>
        <w:t>,</w:t>
      </w:r>
      <w:r w:rsidR="00380869">
        <w:rPr>
          <w:sz w:val="24"/>
          <w:szCs w:val="24"/>
        </w:rPr>
        <w:t xml:space="preserve"> I believe that I have been able to incorporate and distil the key elements and overarching themes and do justice to </w:t>
      </w:r>
      <w:r w:rsidR="00734925">
        <w:rPr>
          <w:sz w:val="24"/>
          <w:szCs w:val="24"/>
        </w:rPr>
        <w:t>its</w:t>
      </w:r>
      <w:r w:rsidR="00380869">
        <w:rPr>
          <w:sz w:val="24"/>
          <w:szCs w:val="24"/>
        </w:rPr>
        <w:t xml:space="preserve"> richness and complexity. In light of these strengths and limitations</w:t>
      </w:r>
      <w:r w:rsidR="00E12250">
        <w:rPr>
          <w:sz w:val="24"/>
          <w:szCs w:val="24"/>
        </w:rPr>
        <w:t>,</w:t>
      </w:r>
      <w:r w:rsidR="00380869">
        <w:rPr>
          <w:sz w:val="24"/>
          <w:szCs w:val="24"/>
        </w:rPr>
        <w:t xml:space="preserve"> I conclude this section by considering what I would</w:t>
      </w:r>
      <w:r w:rsidR="00B6095D">
        <w:rPr>
          <w:sz w:val="24"/>
          <w:szCs w:val="24"/>
        </w:rPr>
        <w:t xml:space="preserve"> </w:t>
      </w:r>
      <w:r w:rsidR="00380869">
        <w:rPr>
          <w:sz w:val="24"/>
          <w:szCs w:val="24"/>
        </w:rPr>
        <w:t>do differently</w:t>
      </w:r>
      <w:r w:rsidR="00B6095D">
        <w:rPr>
          <w:sz w:val="24"/>
          <w:szCs w:val="24"/>
        </w:rPr>
        <w:t>.</w:t>
      </w:r>
    </w:p>
    <w:p w14:paraId="775D74DB" w14:textId="3B2A306F" w:rsidR="00942C51" w:rsidRDefault="00F553B7" w:rsidP="00531995">
      <w:pPr>
        <w:pStyle w:val="Heading2"/>
      </w:pPr>
      <w:bookmarkStart w:id="122" w:name="_Toc452316405"/>
      <w:r>
        <w:t>6.7</w:t>
      </w:r>
      <w:r w:rsidR="00942C51" w:rsidRPr="00942C51">
        <w:t xml:space="preserve"> Update </w:t>
      </w:r>
      <w:r w:rsidR="00432E03">
        <w:t xml:space="preserve">on developments in </w:t>
      </w:r>
      <w:r w:rsidR="00942C51" w:rsidRPr="00942C51">
        <w:t>2015</w:t>
      </w:r>
      <w:bookmarkEnd w:id="122"/>
    </w:p>
    <w:p w14:paraId="2C9EF008" w14:textId="64A2DFDD" w:rsidR="0070442B" w:rsidRDefault="00942C51" w:rsidP="00151BA7">
      <w:pPr>
        <w:pStyle w:val="FootnoteText"/>
        <w:tabs>
          <w:tab w:val="left" w:pos="7230"/>
        </w:tabs>
        <w:spacing w:after="0" w:line="360" w:lineRule="auto"/>
        <w:rPr>
          <w:rFonts w:asciiTheme="minorHAnsi" w:hAnsiTheme="minorHAnsi" w:cstheme="minorHAnsi"/>
          <w:sz w:val="24"/>
          <w:szCs w:val="24"/>
        </w:rPr>
      </w:pPr>
      <w:r w:rsidRPr="00942C51">
        <w:rPr>
          <w:rFonts w:asciiTheme="minorHAnsi" w:hAnsiTheme="minorHAnsi" w:cstheme="minorHAnsi"/>
          <w:sz w:val="24"/>
          <w:szCs w:val="24"/>
        </w:rPr>
        <w:t>After four years of EBac implementation</w:t>
      </w:r>
      <w:r w:rsidR="00757896">
        <w:rPr>
          <w:rFonts w:asciiTheme="minorHAnsi" w:hAnsiTheme="minorHAnsi" w:cstheme="minorHAnsi"/>
          <w:sz w:val="24"/>
          <w:szCs w:val="24"/>
        </w:rPr>
        <w:t>,</w:t>
      </w:r>
      <w:r w:rsidRPr="00942C51">
        <w:rPr>
          <w:rFonts w:asciiTheme="minorHAnsi" w:hAnsiTheme="minorHAnsi" w:cstheme="minorHAnsi"/>
          <w:sz w:val="24"/>
          <w:szCs w:val="24"/>
        </w:rPr>
        <w:t xml:space="preserve"> the Coalition government announced a development of performance measures</w:t>
      </w:r>
      <w:r w:rsidR="0070442B">
        <w:rPr>
          <w:rFonts w:asciiTheme="minorHAnsi" w:hAnsiTheme="minorHAnsi" w:cstheme="minorHAnsi"/>
          <w:sz w:val="24"/>
          <w:szCs w:val="24"/>
        </w:rPr>
        <w:t xml:space="preserve"> starting from 2015 to be published in the performance tables in 2017</w:t>
      </w:r>
      <w:r w:rsidRPr="00942C51">
        <w:rPr>
          <w:rFonts w:asciiTheme="minorHAnsi" w:hAnsiTheme="minorHAnsi" w:cstheme="minorHAnsi"/>
          <w:sz w:val="24"/>
          <w:szCs w:val="24"/>
        </w:rPr>
        <w:t>. To incorporate a broader spread of subjects within the measures and to move away from the arbitrary success criteria of a grade at GCSE</w:t>
      </w:r>
      <w:r w:rsidR="00757896">
        <w:rPr>
          <w:rFonts w:asciiTheme="minorHAnsi" w:hAnsiTheme="minorHAnsi" w:cstheme="minorHAnsi"/>
          <w:sz w:val="24"/>
          <w:szCs w:val="24"/>
        </w:rPr>
        <w:t>,</w:t>
      </w:r>
      <w:r w:rsidRPr="00942C51">
        <w:rPr>
          <w:rFonts w:asciiTheme="minorHAnsi" w:hAnsiTheme="minorHAnsi" w:cstheme="minorHAnsi"/>
          <w:sz w:val="24"/>
          <w:szCs w:val="24"/>
        </w:rPr>
        <w:t xml:space="preserve"> it was announced that the new key measure for English secondary schools would be </w:t>
      </w:r>
      <w:r w:rsidR="00432E03">
        <w:rPr>
          <w:rFonts w:asciiTheme="minorHAnsi" w:hAnsiTheme="minorHAnsi" w:cstheme="minorHAnsi"/>
          <w:sz w:val="24"/>
          <w:szCs w:val="24"/>
        </w:rPr>
        <w:t>“</w:t>
      </w:r>
      <w:r w:rsidRPr="00942C51">
        <w:rPr>
          <w:rFonts w:asciiTheme="minorHAnsi" w:hAnsiTheme="minorHAnsi" w:cstheme="minorHAnsi"/>
          <w:sz w:val="24"/>
          <w:szCs w:val="24"/>
        </w:rPr>
        <w:t>Progress and Attainment 8</w:t>
      </w:r>
      <w:r w:rsidR="00432E03">
        <w:rPr>
          <w:rFonts w:asciiTheme="minorHAnsi" w:hAnsiTheme="minorHAnsi" w:cstheme="minorHAnsi"/>
          <w:sz w:val="24"/>
          <w:szCs w:val="24"/>
        </w:rPr>
        <w:t>”</w:t>
      </w:r>
      <w:r w:rsidRPr="00942C51">
        <w:rPr>
          <w:rFonts w:asciiTheme="minorHAnsi" w:hAnsiTheme="minorHAnsi" w:cstheme="minorHAnsi"/>
          <w:sz w:val="24"/>
          <w:szCs w:val="24"/>
        </w:rPr>
        <w:t>. Progress 8 measure</w:t>
      </w:r>
      <w:r w:rsidR="00792BE3">
        <w:rPr>
          <w:rFonts w:asciiTheme="minorHAnsi" w:hAnsiTheme="minorHAnsi" w:cstheme="minorHAnsi"/>
          <w:sz w:val="24"/>
          <w:szCs w:val="24"/>
        </w:rPr>
        <w:t>s</w:t>
      </w:r>
      <w:r w:rsidRPr="00942C51">
        <w:rPr>
          <w:rFonts w:asciiTheme="minorHAnsi" w:hAnsiTheme="minorHAnsi" w:cstheme="minorHAnsi"/>
          <w:sz w:val="24"/>
          <w:szCs w:val="24"/>
        </w:rPr>
        <w:t xml:space="preserve"> </w:t>
      </w:r>
      <w:r w:rsidR="00507594">
        <w:rPr>
          <w:rFonts w:asciiTheme="minorHAnsi" w:hAnsiTheme="minorHAnsi" w:cstheme="minorHAnsi"/>
          <w:sz w:val="24"/>
          <w:szCs w:val="24"/>
        </w:rPr>
        <w:t xml:space="preserve">student </w:t>
      </w:r>
      <w:r w:rsidRPr="00942C51">
        <w:rPr>
          <w:rFonts w:asciiTheme="minorHAnsi" w:hAnsiTheme="minorHAnsi" w:cstheme="minorHAnsi"/>
          <w:sz w:val="24"/>
          <w:szCs w:val="24"/>
        </w:rPr>
        <w:t xml:space="preserve">progress </w:t>
      </w:r>
      <w:r w:rsidR="00507594">
        <w:rPr>
          <w:rFonts w:asciiTheme="minorHAnsi" w:hAnsiTheme="minorHAnsi" w:cstheme="minorHAnsi"/>
          <w:sz w:val="24"/>
          <w:szCs w:val="24"/>
        </w:rPr>
        <w:t xml:space="preserve">from KS2 to KS4 </w:t>
      </w:r>
      <w:r w:rsidRPr="00942C51">
        <w:rPr>
          <w:rFonts w:asciiTheme="minorHAnsi" w:hAnsiTheme="minorHAnsi" w:cstheme="minorHAnsi"/>
          <w:sz w:val="24"/>
          <w:szCs w:val="24"/>
        </w:rPr>
        <w:t xml:space="preserve">in </w:t>
      </w:r>
      <w:r w:rsidR="00507594">
        <w:rPr>
          <w:rFonts w:asciiTheme="minorHAnsi" w:hAnsiTheme="minorHAnsi" w:cstheme="minorHAnsi"/>
          <w:sz w:val="24"/>
          <w:szCs w:val="24"/>
        </w:rPr>
        <w:t>eight</w:t>
      </w:r>
      <w:r w:rsidRPr="00942C51">
        <w:rPr>
          <w:rFonts w:asciiTheme="minorHAnsi" w:hAnsiTheme="minorHAnsi" w:cstheme="minorHAnsi"/>
          <w:sz w:val="24"/>
          <w:szCs w:val="24"/>
        </w:rPr>
        <w:t xml:space="preserve"> subjects</w:t>
      </w:r>
      <w:r w:rsidR="00757896">
        <w:rPr>
          <w:rFonts w:asciiTheme="minorHAnsi" w:hAnsiTheme="minorHAnsi" w:cstheme="minorHAnsi"/>
          <w:sz w:val="24"/>
          <w:szCs w:val="24"/>
        </w:rPr>
        <w:t>:</w:t>
      </w:r>
      <w:r w:rsidR="0070442B">
        <w:rPr>
          <w:rFonts w:asciiTheme="minorHAnsi" w:hAnsiTheme="minorHAnsi" w:cstheme="minorHAnsi"/>
          <w:sz w:val="24"/>
          <w:szCs w:val="24"/>
        </w:rPr>
        <w:t xml:space="preserve"> English and Mathematics, three EBac subjects and three non</w:t>
      </w:r>
      <w:r w:rsidR="00D21D50">
        <w:rPr>
          <w:rFonts w:asciiTheme="minorHAnsi" w:hAnsiTheme="minorHAnsi" w:cstheme="minorHAnsi"/>
          <w:sz w:val="24"/>
          <w:szCs w:val="24"/>
        </w:rPr>
        <w:t>-</w:t>
      </w:r>
      <w:r w:rsidR="0070442B">
        <w:rPr>
          <w:rFonts w:asciiTheme="minorHAnsi" w:hAnsiTheme="minorHAnsi" w:cstheme="minorHAnsi"/>
          <w:sz w:val="24"/>
          <w:szCs w:val="24"/>
        </w:rPr>
        <w:t>EBac subjects</w:t>
      </w:r>
      <w:r w:rsidR="00757896">
        <w:rPr>
          <w:rFonts w:asciiTheme="minorHAnsi" w:hAnsiTheme="minorHAnsi" w:cstheme="minorHAnsi"/>
          <w:sz w:val="24"/>
          <w:szCs w:val="24"/>
        </w:rPr>
        <w:t>.</w:t>
      </w:r>
      <w:r w:rsidR="00507594">
        <w:rPr>
          <w:rStyle w:val="FootnoteReference"/>
          <w:rFonts w:asciiTheme="minorHAnsi" w:hAnsiTheme="minorHAnsi" w:cstheme="minorHAnsi"/>
          <w:sz w:val="24"/>
          <w:szCs w:val="24"/>
        </w:rPr>
        <w:footnoteReference w:id="48"/>
      </w:r>
      <w:r w:rsidR="00507594">
        <w:rPr>
          <w:rFonts w:asciiTheme="minorHAnsi" w:hAnsiTheme="minorHAnsi" w:cstheme="minorHAnsi"/>
          <w:sz w:val="24"/>
          <w:szCs w:val="24"/>
        </w:rPr>
        <w:t xml:space="preserve"> Whereas </w:t>
      </w:r>
      <w:r w:rsidRPr="00942C51">
        <w:rPr>
          <w:rFonts w:asciiTheme="minorHAnsi" w:hAnsiTheme="minorHAnsi" w:cstheme="minorHAnsi"/>
          <w:sz w:val="24"/>
          <w:szCs w:val="24"/>
        </w:rPr>
        <w:t>Attainment 8 measure</w:t>
      </w:r>
      <w:r w:rsidR="00792BE3">
        <w:rPr>
          <w:rFonts w:asciiTheme="minorHAnsi" w:hAnsiTheme="minorHAnsi" w:cstheme="minorHAnsi"/>
          <w:sz w:val="24"/>
          <w:szCs w:val="24"/>
        </w:rPr>
        <w:t>s</w:t>
      </w:r>
      <w:r w:rsidRPr="00942C51">
        <w:rPr>
          <w:rFonts w:asciiTheme="minorHAnsi" w:hAnsiTheme="minorHAnsi" w:cstheme="minorHAnsi"/>
          <w:sz w:val="24"/>
          <w:szCs w:val="24"/>
        </w:rPr>
        <w:t xml:space="preserve"> final outcomes in these subjects</w:t>
      </w:r>
      <w:r w:rsidR="00757896">
        <w:rPr>
          <w:rFonts w:asciiTheme="minorHAnsi" w:hAnsiTheme="minorHAnsi" w:cstheme="minorHAnsi"/>
          <w:sz w:val="24"/>
          <w:szCs w:val="24"/>
        </w:rPr>
        <w:t>,</w:t>
      </w:r>
      <w:r w:rsidRPr="00942C51">
        <w:rPr>
          <w:rFonts w:asciiTheme="minorHAnsi" w:hAnsiTheme="minorHAnsi" w:cstheme="minorHAnsi"/>
          <w:sz w:val="24"/>
          <w:szCs w:val="24"/>
        </w:rPr>
        <w:t xml:space="preserve"> irrespective of starting points. In this way</w:t>
      </w:r>
      <w:r w:rsidR="00757896">
        <w:rPr>
          <w:rFonts w:asciiTheme="minorHAnsi" w:hAnsiTheme="minorHAnsi" w:cstheme="minorHAnsi"/>
          <w:sz w:val="24"/>
          <w:szCs w:val="24"/>
        </w:rPr>
        <w:t>,</w:t>
      </w:r>
      <w:r w:rsidRPr="00942C51">
        <w:rPr>
          <w:rFonts w:asciiTheme="minorHAnsi" w:hAnsiTheme="minorHAnsi" w:cstheme="minorHAnsi"/>
          <w:sz w:val="24"/>
          <w:szCs w:val="24"/>
        </w:rPr>
        <w:t xml:space="preserve"> schools </w:t>
      </w:r>
      <w:r w:rsidR="00792BE3">
        <w:rPr>
          <w:rFonts w:asciiTheme="minorHAnsi" w:hAnsiTheme="minorHAnsi" w:cstheme="minorHAnsi"/>
          <w:sz w:val="24"/>
          <w:szCs w:val="24"/>
        </w:rPr>
        <w:t>are</w:t>
      </w:r>
      <w:r w:rsidRPr="00942C51">
        <w:rPr>
          <w:rFonts w:asciiTheme="minorHAnsi" w:hAnsiTheme="minorHAnsi" w:cstheme="minorHAnsi"/>
          <w:sz w:val="24"/>
          <w:szCs w:val="24"/>
        </w:rPr>
        <w:t xml:space="preserve"> recognised for both overall attainment </w:t>
      </w:r>
      <w:r w:rsidRPr="00151BA7">
        <w:rPr>
          <w:rFonts w:asciiTheme="minorHAnsi" w:hAnsiTheme="minorHAnsi"/>
          <w:i/>
          <w:sz w:val="24"/>
        </w:rPr>
        <w:t>and</w:t>
      </w:r>
      <w:r w:rsidRPr="00942C51">
        <w:rPr>
          <w:rFonts w:asciiTheme="minorHAnsi" w:hAnsiTheme="minorHAnsi" w:cstheme="minorHAnsi"/>
          <w:sz w:val="24"/>
          <w:szCs w:val="24"/>
        </w:rPr>
        <w:t xml:space="preserve"> student progress across a wider range of subjects and grades than current measures of the EBac or 5 A*-C </w:t>
      </w:r>
      <w:r w:rsidR="00972996">
        <w:rPr>
          <w:rFonts w:asciiTheme="minorHAnsi" w:hAnsiTheme="minorHAnsi" w:cstheme="minorHAnsi"/>
          <w:sz w:val="24"/>
          <w:szCs w:val="24"/>
        </w:rPr>
        <w:t>(</w:t>
      </w:r>
      <w:r w:rsidRPr="00942C51">
        <w:rPr>
          <w:rFonts w:asciiTheme="minorHAnsi" w:hAnsiTheme="minorHAnsi" w:cstheme="minorHAnsi"/>
          <w:sz w:val="24"/>
          <w:szCs w:val="24"/>
        </w:rPr>
        <w:t>including English and Math</w:t>
      </w:r>
      <w:r w:rsidR="0070442B">
        <w:rPr>
          <w:rFonts w:asciiTheme="minorHAnsi" w:hAnsiTheme="minorHAnsi" w:cstheme="minorHAnsi"/>
          <w:sz w:val="24"/>
          <w:szCs w:val="24"/>
        </w:rPr>
        <w:t>ematics</w:t>
      </w:r>
      <w:r w:rsidR="00972996">
        <w:rPr>
          <w:rFonts w:asciiTheme="minorHAnsi" w:hAnsiTheme="minorHAnsi" w:cstheme="minorHAnsi"/>
          <w:sz w:val="24"/>
          <w:szCs w:val="24"/>
        </w:rPr>
        <w:t>)</w:t>
      </w:r>
      <w:r w:rsidRPr="00942C51">
        <w:rPr>
          <w:rFonts w:asciiTheme="minorHAnsi" w:hAnsiTheme="minorHAnsi" w:cstheme="minorHAnsi"/>
          <w:sz w:val="24"/>
          <w:szCs w:val="24"/>
        </w:rPr>
        <w:t>.</w:t>
      </w:r>
      <w:r w:rsidR="0070442B">
        <w:rPr>
          <w:rFonts w:asciiTheme="minorHAnsi" w:hAnsiTheme="minorHAnsi" w:cstheme="minorHAnsi"/>
          <w:sz w:val="24"/>
          <w:szCs w:val="24"/>
        </w:rPr>
        <w:t xml:space="preserve"> Such a measure addresses a number of the inequalities identified from my research</w:t>
      </w:r>
      <w:r w:rsidR="00972996">
        <w:rPr>
          <w:rFonts w:asciiTheme="minorHAnsi" w:hAnsiTheme="minorHAnsi" w:cstheme="minorHAnsi"/>
          <w:sz w:val="24"/>
          <w:szCs w:val="24"/>
        </w:rPr>
        <w:t>,</w:t>
      </w:r>
      <w:r w:rsidR="0070442B">
        <w:rPr>
          <w:rFonts w:asciiTheme="minorHAnsi" w:hAnsiTheme="minorHAnsi" w:cstheme="minorHAnsi"/>
          <w:sz w:val="24"/>
          <w:szCs w:val="24"/>
        </w:rPr>
        <w:t xml:space="preserve"> including the hierarchy of subjects created by the EBac and the need to achieve a </w:t>
      </w:r>
      <w:r w:rsidR="00972996">
        <w:rPr>
          <w:rFonts w:asciiTheme="minorHAnsi" w:hAnsiTheme="minorHAnsi" w:cstheme="minorHAnsi"/>
          <w:sz w:val="24"/>
          <w:szCs w:val="24"/>
        </w:rPr>
        <w:t xml:space="preserve">minimum </w:t>
      </w:r>
      <w:r w:rsidR="0070442B">
        <w:rPr>
          <w:rFonts w:asciiTheme="minorHAnsi" w:hAnsiTheme="minorHAnsi" w:cstheme="minorHAnsi"/>
          <w:sz w:val="24"/>
          <w:szCs w:val="24"/>
        </w:rPr>
        <w:t xml:space="preserve">grade C. </w:t>
      </w:r>
      <w:r w:rsidR="00757896">
        <w:rPr>
          <w:rFonts w:asciiTheme="minorHAnsi" w:hAnsiTheme="minorHAnsi" w:cstheme="minorHAnsi"/>
          <w:sz w:val="24"/>
          <w:szCs w:val="24"/>
        </w:rPr>
        <w:t>T</w:t>
      </w:r>
      <w:r w:rsidR="0070442B">
        <w:rPr>
          <w:rFonts w:asciiTheme="minorHAnsi" w:hAnsiTheme="minorHAnsi" w:cstheme="minorHAnsi"/>
          <w:sz w:val="24"/>
          <w:szCs w:val="24"/>
        </w:rPr>
        <w:t>his measure continues</w:t>
      </w:r>
      <w:r w:rsidR="00757896">
        <w:rPr>
          <w:rFonts w:asciiTheme="minorHAnsi" w:hAnsiTheme="minorHAnsi" w:cstheme="minorHAnsi"/>
          <w:sz w:val="24"/>
          <w:szCs w:val="24"/>
        </w:rPr>
        <w:t>,</w:t>
      </w:r>
      <w:r w:rsidR="0070442B">
        <w:rPr>
          <w:rFonts w:asciiTheme="minorHAnsi" w:hAnsiTheme="minorHAnsi" w:cstheme="minorHAnsi"/>
          <w:sz w:val="24"/>
          <w:szCs w:val="24"/>
        </w:rPr>
        <w:t xml:space="preserve"> </w:t>
      </w:r>
      <w:r w:rsidR="00757896">
        <w:rPr>
          <w:rFonts w:asciiTheme="minorHAnsi" w:hAnsiTheme="minorHAnsi" w:cstheme="minorHAnsi"/>
          <w:sz w:val="24"/>
          <w:szCs w:val="24"/>
        </w:rPr>
        <w:t>however,</w:t>
      </w:r>
      <w:r w:rsidR="0070442B">
        <w:rPr>
          <w:rFonts w:asciiTheme="minorHAnsi" w:hAnsiTheme="minorHAnsi" w:cstheme="minorHAnsi"/>
          <w:sz w:val="24"/>
          <w:szCs w:val="24"/>
        </w:rPr>
        <w:t xml:space="preserve"> to build on the EBac premise</w:t>
      </w:r>
      <w:r w:rsidR="00972996">
        <w:rPr>
          <w:rFonts w:asciiTheme="minorHAnsi" w:hAnsiTheme="minorHAnsi" w:cstheme="minorHAnsi"/>
          <w:sz w:val="24"/>
          <w:szCs w:val="24"/>
        </w:rPr>
        <w:t xml:space="preserve"> by</w:t>
      </w:r>
      <w:r w:rsidR="0070442B">
        <w:rPr>
          <w:rFonts w:asciiTheme="minorHAnsi" w:hAnsiTheme="minorHAnsi" w:cstheme="minorHAnsi"/>
          <w:sz w:val="24"/>
          <w:szCs w:val="24"/>
        </w:rPr>
        <w:t xml:space="preserve"> </w:t>
      </w:r>
      <w:r w:rsidR="00757896">
        <w:rPr>
          <w:rFonts w:asciiTheme="minorHAnsi" w:hAnsiTheme="minorHAnsi" w:cstheme="minorHAnsi"/>
          <w:sz w:val="24"/>
          <w:szCs w:val="24"/>
        </w:rPr>
        <w:t xml:space="preserve">still </w:t>
      </w:r>
      <w:r w:rsidR="0070442B">
        <w:rPr>
          <w:rFonts w:asciiTheme="minorHAnsi" w:hAnsiTheme="minorHAnsi" w:cstheme="minorHAnsi"/>
          <w:sz w:val="24"/>
          <w:szCs w:val="24"/>
        </w:rPr>
        <w:t>classify</w:t>
      </w:r>
      <w:r w:rsidR="00757896">
        <w:rPr>
          <w:rFonts w:asciiTheme="minorHAnsi" w:hAnsiTheme="minorHAnsi" w:cstheme="minorHAnsi"/>
          <w:sz w:val="24"/>
          <w:szCs w:val="24"/>
        </w:rPr>
        <w:t>ing</w:t>
      </w:r>
      <w:r w:rsidR="0070442B">
        <w:rPr>
          <w:rFonts w:asciiTheme="minorHAnsi" w:hAnsiTheme="minorHAnsi" w:cstheme="minorHAnsi"/>
          <w:sz w:val="24"/>
          <w:szCs w:val="24"/>
        </w:rPr>
        <w:t xml:space="preserve"> and </w:t>
      </w:r>
      <w:r w:rsidR="00972996">
        <w:rPr>
          <w:rFonts w:asciiTheme="minorHAnsi" w:hAnsiTheme="minorHAnsi" w:cstheme="minorHAnsi"/>
          <w:sz w:val="24"/>
          <w:szCs w:val="24"/>
        </w:rPr>
        <w:t>recognis</w:t>
      </w:r>
      <w:r w:rsidR="00757896">
        <w:rPr>
          <w:rFonts w:asciiTheme="minorHAnsi" w:hAnsiTheme="minorHAnsi" w:cstheme="minorHAnsi"/>
          <w:sz w:val="24"/>
          <w:szCs w:val="24"/>
        </w:rPr>
        <w:t>ing</w:t>
      </w:r>
      <w:r w:rsidR="0070442B">
        <w:rPr>
          <w:rFonts w:asciiTheme="minorHAnsi" w:hAnsiTheme="minorHAnsi" w:cstheme="minorHAnsi"/>
          <w:sz w:val="24"/>
          <w:szCs w:val="24"/>
        </w:rPr>
        <w:t xml:space="preserve"> the EBac subjects separately from others.</w:t>
      </w:r>
    </w:p>
    <w:p w14:paraId="222715D6" w14:textId="77777777" w:rsidR="00432E03" w:rsidRDefault="00432E03" w:rsidP="00151BA7">
      <w:pPr>
        <w:pStyle w:val="FootnoteText"/>
        <w:tabs>
          <w:tab w:val="left" w:pos="7230"/>
        </w:tabs>
        <w:spacing w:after="0" w:line="360" w:lineRule="auto"/>
        <w:rPr>
          <w:rFonts w:asciiTheme="minorHAnsi" w:hAnsiTheme="minorHAnsi" w:cstheme="minorHAnsi"/>
          <w:sz w:val="24"/>
          <w:szCs w:val="24"/>
        </w:rPr>
      </w:pPr>
    </w:p>
    <w:p w14:paraId="5A13B380" w14:textId="02AB29E5" w:rsidR="00942C51" w:rsidRPr="00942C51" w:rsidRDefault="0070442B" w:rsidP="0070442B">
      <w:pPr>
        <w:pStyle w:val="FootnoteText"/>
        <w:tabs>
          <w:tab w:val="left" w:pos="7230"/>
        </w:tabs>
        <w:spacing w:line="360" w:lineRule="auto"/>
      </w:pPr>
      <w:r>
        <w:rPr>
          <w:rFonts w:asciiTheme="minorHAnsi" w:hAnsiTheme="minorHAnsi" w:cstheme="minorHAnsi"/>
          <w:sz w:val="24"/>
          <w:szCs w:val="24"/>
        </w:rPr>
        <w:lastRenderedPageBreak/>
        <w:t>In May 2015 the Conservative party w</w:t>
      </w:r>
      <w:r w:rsidR="00432E03">
        <w:rPr>
          <w:rFonts w:asciiTheme="minorHAnsi" w:hAnsiTheme="minorHAnsi" w:cstheme="minorHAnsi"/>
          <w:sz w:val="24"/>
          <w:szCs w:val="24"/>
        </w:rPr>
        <w:t>as</w:t>
      </w:r>
      <w:r>
        <w:rPr>
          <w:rFonts w:asciiTheme="minorHAnsi" w:hAnsiTheme="minorHAnsi" w:cstheme="minorHAnsi"/>
          <w:sz w:val="24"/>
          <w:szCs w:val="24"/>
        </w:rPr>
        <w:t xml:space="preserve"> elected to government without the need for </w:t>
      </w:r>
      <w:r w:rsidR="00432E03">
        <w:rPr>
          <w:rFonts w:asciiTheme="minorHAnsi" w:hAnsiTheme="minorHAnsi" w:cstheme="minorHAnsi"/>
          <w:sz w:val="24"/>
          <w:szCs w:val="24"/>
        </w:rPr>
        <w:t>c</w:t>
      </w:r>
      <w:r>
        <w:rPr>
          <w:rFonts w:asciiTheme="minorHAnsi" w:hAnsiTheme="minorHAnsi" w:cstheme="minorHAnsi"/>
          <w:sz w:val="24"/>
          <w:szCs w:val="24"/>
        </w:rPr>
        <w:t>oalition partners. The impact of this change of political leadership on education policy is not yet clear</w:t>
      </w:r>
      <w:r w:rsidR="00432E03">
        <w:rPr>
          <w:rFonts w:asciiTheme="minorHAnsi" w:hAnsiTheme="minorHAnsi" w:cstheme="minorHAnsi"/>
          <w:sz w:val="24"/>
          <w:szCs w:val="24"/>
        </w:rPr>
        <w:t>,</w:t>
      </w:r>
      <w:r>
        <w:rPr>
          <w:rFonts w:asciiTheme="minorHAnsi" w:hAnsiTheme="minorHAnsi" w:cstheme="minorHAnsi"/>
          <w:sz w:val="24"/>
          <w:szCs w:val="24"/>
        </w:rPr>
        <w:t xml:space="preserve"> but </w:t>
      </w:r>
      <w:r w:rsidR="0091581F">
        <w:rPr>
          <w:rFonts w:asciiTheme="minorHAnsi" w:hAnsiTheme="minorHAnsi" w:cstheme="minorHAnsi"/>
          <w:sz w:val="24"/>
          <w:szCs w:val="24"/>
        </w:rPr>
        <w:t xml:space="preserve">current policy announcements indicate that </w:t>
      </w:r>
      <w:r w:rsidR="005A2F2E">
        <w:rPr>
          <w:rFonts w:asciiTheme="minorHAnsi" w:hAnsiTheme="minorHAnsi" w:cstheme="minorHAnsi"/>
          <w:sz w:val="24"/>
          <w:szCs w:val="24"/>
        </w:rPr>
        <w:t xml:space="preserve">schools </w:t>
      </w:r>
      <w:r w:rsidR="00432E03">
        <w:rPr>
          <w:rFonts w:asciiTheme="minorHAnsi" w:hAnsiTheme="minorHAnsi" w:cstheme="minorHAnsi"/>
          <w:sz w:val="24"/>
          <w:szCs w:val="24"/>
        </w:rPr>
        <w:t xml:space="preserve">will be expected to </w:t>
      </w:r>
      <w:r w:rsidR="005A2F2E">
        <w:rPr>
          <w:rFonts w:asciiTheme="minorHAnsi" w:hAnsiTheme="minorHAnsi" w:cstheme="minorHAnsi"/>
          <w:sz w:val="24"/>
          <w:szCs w:val="24"/>
        </w:rPr>
        <w:t xml:space="preserve">enter 90% </w:t>
      </w:r>
      <w:r w:rsidR="0091581F">
        <w:rPr>
          <w:rFonts w:asciiTheme="minorHAnsi" w:hAnsiTheme="minorHAnsi" w:cstheme="minorHAnsi"/>
          <w:sz w:val="24"/>
          <w:szCs w:val="24"/>
        </w:rPr>
        <w:t xml:space="preserve">of all students for the full EBac from the summer of 2020. </w:t>
      </w:r>
      <w:r w:rsidR="00757896">
        <w:rPr>
          <w:rFonts w:asciiTheme="minorHAnsi" w:hAnsiTheme="minorHAnsi" w:cstheme="minorHAnsi"/>
          <w:sz w:val="24"/>
          <w:szCs w:val="24"/>
        </w:rPr>
        <w:t>As</w:t>
      </w:r>
      <w:r w:rsidR="0091581F">
        <w:rPr>
          <w:rFonts w:asciiTheme="minorHAnsi" w:hAnsiTheme="minorHAnsi" w:cstheme="minorHAnsi"/>
          <w:sz w:val="24"/>
          <w:szCs w:val="24"/>
        </w:rPr>
        <w:t xml:space="preserve"> the c</w:t>
      </w:r>
      <w:r w:rsidR="004A01F6">
        <w:rPr>
          <w:rFonts w:asciiTheme="minorHAnsi" w:hAnsiTheme="minorHAnsi" w:cstheme="minorHAnsi"/>
          <w:sz w:val="24"/>
          <w:szCs w:val="24"/>
        </w:rPr>
        <w:t>urrent EBac national rate is 23.9</w:t>
      </w:r>
      <w:r w:rsidR="005A2F2E">
        <w:rPr>
          <w:rFonts w:asciiTheme="minorHAnsi" w:hAnsiTheme="minorHAnsi" w:cstheme="minorHAnsi"/>
          <w:sz w:val="24"/>
          <w:szCs w:val="24"/>
        </w:rPr>
        <w:t xml:space="preserve">% </w:t>
      </w:r>
      <w:r w:rsidR="004A01F6">
        <w:rPr>
          <w:rFonts w:asciiTheme="minorHAnsi" w:hAnsiTheme="minorHAnsi" w:cstheme="minorHAnsi"/>
          <w:sz w:val="24"/>
          <w:szCs w:val="24"/>
        </w:rPr>
        <w:t>(DfE 2016</w:t>
      </w:r>
      <w:r w:rsidR="0091581F">
        <w:rPr>
          <w:rFonts w:asciiTheme="minorHAnsi" w:hAnsiTheme="minorHAnsi" w:cstheme="minorHAnsi"/>
          <w:sz w:val="24"/>
          <w:szCs w:val="24"/>
        </w:rPr>
        <w:t xml:space="preserve">) this development </w:t>
      </w:r>
      <w:r>
        <w:rPr>
          <w:rFonts w:asciiTheme="minorHAnsi" w:hAnsiTheme="minorHAnsi" w:cstheme="minorHAnsi"/>
          <w:sz w:val="24"/>
          <w:szCs w:val="24"/>
        </w:rPr>
        <w:t xml:space="preserve">will </w:t>
      </w:r>
      <w:r w:rsidR="0091581F">
        <w:rPr>
          <w:rFonts w:asciiTheme="minorHAnsi" w:hAnsiTheme="minorHAnsi" w:cstheme="minorHAnsi"/>
          <w:sz w:val="24"/>
          <w:szCs w:val="24"/>
        </w:rPr>
        <w:t xml:space="preserve">have a major impact on schools if this policy remains. </w:t>
      </w:r>
      <w:r w:rsidR="00BC5AD8">
        <w:rPr>
          <w:rFonts w:asciiTheme="minorHAnsi" w:hAnsiTheme="minorHAnsi" w:cstheme="minorHAnsi"/>
          <w:sz w:val="24"/>
          <w:szCs w:val="24"/>
        </w:rPr>
        <w:t>One immediate impact will be the further narrowing of curriculum choice at KS4 for a greater number of students</w:t>
      </w:r>
      <w:r w:rsidR="00757896">
        <w:rPr>
          <w:rFonts w:asciiTheme="minorHAnsi" w:hAnsiTheme="minorHAnsi" w:cstheme="minorHAnsi"/>
          <w:sz w:val="24"/>
          <w:szCs w:val="24"/>
        </w:rPr>
        <w:t>,</w:t>
      </w:r>
      <w:r w:rsidR="00BC5AD8">
        <w:rPr>
          <w:rFonts w:asciiTheme="minorHAnsi" w:hAnsiTheme="minorHAnsi" w:cstheme="minorHAnsi"/>
          <w:sz w:val="24"/>
          <w:szCs w:val="24"/>
        </w:rPr>
        <w:t xml:space="preserve"> along with a corresponding realignment of teachers with far greater numbers of language and humanities teachers required and a decrease in requirements for technology and creative arts. I argue that such a move will further increase the reliance on data as students are classified only in terms of their predicted and actual examination results</w:t>
      </w:r>
      <w:r w:rsidR="00757896">
        <w:rPr>
          <w:rFonts w:asciiTheme="minorHAnsi" w:hAnsiTheme="minorHAnsi" w:cstheme="minorHAnsi"/>
          <w:sz w:val="24"/>
          <w:szCs w:val="24"/>
        </w:rPr>
        <w:t>,</w:t>
      </w:r>
      <w:r w:rsidR="00BC5AD8">
        <w:rPr>
          <w:rFonts w:asciiTheme="minorHAnsi" w:hAnsiTheme="minorHAnsi" w:cstheme="minorHAnsi"/>
          <w:sz w:val="24"/>
          <w:szCs w:val="24"/>
        </w:rPr>
        <w:t xml:space="preserve"> rather than as individuals who may have skills and talents not captured </w:t>
      </w:r>
      <w:r w:rsidR="00015815">
        <w:rPr>
          <w:rFonts w:asciiTheme="minorHAnsi" w:hAnsiTheme="minorHAnsi" w:cstheme="minorHAnsi"/>
          <w:sz w:val="24"/>
          <w:szCs w:val="24"/>
        </w:rPr>
        <w:t>within</w:t>
      </w:r>
      <w:r w:rsidR="00BC5AD8">
        <w:rPr>
          <w:rFonts w:asciiTheme="minorHAnsi" w:hAnsiTheme="minorHAnsi" w:cstheme="minorHAnsi"/>
          <w:sz w:val="24"/>
          <w:szCs w:val="24"/>
        </w:rPr>
        <w:t xml:space="preserve"> current data. </w:t>
      </w:r>
    </w:p>
    <w:p w14:paraId="7C8B43FE" w14:textId="3E7999F2" w:rsidR="00564EA0" w:rsidRDefault="005A2318" w:rsidP="00531995">
      <w:pPr>
        <w:pStyle w:val="Heading2"/>
      </w:pPr>
      <w:bookmarkStart w:id="123" w:name="_Toc452316406"/>
      <w:r>
        <w:t>6</w:t>
      </w:r>
      <w:r w:rsidR="00EF348C" w:rsidRPr="007D6082">
        <w:t>.</w:t>
      </w:r>
      <w:r w:rsidR="00942C51">
        <w:t>8</w:t>
      </w:r>
      <w:r w:rsidR="00EF348C" w:rsidRPr="007D6082">
        <w:t xml:space="preserve"> Recommendations for future research</w:t>
      </w:r>
      <w:bookmarkEnd w:id="123"/>
    </w:p>
    <w:p w14:paraId="7D60BE12" w14:textId="7B3DBE1F" w:rsidR="00EF348C" w:rsidRDefault="00F30B61" w:rsidP="00151BA7">
      <w:pPr>
        <w:spacing w:after="0" w:line="360" w:lineRule="auto"/>
        <w:rPr>
          <w:sz w:val="24"/>
          <w:szCs w:val="24"/>
        </w:rPr>
      </w:pPr>
      <w:r>
        <w:rPr>
          <w:sz w:val="24"/>
          <w:szCs w:val="24"/>
        </w:rPr>
        <w:t xml:space="preserve">I suggest </w:t>
      </w:r>
      <w:r w:rsidR="0055110E">
        <w:rPr>
          <w:sz w:val="24"/>
          <w:szCs w:val="24"/>
        </w:rPr>
        <w:t>three</w:t>
      </w:r>
      <w:r>
        <w:rPr>
          <w:sz w:val="24"/>
          <w:szCs w:val="24"/>
        </w:rPr>
        <w:t xml:space="preserve"> recommendations for future research</w:t>
      </w:r>
      <w:r w:rsidR="00EF348C" w:rsidRPr="008F4096">
        <w:rPr>
          <w:sz w:val="24"/>
          <w:szCs w:val="24"/>
        </w:rPr>
        <w:t xml:space="preserve"> into this area</w:t>
      </w:r>
      <w:r w:rsidR="00F057FD">
        <w:rPr>
          <w:sz w:val="24"/>
          <w:szCs w:val="24"/>
        </w:rPr>
        <w:t>, the</w:t>
      </w:r>
      <w:r>
        <w:rPr>
          <w:sz w:val="24"/>
          <w:szCs w:val="24"/>
        </w:rPr>
        <w:t xml:space="preserve"> </w:t>
      </w:r>
      <w:r w:rsidR="00F057FD">
        <w:rPr>
          <w:sz w:val="24"/>
          <w:szCs w:val="24"/>
        </w:rPr>
        <w:t>f</w:t>
      </w:r>
      <w:r>
        <w:rPr>
          <w:sz w:val="24"/>
          <w:szCs w:val="24"/>
        </w:rPr>
        <w:t>irst</w:t>
      </w:r>
      <w:r w:rsidR="00EF348C" w:rsidRPr="008F4096">
        <w:rPr>
          <w:sz w:val="24"/>
          <w:szCs w:val="24"/>
        </w:rPr>
        <w:t xml:space="preserve"> </w:t>
      </w:r>
      <w:r w:rsidR="00F057FD">
        <w:rPr>
          <w:sz w:val="24"/>
          <w:szCs w:val="24"/>
        </w:rPr>
        <w:t>being</w:t>
      </w:r>
      <w:r w:rsidR="00EF348C" w:rsidRPr="008F4096">
        <w:rPr>
          <w:sz w:val="24"/>
          <w:szCs w:val="24"/>
        </w:rPr>
        <w:t xml:space="preserve"> to continue critical educational research into the policy constitution and impact of school performance measures</w:t>
      </w:r>
      <w:r w:rsidR="007D63AB">
        <w:rPr>
          <w:sz w:val="24"/>
          <w:szCs w:val="24"/>
        </w:rPr>
        <w:t xml:space="preserve"> </w:t>
      </w:r>
      <w:r w:rsidR="0091581F">
        <w:rPr>
          <w:sz w:val="24"/>
          <w:szCs w:val="24"/>
        </w:rPr>
        <w:t>on the decision making of school leaders and the impact on children</w:t>
      </w:r>
      <w:r w:rsidR="0057012D">
        <w:rPr>
          <w:sz w:val="24"/>
          <w:szCs w:val="24"/>
        </w:rPr>
        <w:t>.</w:t>
      </w:r>
      <w:r w:rsidR="00EF348C" w:rsidRPr="008F4096">
        <w:rPr>
          <w:sz w:val="24"/>
          <w:szCs w:val="24"/>
        </w:rPr>
        <w:t xml:space="preserve"> The school performance measure I recommend for </w:t>
      </w:r>
      <w:r w:rsidR="00AA30EF">
        <w:rPr>
          <w:sz w:val="24"/>
          <w:szCs w:val="24"/>
        </w:rPr>
        <w:t xml:space="preserve">current </w:t>
      </w:r>
      <w:r w:rsidR="00015815">
        <w:rPr>
          <w:sz w:val="24"/>
          <w:szCs w:val="24"/>
        </w:rPr>
        <w:t>research would be</w:t>
      </w:r>
      <w:r w:rsidR="00EF348C" w:rsidRPr="008F4096">
        <w:rPr>
          <w:sz w:val="24"/>
          <w:szCs w:val="24"/>
        </w:rPr>
        <w:t xml:space="preserve"> </w:t>
      </w:r>
      <w:r w:rsidR="005A2318">
        <w:rPr>
          <w:sz w:val="24"/>
          <w:szCs w:val="24"/>
        </w:rPr>
        <w:t>Progress</w:t>
      </w:r>
      <w:r w:rsidR="00EF348C" w:rsidRPr="008F4096">
        <w:rPr>
          <w:sz w:val="24"/>
          <w:szCs w:val="24"/>
        </w:rPr>
        <w:t xml:space="preserve"> </w:t>
      </w:r>
      <w:r w:rsidR="00015815">
        <w:rPr>
          <w:sz w:val="24"/>
          <w:szCs w:val="24"/>
        </w:rPr>
        <w:t>and Attainment 8</w:t>
      </w:r>
      <w:r w:rsidR="00EF348C" w:rsidRPr="008F4096">
        <w:rPr>
          <w:sz w:val="24"/>
          <w:szCs w:val="24"/>
        </w:rPr>
        <w:t>. It may be that this performance measure can address many of the concerns and issues identified by my research into the EBac</w:t>
      </w:r>
      <w:r w:rsidR="00757896">
        <w:rPr>
          <w:sz w:val="24"/>
          <w:szCs w:val="24"/>
        </w:rPr>
        <w:t>,</w:t>
      </w:r>
      <w:r w:rsidR="00EF348C" w:rsidRPr="008F4096">
        <w:rPr>
          <w:sz w:val="24"/>
          <w:szCs w:val="24"/>
        </w:rPr>
        <w:t xml:space="preserve"> or it m</w:t>
      </w:r>
      <w:r w:rsidR="00015815">
        <w:rPr>
          <w:sz w:val="24"/>
          <w:szCs w:val="24"/>
        </w:rPr>
        <w:t>ay be that this</w:t>
      </w:r>
      <w:r w:rsidR="00EF348C" w:rsidRPr="008F4096">
        <w:rPr>
          <w:sz w:val="24"/>
          <w:szCs w:val="24"/>
        </w:rPr>
        <w:t xml:space="preserve"> lead</w:t>
      </w:r>
      <w:r w:rsidR="00792BE3">
        <w:rPr>
          <w:sz w:val="24"/>
          <w:szCs w:val="24"/>
        </w:rPr>
        <w:t>s</w:t>
      </w:r>
      <w:r w:rsidR="00EF348C" w:rsidRPr="008F4096">
        <w:rPr>
          <w:sz w:val="24"/>
          <w:szCs w:val="24"/>
        </w:rPr>
        <w:t xml:space="preserve"> to alternative</w:t>
      </w:r>
      <w:r w:rsidR="007D63AB">
        <w:rPr>
          <w:sz w:val="24"/>
          <w:szCs w:val="24"/>
        </w:rPr>
        <w:t>, as yet unknown and</w:t>
      </w:r>
      <w:r w:rsidR="00EF348C" w:rsidRPr="008F4096">
        <w:rPr>
          <w:sz w:val="24"/>
          <w:szCs w:val="24"/>
        </w:rPr>
        <w:t xml:space="preserve"> unintended</w:t>
      </w:r>
      <w:r w:rsidR="00757896">
        <w:rPr>
          <w:sz w:val="24"/>
          <w:szCs w:val="24"/>
        </w:rPr>
        <w:t>,</w:t>
      </w:r>
      <w:r w:rsidR="00EF348C" w:rsidRPr="008F4096">
        <w:rPr>
          <w:sz w:val="24"/>
          <w:szCs w:val="24"/>
        </w:rPr>
        <w:t xml:space="preserve"> consequences. On initial reading</w:t>
      </w:r>
      <w:r w:rsidR="00757896">
        <w:rPr>
          <w:sz w:val="24"/>
          <w:szCs w:val="24"/>
        </w:rPr>
        <w:t>,</w:t>
      </w:r>
      <w:r w:rsidR="00EF348C" w:rsidRPr="008F4096">
        <w:rPr>
          <w:sz w:val="24"/>
          <w:szCs w:val="24"/>
        </w:rPr>
        <w:t xml:space="preserve"> I believe that </w:t>
      </w:r>
      <w:r w:rsidR="00015815">
        <w:rPr>
          <w:sz w:val="24"/>
          <w:szCs w:val="24"/>
        </w:rPr>
        <w:t>this measure</w:t>
      </w:r>
      <w:r w:rsidR="00EF348C" w:rsidRPr="008F4096">
        <w:rPr>
          <w:sz w:val="24"/>
          <w:szCs w:val="24"/>
        </w:rPr>
        <w:t xml:space="preserve"> is a better reflection of a broad and balanced curriculum which should allow for all student achievements to be acknowledged and recognised</w:t>
      </w:r>
      <w:r w:rsidR="0070442B">
        <w:rPr>
          <w:sz w:val="24"/>
          <w:szCs w:val="24"/>
        </w:rPr>
        <w:t xml:space="preserve"> within the school performance tables</w:t>
      </w:r>
      <w:r w:rsidR="00BA70FA">
        <w:rPr>
          <w:sz w:val="24"/>
          <w:szCs w:val="24"/>
        </w:rPr>
        <w:t>.</w:t>
      </w:r>
      <w:r w:rsidR="00AA30EF">
        <w:rPr>
          <w:sz w:val="24"/>
          <w:szCs w:val="24"/>
        </w:rPr>
        <w:t xml:space="preserve"> </w:t>
      </w:r>
      <w:r w:rsidR="00B14ED6">
        <w:rPr>
          <w:sz w:val="24"/>
          <w:szCs w:val="24"/>
        </w:rPr>
        <w:t xml:space="preserve">Nevertheless, </w:t>
      </w:r>
      <w:r w:rsidR="00AA30EF">
        <w:rPr>
          <w:sz w:val="24"/>
          <w:szCs w:val="24"/>
        </w:rPr>
        <w:t xml:space="preserve">I have </w:t>
      </w:r>
      <w:r w:rsidR="00127F71">
        <w:rPr>
          <w:sz w:val="24"/>
          <w:szCs w:val="24"/>
        </w:rPr>
        <w:t xml:space="preserve">grave </w:t>
      </w:r>
      <w:r w:rsidR="00AA30EF">
        <w:rPr>
          <w:sz w:val="24"/>
          <w:szCs w:val="24"/>
        </w:rPr>
        <w:t>concerns abo</w:t>
      </w:r>
      <w:r w:rsidR="005A2F2E">
        <w:rPr>
          <w:sz w:val="24"/>
          <w:szCs w:val="24"/>
        </w:rPr>
        <w:t xml:space="preserve">ut the impact of the move to 90% </w:t>
      </w:r>
      <w:r w:rsidR="00AA30EF">
        <w:rPr>
          <w:sz w:val="24"/>
          <w:szCs w:val="24"/>
        </w:rPr>
        <w:t>EBac entry by 2020</w:t>
      </w:r>
      <w:r w:rsidR="00F057FD">
        <w:rPr>
          <w:sz w:val="24"/>
          <w:szCs w:val="24"/>
        </w:rPr>
        <w:t>,</w:t>
      </w:r>
      <w:r w:rsidR="00127F71">
        <w:rPr>
          <w:sz w:val="24"/>
          <w:szCs w:val="24"/>
        </w:rPr>
        <w:t xml:space="preserve"> particularly in light of the totalising discourse of testing and performativity.</w:t>
      </w:r>
    </w:p>
    <w:p w14:paraId="7B15940C" w14:textId="77777777" w:rsidR="00432E03" w:rsidRPr="007D6082" w:rsidRDefault="00432E03" w:rsidP="00151BA7">
      <w:pPr>
        <w:spacing w:after="0" w:line="360" w:lineRule="auto"/>
        <w:rPr>
          <w:sz w:val="24"/>
          <w:szCs w:val="24"/>
        </w:rPr>
      </w:pPr>
    </w:p>
    <w:p w14:paraId="159F2FA4" w14:textId="2DBAE44F" w:rsidR="00AA30EF" w:rsidRDefault="00F30B61" w:rsidP="00B6050F">
      <w:pPr>
        <w:tabs>
          <w:tab w:val="left" w:pos="8364"/>
        </w:tabs>
        <w:spacing w:after="0" w:line="360" w:lineRule="auto"/>
        <w:rPr>
          <w:sz w:val="24"/>
          <w:szCs w:val="24"/>
        </w:rPr>
      </w:pPr>
      <w:r>
        <w:rPr>
          <w:sz w:val="24"/>
          <w:szCs w:val="24"/>
        </w:rPr>
        <w:t>Second</w:t>
      </w:r>
      <w:r w:rsidR="00F057FD">
        <w:rPr>
          <w:sz w:val="24"/>
          <w:szCs w:val="24"/>
        </w:rPr>
        <w:t>,</w:t>
      </w:r>
      <w:r w:rsidR="00EF348C" w:rsidRPr="008F4096">
        <w:rPr>
          <w:sz w:val="24"/>
          <w:szCs w:val="24"/>
        </w:rPr>
        <w:t xml:space="preserve"> </w:t>
      </w:r>
      <w:r w:rsidR="00BE4BE5">
        <w:rPr>
          <w:sz w:val="24"/>
          <w:szCs w:val="24"/>
        </w:rPr>
        <w:t xml:space="preserve">I recommend the </w:t>
      </w:r>
      <w:r w:rsidR="00EF348C" w:rsidRPr="008F4096">
        <w:rPr>
          <w:sz w:val="24"/>
          <w:szCs w:val="24"/>
        </w:rPr>
        <w:t>inclu</w:t>
      </w:r>
      <w:r w:rsidR="00BE4BE5">
        <w:rPr>
          <w:sz w:val="24"/>
          <w:szCs w:val="24"/>
        </w:rPr>
        <w:t>sion of</w:t>
      </w:r>
      <w:r w:rsidR="00EF348C" w:rsidRPr="008F4096">
        <w:rPr>
          <w:sz w:val="24"/>
          <w:szCs w:val="24"/>
        </w:rPr>
        <w:t xml:space="preserve"> the student</w:t>
      </w:r>
      <w:r w:rsidR="0055110E">
        <w:rPr>
          <w:sz w:val="24"/>
          <w:szCs w:val="24"/>
        </w:rPr>
        <w:t xml:space="preserve"> </w:t>
      </w:r>
      <w:r w:rsidR="00BE4BE5" w:rsidRPr="008F4096">
        <w:rPr>
          <w:sz w:val="24"/>
          <w:szCs w:val="24"/>
        </w:rPr>
        <w:t>voice</w:t>
      </w:r>
      <w:r w:rsidR="00BE4BE5">
        <w:rPr>
          <w:sz w:val="24"/>
          <w:szCs w:val="24"/>
        </w:rPr>
        <w:t>s in research studies</w:t>
      </w:r>
      <w:r w:rsidR="00EF348C" w:rsidRPr="008F4096">
        <w:rPr>
          <w:sz w:val="24"/>
          <w:szCs w:val="24"/>
        </w:rPr>
        <w:t xml:space="preserve">. While one of my initial premises was that the EBac would impact in different ways on students </w:t>
      </w:r>
      <w:r w:rsidR="007D63AB">
        <w:rPr>
          <w:sz w:val="24"/>
          <w:szCs w:val="24"/>
        </w:rPr>
        <w:t xml:space="preserve">with </w:t>
      </w:r>
      <w:r w:rsidR="007D63AB" w:rsidRPr="008F4096">
        <w:rPr>
          <w:sz w:val="24"/>
          <w:szCs w:val="24"/>
        </w:rPr>
        <w:t xml:space="preserve">different </w:t>
      </w:r>
      <w:r w:rsidR="007D63AB">
        <w:rPr>
          <w:sz w:val="24"/>
          <w:szCs w:val="24"/>
        </w:rPr>
        <w:t xml:space="preserve">characteristics, </w:t>
      </w:r>
      <w:r w:rsidR="00EF348C" w:rsidRPr="008F4096">
        <w:rPr>
          <w:sz w:val="24"/>
          <w:szCs w:val="24"/>
        </w:rPr>
        <w:t xml:space="preserve">such as social class, gender, ethnicity and SEND, </w:t>
      </w:r>
      <w:r w:rsidR="007D63AB">
        <w:rPr>
          <w:sz w:val="24"/>
          <w:szCs w:val="24"/>
        </w:rPr>
        <w:t xml:space="preserve">I was </w:t>
      </w:r>
      <w:r w:rsidR="00EF348C" w:rsidRPr="008F4096">
        <w:rPr>
          <w:sz w:val="24"/>
          <w:szCs w:val="24"/>
        </w:rPr>
        <w:t xml:space="preserve">unable to focus </w:t>
      </w:r>
      <w:r w:rsidR="00FD334A">
        <w:rPr>
          <w:sz w:val="24"/>
          <w:szCs w:val="24"/>
        </w:rPr>
        <w:t xml:space="preserve">directly </w:t>
      </w:r>
      <w:r w:rsidR="00EF348C" w:rsidRPr="008F4096">
        <w:rPr>
          <w:sz w:val="24"/>
          <w:szCs w:val="24"/>
        </w:rPr>
        <w:t>on these groups</w:t>
      </w:r>
      <w:r w:rsidR="007D63AB">
        <w:rPr>
          <w:sz w:val="24"/>
          <w:szCs w:val="24"/>
        </w:rPr>
        <w:t xml:space="preserve"> because of the lack of response from teacher</w:t>
      </w:r>
      <w:r w:rsidR="00405065">
        <w:rPr>
          <w:sz w:val="24"/>
          <w:szCs w:val="24"/>
        </w:rPr>
        <w:t>s</w:t>
      </w:r>
      <w:r w:rsidR="00F057FD">
        <w:rPr>
          <w:sz w:val="24"/>
          <w:szCs w:val="24"/>
        </w:rPr>
        <w:t xml:space="preserve"> as </w:t>
      </w:r>
      <w:r w:rsidR="007D63AB">
        <w:rPr>
          <w:sz w:val="24"/>
          <w:szCs w:val="24"/>
        </w:rPr>
        <w:t xml:space="preserve">they shifted the topic of discussion to </w:t>
      </w:r>
      <w:r w:rsidR="00EF348C" w:rsidRPr="008F4096">
        <w:rPr>
          <w:sz w:val="24"/>
          <w:szCs w:val="24"/>
        </w:rPr>
        <w:t xml:space="preserve">the impact of the EBac on students of differing </w:t>
      </w:r>
      <w:r w:rsidR="0055110E">
        <w:rPr>
          <w:sz w:val="24"/>
          <w:szCs w:val="24"/>
        </w:rPr>
        <w:t>‘</w:t>
      </w:r>
      <w:r w:rsidR="00EF348C" w:rsidRPr="008F4096">
        <w:rPr>
          <w:sz w:val="24"/>
          <w:szCs w:val="24"/>
        </w:rPr>
        <w:t>ability</w:t>
      </w:r>
      <w:r w:rsidR="0055110E">
        <w:rPr>
          <w:sz w:val="24"/>
          <w:szCs w:val="24"/>
        </w:rPr>
        <w:t>’</w:t>
      </w:r>
      <w:r w:rsidR="00EF348C" w:rsidRPr="008F4096">
        <w:rPr>
          <w:sz w:val="24"/>
          <w:szCs w:val="24"/>
        </w:rPr>
        <w:t xml:space="preserve">. A </w:t>
      </w:r>
      <w:r w:rsidR="00EF348C" w:rsidRPr="008F4096">
        <w:rPr>
          <w:sz w:val="24"/>
          <w:szCs w:val="24"/>
        </w:rPr>
        <w:lastRenderedPageBreak/>
        <w:t xml:space="preserve">questionnaire to a sample of students </w:t>
      </w:r>
      <w:r w:rsidR="00AA30EF">
        <w:rPr>
          <w:sz w:val="24"/>
          <w:szCs w:val="24"/>
        </w:rPr>
        <w:t xml:space="preserve">with different characteristics across a range of different </w:t>
      </w:r>
      <w:r w:rsidR="00EF348C" w:rsidRPr="008F4096">
        <w:rPr>
          <w:sz w:val="24"/>
          <w:szCs w:val="24"/>
        </w:rPr>
        <w:t>types of schools would provide a</w:t>
      </w:r>
      <w:r w:rsidR="00FD334A">
        <w:rPr>
          <w:sz w:val="24"/>
          <w:szCs w:val="24"/>
        </w:rPr>
        <w:t xml:space="preserve">n </w:t>
      </w:r>
      <w:r w:rsidR="00EF348C" w:rsidRPr="008F4096">
        <w:rPr>
          <w:sz w:val="24"/>
          <w:szCs w:val="24"/>
        </w:rPr>
        <w:t xml:space="preserve">extension to my original work. </w:t>
      </w:r>
      <w:r w:rsidR="00F057FD">
        <w:rPr>
          <w:sz w:val="24"/>
          <w:szCs w:val="24"/>
        </w:rPr>
        <w:t>This would enable me to</w:t>
      </w:r>
      <w:r w:rsidR="00AA30EF">
        <w:rPr>
          <w:sz w:val="24"/>
          <w:szCs w:val="24"/>
        </w:rPr>
        <w:t xml:space="preserve"> compare the advice or guidance they were given when choosing KS4 options</w:t>
      </w:r>
      <w:r w:rsidR="00F057FD">
        <w:rPr>
          <w:sz w:val="24"/>
          <w:szCs w:val="24"/>
        </w:rPr>
        <w:t>,</w:t>
      </w:r>
      <w:r w:rsidR="00AA30EF">
        <w:rPr>
          <w:sz w:val="24"/>
          <w:szCs w:val="24"/>
        </w:rPr>
        <w:t xml:space="preserve"> </w:t>
      </w:r>
      <w:r w:rsidR="00F057FD">
        <w:rPr>
          <w:sz w:val="24"/>
          <w:szCs w:val="24"/>
        </w:rPr>
        <w:t xml:space="preserve">discover </w:t>
      </w:r>
      <w:r w:rsidR="00AA30EF">
        <w:rPr>
          <w:sz w:val="24"/>
          <w:szCs w:val="24"/>
        </w:rPr>
        <w:t>what barriers, if any</w:t>
      </w:r>
      <w:r w:rsidR="00F057FD">
        <w:rPr>
          <w:sz w:val="24"/>
          <w:szCs w:val="24"/>
        </w:rPr>
        <w:t>,</w:t>
      </w:r>
      <w:r w:rsidR="00AA30EF">
        <w:rPr>
          <w:sz w:val="24"/>
          <w:szCs w:val="24"/>
        </w:rPr>
        <w:t xml:space="preserve"> were present and </w:t>
      </w:r>
      <w:r w:rsidR="00F057FD">
        <w:rPr>
          <w:sz w:val="24"/>
          <w:szCs w:val="24"/>
        </w:rPr>
        <w:t xml:space="preserve">also </w:t>
      </w:r>
      <w:r w:rsidR="00AA30EF">
        <w:rPr>
          <w:sz w:val="24"/>
          <w:szCs w:val="24"/>
        </w:rPr>
        <w:t>what subjects they would have liked to have done</w:t>
      </w:r>
      <w:r w:rsidR="00F057FD">
        <w:rPr>
          <w:sz w:val="24"/>
          <w:szCs w:val="24"/>
        </w:rPr>
        <w:t>,</w:t>
      </w:r>
      <w:r w:rsidR="00AA30EF">
        <w:rPr>
          <w:sz w:val="24"/>
          <w:szCs w:val="24"/>
        </w:rPr>
        <w:t xml:space="preserve"> if not available at their school. </w:t>
      </w:r>
    </w:p>
    <w:p w14:paraId="387AE533" w14:textId="77777777" w:rsidR="00B6050F" w:rsidRPr="00AA30EF" w:rsidRDefault="00B6050F" w:rsidP="00B6050F">
      <w:pPr>
        <w:tabs>
          <w:tab w:val="left" w:pos="8364"/>
        </w:tabs>
        <w:spacing w:after="0" w:line="360" w:lineRule="auto"/>
        <w:rPr>
          <w:b/>
          <w:bCs/>
          <w:sz w:val="24"/>
          <w:szCs w:val="24"/>
        </w:rPr>
      </w:pPr>
    </w:p>
    <w:p w14:paraId="7D88799B" w14:textId="01BA2E2F" w:rsidR="005A2318" w:rsidRDefault="00F30B61" w:rsidP="00405065">
      <w:pPr>
        <w:tabs>
          <w:tab w:val="left" w:pos="8364"/>
        </w:tabs>
        <w:spacing w:line="360" w:lineRule="auto"/>
        <w:rPr>
          <w:sz w:val="24"/>
          <w:szCs w:val="24"/>
        </w:rPr>
      </w:pPr>
      <w:r w:rsidRPr="00AA30EF">
        <w:rPr>
          <w:sz w:val="24"/>
          <w:szCs w:val="24"/>
        </w:rPr>
        <w:t xml:space="preserve">My final recommendation for further </w:t>
      </w:r>
      <w:r w:rsidR="00B14ED6">
        <w:rPr>
          <w:sz w:val="24"/>
          <w:szCs w:val="24"/>
        </w:rPr>
        <w:t>study</w:t>
      </w:r>
      <w:r w:rsidRPr="00AA30EF">
        <w:rPr>
          <w:sz w:val="24"/>
          <w:szCs w:val="24"/>
        </w:rPr>
        <w:t xml:space="preserve"> is to research</w:t>
      </w:r>
      <w:r w:rsidR="00BB4476">
        <w:rPr>
          <w:sz w:val="24"/>
          <w:szCs w:val="24"/>
        </w:rPr>
        <w:t xml:space="preserve"> teachers’ awareness and understanding of the social justice issues inherent within the EBac policy</w:t>
      </w:r>
      <w:r w:rsidR="0055110E">
        <w:rPr>
          <w:sz w:val="24"/>
          <w:szCs w:val="24"/>
        </w:rPr>
        <w:t xml:space="preserve"> and other accountability measures</w:t>
      </w:r>
      <w:r w:rsidR="00BB4476">
        <w:rPr>
          <w:sz w:val="24"/>
          <w:szCs w:val="24"/>
        </w:rPr>
        <w:t xml:space="preserve">. I am concerned that </w:t>
      </w:r>
      <w:r w:rsidR="00525DA8">
        <w:rPr>
          <w:sz w:val="24"/>
          <w:szCs w:val="24"/>
        </w:rPr>
        <w:t>a</w:t>
      </w:r>
      <w:r w:rsidR="00BB4476">
        <w:rPr>
          <w:sz w:val="24"/>
          <w:szCs w:val="24"/>
        </w:rPr>
        <w:t xml:space="preserve"> focus on </w:t>
      </w:r>
      <w:r w:rsidR="00265F33">
        <w:rPr>
          <w:sz w:val="24"/>
          <w:szCs w:val="24"/>
        </w:rPr>
        <w:t>student ‘ability’</w:t>
      </w:r>
      <w:r w:rsidR="00F057FD">
        <w:rPr>
          <w:sz w:val="24"/>
          <w:szCs w:val="24"/>
        </w:rPr>
        <w:t>,</w:t>
      </w:r>
      <w:r w:rsidR="00BB4476">
        <w:rPr>
          <w:sz w:val="24"/>
          <w:szCs w:val="24"/>
        </w:rPr>
        <w:t xml:space="preserve"> with limited reference to the key social characteristics which impact on educational outcomes</w:t>
      </w:r>
      <w:r w:rsidR="00F057FD">
        <w:rPr>
          <w:sz w:val="24"/>
          <w:szCs w:val="24"/>
        </w:rPr>
        <w:t>,</w:t>
      </w:r>
      <w:r w:rsidR="00BB4476">
        <w:rPr>
          <w:sz w:val="24"/>
          <w:szCs w:val="24"/>
        </w:rPr>
        <w:t xml:space="preserve"> seems to have been </w:t>
      </w:r>
      <w:r w:rsidR="00265F33">
        <w:rPr>
          <w:sz w:val="24"/>
          <w:szCs w:val="24"/>
        </w:rPr>
        <w:t>unproblematised.</w:t>
      </w:r>
      <w:r w:rsidR="00BB4476">
        <w:rPr>
          <w:sz w:val="24"/>
          <w:szCs w:val="24"/>
        </w:rPr>
        <w:t xml:space="preserve"> </w:t>
      </w:r>
      <w:r w:rsidR="0055110E">
        <w:rPr>
          <w:sz w:val="24"/>
          <w:szCs w:val="24"/>
        </w:rPr>
        <w:t>Also</w:t>
      </w:r>
      <w:r w:rsidR="00F057FD">
        <w:rPr>
          <w:sz w:val="24"/>
          <w:szCs w:val="24"/>
        </w:rPr>
        <w:t>,</w:t>
      </w:r>
      <w:r w:rsidR="0055110E">
        <w:rPr>
          <w:sz w:val="24"/>
          <w:szCs w:val="24"/>
        </w:rPr>
        <w:t xml:space="preserve"> considering how such issues can be brought to the foreground of teacher thinking and reflection</w:t>
      </w:r>
      <w:r w:rsidR="00F057FD">
        <w:rPr>
          <w:sz w:val="24"/>
          <w:szCs w:val="24"/>
        </w:rPr>
        <w:t>,</w:t>
      </w:r>
      <w:r w:rsidR="0055110E">
        <w:rPr>
          <w:sz w:val="24"/>
          <w:szCs w:val="24"/>
        </w:rPr>
        <w:t xml:space="preserve"> both at initial teacher training stage and throughout a teacher’s career</w:t>
      </w:r>
      <w:r w:rsidR="00BB4476">
        <w:rPr>
          <w:sz w:val="24"/>
          <w:szCs w:val="24"/>
        </w:rPr>
        <w:t>.</w:t>
      </w:r>
      <w:r w:rsidR="00405065">
        <w:rPr>
          <w:sz w:val="24"/>
          <w:szCs w:val="24"/>
        </w:rPr>
        <w:t xml:space="preserve"> </w:t>
      </w:r>
      <w:r w:rsidR="00FD334A">
        <w:rPr>
          <w:sz w:val="24"/>
          <w:szCs w:val="24"/>
        </w:rPr>
        <w:t>After considering future research into this area</w:t>
      </w:r>
      <w:r w:rsidR="00432E03">
        <w:rPr>
          <w:sz w:val="24"/>
          <w:szCs w:val="24"/>
        </w:rPr>
        <w:t>,</w:t>
      </w:r>
      <w:r w:rsidR="00FD334A">
        <w:rPr>
          <w:sz w:val="24"/>
          <w:szCs w:val="24"/>
        </w:rPr>
        <w:t xml:space="preserve"> my final section reflect</w:t>
      </w:r>
      <w:r w:rsidR="00792BE3">
        <w:rPr>
          <w:sz w:val="24"/>
          <w:szCs w:val="24"/>
        </w:rPr>
        <w:t>s</w:t>
      </w:r>
      <w:r w:rsidR="00FD334A">
        <w:rPr>
          <w:sz w:val="24"/>
          <w:szCs w:val="24"/>
        </w:rPr>
        <w:t xml:space="preserve"> on my research journey.</w:t>
      </w:r>
    </w:p>
    <w:p w14:paraId="14829F5D" w14:textId="1742823C" w:rsidR="00EF348C" w:rsidRPr="007D6082" w:rsidRDefault="005A2318" w:rsidP="00531995">
      <w:pPr>
        <w:pStyle w:val="Heading2"/>
      </w:pPr>
      <w:bookmarkStart w:id="124" w:name="_Toc452316407"/>
      <w:r>
        <w:t>6</w:t>
      </w:r>
      <w:r w:rsidR="00EF348C" w:rsidRPr="007D6082">
        <w:t>.</w:t>
      </w:r>
      <w:r w:rsidR="0070442B">
        <w:t>9</w:t>
      </w:r>
      <w:r w:rsidR="00EF348C" w:rsidRPr="007D6082">
        <w:t xml:space="preserve"> </w:t>
      </w:r>
      <w:r w:rsidR="00FD334A">
        <w:t>Research journey</w:t>
      </w:r>
      <w:bookmarkEnd w:id="124"/>
    </w:p>
    <w:p w14:paraId="72286369" w14:textId="0E3B59B7" w:rsidR="00EF348C" w:rsidRDefault="00EF348C" w:rsidP="00B6050F">
      <w:pPr>
        <w:spacing w:after="0" w:line="360" w:lineRule="auto"/>
        <w:rPr>
          <w:sz w:val="24"/>
          <w:szCs w:val="24"/>
        </w:rPr>
      </w:pPr>
      <w:r w:rsidRPr="008F4096">
        <w:rPr>
          <w:sz w:val="24"/>
          <w:szCs w:val="24"/>
        </w:rPr>
        <w:t xml:space="preserve">My research diary reflects </w:t>
      </w:r>
      <w:r w:rsidR="00F057FD">
        <w:rPr>
          <w:sz w:val="24"/>
          <w:szCs w:val="24"/>
        </w:rPr>
        <w:t>my recurrent</w:t>
      </w:r>
      <w:r w:rsidRPr="008F4096">
        <w:rPr>
          <w:sz w:val="24"/>
          <w:szCs w:val="24"/>
        </w:rPr>
        <w:t xml:space="preserve"> procrastination and broken promises about how and when I create time </w:t>
      </w:r>
      <w:r w:rsidR="00E60E71">
        <w:rPr>
          <w:sz w:val="24"/>
          <w:szCs w:val="24"/>
        </w:rPr>
        <w:t>for</w:t>
      </w:r>
      <w:r w:rsidRPr="008F4096">
        <w:rPr>
          <w:sz w:val="24"/>
          <w:szCs w:val="24"/>
        </w:rPr>
        <w:t xml:space="preserve"> my research</w:t>
      </w:r>
      <w:r w:rsidR="00F057FD">
        <w:rPr>
          <w:sz w:val="24"/>
          <w:szCs w:val="24"/>
        </w:rPr>
        <w:t>, y</w:t>
      </w:r>
      <w:r w:rsidRPr="008F4096">
        <w:rPr>
          <w:sz w:val="24"/>
          <w:szCs w:val="24"/>
        </w:rPr>
        <w:t xml:space="preserve">et I </w:t>
      </w:r>
      <w:r w:rsidR="00F057FD">
        <w:rPr>
          <w:sz w:val="24"/>
          <w:szCs w:val="24"/>
        </w:rPr>
        <w:t>somehow</w:t>
      </w:r>
      <w:r w:rsidRPr="008F4096">
        <w:rPr>
          <w:sz w:val="24"/>
          <w:szCs w:val="24"/>
        </w:rPr>
        <w:t xml:space="preserve"> find myself </w:t>
      </w:r>
      <w:r w:rsidR="00B8035D">
        <w:rPr>
          <w:sz w:val="24"/>
          <w:szCs w:val="24"/>
        </w:rPr>
        <w:t>approaching the</w:t>
      </w:r>
      <w:r w:rsidRPr="008F4096">
        <w:rPr>
          <w:sz w:val="24"/>
          <w:szCs w:val="24"/>
        </w:rPr>
        <w:t xml:space="preserve"> end of this </w:t>
      </w:r>
      <w:r w:rsidR="00525DA8">
        <w:rPr>
          <w:sz w:val="24"/>
          <w:szCs w:val="24"/>
        </w:rPr>
        <w:t>study</w:t>
      </w:r>
      <w:r w:rsidRPr="008F4096">
        <w:rPr>
          <w:sz w:val="24"/>
          <w:szCs w:val="24"/>
        </w:rPr>
        <w:t>. My mantra has been ‘slow and steady wins the race’</w:t>
      </w:r>
      <w:r w:rsidR="00525DA8">
        <w:rPr>
          <w:sz w:val="24"/>
          <w:szCs w:val="24"/>
        </w:rPr>
        <w:t xml:space="preserve">, </w:t>
      </w:r>
      <w:r w:rsidRPr="008F4096">
        <w:rPr>
          <w:sz w:val="24"/>
          <w:szCs w:val="24"/>
        </w:rPr>
        <w:t>with the added benefit that</w:t>
      </w:r>
      <w:r w:rsidR="00525DA8">
        <w:rPr>
          <w:sz w:val="24"/>
          <w:szCs w:val="24"/>
        </w:rPr>
        <w:t>, over time,</w:t>
      </w:r>
      <w:r w:rsidRPr="008F4096">
        <w:rPr>
          <w:sz w:val="24"/>
          <w:szCs w:val="24"/>
        </w:rPr>
        <w:t xml:space="preserve"> the EBac policy </w:t>
      </w:r>
      <w:r w:rsidR="00525DA8">
        <w:rPr>
          <w:sz w:val="24"/>
          <w:szCs w:val="24"/>
        </w:rPr>
        <w:t xml:space="preserve">has been </w:t>
      </w:r>
      <w:r w:rsidRPr="008F4096">
        <w:rPr>
          <w:sz w:val="24"/>
          <w:szCs w:val="24"/>
        </w:rPr>
        <w:t xml:space="preserve">implemented and reflected upon within my own school, my sample schools and indeed at government policy level. </w:t>
      </w:r>
    </w:p>
    <w:p w14:paraId="5952C15B" w14:textId="77777777" w:rsidR="00B6050F" w:rsidRPr="007D6082" w:rsidRDefault="00B6050F" w:rsidP="00B6050F">
      <w:pPr>
        <w:spacing w:after="0" w:line="360" w:lineRule="auto"/>
        <w:rPr>
          <w:sz w:val="24"/>
          <w:szCs w:val="24"/>
        </w:rPr>
      </w:pPr>
    </w:p>
    <w:p w14:paraId="127AAEEE" w14:textId="71AE6301" w:rsidR="00EF348C" w:rsidRDefault="00EF348C" w:rsidP="00B6050F">
      <w:pPr>
        <w:spacing w:after="0" w:line="360" w:lineRule="auto"/>
        <w:rPr>
          <w:sz w:val="24"/>
          <w:szCs w:val="24"/>
        </w:rPr>
      </w:pPr>
      <w:r w:rsidRPr="008F4096">
        <w:rPr>
          <w:sz w:val="24"/>
          <w:szCs w:val="24"/>
        </w:rPr>
        <w:t>I have learnt to plan, manage, carry out and write up a thesis and to balance the many competing demands from both within and outside of the research. I have also had the opportunity to reacquaint myself with many classic texts from the sociology of education as well as discover</w:t>
      </w:r>
      <w:r w:rsidR="00F057FD">
        <w:rPr>
          <w:sz w:val="24"/>
          <w:szCs w:val="24"/>
        </w:rPr>
        <w:t>ing</w:t>
      </w:r>
      <w:r w:rsidRPr="008F4096">
        <w:rPr>
          <w:sz w:val="24"/>
          <w:szCs w:val="24"/>
        </w:rPr>
        <w:t xml:space="preserve"> many new and valuable contributions. My knowledge and understanding of the power and use of theory </w:t>
      </w:r>
      <w:r w:rsidR="007752D4">
        <w:rPr>
          <w:sz w:val="24"/>
          <w:szCs w:val="24"/>
        </w:rPr>
        <w:t xml:space="preserve">as a point for reflection on wider educational issues </w:t>
      </w:r>
      <w:r w:rsidRPr="008F4096">
        <w:rPr>
          <w:sz w:val="24"/>
          <w:szCs w:val="24"/>
        </w:rPr>
        <w:t>is much enhanced</w:t>
      </w:r>
      <w:r w:rsidR="007752D4">
        <w:rPr>
          <w:sz w:val="24"/>
          <w:szCs w:val="24"/>
        </w:rPr>
        <w:t xml:space="preserve">. </w:t>
      </w:r>
      <w:r w:rsidR="00525DA8">
        <w:rPr>
          <w:sz w:val="24"/>
          <w:szCs w:val="24"/>
        </w:rPr>
        <w:t xml:space="preserve">I have learned </w:t>
      </w:r>
      <w:r w:rsidR="007752D4">
        <w:rPr>
          <w:sz w:val="24"/>
          <w:szCs w:val="24"/>
        </w:rPr>
        <w:t xml:space="preserve">to </w:t>
      </w:r>
      <w:r w:rsidR="00525DA8">
        <w:rPr>
          <w:sz w:val="24"/>
          <w:szCs w:val="24"/>
        </w:rPr>
        <w:t xml:space="preserve">approach </w:t>
      </w:r>
      <w:r w:rsidR="007752D4">
        <w:rPr>
          <w:sz w:val="24"/>
          <w:szCs w:val="24"/>
        </w:rPr>
        <w:t xml:space="preserve">government initiatives and policy announcements in a more theoretical </w:t>
      </w:r>
      <w:r w:rsidR="00525DA8">
        <w:rPr>
          <w:sz w:val="24"/>
          <w:szCs w:val="24"/>
        </w:rPr>
        <w:t xml:space="preserve">and critical </w:t>
      </w:r>
      <w:r w:rsidR="007752D4">
        <w:rPr>
          <w:sz w:val="24"/>
          <w:szCs w:val="24"/>
        </w:rPr>
        <w:t xml:space="preserve">way rather than </w:t>
      </w:r>
      <w:r w:rsidR="00525DA8">
        <w:rPr>
          <w:sz w:val="24"/>
          <w:szCs w:val="24"/>
        </w:rPr>
        <w:t xml:space="preserve">simply seeking </w:t>
      </w:r>
      <w:r w:rsidR="007752D4">
        <w:rPr>
          <w:sz w:val="24"/>
          <w:szCs w:val="24"/>
        </w:rPr>
        <w:t>a</w:t>
      </w:r>
      <w:r w:rsidR="0055110E">
        <w:rPr>
          <w:sz w:val="24"/>
          <w:szCs w:val="24"/>
        </w:rPr>
        <w:t>n immediate</w:t>
      </w:r>
      <w:r w:rsidR="007752D4">
        <w:rPr>
          <w:sz w:val="24"/>
          <w:szCs w:val="24"/>
        </w:rPr>
        <w:t xml:space="preserve"> practical implementation solution</w:t>
      </w:r>
      <w:r w:rsidRPr="008F4096">
        <w:rPr>
          <w:sz w:val="24"/>
          <w:szCs w:val="24"/>
        </w:rPr>
        <w:t xml:space="preserve">. </w:t>
      </w:r>
      <w:r w:rsidR="001E49DA">
        <w:rPr>
          <w:sz w:val="24"/>
          <w:szCs w:val="24"/>
        </w:rPr>
        <w:t xml:space="preserve">From the beginning </w:t>
      </w:r>
      <w:r w:rsidR="004506AC">
        <w:rPr>
          <w:sz w:val="24"/>
          <w:szCs w:val="24"/>
        </w:rPr>
        <w:t xml:space="preserve">I stated </w:t>
      </w:r>
      <w:r w:rsidR="00F057FD">
        <w:rPr>
          <w:sz w:val="24"/>
          <w:szCs w:val="24"/>
        </w:rPr>
        <w:t>that</w:t>
      </w:r>
      <w:r w:rsidR="00525DA8">
        <w:rPr>
          <w:sz w:val="24"/>
          <w:szCs w:val="24"/>
        </w:rPr>
        <w:t xml:space="preserve"> </w:t>
      </w:r>
      <w:r w:rsidR="004506AC">
        <w:rPr>
          <w:sz w:val="24"/>
          <w:szCs w:val="24"/>
        </w:rPr>
        <w:t xml:space="preserve">my </w:t>
      </w:r>
      <w:r w:rsidR="00525DA8">
        <w:rPr>
          <w:sz w:val="24"/>
          <w:szCs w:val="24"/>
        </w:rPr>
        <w:t>goal</w:t>
      </w:r>
      <w:r w:rsidR="004506AC">
        <w:rPr>
          <w:sz w:val="24"/>
          <w:szCs w:val="24"/>
        </w:rPr>
        <w:t xml:space="preserve"> </w:t>
      </w:r>
      <w:r w:rsidR="001E49DA">
        <w:rPr>
          <w:sz w:val="24"/>
          <w:szCs w:val="24"/>
        </w:rPr>
        <w:t>was</w:t>
      </w:r>
      <w:r w:rsidR="00525DA8">
        <w:rPr>
          <w:sz w:val="24"/>
          <w:szCs w:val="24"/>
        </w:rPr>
        <w:t xml:space="preserve"> </w:t>
      </w:r>
      <w:r w:rsidR="004506AC">
        <w:rPr>
          <w:sz w:val="24"/>
          <w:szCs w:val="24"/>
        </w:rPr>
        <w:t>to reflect on and attempt</w:t>
      </w:r>
      <w:r w:rsidR="001E49DA">
        <w:rPr>
          <w:sz w:val="24"/>
          <w:szCs w:val="24"/>
        </w:rPr>
        <w:t>,</w:t>
      </w:r>
      <w:r w:rsidR="004506AC">
        <w:rPr>
          <w:sz w:val="24"/>
          <w:szCs w:val="24"/>
        </w:rPr>
        <w:t xml:space="preserve"> in some small way</w:t>
      </w:r>
      <w:r w:rsidR="001E49DA">
        <w:rPr>
          <w:sz w:val="24"/>
          <w:szCs w:val="24"/>
        </w:rPr>
        <w:t>,</w:t>
      </w:r>
      <w:r w:rsidR="004506AC">
        <w:rPr>
          <w:sz w:val="24"/>
          <w:szCs w:val="24"/>
        </w:rPr>
        <w:t xml:space="preserve"> to address or redress issues of social justice. From my </w:t>
      </w:r>
      <w:r w:rsidR="004506AC">
        <w:rPr>
          <w:sz w:val="24"/>
          <w:szCs w:val="24"/>
        </w:rPr>
        <w:lastRenderedPageBreak/>
        <w:t>interviews</w:t>
      </w:r>
      <w:r w:rsidR="00F43A0B">
        <w:rPr>
          <w:sz w:val="24"/>
          <w:szCs w:val="24"/>
        </w:rPr>
        <w:t xml:space="preserve">, in addition to </w:t>
      </w:r>
      <w:r w:rsidR="004506AC">
        <w:rPr>
          <w:sz w:val="24"/>
          <w:szCs w:val="24"/>
        </w:rPr>
        <w:t xml:space="preserve">the understanding I gained </w:t>
      </w:r>
      <w:r w:rsidR="00F43A0B">
        <w:rPr>
          <w:sz w:val="24"/>
          <w:szCs w:val="24"/>
        </w:rPr>
        <w:t xml:space="preserve">of </w:t>
      </w:r>
      <w:r w:rsidR="004506AC">
        <w:rPr>
          <w:sz w:val="24"/>
          <w:szCs w:val="24"/>
        </w:rPr>
        <w:t>the multiple pressures faced by staff in all schools</w:t>
      </w:r>
      <w:r w:rsidR="001E49DA">
        <w:rPr>
          <w:sz w:val="24"/>
          <w:szCs w:val="24"/>
        </w:rPr>
        <w:t>,</w:t>
      </w:r>
      <w:r w:rsidR="004506AC">
        <w:rPr>
          <w:sz w:val="24"/>
          <w:szCs w:val="24"/>
        </w:rPr>
        <w:t xml:space="preserve"> I am left with an enhanced level of respect for teachers</w:t>
      </w:r>
      <w:r w:rsidR="00F43A0B">
        <w:rPr>
          <w:sz w:val="24"/>
          <w:szCs w:val="24"/>
        </w:rPr>
        <w:t>,</w:t>
      </w:r>
      <w:r w:rsidR="004506AC">
        <w:rPr>
          <w:sz w:val="24"/>
          <w:szCs w:val="24"/>
        </w:rPr>
        <w:t xml:space="preserve"> who </w:t>
      </w:r>
      <w:r w:rsidR="00972996">
        <w:rPr>
          <w:sz w:val="24"/>
          <w:szCs w:val="24"/>
        </w:rPr>
        <w:t xml:space="preserve">every day </w:t>
      </w:r>
      <w:r w:rsidR="004506AC">
        <w:rPr>
          <w:sz w:val="24"/>
          <w:szCs w:val="24"/>
        </w:rPr>
        <w:t>attempt to address issues of social justice in order to do the very best by their students</w:t>
      </w:r>
      <w:r w:rsidR="00972996">
        <w:rPr>
          <w:sz w:val="24"/>
          <w:szCs w:val="24"/>
        </w:rPr>
        <w:t>. I am</w:t>
      </w:r>
      <w:r w:rsidR="0055110E">
        <w:rPr>
          <w:sz w:val="24"/>
          <w:szCs w:val="24"/>
        </w:rPr>
        <w:t xml:space="preserve"> saddened</w:t>
      </w:r>
      <w:r w:rsidR="00972996">
        <w:rPr>
          <w:sz w:val="24"/>
          <w:szCs w:val="24"/>
        </w:rPr>
        <w:t xml:space="preserve">, however, </w:t>
      </w:r>
      <w:r w:rsidR="0055110E">
        <w:rPr>
          <w:sz w:val="24"/>
          <w:szCs w:val="24"/>
        </w:rPr>
        <w:t>that I have become ‘enfolded’ (Ball et al</w:t>
      </w:r>
      <w:r w:rsidR="001E49DA">
        <w:rPr>
          <w:sz w:val="24"/>
          <w:szCs w:val="24"/>
        </w:rPr>
        <w:t>.</w:t>
      </w:r>
      <w:r w:rsidR="00F43A0B">
        <w:rPr>
          <w:sz w:val="24"/>
          <w:szCs w:val="24"/>
        </w:rPr>
        <w:t>,</w:t>
      </w:r>
      <w:r w:rsidR="0055110E">
        <w:rPr>
          <w:sz w:val="24"/>
          <w:szCs w:val="24"/>
        </w:rPr>
        <w:t xml:space="preserve"> 2012) into the very system I initially desired to challenge and change</w:t>
      </w:r>
      <w:r w:rsidR="004506AC">
        <w:rPr>
          <w:sz w:val="24"/>
          <w:szCs w:val="24"/>
        </w:rPr>
        <w:t>.</w:t>
      </w:r>
      <w:r w:rsidR="00783245">
        <w:rPr>
          <w:sz w:val="24"/>
          <w:szCs w:val="24"/>
        </w:rPr>
        <w:t xml:space="preserve"> I have realised that an increasing part of my working life is focused on student progress data and outcomes for key performance measures. I like to think that I keep individual students at the centre of my focus</w:t>
      </w:r>
      <w:r w:rsidR="001E49DA">
        <w:rPr>
          <w:sz w:val="24"/>
          <w:szCs w:val="24"/>
        </w:rPr>
        <w:t>,</w:t>
      </w:r>
      <w:r w:rsidR="00783245">
        <w:rPr>
          <w:sz w:val="24"/>
          <w:szCs w:val="24"/>
        </w:rPr>
        <w:t xml:space="preserve"> but I also know that they can easily become numbers which I have to account for and justify</w:t>
      </w:r>
      <w:r w:rsidR="00F43A0B">
        <w:rPr>
          <w:sz w:val="24"/>
          <w:szCs w:val="24"/>
        </w:rPr>
        <w:t>,</w:t>
      </w:r>
      <w:r w:rsidR="00783245">
        <w:rPr>
          <w:sz w:val="24"/>
          <w:szCs w:val="24"/>
        </w:rPr>
        <w:t xml:space="preserve"> </w:t>
      </w:r>
      <w:r w:rsidR="001E49DA">
        <w:rPr>
          <w:sz w:val="24"/>
          <w:szCs w:val="24"/>
        </w:rPr>
        <w:t>with</w:t>
      </w:r>
      <w:r w:rsidR="00783245">
        <w:rPr>
          <w:sz w:val="24"/>
          <w:szCs w:val="24"/>
        </w:rPr>
        <w:t xml:space="preserve"> increases perceived to be ‘good’ and decreases ‘bad’.  </w:t>
      </w:r>
      <w:r w:rsidR="007752D4">
        <w:rPr>
          <w:sz w:val="24"/>
          <w:szCs w:val="24"/>
        </w:rPr>
        <w:t>I continue to look for ways to support my colleagues in this ongoing endeavour and also attempt to ensure that social justice issues are at the forefront of my mind when making or justifying decisions for my school and my students</w:t>
      </w:r>
      <w:r w:rsidR="001E49DA">
        <w:rPr>
          <w:sz w:val="24"/>
          <w:szCs w:val="24"/>
        </w:rPr>
        <w:t>,</w:t>
      </w:r>
      <w:r w:rsidR="0055110E">
        <w:rPr>
          <w:sz w:val="24"/>
          <w:szCs w:val="24"/>
        </w:rPr>
        <w:t xml:space="preserve"> as well as considering where I can make the biggest impact in the future</w:t>
      </w:r>
      <w:r w:rsidR="007752D4">
        <w:rPr>
          <w:sz w:val="24"/>
          <w:szCs w:val="24"/>
        </w:rPr>
        <w:t xml:space="preserve">. </w:t>
      </w:r>
    </w:p>
    <w:p w14:paraId="6FD84560" w14:textId="77777777" w:rsidR="00B6050F" w:rsidRPr="007D6082" w:rsidRDefault="00B6050F" w:rsidP="00B6050F">
      <w:pPr>
        <w:spacing w:after="0" w:line="360" w:lineRule="auto"/>
        <w:rPr>
          <w:sz w:val="24"/>
          <w:szCs w:val="24"/>
        </w:rPr>
      </w:pPr>
    </w:p>
    <w:p w14:paraId="079596A3" w14:textId="4323D72D" w:rsidR="00EF348C" w:rsidRDefault="00EF348C" w:rsidP="00EF348C">
      <w:pPr>
        <w:spacing w:line="360" w:lineRule="auto"/>
        <w:rPr>
          <w:sz w:val="24"/>
          <w:szCs w:val="24"/>
        </w:rPr>
      </w:pPr>
      <w:r w:rsidRPr="008F4096">
        <w:rPr>
          <w:sz w:val="24"/>
          <w:szCs w:val="24"/>
        </w:rPr>
        <w:t xml:space="preserve">I began the EdD course as </w:t>
      </w:r>
      <w:r w:rsidR="007752D4">
        <w:rPr>
          <w:sz w:val="24"/>
          <w:szCs w:val="24"/>
        </w:rPr>
        <w:t>a continuation</w:t>
      </w:r>
      <w:r w:rsidRPr="008F4096">
        <w:rPr>
          <w:sz w:val="24"/>
          <w:szCs w:val="24"/>
        </w:rPr>
        <w:t xml:space="preserve"> of my </w:t>
      </w:r>
      <w:r w:rsidR="007752D4">
        <w:rPr>
          <w:sz w:val="24"/>
          <w:szCs w:val="24"/>
        </w:rPr>
        <w:t>educational</w:t>
      </w:r>
      <w:r w:rsidRPr="008F4096">
        <w:rPr>
          <w:sz w:val="24"/>
          <w:szCs w:val="24"/>
        </w:rPr>
        <w:t xml:space="preserve"> journey. </w:t>
      </w:r>
      <w:r w:rsidR="00F30B61">
        <w:rPr>
          <w:sz w:val="24"/>
          <w:szCs w:val="24"/>
        </w:rPr>
        <w:t>This journey has allowed me to visit a range of schools</w:t>
      </w:r>
      <w:r w:rsidR="003E14E3">
        <w:rPr>
          <w:sz w:val="24"/>
          <w:szCs w:val="24"/>
        </w:rPr>
        <w:t xml:space="preserve">, </w:t>
      </w:r>
      <w:r w:rsidR="00F30B61">
        <w:rPr>
          <w:sz w:val="24"/>
          <w:szCs w:val="24"/>
        </w:rPr>
        <w:t xml:space="preserve">talk to staff and students about my research as well </w:t>
      </w:r>
      <w:r w:rsidR="001E49DA">
        <w:rPr>
          <w:sz w:val="24"/>
          <w:szCs w:val="24"/>
        </w:rPr>
        <w:t xml:space="preserve">as </w:t>
      </w:r>
      <w:r w:rsidR="00F30B61">
        <w:rPr>
          <w:sz w:val="24"/>
          <w:szCs w:val="24"/>
        </w:rPr>
        <w:t xml:space="preserve">leading teacher training events on the benefits and practicalities of embarking on practitioner research. On a more </w:t>
      </w:r>
      <w:r w:rsidR="003E14E3">
        <w:rPr>
          <w:sz w:val="24"/>
          <w:szCs w:val="24"/>
        </w:rPr>
        <w:t>local</w:t>
      </w:r>
      <w:r w:rsidR="00F30B61">
        <w:rPr>
          <w:sz w:val="24"/>
          <w:szCs w:val="24"/>
        </w:rPr>
        <w:t xml:space="preserve"> level</w:t>
      </w:r>
      <w:r w:rsidR="00F43B96">
        <w:rPr>
          <w:sz w:val="24"/>
          <w:szCs w:val="24"/>
        </w:rPr>
        <w:t>,</w:t>
      </w:r>
      <w:r w:rsidR="00F30B61">
        <w:rPr>
          <w:sz w:val="24"/>
          <w:szCs w:val="24"/>
        </w:rPr>
        <w:t xml:space="preserve"> my </w:t>
      </w:r>
      <w:r w:rsidR="00B14ED6">
        <w:rPr>
          <w:sz w:val="24"/>
          <w:szCs w:val="24"/>
        </w:rPr>
        <w:t xml:space="preserve">current </w:t>
      </w:r>
      <w:r w:rsidR="00F30B61">
        <w:rPr>
          <w:sz w:val="24"/>
          <w:szCs w:val="24"/>
        </w:rPr>
        <w:t>A</w:t>
      </w:r>
      <w:r w:rsidR="00F43A0B">
        <w:rPr>
          <w:sz w:val="24"/>
          <w:szCs w:val="24"/>
        </w:rPr>
        <w:t>-</w:t>
      </w:r>
      <w:r w:rsidR="00F30B61">
        <w:rPr>
          <w:sz w:val="24"/>
          <w:szCs w:val="24"/>
        </w:rPr>
        <w:t>Level sociology students are continually amused at m</w:t>
      </w:r>
      <w:r w:rsidR="003E14E3">
        <w:rPr>
          <w:sz w:val="24"/>
          <w:szCs w:val="24"/>
        </w:rPr>
        <w:t>y</w:t>
      </w:r>
      <w:r w:rsidR="00F30B61">
        <w:rPr>
          <w:sz w:val="24"/>
          <w:szCs w:val="24"/>
        </w:rPr>
        <w:t xml:space="preserve"> deadlines and this has encouraged some of them not to give up when </w:t>
      </w:r>
      <w:r w:rsidR="003E14E3">
        <w:rPr>
          <w:sz w:val="24"/>
          <w:szCs w:val="24"/>
        </w:rPr>
        <w:t>studies</w:t>
      </w:r>
      <w:r w:rsidR="00015815">
        <w:rPr>
          <w:sz w:val="24"/>
          <w:szCs w:val="24"/>
        </w:rPr>
        <w:t xml:space="preserve"> seem impossible.</w:t>
      </w:r>
      <w:r w:rsidR="00F30B61">
        <w:rPr>
          <w:sz w:val="24"/>
          <w:szCs w:val="24"/>
        </w:rPr>
        <w:t xml:space="preserve"> </w:t>
      </w:r>
      <w:r w:rsidR="00015815">
        <w:rPr>
          <w:sz w:val="24"/>
          <w:szCs w:val="24"/>
        </w:rPr>
        <w:t>The</w:t>
      </w:r>
      <w:r w:rsidRPr="008F4096">
        <w:rPr>
          <w:sz w:val="24"/>
          <w:szCs w:val="24"/>
        </w:rPr>
        <w:t xml:space="preserve"> </w:t>
      </w:r>
      <w:r w:rsidR="00FC74B0">
        <w:rPr>
          <w:sz w:val="24"/>
          <w:szCs w:val="24"/>
        </w:rPr>
        <w:t xml:space="preserve">completion </w:t>
      </w:r>
      <w:r w:rsidR="00F30B61">
        <w:rPr>
          <w:sz w:val="24"/>
          <w:szCs w:val="24"/>
        </w:rPr>
        <w:t xml:space="preserve">of the EdD </w:t>
      </w:r>
      <w:r w:rsidR="00015815">
        <w:rPr>
          <w:sz w:val="24"/>
          <w:szCs w:val="24"/>
        </w:rPr>
        <w:t>coincides with start of a new</w:t>
      </w:r>
      <w:r w:rsidRPr="008F4096">
        <w:rPr>
          <w:sz w:val="24"/>
          <w:szCs w:val="24"/>
        </w:rPr>
        <w:t xml:space="preserve"> </w:t>
      </w:r>
      <w:r w:rsidR="003E14E3">
        <w:rPr>
          <w:sz w:val="24"/>
          <w:szCs w:val="24"/>
        </w:rPr>
        <w:t xml:space="preserve">school leadership </w:t>
      </w:r>
      <w:r w:rsidRPr="008F4096">
        <w:rPr>
          <w:sz w:val="24"/>
          <w:szCs w:val="24"/>
        </w:rPr>
        <w:t>journey</w:t>
      </w:r>
      <w:r w:rsidR="00015815">
        <w:rPr>
          <w:sz w:val="24"/>
          <w:szCs w:val="24"/>
        </w:rPr>
        <w:t xml:space="preserve"> as I move into Headship. </w:t>
      </w:r>
      <w:r w:rsidR="001E49DA">
        <w:rPr>
          <w:sz w:val="24"/>
          <w:szCs w:val="24"/>
        </w:rPr>
        <w:t xml:space="preserve">I </w:t>
      </w:r>
      <w:r w:rsidR="00015815">
        <w:rPr>
          <w:sz w:val="24"/>
          <w:szCs w:val="24"/>
        </w:rPr>
        <w:t xml:space="preserve">will </w:t>
      </w:r>
      <w:r w:rsidR="007752D4">
        <w:rPr>
          <w:sz w:val="24"/>
          <w:szCs w:val="24"/>
        </w:rPr>
        <w:t>continu</w:t>
      </w:r>
      <w:r w:rsidR="001E49DA">
        <w:rPr>
          <w:sz w:val="24"/>
          <w:szCs w:val="24"/>
        </w:rPr>
        <w:t>e</w:t>
      </w:r>
      <w:r w:rsidR="007752D4">
        <w:rPr>
          <w:sz w:val="24"/>
          <w:szCs w:val="24"/>
        </w:rPr>
        <w:t xml:space="preserve"> to </w:t>
      </w:r>
      <w:r w:rsidRPr="008F4096">
        <w:rPr>
          <w:sz w:val="24"/>
          <w:szCs w:val="24"/>
        </w:rPr>
        <w:t>combin</w:t>
      </w:r>
      <w:r w:rsidR="007752D4">
        <w:rPr>
          <w:sz w:val="24"/>
          <w:szCs w:val="24"/>
        </w:rPr>
        <w:t xml:space="preserve">e </w:t>
      </w:r>
      <w:r w:rsidRPr="008F4096">
        <w:rPr>
          <w:sz w:val="24"/>
          <w:szCs w:val="24"/>
        </w:rPr>
        <w:t>practitioner researcher</w:t>
      </w:r>
      <w:r w:rsidR="00FC74B0">
        <w:rPr>
          <w:sz w:val="24"/>
          <w:szCs w:val="24"/>
        </w:rPr>
        <w:t xml:space="preserve"> </w:t>
      </w:r>
      <w:r w:rsidR="00015815">
        <w:rPr>
          <w:sz w:val="24"/>
          <w:szCs w:val="24"/>
        </w:rPr>
        <w:t xml:space="preserve">with my leadership role </w:t>
      </w:r>
      <w:r w:rsidRPr="008F4096">
        <w:rPr>
          <w:sz w:val="24"/>
          <w:szCs w:val="24"/>
        </w:rPr>
        <w:t xml:space="preserve">to </w:t>
      </w:r>
      <w:r w:rsidR="007752D4">
        <w:rPr>
          <w:sz w:val="24"/>
          <w:szCs w:val="24"/>
        </w:rPr>
        <w:t>continu</w:t>
      </w:r>
      <w:r w:rsidR="00F30B61">
        <w:rPr>
          <w:sz w:val="24"/>
          <w:szCs w:val="24"/>
        </w:rPr>
        <w:t>ally</w:t>
      </w:r>
      <w:r w:rsidR="007752D4">
        <w:rPr>
          <w:sz w:val="24"/>
          <w:szCs w:val="24"/>
        </w:rPr>
        <w:t xml:space="preserve"> </w:t>
      </w:r>
      <w:r w:rsidRPr="008F4096">
        <w:rPr>
          <w:sz w:val="24"/>
          <w:szCs w:val="24"/>
        </w:rPr>
        <w:t>seek and secure change for the benefit of children, teachers and schools.</w:t>
      </w:r>
      <w:r w:rsidR="0017578D">
        <w:rPr>
          <w:sz w:val="24"/>
          <w:szCs w:val="24"/>
        </w:rPr>
        <w:t xml:space="preserve"> </w:t>
      </w:r>
    </w:p>
    <w:p w14:paraId="4C79D545" w14:textId="15DDF9D5" w:rsidR="00D27BF7" w:rsidRPr="00D27BF7" w:rsidRDefault="00BA70FA" w:rsidP="00D27BF7">
      <w:pPr>
        <w:tabs>
          <w:tab w:val="left" w:pos="1485"/>
        </w:tabs>
        <w:jc w:val="center"/>
        <w:rPr>
          <w:rFonts w:cs="Calibri"/>
          <w:sz w:val="24"/>
          <w:szCs w:val="24"/>
        </w:rPr>
      </w:pPr>
      <w:r>
        <w:rPr>
          <w:sz w:val="24"/>
          <w:szCs w:val="24"/>
        </w:rPr>
        <w:br w:type="page"/>
      </w:r>
    </w:p>
    <w:p w14:paraId="1A01E4E1" w14:textId="77777777" w:rsidR="00D27BF7" w:rsidRDefault="00D27BF7" w:rsidP="00D27BF7"/>
    <w:p w14:paraId="55B657B7" w14:textId="6AEB37C5" w:rsidR="00D27BF7" w:rsidRPr="007239B3" w:rsidRDefault="00D27BF7" w:rsidP="007160C9">
      <w:pPr>
        <w:jc w:val="center"/>
        <w:outlineLvl w:val="0"/>
        <w:rPr>
          <w:rFonts w:cs="Calibri"/>
          <w:b/>
          <w:sz w:val="28"/>
          <w:szCs w:val="28"/>
        </w:rPr>
      </w:pPr>
      <w:bookmarkStart w:id="125" w:name="_Toc452316408"/>
      <w:r w:rsidRPr="00531995">
        <w:rPr>
          <w:rStyle w:val="Heading1Char"/>
          <w:rFonts w:eastAsia="Calibri"/>
        </w:rPr>
        <w:t>Appendix 1</w:t>
      </w:r>
      <w:r>
        <w:rPr>
          <w:b/>
          <w:sz w:val="28"/>
          <w:szCs w:val="28"/>
        </w:rPr>
        <w:t xml:space="preserve"> </w:t>
      </w:r>
      <w:r w:rsidRPr="00531995">
        <w:rPr>
          <w:rStyle w:val="Heading1Char"/>
          <w:rFonts w:eastAsia="Calibri"/>
        </w:rPr>
        <w:t>–</w:t>
      </w:r>
      <w:r w:rsidR="001E49DA" w:rsidRPr="00531995">
        <w:rPr>
          <w:rStyle w:val="Heading1Char"/>
          <w:rFonts w:eastAsia="Calibri"/>
        </w:rPr>
        <w:t xml:space="preserve"> </w:t>
      </w:r>
      <w:r w:rsidRPr="00531995">
        <w:rPr>
          <w:rStyle w:val="Heading1Char"/>
          <w:rFonts w:eastAsia="Calibri"/>
        </w:rPr>
        <w:t>Ethical permission letter from University of Sheffield</w:t>
      </w:r>
      <w:bookmarkEnd w:id="125"/>
    </w:p>
    <w:p w14:paraId="4F4FE85D" w14:textId="77777777" w:rsidR="00D27BF7" w:rsidRPr="006149A4" w:rsidRDefault="00D27BF7" w:rsidP="00D27BF7">
      <w:pPr>
        <w:tabs>
          <w:tab w:val="left" w:pos="8364"/>
        </w:tabs>
        <w:jc w:val="center"/>
      </w:pPr>
      <w:r w:rsidRPr="006149A4">
        <w:rPr>
          <w:i/>
          <w:noProof/>
          <w:lang w:eastAsia="en-GB"/>
        </w:rPr>
        <w:drawing>
          <wp:inline distT="0" distB="0" distL="0" distR="0" wp14:anchorId="47920C4E" wp14:editId="48EEE1FB">
            <wp:extent cx="5731510" cy="4044315"/>
            <wp:effectExtent l="5397" t="0" r="7938" b="7937"/>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HO University of Sheffield.tif"/>
                    <pic:cNvPicPr/>
                  </pic:nvPicPr>
                  <pic:blipFill>
                    <a:blip r:embed="rId10" cstate="print">
                      <a:extLst>
                        <a:ext uri="{28A0092B-C50C-407E-A947-70E740481C1C}">
                          <a14:useLocalDpi xmlns:a14="http://schemas.microsoft.com/office/drawing/2010/main" val="0"/>
                        </a:ext>
                      </a:extLst>
                    </a:blip>
                    <a:stretch>
                      <a:fillRect/>
                    </a:stretch>
                  </pic:blipFill>
                  <pic:spPr>
                    <a:xfrm rot="16200000">
                      <a:off x="0" y="0"/>
                      <a:ext cx="5731510" cy="4044315"/>
                    </a:xfrm>
                    <a:prstGeom prst="rect">
                      <a:avLst/>
                    </a:prstGeom>
                  </pic:spPr>
                </pic:pic>
              </a:graphicData>
            </a:graphic>
          </wp:inline>
        </w:drawing>
      </w:r>
    </w:p>
    <w:p w14:paraId="0C61ABA1" w14:textId="77777777" w:rsidR="007330F2" w:rsidRPr="00703CBE" w:rsidRDefault="007330F2" w:rsidP="007330F2">
      <w:pPr>
        <w:rPr>
          <w:sz w:val="24"/>
          <w:szCs w:val="24"/>
        </w:rPr>
      </w:pPr>
    </w:p>
    <w:p w14:paraId="0DB50698" w14:textId="77777777" w:rsidR="007330F2" w:rsidRDefault="007330F2" w:rsidP="00667323">
      <w:pPr>
        <w:spacing w:line="360" w:lineRule="auto"/>
        <w:rPr>
          <w:rFonts w:cs="Calibri"/>
          <w:sz w:val="24"/>
          <w:szCs w:val="24"/>
        </w:rPr>
      </w:pPr>
    </w:p>
    <w:p w14:paraId="0E12D5F7" w14:textId="77777777" w:rsidR="00F57574" w:rsidRDefault="00F57574" w:rsidP="00667323">
      <w:pPr>
        <w:spacing w:line="360" w:lineRule="auto"/>
        <w:rPr>
          <w:rFonts w:cs="Calibri"/>
          <w:sz w:val="24"/>
          <w:szCs w:val="24"/>
        </w:rPr>
      </w:pPr>
    </w:p>
    <w:p w14:paraId="4A9CE70A" w14:textId="536BC446" w:rsidR="006E4C9A" w:rsidRPr="001F5815" w:rsidRDefault="00041A5F" w:rsidP="001F5815">
      <w:pPr>
        <w:spacing w:after="0" w:line="240" w:lineRule="auto"/>
        <w:rPr>
          <w:rFonts w:cs="Calibri"/>
          <w:sz w:val="24"/>
          <w:szCs w:val="24"/>
        </w:rPr>
        <w:sectPr w:rsidR="006E4C9A" w:rsidRPr="001F5815" w:rsidSect="00F75892">
          <w:headerReference w:type="default" r:id="rId11"/>
          <w:footerReference w:type="default" r:id="rId12"/>
          <w:pgSz w:w="11906" w:h="16838"/>
          <w:pgMar w:top="1440" w:right="1440" w:bottom="1440" w:left="1440" w:header="708" w:footer="708" w:gutter="0"/>
          <w:cols w:space="708"/>
          <w:docGrid w:linePitch="360"/>
        </w:sectPr>
      </w:pPr>
      <w:r>
        <w:rPr>
          <w:rFonts w:cs="Calibri"/>
          <w:sz w:val="24"/>
        </w:rPr>
        <w:br w:type="page"/>
      </w:r>
    </w:p>
    <w:p w14:paraId="3F845E6B" w14:textId="7AFD6BB7" w:rsidR="00667323" w:rsidRDefault="000B6C8A" w:rsidP="007160C9">
      <w:pPr>
        <w:jc w:val="center"/>
        <w:outlineLvl w:val="0"/>
      </w:pPr>
      <w:bookmarkStart w:id="126" w:name="_Toc452316409"/>
      <w:r w:rsidRPr="00531995">
        <w:rPr>
          <w:rStyle w:val="Heading1Char"/>
          <w:rFonts w:eastAsia="Calibri"/>
        </w:rPr>
        <w:lastRenderedPageBreak/>
        <w:t xml:space="preserve">Appendix </w:t>
      </w:r>
      <w:r w:rsidR="00D27BF7" w:rsidRPr="00531995">
        <w:rPr>
          <w:rStyle w:val="Heading1Char"/>
          <w:rFonts w:eastAsia="Calibri"/>
        </w:rPr>
        <w:t>2</w:t>
      </w:r>
      <w:r w:rsidRPr="000B6C8A">
        <w:rPr>
          <w:rFonts w:cs="Calibri"/>
          <w:b/>
          <w:sz w:val="32"/>
          <w:szCs w:val="32"/>
        </w:rPr>
        <w:t xml:space="preserve"> </w:t>
      </w:r>
      <w:r w:rsidRPr="00531995">
        <w:rPr>
          <w:rStyle w:val="Heading1Char"/>
          <w:rFonts w:eastAsia="Calibri"/>
        </w:rPr>
        <w:t xml:space="preserve">- </w:t>
      </w:r>
      <w:r w:rsidR="00667323" w:rsidRPr="00531995">
        <w:rPr>
          <w:rStyle w:val="Heading1Char"/>
          <w:rFonts w:eastAsia="Calibri"/>
        </w:rPr>
        <w:t>Orientation questions for frame application</w:t>
      </w:r>
      <w:r w:rsidR="00667323" w:rsidRPr="00E44C38">
        <w:rPr>
          <w:rFonts w:cs="Calibri"/>
          <w:b/>
          <w:sz w:val="24"/>
        </w:rPr>
        <w:t xml:space="preserve"> (Hyatt</w:t>
      </w:r>
      <w:r w:rsidR="00D7475B">
        <w:rPr>
          <w:rFonts w:cs="Calibri"/>
          <w:b/>
          <w:sz w:val="24"/>
        </w:rPr>
        <w:t>,</w:t>
      </w:r>
      <w:r w:rsidR="00667323" w:rsidRPr="00E44C38">
        <w:rPr>
          <w:rFonts w:cs="Calibri"/>
          <w:b/>
          <w:sz w:val="24"/>
        </w:rPr>
        <w:t xml:space="preserve"> 2005)</w:t>
      </w:r>
      <w:bookmarkEnd w:id="126"/>
    </w:p>
    <w:tbl>
      <w:tblPr>
        <w:tblW w:w="14043" w:type="dxa"/>
        <w:tblInd w:w="-4" w:type="dxa"/>
        <w:tblLayout w:type="fixed"/>
        <w:tblLook w:val="0000" w:firstRow="0" w:lastRow="0" w:firstColumn="0" w:lastColumn="0" w:noHBand="0" w:noVBand="0"/>
      </w:tblPr>
      <w:tblGrid>
        <w:gridCol w:w="2252"/>
        <w:gridCol w:w="3853"/>
        <w:gridCol w:w="3827"/>
        <w:gridCol w:w="4111"/>
      </w:tblGrid>
      <w:tr w:rsidR="00667323" w:rsidRPr="00E44C38" w14:paraId="2E1B8964" w14:textId="77777777" w:rsidTr="001F5815">
        <w:trPr>
          <w:cantSplit/>
          <w:trHeight w:val="518"/>
        </w:trPr>
        <w:tc>
          <w:tcPr>
            <w:tcW w:w="22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4270C02" w14:textId="77777777" w:rsidR="00667323" w:rsidRPr="00E44C38" w:rsidRDefault="00667323" w:rsidP="00ED70E3">
            <w:pPr>
              <w:pStyle w:val="TableGrid1"/>
              <w:spacing w:line="360" w:lineRule="auto"/>
              <w:rPr>
                <w:rFonts w:ascii="Calibri" w:hAnsi="Calibri" w:cs="Calibri"/>
                <w:b/>
                <w:sz w:val="24"/>
                <w:szCs w:val="24"/>
              </w:rPr>
            </w:pPr>
            <w:r w:rsidRPr="00E44C38">
              <w:rPr>
                <w:rFonts w:ascii="Calibri" w:hAnsi="Calibri" w:cs="Calibri"/>
                <w:b/>
                <w:sz w:val="24"/>
                <w:szCs w:val="24"/>
              </w:rPr>
              <w:t>Question</w:t>
            </w:r>
          </w:p>
        </w:tc>
        <w:tc>
          <w:tcPr>
            <w:tcW w:w="38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9047A18" w14:textId="77777777" w:rsidR="00667323" w:rsidRPr="00E44C38" w:rsidRDefault="00667323" w:rsidP="00ED70E3">
            <w:pPr>
              <w:pStyle w:val="TableGrid1"/>
              <w:spacing w:line="360" w:lineRule="auto"/>
              <w:rPr>
                <w:rFonts w:ascii="Calibri" w:hAnsi="Calibri" w:cs="Calibri"/>
                <w:sz w:val="24"/>
                <w:szCs w:val="24"/>
              </w:rPr>
            </w:pPr>
            <w:r w:rsidRPr="00E44C38">
              <w:rPr>
                <w:rFonts w:ascii="Calibri" w:hAnsi="Calibri" w:cs="Calibri"/>
                <w:b/>
                <w:sz w:val="24"/>
                <w:szCs w:val="24"/>
              </w:rPr>
              <w:t>White Paper</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CCF4F6" w14:textId="77777777" w:rsidR="00667323" w:rsidRPr="00E44C38" w:rsidRDefault="00667323" w:rsidP="00ED70E3">
            <w:pPr>
              <w:pStyle w:val="TableGrid1"/>
              <w:spacing w:line="360" w:lineRule="auto"/>
              <w:rPr>
                <w:rFonts w:ascii="Calibri" w:hAnsi="Calibri" w:cs="Calibri"/>
                <w:sz w:val="24"/>
                <w:szCs w:val="24"/>
              </w:rPr>
            </w:pPr>
            <w:r w:rsidRPr="00E44C38">
              <w:rPr>
                <w:rFonts w:ascii="Calibri" w:hAnsi="Calibri" w:cs="Calibri"/>
                <w:b/>
                <w:sz w:val="24"/>
                <w:szCs w:val="24"/>
              </w:rPr>
              <w:t>Addendum</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0DE6027" w14:textId="77777777" w:rsidR="00667323" w:rsidRPr="00E44C38" w:rsidRDefault="00667323" w:rsidP="00ED70E3">
            <w:pPr>
              <w:pStyle w:val="TableGrid1"/>
              <w:spacing w:line="360" w:lineRule="auto"/>
              <w:rPr>
                <w:rFonts w:ascii="Calibri" w:hAnsi="Calibri" w:cs="Calibri"/>
                <w:sz w:val="24"/>
                <w:szCs w:val="24"/>
              </w:rPr>
            </w:pPr>
            <w:r w:rsidRPr="00E44C38">
              <w:rPr>
                <w:rFonts w:ascii="Calibri" w:hAnsi="Calibri" w:cs="Calibri"/>
                <w:b/>
                <w:sz w:val="24"/>
                <w:szCs w:val="24"/>
              </w:rPr>
              <w:t>White paper speech</w:t>
            </w:r>
          </w:p>
        </w:tc>
      </w:tr>
      <w:tr w:rsidR="00667323" w:rsidRPr="00E44C38" w14:paraId="62145E65" w14:textId="77777777" w:rsidTr="001F5815">
        <w:trPr>
          <w:cantSplit/>
          <w:trHeight w:val="1200"/>
        </w:trPr>
        <w:tc>
          <w:tcPr>
            <w:tcW w:w="22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1729745" w14:textId="77777777" w:rsidR="00667323" w:rsidRPr="00E44C38" w:rsidRDefault="00667323" w:rsidP="00ED70E3">
            <w:pPr>
              <w:pStyle w:val="TableGrid1"/>
              <w:spacing w:line="360" w:lineRule="auto"/>
              <w:rPr>
                <w:rFonts w:ascii="Calibri" w:hAnsi="Calibri" w:cs="Calibri"/>
                <w:b/>
                <w:sz w:val="24"/>
                <w:szCs w:val="24"/>
              </w:rPr>
            </w:pPr>
            <w:r w:rsidRPr="00E44C38">
              <w:rPr>
                <w:rFonts w:ascii="Calibri" w:hAnsi="Calibri" w:cs="Calibri"/>
                <w:b/>
                <w:sz w:val="24"/>
                <w:szCs w:val="24"/>
              </w:rPr>
              <w:t>Is this a typical text of its type?</w:t>
            </w:r>
          </w:p>
        </w:tc>
        <w:tc>
          <w:tcPr>
            <w:tcW w:w="38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4221904" w14:textId="7AF988D2" w:rsidR="00667323" w:rsidRPr="00E44C38" w:rsidRDefault="00667323" w:rsidP="00ED70E3">
            <w:pPr>
              <w:pStyle w:val="TableGrid1"/>
              <w:spacing w:line="360" w:lineRule="auto"/>
              <w:rPr>
                <w:rFonts w:ascii="Calibri" w:hAnsi="Calibri" w:cs="Calibri"/>
                <w:sz w:val="24"/>
                <w:szCs w:val="24"/>
              </w:rPr>
            </w:pPr>
            <w:r w:rsidRPr="00E44C38">
              <w:rPr>
                <w:rFonts w:ascii="Calibri" w:hAnsi="Calibri" w:cs="Calibri"/>
                <w:sz w:val="24"/>
                <w:szCs w:val="24"/>
              </w:rPr>
              <w:t xml:space="preserve">Yes – foreword by both PM and DPM: a typical introduction to a policy paper. The unusual aspect here is that this was one of the first </w:t>
            </w:r>
            <w:r w:rsidR="001E49DA">
              <w:rPr>
                <w:rFonts w:ascii="Calibri" w:hAnsi="Calibri" w:cs="Calibri"/>
                <w:sz w:val="24"/>
                <w:szCs w:val="24"/>
              </w:rPr>
              <w:t>C</w:t>
            </w:r>
            <w:r w:rsidRPr="00E44C38">
              <w:rPr>
                <w:rFonts w:ascii="Calibri" w:hAnsi="Calibri" w:cs="Calibri"/>
                <w:sz w:val="24"/>
                <w:szCs w:val="24"/>
              </w:rPr>
              <w:t>oalition policy documents and therefore the foreword was from both the PM, David Cameron (Conservative), and DPM, Nick Clegg (Liberal Democrats).</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269E79" w14:textId="77777777" w:rsidR="00667323" w:rsidRPr="00E44C38" w:rsidRDefault="00667323" w:rsidP="00ED70E3">
            <w:pPr>
              <w:pStyle w:val="TableGrid1"/>
              <w:spacing w:line="360" w:lineRule="auto"/>
              <w:rPr>
                <w:rFonts w:ascii="Calibri" w:hAnsi="Calibri" w:cs="Calibri"/>
                <w:sz w:val="24"/>
                <w:szCs w:val="24"/>
              </w:rPr>
            </w:pPr>
            <w:r w:rsidRPr="00E44C38">
              <w:rPr>
                <w:rFonts w:ascii="Calibri" w:hAnsi="Calibri" w:cs="Calibri"/>
                <w:sz w:val="24"/>
                <w:szCs w:val="24"/>
              </w:rPr>
              <w:t>Yes – additional guidance to exemplify and provide the detail behind policy headlines or overviews is often provided.</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9A50A3" w14:textId="77777777" w:rsidR="00667323" w:rsidRPr="00E44C38" w:rsidRDefault="00667323" w:rsidP="00ED70E3">
            <w:pPr>
              <w:pStyle w:val="TableGrid1"/>
              <w:spacing w:line="360" w:lineRule="auto"/>
              <w:rPr>
                <w:rFonts w:ascii="Calibri" w:hAnsi="Calibri" w:cs="Calibri"/>
                <w:sz w:val="24"/>
                <w:szCs w:val="24"/>
              </w:rPr>
            </w:pPr>
            <w:r w:rsidRPr="00E44C38">
              <w:rPr>
                <w:rFonts w:ascii="Calibri" w:hAnsi="Calibri" w:cs="Calibri"/>
                <w:sz w:val="24"/>
                <w:szCs w:val="24"/>
              </w:rPr>
              <w:t>Yes – policies are usually presented to Parliament and therefore the wider world via the media in summary form.</w:t>
            </w:r>
          </w:p>
        </w:tc>
      </w:tr>
      <w:tr w:rsidR="00667323" w:rsidRPr="00E44C38" w14:paraId="0AC871CD" w14:textId="77777777" w:rsidTr="001F5815">
        <w:trPr>
          <w:cantSplit/>
          <w:trHeight w:val="1200"/>
        </w:trPr>
        <w:tc>
          <w:tcPr>
            <w:tcW w:w="22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2763916" w14:textId="77777777" w:rsidR="00667323" w:rsidRPr="00E44C38" w:rsidRDefault="00667323" w:rsidP="00ED70E3">
            <w:pPr>
              <w:pStyle w:val="TableGrid1"/>
              <w:spacing w:line="360" w:lineRule="auto"/>
              <w:rPr>
                <w:rFonts w:ascii="Calibri" w:hAnsi="Calibri" w:cs="Calibri"/>
                <w:b/>
                <w:sz w:val="24"/>
                <w:szCs w:val="24"/>
              </w:rPr>
            </w:pPr>
            <w:r w:rsidRPr="00E44C38">
              <w:rPr>
                <w:rFonts w:ascii="Calibri" w:hAnsi="Calibri" w:cs="Calibri"/>
                <w:b/>
                <w:sz w:val="24"/>
                <w:szCs w:val="24"/>
              </w:rPr>
              <w:t>Who produced this?</w:t>
            </w:r>
          </w:p>
        </w:tc>
        <w:tc>
          <w:tcPr>
            <w:tcW w:w="38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C78C627" w14:textId="77777777" w:rsidR="00667323" w:rsidRPr="00E44C38" w:rsidRDefault="00667323" w:rsidP="00ED70E3">
            <w:pPr>
              <w:pStyle w:val="TableGrid1"/>
              <w:spacing w:line="360" w:lineRule="auto"/>
              <w:rPr>
                <w:rFonts w:ascii="Calibri" w:hAnsi="Calibri" w:cs="Calibri"/>
                <w:sz w:val="24"/>
                <w:szCs w:val="24"/>
              </w:rPr>
            </w:pPr>
            <w:r w:rsidRPr="00E44C38">
              <w:rPr>
                <w:rFonts w:ascii="Calibri" w:hAnsi="Calibri" w:cs="Calibri"/>
                <w:sz w:val="24"/>
                <w:szCs w:val="24"/>
              </w:rPr>
              <w:t>Coalition government</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05692BE" w14:textId="77777777" w:rsidR="00667323" w:rsidRPr="00E44C38" w:rsidRDefault="00667323" w:rsidP="00ED70E3">
            <w:pPr>
              <w:pStyle w:val="TableGrid1"/>
              <w:spacing w:line="360" w:lineRule="auto"/>
              <w:rPr>
                <w:rFonts w:ascii="Calibri" w:hAnsi="Calibri" w:cs="Calibri"/>
                <w:sz w:val="24"/>
                <w:szCs w:val="24"/>
              </w:rPr>
            </w:pPr>
            <w:r w:rsidRPr="00E44C38">
              <w:rPr>
                <w:rFonts w:ascii="Calibri" w:hAnsi="Calibri" w:cs="Calibri"/>
                <w:sz w:val="24"/>
                <w:szCs w:val="24"/>
              </w:rPr>
              <w:t>Coalition government</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448754B" w14:textId="77777777" w:rsidR="00667323" w:rsidRPr="00E44C38" w:rsidRDefault="00667323" w:rsidP="00ED70E3">
            <w:pPr>
              <w:pStyle w:val="TableGrid1"/>
              <w:spacing w:line="360" w:lineRule="auto"/>
              <w:rPr>
                <w:rFonts w:ascii="Calibri" w:hAnsi="Calibri" w:cs="Calibri"/>
                <w:sz w:val="24"/>
                <w:szCs w:val="24"/>
              </w:rPr>
            </w:pPr>
            <w:r w:rsidRPr="00E44C38">
              <w:rPr>
                <w:rFonts w:ascii="Calibri" w:hAnsi="Calibri" w:cs="Calibri"/>
                <w:sz w:val="24"/>
                <w:szCs w:val="24"/>
              </w:rPr>
              <w:t>Michael Gove on behalf of Coalition government</w:t>
            </w:r>
          </w:p>
        </w:tc>
      </w:tr>
      <w:tr w:rsidR="00667323" w:rsidRPr="00E44C38" w14:paraId="19955C2F" w14:textId="77777777" w:rsidTr="001F5815">
        <w:trPr>
          <w:cantSplit/>
          <w:trHeight w:val="2154"/>
        </w:trPr>
        <w:tc>
          <w:tcPr>
            <w:tcW w:w="22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6C277C0" w14:textId="77777777" w:rsidR="00667323" w:rsidRPr="00E44C38" w:rsidRDefault="00667323" w:rsidP="00ED70E3">
            <w:pPr>
              <w:pStyle w:val="TableGrid1"/>
              <w:spacing w:line="360" w:lineRule="auto"/>
              <w:rPr>
                <w:rFonts w:ascii="Calibri" w:hAnsi="Calibri" w:cs="Calibri"/>
                <w:b/>
                <w:sz w:val="24"/>
                <w:szCs w:val="24"/>
              </w:rPr>
            </w:pPr>
            <w:r w:rsidRPr="00E44C38">
              <w:rPr>
                <w:rFonts w:ascii="Calibri" w:hAnsi="Calibri" w:cs="Calibri"/>
                <w:b/>
                <w:sz w:val="24"/>
                <w:szCs w:val="24"/>
              </w:rPr>
              <w:t>Who will read it?</w:t>
            </w:r>
          </w:p>
        </w:tc>
        <w:tc>
          <w:tcPr>
            <w:tcW w:w="38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D78D605" w14:textId="308480A4" w:rsidR="00667323" w:rsidRPr="00E44C38" w:rsidRDefault="00667323" w:rsidP="00ED70E3">
            <w:pPr>
              <w:pStyle w:val="TableGrid1"/>
              <w:spacing w:line="360" w:lineRule="auto"/>
              <w:rPr>
                <w:rFonts w:ascii="Calibri" w:hAnsi="Calibri" w:cs="Calibri"/>
                <w:sz w:val="24"/>
                <w:szCs w:val="24"/>
              </w:rPr>
            </w:pPr>
            <w:r w:rsidRPr="00E44C38">
              <w:rPr>
                <w:rFonts w:ascii="Calibri" w:hAnsi="Calibri" w:cs="Calibri"/>
                <w:sz w:val="24"/>
                <w:szCs w:val="24"/>
              </w:rPr>
              <w:t xml:space="preserve">Headteachers, Curriculum Deputies, LA, </w:t>
            </w:r>
            <w:r w:rsidR="004B016C">
              <w:rPr>
                <w:rFonts w:ascii="Calibri" w:hAnsi="Calibri" w:cs="Calibri"/>
                <w:sz w:val="24"/>
                <w:szCs w:val="24"/>
              </w:rPr>
              <w:t>Academy</w:t>
            </w:r>
            <w:r w:rsidRPr="00E44C38">
              <w:rPr>
                <w:rFonts w:ascii="Calibri" w:hAnsi="Calibri" w:cs="Calibri"/>
                <w:sz w:val="24"/>
                <w:szCs w:val="24"/>
              </w:rPr>
              <w:t xml:space="preserve"> chains, Media, Educational professionals, interest groups</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B74C6B" w14:textId="77777777" w:rsidR="00667323" w:rsidRPr="00E44C38" w:rsidRDefault="00667323" w:rsidP="00ED70E3">
            <w:pPr>
              <w:pStyle w:val="TableGrid1"/>
              <w:spacing w:line="360" w:lineRule="auto"/>
              <w:rPr>
                <w:rFonts w:ascii="Calibri" w:hAnsi="Calibri" w:cs="Calibri"/>
                <w:sz w:val="24"/>
                <w:szCs w:val="24"/>
              </w:rPr>
            </w:pPr>
            <w:r w:rsidRPr="00E44C38">
              <w:rPr>
                <w:rFonts w:ascii="Calibri" w:hAnsi="Calibri" w:cs="Calibri"/>
                <w:sz w:val="24"/>
                <w:szCs w:val="24"/>
              </w:rPr>
              <w:t>Those responsible for curriculum and curriculum interest groups. Aimed at school audience and those who advise schools.</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5FB6D1B" w14:textId="77777777" w:rsidR="00667323" w:rsidRPr="00E44C38" w:rsidRDefault="00667323" w:rsidP="00ED70E3">
            <w:pPr>
              <w:pStyle w:val="TableGrid1"/>
              <w:spacing w:line="360" w:lineRule="auto"/>
              <w:rPr>
                <w:rFonts w:ascii="Calibri" w:hAnsi="Calibri" w:cs="Calibri"/>
                <w:sz w:val="24"/>
                <w:szCs w:val="24"/>
              </w:rPr>
            </w:pPr>
            <w:r w:rsidRPr="00E44C38">
              <w:rPr>
                <w:rFonts w:ascii="Calibri" w:hAnsi="Calibri" w:cs="Calibri"/>
                <w:sz w:val="24"/>
                <w:szCs w:val="24"/>
              </w:rPr>
              <w:t>Speech to be listened to by MPs, media, teaching unions and read by interested parties.</w:t>
            </w:r>
          </w:p>
        </w:tc>
      </w:tr>
      <w:tr w:rsidR="0014336B" w:rsidRPr="00672813" w14:paraId="78D7E3B8" w14:textId="77777777" w:rsidTr="001F5815">
        <w:trPr>
          <w:cantSplit/>
          <w:trHeight w:val="6689"/>
        </w:trPr>
        <w:tc>
          <w:tcPr>
            <w:tcW w:w="22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1FE3378" w14:textId="77777777" w:rsidR="00667323" w:rsidRPr="00672813" w:rsidRDefault="00667323" w:rsidP="00ED70E3">
            <w:pPr>
              <w:pStyle w:val="TableGrid1"/>
              <w:spacing w:line="360" w:lineRule="auto"/>
              <w:rPr>
                <w:rFonts w:ascii="Calibri" w:hAnsi="Calibri" w:cs="Calibri"/>
                <w:b/>
                <w:sz w:val="24"/>
                <w:szCs w:val="24"/>
              </w:rPr>
            </w:pPr>
            <w:r w:rsidRPr="00672813">
              <w:rPr>
                <w:rFonts w:ascii="Calibri" w:hAnsi="Calibri" w:cs="Calibri"/>
                <w:b/>
                <w:sz w:val="24"/>
                <w:szCs w:val="24"/>
              </w:rPr>
              <w:lastRenderedPageBreak/>
              <w:t>Will everyone understand this text in the same way?</w:t>
            </w:r>
          </w:p>
        </w:tc>
        <w:tc>
          <w:tcPr>
            <w:tcW w:w="38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094581" w14:textId="4994E4D6" w:rsidR="00667323" w:rsidRPr="00672813" w:rsidRDefault="00667323" w:rsidP="00ED70E3">
            <w:pPr>
              <w:pStyle w:val="TableGrid1"/>
              <w:spacing w:line="360" w:lineRule="auto"/>
              <w:rPr>
                <w:rFonts w:ascii="Calibri" w:hAnsi="Calibri" w:cs="Calibri"/>
                <w:sz w:val="24"/>
                <w:szCs w:val="24"/>
              </w:rPr>
            </w:pPr>
            <w:r w:rsidRPr="00672813">
              <w:rPr>
                <w:rFonts w:ascii="Calibri" w:hAnsi="Calibri" w:cs="Calibri"/>
                <w:sz w:val="24"/>
                <w:szCs w:val="24"/>
              </w:rPr>
              <w:t>No – depends on affiliations and interests as to which bit is of interest and which angle is to be taken. Politicians of different parties will view this differently. Unions/education professionals/teachers/</w:t>
            </w:r>
            <w:r w:rsidR="00A957EC">
              <w:rPr>
                <w:rFonts w:ascii="Calibri" w:hAnsi="Calibri" w:cs="Calibri"/>
                <w:sz w:val="24"/>
                <w:szCs w:val="24"/>
              </w:rPr>
              <w:t>h</w:t>
            </w:r>
            <w:r w:rsidRPr="00672813">
              <w:rPr>
                <w:rFonts w:ascii="Calibri" w:hAnsi="Calibri" w:cs="Calibri"/>
                <w:sz w:val="24"/>
                <w:szCs w:val="24"/>
              </w:rPr>
              <w:t xml:space="preserve">eadteachers will have differing concerns and time scales. Media will cherry pick headlines without necessarily understanding the background detail or implications. Rhetoric of forewords may be very important to media but </w:t>
            </w:r>
            <w:r>
              <w:rPr>
                <w:rFonts w:ascii="Calibri" w:hAnsi="Calibri" w:cs="Calibri"/>
                <w:sz w:val="24"/>
                <w:szCs w:val="24"/>
              </w:rPr>
              <w:t xml:space="preserve">considered less important </w:t>
            </w:r>
            <w:r w:rsidRPr="00672813">
              <w:rPr>
                <w:rFonts w:ascii="Calibri" w:hAnsi="Calibri" w:cs="Calibri"/>
                <w:sz w:val="24"/>
                <w:szCs w:val="24"/>
              </w:rPr>
              <w:t>by educationalists</w:t>
            </w:r>
            <w:r>
              <w:rPr>
                <w:rFonts w:ascii="Calibri" w:hAnsi="Calibri" w:cs="Calibri"/>
                <w:sz w:val="24"/>
                <w:szCs w:val="24"/>
              </w:rPr>
              <w:t xml:space="preserve"> who may move straight into the policy to find out what is being suggested.</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EBC4791" w14:textId="116562CC" w:rsidR="00667323" w:rsidRPr="00672813" w:rsidRDefault="00667323" w:rsidP="00ED70E3">
            <w:pPr>
              <w:pStyle w:val="TableGrid1"/>
              <w:spacing w:line="360" w:lineRule="auto"/>
              <w:rPr>
                <w:rFonts w:ascii="Calibri" w:hAnsi="Calibri" w:cs="Calibri"/>
                <w:sz w:val="24"/>
                <w:szCs w:val="24"/>
              </w:rPr>
            </w:pPr>
            <w:r w:rsidRPr="00672813">
              <w:rPr>
                <w:rFonts w:ascii="Calibri" w:hAnsi="Calibri" w:cs="Calibri"/>
                <w:sz w:val="24"/>
                <w:szCs w:val="24"/>
              </w:rPr>
              <w:t>Yes – aim is to provide clear information and guidance to explain and elaborate on the minimal information in the White Paper.</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812807B" w14:textId="701BB863" w:rsidR="00667323" w:rsidRPr="00672813" w:rsidRDefault="00667323" w:rsidP="00ED70E3">
            <w:pPr>
              <w:pStyle w:val="TableGrid1"/>
              <w:spacing w:line="360" w:lineRule="auto"/>
              <w:rPr>
                <w:rFonts w:ascii="Calibri" w:hAnsi="Calibri" w:cs="Calibri"/>
                <w:sz w:val="24"/>
                <w:szCs w:val="24"/>
              </w:rPr>
            </w:pPr>
            <w:r w:rsidRPr="00672813">
              <w:rPr>
                <w:rFonts w:ascii="Calibri" w:hAnsi="Calibri" w:cs="Calibri"/>
                <w:sz w:val="24"/>
                <w:szCs w:val="24"/>
              </w:rPr>
              <w:t xml:space="preserve">No – as with actual White paper, it will depend on affiliations and interest. For many this speech will be the White paper as they will not go to read the full text. Also, educational professionals and MPs and </w:t>
            </w:r>
            <w:r w:rsidR="001E49DA">
              <w:rPr>
                <w:rFonts w:ascii="Calibri" w:hAnsi="Calibri" w:cs="Calibri"/>
                <w:sz w:val="24"/>
                <w:szCs w:val="24"/>
              </w:rPr>
              <w:t>m</w:t>
            </w:r>
            <w:r w:rsidRPr="00672813">
              <w:rPr>
                <w:rFonts w:ascii="Calibri" w:hAnsi="Calibri" w:cs="Calibri"/>
                <w:sz w:val="24"/>
                <w:szCs w:val="24"/>
              </w:rPr>
              <w:t>edia all have different approaches and different levels of understanding and requirement to understand.</w:t>
            </w:r>
          </w:p>
        </w:tc>
      </w:tr>
      <w:tr w:rsidR="0014336B" w:rsidRPr="00672813" w14:paraId="5F4A5294" w14:textId="77777777" w:rsidTr="001F5815">
        <w:trPr>
          <w:cantSplit/>
          <w:trHeight w:val="2778"/>
        </w:trPr>
        <w:tc>
          <w:tcPr>
            <w:tcW w:w="22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D47FF8F" w14:textId="77777777" w:rsidR="00667323" w:rsidRPr="00672813" w:rsidRDefault="00667323" w:rsidP="00ED70E3">
            <w:pPr>
              <w:pStyle w:val="TableGrid1"/>
              <w:spacing w:line="360" w:lineRule="auto"/>
              <w:rPr>
                <w:rFonts w:ascii="Calibri" w:hAnsi="Calibri" w:cs="Calibri"/>
                <w:b/>
                <w:sz w:val="24"/>
                <w:szCs w:val="24"/>
              </w:rPr>
            </w:pPr>
            <w:r w:rsidRPr="00672813">
              <w:rPr>
                <w:rFonts w:ascii="Calibri" w:hAnsi="Calibri" w:cs="Calibri"/>
                <w:b/>
                <w:sz w:val="24"/>
                <w:szCs w:val="24"/>
              </w:rPr>
              <w:lastRenderedPageBreak/>
              <w:t>Why was it produced?</w:t>
            </w:r>
          </w:p>
        </w:tc>
        <w:tc>
          <w:tcPr>
            <w:tcW w:w="38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F444379" w14:textId="77777777" w:rsidR="00667323" w:rsidRPr="00672813" w:rsidRDefault="00667323" w:rsidP="00ED70E3">
            <w:pPr>
              <w:pStyle w:val="TableGrid1"/>
              <w:spacing w:line="360" w:lineRule="auto"/>
              <w:rPr>
                <w:rFonts w:ascii="Calibri" w:hAnsi="Calibri" w:cs="Calibri"/>
                <w:sz w:val="24"/>
                <w:szCs w:val="24"/>
              </w:rPr>
            </w:pPr>
            <w:r w:rsidRPr="00672813">
              <w:rPr>
                <w:rFonts w:ascii="Calibri" w:hAnsi="Calibri" w:cs="Calibri"/>
                <w:sz w:val="24"/>
                <w:szCs w:val="24"/>
              </w:rPr>
              <w:t xml:space="preserve">First education policy of Coalition government. Setting out agenda for next Parliament. </w:t>
            </w:r>
            <w:r>
              <w:rPr>
                <w:rFonts w:ascii="Calibri" w:hAnsi="Calibri" w:cs="Calibri"/>
                <w:sz w:val="24"/>
                <w:szCs w:val="24"/>
              </w:rPr>
              <w:t>Providing differentiation of tone and action</w:t>
            </w:r>
            <w:r w:rsidRPr="00672813">
              <w:rPr>
                <w:rFonts w:ascii="Calibri" w:hAnsi="Calibri" w:cs="Calibri"/>
                <w:sz w:val="24"/>
                <w:szCs w:val="24"/>
              </w:rPr>
              <w:t xml:space="preserve"> between new administration and the old.</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8DD5B56" w14:textId="77777777" w:rsidR="00667323" w:rsidRPr="00672813" w:rsidRDefault="00667323" w:rsidP="00ED70E3">
            <w:pPr>
              <w:pStyle w:val="TableGrid1"/>
              <w:spacing w:line="360" w:lineRule="auto"/>
              <w:rPr>
                <w:rFonts w:ascii="Calibri" w:hAnsi="Calibri" w:cs="Calibri"/>
                <w:sz w:val="24"/>
                <w:szCs w:val="24"/>
              </w:rPr>
            </w:pPr>
            <w:r w:rsidRPr="00672813">
              <w:rPr>
                <w:rFonts w:ascii="Calibri" w:hAnsi="Calibri" w:cs="Calibri"/>
                <w:sz w:val="24"/>
                <w:szCs w:val="24"/>
              </w:rPr>
              <w:t>To inform schools, Heads and curriculum leaders as well as those creating the performance tables and related tracking data about what exactly will count in the Performance tables.</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F05DF0A" w14:textId="727D9537" w:rsidR="00667323" w:rsidRPr="00672813" w:rsidRDefault="00667323" w:rsidP="00ED70E3">
            <w:pPr>
              <w:pStyle w:val="TableGrid1"/>
              <w:spacing w:line="360" w:lineRule="auto"/>
              <w:rPr>
                <w:rFonts w:ascii="Calibri" w:hAnsi="Calibri" w:cs="Calibri"/>
                <w:sz w:val="24"/>
                <w:szCs w:val="24"/>
              </w:rPr>
            </w:pPr>
            <w:r w:rsidRPr="00672813">
              <w:rPr>
                <w:rFonts w:ascii="Calibri" w:hAnsi="Calibri" w:cs="Calibri"/>
                <w:sz w:val="24"/>
                <w:szCs w:val="24"/>
              </w:rPr>
              <w:t xml:space="preserve">State </w:t>
            </w:r>
            <w:r w:rsidR="001E49DA">
              <w:rPr>
                <w:rFonts w:ascii="Calibri" w:hAnsi="Calibri" w:cs="Calibri"/>
                <w:sz w:val="24"/>
                <w:szCs w:val="24"/>
              </w:rPr>
              <w:t>s</w:t>
            </w:r>
            <w:r w:rsidRPr="00672813">
              <w:rPr>
                <w:rFonts w:ascii="Calibri" w:hAnsi="Calibri" w:cs="Calibri"/>
                <w:sz w:val="24"/>
                <w:szCs w:val="24"/>
              </w:rPr>
              <w:t>peech to Parliament.</w:t>
            </w:r>
          </w:p>
        </w:tc>
      </w:tr>
      <w:tr w:rsidR="0014336B" w:rsidRPr="00672813" w14:paraId="65652B8B" w14:textId="77777777" w:rsidTr="001F5815">
        <w:trPr>
          <w:cantSplit/>
          <w:trHeight w:val="2154"/>
        </w:trPr>
        <w:tc>
          <w:tcPr>
            <w:tcW w:w="22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4EF0B3" w14:textId="77777777" w:rsidR="00667323" w:rsidRPr="00672813" w:rsidRDefault="00667323" w:rsidP="00ED70E3">
            <w:pPr>
              <w:pStyle w:val="TableGrid1"/>
              <w:spacing w:line="360" w:lineRule="auto"/>
              <w:rPr>
                <w:rFonts w:ascii="Calibri" w:hAnsi="Calibri" w:cs="Calibri"/>
                <w:b/>
                <w:sz w:val="24"/>
                <w:szCs w:val="24"/>
              </w:rPr>
            </w:pPr>
            <w:r w:rsidRPr="00672813">
              <w:rPr>
                <w:rFonts w:ascii="Calibri" w:hAnsi="Calibri" w:cs="Calibri"/>
                <w:b/>
                <w:sz w:val="24"/>
                <w:szCs w:val="24"/>
              </w:rPr>
              <w:t>In what other ways could it have been written?</w:t>
            </w:r>
          </w:p>
          <w:p w14:paraId="0C74E350" w14:textId="77777777" w:rsidR="00667323" w:rsidRPr="00672813" w:rsidRDefault="00667323" w:rsidP="00ED70E3">
            <w:pPr>
              <w:pStyle w:val="TableGrid1"/>
              <w:spacing w:line="360" w:lineRule="auto"/>
              <w:rPr>
                <w:rFonts w:ascii="Calibri" w:hAnsi="Calibri" w:cs="Calibri"/>
                <w:sz w:val="24"/>
                <w:szCs w:val="24"/>
              </w:rPr>
            </w:pPr>
          </w:p>
        </w:tc>
        <w:tc>
          <w:tcPr>
            <w:tcW w:w="38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B413732" w14:textId="56D24482" w:rsidR="00667323" w:rsidRPr="00672813" w:rsidRDefault="00667323" w:rsidP="00ED70E3">
            <w:pPr>
              <w:pStyle w:val="TableGrid1"/>
              <w:spacing w:line="360" w:lineRule="auto"/>
              <w:rPr>
                <w:rFonts w:ascii="Calibri" w:hAnsi="Calibri" w:cs="Calibri"/>
                <w:sz w:val="24"/>
                <w:szCs w:val="24"/>
              </w:rPr>
            </w:pPr>
            <w:r w:rsidRPr="00672813">
              <w:rPr>
                <w:rFonts w:ascii="Calibri" w:hAnsi="Calibri" w:cs="Calibri"/>
                <w:sz w:val="24"/>
                <w:szCs w:val="24"/>
              </w:rPr>
              <w:t>Style/stance could have been different. Identified problems similar to previous administration but solutions often very different.</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EF6FC7" w14:textId="77777777" w:rsidR="00667323" w:rsidRPr="00672813" w:rsidRDefault="00667323" w:rsidP="00ED70E3">
            <w:pPr>
              <w:pStyle w:val="TableGrid1"/>
              <w:spacing w:line="360" w:lineRule="auto"/>
              <w:rPr>
                <w:rFonts w:ascii="Calibri" w:hAnsi="Calibri" w:cs="Calibri"/>
                <w:sz w:val="24"/>
                <w:szCs w:val="24"/>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F9FED72" w14:textId="77777777" w:rsidR="00667323" w:rsidRPr="00672813" w:rsidRDefault="00667323" w:rsidP="00ED70E3">
            <w:pPr>
              <w:pStyle w:val="TableGrid1"/>
              <w:spacing w:line="360" w:lineRule="auto"/>
              <w:rPr>
                <w:rFonts w:ascii="Calibri" w:hAnsi="Calibri" w:cs="Calibri"/>
                <w:sz w:val="24"/>
                <w:szCs w:val="24"/>
              </w:rPr>
            </w:pPr>
            <w:r w:rsidRPr="00672813">
              <w:rPr>
                <w:rFonts w:ascii="Calibri" w:hAnsi="Calibri" w:cs="Calibri"/>
                <w:sz w:val="24"/>
                <w:szCs w:val="24"/>
              </w:rPr>
              <w:t>Unlikely – set format required.</w:t>
            </w:r>
          </w:p>
        </w:tc>
      </w:tr>
      <w:tr w:rsidR="0014336B" w:rsidRPr="00672813" w14:paraId="2915F0A3" w14:textId="77777777" w:rsidTr="001F5815">
        <w:trPr>
          <w:cantSplit/>
          <w:trHeight w:val="5159"/>
        </w:trPr>
        <w:tc>
          <w:tcPr>
            <w:tcW w:w="22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5445A85" w14:textId="77777777" w:rsidR="00667323" w:rsidRPr="002C7132" w:rsidRDefault="00667323" w:rsidP="00ED70E3">
            <w:pPr>
              <w:pStyle w:val="TableGrid1"/>
              <w:spacing w:line="360" w:lineRule="auto"/>
              <w:rPr>
                <w:rFonts w:ascii="Calibri" w:hAnsi="Calibri" w:cs="Calibri"/>
                <w:b/>
                <w:sz w:val="24"/>
                <w:szCs w:val="24"/>
              </w:rPr>
            </w:pPr>
            <w:r w:rsidRPr="002C7132">
              <w:rPr>
                <w:rFonts w:ascii="Calibri" w:hAnsi="Calibri" w:cs="Calibri"/>
                <w:b/>
                <w:sz w:val="24"/>
                <w:szCs w:val="24"/>
              </w:rPr>
              <w:lastRenderedPageBreak/>
              <w:t>What is missing from the text?</w:t>
            </w:r>
          </w:p>
        </w:tc>
        <w:tc>
          <w:tcPr>
            <w:tcW w:w="38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519727" w14:textId="77777777" w:rsidR="00667323" w:rsidRPr="00672813" w:rsidRDefault="00667323" w:rsidP="00ED70E3">
            <w:pPr>
              <w:pStyle w:val="TableGrid1"/>
              <w:spacing w:line="360" w:lineRule="auto"/>
              <w:rPr>
                <w:rFonts w:ascii="Calibri" w:hAnsi="Calibri" w:cs="Calibri"/>
                <w:sz w:val="24"/>
                <w:szCs w:val="24"/>
              </w:rPr>
            </w:pPr>
            <w:r>
              <w:rPr>
                <w:rFonts w:ascii="Calibri" w:hAnsi="Calibri" w:cs="Calibri"/>
                <w:sz w:val="24"/>
                <w:szCs w:val="24"/>
              </w:rPr>
              <w:t>Missing from the text is e</w:t>
            </w:r>
            <w:r w:rsidRPr="00672813">
              <w:rPr>
                <w:rFonts w:ascii="Calibri" w:hAnsi="Calibri" w:cs="Calibri"/>
                <w:sz w:val="24"/>
                <w:szCs w:val="24"/>
              </w:rPr>
              <w:t xml:space="preserve">vidence for many </w:t>
            </w:r>
            <w:r>
              <w:rPr>
                <w:rFonts w:ascii="Calibri" w:hAnsi="Calibri" w:cs="Calibri"/>
                <w:sz w:val="24"/>
                <w:szCs w:val="24"/>
              </w:rPr>
              <w:t xml:space="preserve">of the </w:t>
            </w:r>
            <w:r w:rsidRPr="00672813">
              <w:rPr>
                <w:rFonts w:ascii="Calibri" w:hAnsi="Calibri" w:cs="Calibri"/>
                <w:sz w:val="24"/>
                <w:szCs w:val="24"/>
              </w:rPr>
              <w:t xml:space="preserve">assertions. </w:t>
            </w:r>
            <w:r>
              <w:rPr>
                <w:rFonts w:ascii="Calibri" w:hAnsi="Calibri" w:cs="Calibri"/>
                <w:sz w:val="24"/>
                <w:szCs w:val="24"/>
              </w:rPr>
              <w:t>Along with any e</w:t>
            </w:r>
            <w:r w:rsidRPr="00672813">
              <w:rPr>
                <w:rFonts w:ascii="Calibri" w:hAnsi="Calibri" w:cs="Calibri"/>
                <w:sz w:val="24"/>
                <w:szCs w:val="24"/>
              </w:rPr>
              <w:t xml:space="preserve">xplanation of information such as PISA ranking which set the context. </w:t>
            </w:r>
            <w:r>
              <w:rPr>
                <w:rFonts w:ascii="Calibri" w:hAnsi="Calibri" w:cs="Calibri"/>
                <w:sz w:val="24"/>
                <w:szCs w:val="24"/>
              </w:rPr>
              <w:t>Also missing is the d</w:t>
            </w:r>
            <w:r w:rsidRPr="00672813">
              <w:rPr>
                <w:rFonts w:ascii="Calibri" w:hAnsi="Calibri" w:cs="Calibri"/>
                <w:sz w:val="24"/>
                <w:szCs w:val="24"/>
              </w:rPr>
              <w:t>etail such as the exact qualifications in the EBac</w:t>
            </w:r>
            <w:r>
              <w:rPr>
                <w:rFonts w:ascii="Calibri" w:hAnsi="Calibri" w:cs="Calibri"/>
                <w:sz w:val="24"/>
                <w:szCs w:val="24"/>
              </w:rPr>
              <w:t xml:space="preserve"> and f</w:t>
            </w:r>
            <w:r w:rsidRPr="00672813">
              <w:rPr>
                <w:rFonts w:ascii="Calibri" w:hAnsi="Calibri" w:cs="Calibri"/>
                <w:sz w:val="24"/>
                <w:szCs w:val="24"/>
              </w:rPr>
              <w:t xml:space="preserve">ull </w:t>
            </w:r>
            <w:r>
              <w:rPr>
                <w:rFonts w:ascii="Calibri" w:hAnsi="Calibri" w:cs="Calibri"/>
                <w:sz w:val="24"/>
                <w:szCs w:val="24"/>
              </w:rPr>
              <w:t xml:space="preserve">supporting </w:t>
            </w:r>
            <w:r w:rsidRPr="00672813">
              <w:rPr>
                <w:rFonts w:ascii="Calibri" w:hAnsi="Calibri" w:cs="Calibri"/>
                <w:sz w:val="24"/>
                <w:szCs w:val="24"/>
              </w:rPr>
              <w:t>detail as many other reports were not yet published, for example, the Wolf report and the National Curriculum re</w:t>
            </w:r>
            <w:r>
              <w:rPr>
                <w:rFonts w:ascii="Calibri" w:hAnsi="Calibri" w:cs="Calibri"/>
                <w:sz w:val="24"/>
                <w:szCs w:val="24"/>
              </w:rPr>
              <w:t>view both of which are referenced.</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720904F" w14:textId="77777777" w:rsidR="00667323" w:rsidRPr="002C7132" w:rsidRDefault="00667323" w:rsidP="00ED70E3">
            <w:pPr>
              <w:pStyle w:val="TableGrid1"/>
              <w:spacing w:line="360" w:lineRule="auto"/>
              <w:rPr>
                <w:rFonts w:ascii="Calibri" w:hAnsi="Calibri" w:cs="Calibri"/>
                <w:sz w:val="24"/>
                <w:szCs w:val="24"/>
              </w:rPr>
            </w:pPr>
            <w:r w:rsidRPr="00672813">
              <w:rPr>
                <w:rFonts w:ascii="Calibri" w:hAnsi="Calibri" w:cs="Calibri"/>
                <w:sz w:val="24"/>
                <w:szCs w:val="24"/>
              </w:rPr>
              <w:t>Nothing – January 2011 included a link to a full and detailed technical list of all qualifications.</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74CD1B6" w14:textId="77777777" w:rsidR="00667323" w:rsidRPr="00672813" w:rsidRDefault="00667323" w:rsidP="00ED70E3">
            <w:pPr>
              <w:pStyle w:val="TableGrid1"/>
              <w:spacing w:line="360" w:lineRule="auto"/>
              <w:rPr>
                <w:rFonts w:ascii="Calibri" w:hAnsi="Calibri" w:cs="Calibri"/>
                <w:sz w:val="24"/>
                <w:szCs w:val="24"/>
              </w:rPr>
            </w:pPr>
            <w:r w:rsidRPr="00672813">
              <w:rPr>
                <w:rFonts w:ascii="Calibri" w:hAnsi="Calibri" w:cs="Calibri"/>
                <w:sz w:val="24"/>
                <w:szCs w:val="24"/>
              </w:rPr>
              <w:t xml:space="preserve">Any reference to inequality of gender, SEN or ethnicity. Along with alternative view. Detail is missing to support assertions. Air brushing of many educational reforms of the previous administration. </w:t>
            </w:r>
          </w:p>
        </w:tc>
      </w:tr>
      <w:tr w:rsidR="00942103" w:rsidRPr="00672813" w14:paraId="34D6D4EE" w14:textId="77777777" w:rsidTr="001F5815">
        <w:trPr>
          <w:cantSplit/>
          <w:trHeight w:val="3345"/>
        </w:trPr>
        <w:tc>
          <w:tcPr>
            <w:tcW w:w="22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9BD5590" w14:textId="77777777" w:rsidR="00667323" w:rsidRPr="00672813" w:rsidRDefault="00667323" w:rsidP="00ED70E3">
            <w:pPr>
              <w:pStyle w:val="TableGrid1"/>
              <w:spacing w:line="360" w:lineRule="auto"/>
              <w:rPr>
                <w:rFonts w:ascii="Calibri" w:hAnsi="Calibri" w:cs="Calibri"/>
                <w:b/>
                <w:sz w:val="24"/>
                <w:szCs w:val="24"/>
              </w:rPr>
            </w:pPr>
            <w:r w:rsidRPr="00672813">
              <w:rPr>
                <w:rFonts w:ascii="Calibri" w:hAnsi="Calibri" w:cs="Calibri"/>
                <w:b/>
                <w:sz w:val="24"/>
                <w:szCs w:val="24"/>
              </w:rPr>
              <w:t>How does this text reflect the wider society?</w:t>
            </w:r>
          </w:p>
        </w:tc>
        <w:tc>
          <w:tcPr>
            <w:tcW w:w="38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F883F90" w14:textId="77777777" w:rsidR="00667323" w:rsidRPr="00672813" w:rsidRDefault="00667323" w:rsidP="00ED70E3">
            <w:pPr>
              <w:pStyle w:val="TableGrid1"/>
              <w:spacing w:line="360" w:lineRule="auto"/>
              <w:rPr>
                <w:rFonts w:ascii="Calibri" w:hAnsi="Calibri" w:cs="Calibri"/>
                <w:sz w:val="24"/>
                <w:szCs w:val="24"/>
              </w:rPr>
            </w:pPr>
            <w:r w:rsidRPr="00672813">
              <w:rPr>
                <w:rFonts w:ascii="Calibri" w:hAnsi="Calibri" w:cs="Calibri"/>
                <w:sz w:val="24"/>
                <w:szCs w:val="24"/>
              </w:rPr>
              <w:t xml:space="preserve">Wider aims and beliefs of the Coalition amalgamated and reflected. E.g. Pupil </w:t>
            </w:r>
            <w:r>
              <w:rPr>
                <w:rFonts w:ascii="Calibri" w:hAnsi="Calibri" w:cs="Calibri"/>
                <w:sz w:val="24"/>
                <w:szCs w:val="24"/>
              </w:rPr>
              <w:t>p</w:t>
            </w:r>
            <w:r w:rsidRPr="00672813">
              <w:rPr>
                <w:rFonts w:ascii="Calibri" w:hAnsi="Calibri" w:cs="Calibri"/>
                <w:sz w:val="24"/>
                <w:szCs w:val="24"/>
              </w:rPr>
              <w:t xml:space="preserve">remium from the Liberal Democrats, </w:t>
            </w:r>
            <w:r>
              <w:rPr>
                <w:rFonts w:ascii="Calibri" w:hAnsi="Calibri" w:cs="Calibri"/>
                <w:sz w:val="24"/>
                <w:szCs w:val="24"/>
              </w:rPr>
              <w:t>a</w:t>
            </w:r>
            <w:r w:rsidRPr="00672813">
              <w:rPr>
                <w:rFonts w:ascii="Calibri" w:hAnsi="Calibri" w:cs="Calibri"/>
                <w:sz w:val="24"/>
                <w:szCs w:val="24"/>
              </w:rPr>
              <w:t>cademies and standards from the Conservatives. Reflects the concern over standards dropping and gap between rich and poor.</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8FB77BE" w14:textId="77777777" w:rsidR="00667323" w:rsidRPr="00672813" w:rsidRDefault="00667323" w:rsidP="00ED70E3">
            <w:pPr>
              <w:pStyle w:val="TableGrid1"/>
              <w:spacing w:line="360" w:lineRule="auto"/>
              <w:rPr>
                <w:rFonts w:ascii="Calibri" w:hAnsi="Calibri" w:cs="Calibri"/>
                <w:sz w:val="24"/>
                <w:szCs w:val="24"/>
              </w:rPr>
            </w:pPr>
            <w:r w:rsidRPr="00672813">
              <w:rPr>
                <w:rFonts w:ascii="Calibri" w:hAnsi="Calibri" w:cs="Calibri"/>
                <w:sz w:val="24"/>
                <w:szCs w:val="24"/>
              </w:rPr>
              <w:t>Usual technical document.</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22D7463" w14:textId="77777777" w:rsidR="00667323" w:rsidRPr="00672813" w:rsidRDefault="00667323" w:rsidP="00ED70E3">
            <w:pPr>
              <w:pStyle w:val="TableGrid1"/>
              <w:spacing w:line="360" w:lineRule="auto"/>
              <w:rPr>
                <w:rFonts w:ascii="Calibri" w:hAnsi="Calibri" w:cs="Calibri"/>
                <w:sz w:val="24"/>
                <w:szCs w:val="24"/>
              </w:rPr>
            </w:pPr>
            <w:r w:rsidRPr="00672813">
              <w:rPr>
                <w:rFonts w:ascii="Calibri" w:hAnsi="Calibri" w:cs="Calibri"/>
                <w:sz w:val="24"/>
                <w:szCs w:val="24"/>
              </w:rPr>
              <w:t>As with White Paper.</w:t>
            </w:r>
          </w:p>
        </w:tc>
      </w:tr>
      <w:tr w:rsidR="00667323" w:rsidRPr="00873A2C" w14:paraId="0DCE1E30" w14:textId="77777777" w:rsidTr="001F5815">
        <w:trPr>
          <w:cantSplit/>
          <w:trHeight w:val="4365"/>
        </w:trPr>
        <w:tc>
          <w:tcPr>
            <w:tcW w:w="22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0B37592" w14:textId="77777777" w:rsidR="00667323" w:rsidRPr="00873A2C" w:rsidRDefault="00667323" w:rsidP="00ED70E3">
            <w:pPr>
              <w:pStyle w:val="TableGrid1"/>
              <w:spacing w:line="360" w:lineRule="auto"/>
              <w:rPr>
                <w:rFonts w:ascii="Calibri" w:hAnsi="Calibri" w:cs="Calibri"/>
                <w:b/>
                <w:sz w:val="24"/>
                <w:szCs w:val="24"/>
              </w:rPr>
            </w:pPr>
            <w:r w:rsidRPr="00873A2C">
              <w:rPr>
                <w:rFonts w:ascii="Calibri" w:hAnsi="Calibri" w:cs="Calibri"/>
                <w:b/>
                <w:sz w:val="24"/>
                <w:szCs w:val="24"/>
              </w:rPr>
              <w:lastRenderedPageBreak/>
              <w:t>What could we do about this text if we disagree with it?</w:t>
            </w:r>
          </w:p>
        </w:tc>
        <w:tc>
          <w:tcPr>
            <w:tcW w:w="38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FB223F9" w14:textId="77777777" w:rsidR="00667323" w:rsidRPr="00873A2C" w:rsidRDefault="00667323" w:rsidP="00ED70E3">
            <w:pPr>
              <w:pStyle w:val="TableGrid1"/>
              <w:spacing w:line="360" w:lineRule="auto"/>
              <w:rPr>
                <w:rFonts w:ascii="Calibri" w:hAnsi="Calibri" w:cs="Calibri"/>
                <w:sz w:val="24"/>
                <w:szCs w:val="24"/>
              </w:rPr>
            </w:pPr>
            <w:r w:rsidRPr="00873A2C">
              <w:rPr>
                <w:rFonts w:ascii="Calibri" w:hAnsi="Calibri" w:cs="Calibri"/>
                <w:sz w:val="24"/>
                <w:szCs w:val="24"/>
              </w:rPr>
              <w:t>Complete the consultation. Write to MP. Write to M. Gove. Send children to private schools (though these people will probably agree with the sentiments of the text but feel that state education cannot achieve this for their children).</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01B01AB" w14:textId="77777777" w:rsidR="00667323" w:rsidRPr="00873A2C" w:rsidRDefault="00667323" w:rsidP="00ED70E3">
            <w:pPr>
              <w:pStyle w:val="TableGrid1"/>
              <w:spacing w:line="360" w:lineRule="auto"/>
              <w:rPr>
                <w:rFonts w:ascii="Calibri" w:hAnsi="Calibri" w:cs="Calibri"/>
                <w:sz w:val="24"/>
                <w:szCs w:val="24"/>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71BBA7D" w14:textId="77777777" w:rsidR="00667323" w:rsidRPr="00873A2C" w:rsidRDefault="00667323" w:rsidP="00ED70E3">
            <w:pPr>
              <w:pStyle w:val="TableGrid1"/>
              <w:spacing w:line="360" w:lineRule="auto"/>
              <w:rPr>
                <w:rFonts w:ascii="Calibri" w:hAnsi="Calibri" w:cs="Calibri"/>
                <w:sz w:val="24"/>
                <w:szCs w:val="24"/>
              </w:rPr>
            </w:pPr>
            <w:r w:rsidRPr="00873A2C">
              <w:rPr>
                <w:rFonts w:ascii="Calibri" w:hAnsi="Calibri" w:cs="Calibri"/>
                <w:sz w:val="24"/>
                <w:szCs w:val="24"/>
              </w:rPr>
              <w:t>As with White Paper.</w:t>
            </w:r>
          </w:p>
        </w:tc>
      </w:tr>
    </w:tbl>
    <w:p w14:paraId="584FC4B6" w14:textId="77777777" w:rsidR="006E4C9A" w:rsidRDefault="006E4C9A" w:rsidP="00857506">
      <w:pPr>
        <w:spacing w:after="0" w:line="360" w:lineRule="auto"/>
        <w:rPr>
          <w:b/>
          <w:sz w:val="32"/>
          <w:szCs w:val="32"/>
        </w:rPr>
        <w:sectPr w:rsidR="006E4C9A" w:rsidSect="006149A4">
          <w:pgSz w:w="16838" w:h="11906" w:orient="landscape"/>
          <w:pgMar w:top="1440" w:right="1440" w:bottom="1440" w:left="1440" w:header="709" w:footer="709" w:gutter="0"/>
          <w:cols w:space="708"/>
          <w:docGrid w:linePitch="360"/>
        </w:sectPr>
      </w:pPr>
    </w:p>
    <w:p w14:paraId="23131770" w14:textId="11C5CC92" w:rsidR="00857506" w:rsidRPr="00444D7A" w:rsidRDefault="00857506" w:rsidP="007160C9">
      <w:pPr>
        <w:spacing w:after="0" w:line="360" w:lineRule="auto"/>
        <w:jc w:val="center"/>
        <w:outlineLvl w:val="0"/>
        <w:rPr>
          <w:rFonts w:cs="Calibri"/>
          <w:sz w:val="24"/>
        </w:rPr>
      </w:pPr>
      <w:bookmarkStart w:id="127" w:name="_Toc452316410"/>
      <w:r w:rsidRPr="00531995">
        <w:rPr>
          <w:rStyle w:val="Heading1Char"/>
          <w:rFonts w:eastAsia="Calibri"/>
        </w:rPr>
        <w:lastRenderedPageBreak/>
        <w:t xml:space="preserve">Appendix </w:t>
      </w:r>
      <w:r w:rsidR="00D27BF7" w:rsidRPr="00531995">
        <w:rPr>
          <w:rStyle w:val="Heading1Char"/>
          <w:rFonts w:eastAsia="Calibri"/>
        </w:rPr>
        <w:t>3</w:t>
      </w:r>
      <w:r w:rsidRPr="00531995">
        <w:rPr>
          <w:rStyle w:val="Heading1Char"/>
          <w:rFonts w:eastAsia="Calibri"/>
        </w:rPr>
        <w:t xml:space="preserve"> - Critical Literacy Frame Criteria</w:t>
      </w:r>
      <w:r w:rsidRPr="007160C9">
        <w:rPr>
          <w:b/>
          <w:sz w:val="24"/>
        </w:rPr>
        <w:t xml:space="preserve"> </w:t>
      </w:r>
      <w:r w:rsidR="00D7475B">
        <w:rPr>
          <w:b/>
          <w:sz w:val="24"/>
        </w:rPr>
        <w:t>(</w:t>
      </w:r>
      <w:r w:rsidRPr="007160C9">
        <w:rPr>
          <w:b/>
          <w:sz w:val="24"/>
        </w:rPr>
        <w:t>Hyatt</w:t>
      </w:r>
      <w:r w:rsidR="00D7475B">
        <w:rPr>
          <w:b/>
          <w:sz w:val="24"/>
        </w:rPr>
        <w:t>,</w:t>
      </w:r>
      <w:r w:rsidRPr="007160C9">
        <w:rPr>
          <w:b/>
          <w:sz w:val="24"/>
        </w:rPr>
        <w:t xml:space="preserve"> 2005</w:t>
      </w:r>
      <w:r w:rsidR="00D7475B">
        <w:rPr>
          <w:b/>
          <w:sz w:val="24"/>
        </w:rPr>
        <w:t>)</w:t>
      </w:r>
      <w:bookmarkEnd w:id="127"/>
    </w:p>
    <w:p w14:paraId="2E76E361" w14:textId="77777777" w:rsidR="00857506" w:rsidRDefault="00857506" w:rsidP="00857506">
      <w:pPr>
        <w:pStyle w:val="ListParagraph"/>
        <w:numPr>
          <w:ilvl w:val="0"/>
          <w:numId w:val="39"/>
        </w:numPr>
        <w:spacing w:after="0" w:line="360" w:lineRule="auto"/>
        <w:contextualSpacing w:val="0"/>
        <w:rPr>
          <w:rFonts w:cs="Calibri"/>
          <w:sz w:val="24"/>
          <w:szCs w:val="24"/>
        </w:rPr>
      </w:pPr>
      <w:r w:rsidRPr="00444D7A">
        <w:rPr>
          <w:rFonts w:cs="Calibri"/>
          <w:sz w:val="24"/>
          <w:szCs w:val="24"/>
        </w:rPr>
        <w:t>Pronouns – Participant Choices</w:t>
      </w:r>
    </w:p>
    <w:p w14:paraId="21FDC2DA" w14:textId="77777777" w:rsidR="00857506" w:rsidRPr="000B6C8A" w:rsidRDefault="00857506" w:rsidP="00857506">
      <w:pPr>
        <w:pStyle w:val="ListParagraph"/>
        <w:spacing w:after="0" w:line="360" w:lineRule="auto"/>
        <w:ind w:left="360"/>
        <w:contextualSpacing w:val="0"/>
        <w:rPr>
          <w:rFonts w:cs="Calibri"/>
          <w:sz w:val="24"/>
          <w:szCs w:val="24"/>
        </w:rPr>
      </w:pPr>
      <w:r>
        <w:rPr>
          <w:rFonts w:cs="Calibri"/>
          <w:sz w:val="24"/>
          <w:szCs w:val="24"/>
        </w:rPr>
        <w:t xml:space="preserve">Way in which pronouns are used in the text. Inclusive (our, us, we etc.) or exclusive (they, their, he, she, etc.). Considers how readers are positioned as in-group or out-group by and through the text. </w:t>
      </w:r>
    </w:p>
    <w:p w14:paraId="1F28EB08" w14:textId="77777777" w:rsidR="00857506" w:rsidRDefault="00857506" w:rsidP="00857506">
      <w:pPr>
        <w:pStyle w:val="ListParagraph"/>
        <w:numPr>
          <w:ilvl w:val="0"/>
          <w:numId w:val="39"/>
        </w:numPr>
        <w:spacing w:after="0" w:line="360" w:lineRule="auto"/>
        <w:ind w:left="720" w:hanging="360"/>
        <w:contextualSpacing w:val="0"/>
        <w:rPr>
          <w:rFonts w:cs="Calibri"/>
          <w:sz w:val="24"/>
          <w:szCs w:val="24"/>
        </w:rPr>
      </w:pPr>
      <w:r w:rsidRPr="00444D7A">
        <w:rPr>
          <w:rFonts w:cs="Calibri"/>
          <w:sz w:val="24"/>
          <w:szCs w:val="24"/>
        </w:rPr>
        <w:t>Passive/Active forms – Transivity Choices</w:t>
      </w:r>
    </w:p>
    <w:p w14:paraId="7FCD5078" w14:textId="77777777" w:rsidR="00857506" w:rsidRPr="0085687D" w:rsidRDefault="00857506" w:rsidP="00857506">
      <w:pPr>
        <w:spacing w:after="0" w:line="360" w:lineRule="auto"/>
        <w:ind w:left="360"/>
        <w:rPr>
          <w:rFonts w:cs="Calibri"/>
          <w:sz w:val="24"/>
          <w:szCs w:val="24"/>
        </w:rPr>
      </w:pPr>
      <w:r w:rsidRPr="0085687D">
        <w:rPr>
          <w:rFonts w:cs="Calibri"/>
          <w:sz w:val="24"/>
          <w:szCs w:val="24"/>
        </w:rPr>
        <w:t xml:space="preserve">Transformation of active constructions into the passive form. This can background or foreground responsibility within the text. </w:t>
      </w:r>
    </w:p>
    <w:p w14:paraId="0294FF23" w14:textId="77777777" w:rsidR="00857506" w:rsidRDefault="00857506" w:rsidP="00857506">
      <w:pPr>
        <w:pStyle w:val="ListParagraph"/>
        <w:numPr>
          <w:ilvl w:val="0"/>
          <w:numId w:val="39"/>
        </w:numPr>
        <w:spacing w:after="0" w:line="360" w:lineRule="auto"/>
        <w:ind w:left="720" w:hanging="360"/>
        <w:contextualSpacing w:val="0"/>
        <w:rPr>
          <w:rFonts w:cs="Calibri"/>
          <w:sz w:val="24"/>
          <w:szCs w:val="24"/>
        </w:rPr>
      </w:pPr>
      <w:r w:rsidRPr="00444D7A">
        <w:rPr>
          <w:rFonts w:cs="Calibri"/>
          <w:sz w:val="24"/>
          <w:szCs w:val="24"/>
        </w:rPr>
        <w:t>Time – Tense and Aspect</w:t>
      </w:r>
    </w:p>
    <w:p w14:paraId="290C98CA" w14:textId="77777777" w:rsidR="00857506" w:rsidRPr="00041A5F" w:rsidRDefault="00857506" w:rsidP="00857506">
      <w:pPr>
        <w:spacing w:after="0" w:line="360" w:lineRule="auto"/>
        <w:ind w:left="360"/>
        <w:rPr>
          <w:rFonts w:cs="Calibri"/>
          <w:sz w:val="24"/>
          <w:szCs w:val="24"/>
        </w:rPr>
      </w:pPr>
      <w:r>
        <w:rPr>
          <w:rFonts w:cs="Calibri"/>
          <w:sz w:val="24"/>
          <w:szCs w:val="24"/>
        </w:rPr>
        <w:t>The way in which tense and aspect are used to construct an ‘understanding’ about events. Such a device impacts on the perceived ‘truth’ or significance of an event.</w:t>
      </w:r>
    </w:p>
    <w:p w14:paraId="634E4444" w14:textId="77777777" w:rsidR="00857506" w:rsidRDefault="00857506" w:rsidP="00857506">
      <w:pPr>
        <w:pStyle w:val="ListParagraph"/>
        <w:numPr>
          <w:ilvl w:val="0"/>
          <w:numId w:val="39"/>
        </w:numPr>
        <w:spacing w:after="0" w:line="360" w:lineRule="auto"/>
        <w:ind w:left="720" w:hanging="360"/>
        <w:contextualSpacing w:val="0"/>
        <w:rPr>
          <w:rFonts w:cs="Calibri"/>
          <w:sz w:val="24"/>
          <w:szCs w:val="24"/>
        </w:rPr>
      </w:pPr>
      <w:r w:rsidRPr="00444D7A">
        <w:rPr>
          <w:rFonts w:cs="Calibri"/>
          <w:sz w:val="24"/>
          <w:szCs w:val="24"/>
        </w:rPr>
        <w:t>Adjectives, Adverbs, Nouns, Verbal Processes – Evaluation and Semantic Prosody</w:t>
      </w:r>
    </w:p>
    <w:p w14:paraId="4C9DCF1A" w14:textId="77777777" w:rsidR="00857506" w:rsidRDefault="00857506" w:rsidP="00857506">
      <w:pPr>
        <w:spacing w:after="0" w:line="360" w:lineRule="auto"/>
        <w:ind w:left="360"/>
        <w:rPr>
          <w:rFonts w:cs="Calibri"/>
          <w:sz w:val="24"/>
          <w:szCs w:val="24"/>
        </w:rPr>
      </w:pPr>
      <w:r>
        <w:rPr>
          <w:rFonts w:cs="Calibri"/>
          <w:sz w:val="24"/>
          <w:szCs w:val="24"/>
        </w:rPr>
        <w:t>The use of loaded, dramatic or stereotypical adjectives, adverbs and nouns to construct a person or event. Also includes the use of overgeneralisation.</w:t>
      </w:r>
    </w:p>
    <w:p w14:paraId="5D1EEF96" w14:textId="77777777" w:rsidR="00857506" w:rsidRDefault="00857506" w:rsidP="00857506">
      <w:pPr>
        <w:spacing w:after="0" w:line="360" w:lineRule="auto"/>
        <w:ind w:left="360"/>
        <w:rPr>
          <w:rFonts w:cs="Calibri"/>
          <w:sz w:val="24"/>
          <w:szCs w:val="24"/>
        </w:rPr>
      </w:pPr>
      <w:r>
        <w:rPr>
          <w:rFonts w:cs="Calibri"/>
          <w:sz w:val="24"/>
          <w:szCs w:val="24"/>
        </w:rPr>
        <w:t xml:space="preserve">Evaluation as inscribed or evoked to present the authors views on the situation or to evoke such an evaluation in the reader. </w:t>
      </w:r>
    </w:p>
    <w:p w14:paraId="06DA30DA" w14:textId="77777777" w:rsidR="00857506" w:rsidRPr="00041A5F" w:rsidRDefault="00857506" w:rsidP="00857506">
      <w:pPr>
        <w:spacing w:after="0" w:line="360" w:lineRule="auto"/>
        <w:ind w:left="360"/>
        <w:rPr>
          <w:rFonts w:cs="Calibri"/>
          <w:sz w:val="24"/>
          <w:szCs w:val="24"/>
        </w:rPr>
      </w:pPr>
      <w:r>
        <w:rPr>
          <w:rFonts w:cs="Calibri"/>
          <w:sz w:val="24"/>
          <w:szCs w:val="24"/>
        </w:rPr>
        <w:t>Semantic prosody, words that co-occur with others often invoking positive or negative pre-conceptions.</w:t>
      </w:r>
    </w:p>
    <w:p w14:paraId="7B90C920" w14:textId="77777777" w:rsidR="00857506" w:rsidRDefault="00857506" w:rsidP="00857506">
      <w:pPr>
        <w:pStyle w:val="ListParagraph"/>
        <w:numPr>
          <w:ilvl w:val="0"/>
          <w:numId w:val="39"/>
        </w:numPr>
        <w:spacing w:after="0" w:line="360" w:lineRule="auto"/>
        <w:ind w:left="720" w:hanging="360"/>
        <w:contextualSpacing w:val="0"/>
        <w:rPr>
          <w:rFonts w:cs="Calibri"/>
          <w:sz w:val="24"/>
          <w:szCs w:val="24"/>
        </w:rPr>
      </w:pPr>
      <w:r w:rsidRPr="00444D7A">
        <w:rPr>
          <w:rFonts w:cs="Calibri"/>
          <w:sz w:val="24"/>
          <w:szCs w:val="24"/>
        </w:rPr>
        <w:t>Metaphor</w:t>
      </w:r>
    </w:p>
    <w:p w14:paraId="7C80B7B9" w14:textId="77777777" w:rsidR="00857506" w:rsidRPr="00041A5F" w:rsidRDefault="00857506" w:rsidP="00857506">
      <w:pPr>
        <w:spacing w:after="0" w:line="360" w:lineRule="auto"/>
        <w:ind w:left="360"/>
        <w:rPr>
          <w:rFonts w:cs="Calibri"/>
          <w:sz w:val="24"/>
          <w:szCs w:val="24"/>
        </w:rPr>
      </w:pPr>
      <w:r>
        <w:rPr>
          <w:rFonts w:cs="Calibri"/>
          <w:sz w:val="24"/>
          <w:szCs w:val="24"/>
        </w:rPr>
        <w:t xml:space="preserve">Important in the way that the metaphor positions the item described and the readers relationship to the item. </w:t>
      </w:r>
    </w:p>
    <w:p w14:paraId="71153202" w14:textId="5B9B0DDC" w:rsidR="00857506" w:rsidRDefault="00857506" w:rsidP="00857506">
      <w:pPr>
        <w:pStyle w:val="ListParagraph"/>
        <w:numPr>
          <w:ilvl w:val="0"/>
          <w:numId w:val="39"/>
        </w:numPr>
        <w:spacing w:after="0" w:line="360" w:lineRule="auto"/>
        <w:ind w:left="720" w:hanging="360"/>
        <w:contextualSpacing w:val="0"/>
        <w:rPr>
          <w:rFonts w:cs="Calibri"/>
          <w:sz w:val="24"/>
          <w:szCs w:val="24"/>
        </w:rPr>
      </w:pPr>
      <w:r w:rsidRPr="00444D7A">
        <w:rPr>
          <w:rFonts w:cs="Calibri"/>
          <w:sz w:val="24"/>
          <w:szCs w:val="24"/>
        </w:rPr>
        <w:t>Presupposition/Implication</w:t>
      </w:r>
    </w:p>
    <w:p w14:paraId="552C7607" w14:textId="77777777" w:rsidR="00857506" w:rsidRPr="00041A5F" w:rsidRDefault="00857506" w:rsidP="00857506">
      <w:pPr>
        <w:spacing w:after="0" w:line="360" w:lineRule="auto"/>
        <w:ind w:left="360"/>
        <w:rPr>
          <w:rFonts w:cs="Calibri"/>
          <w:sz w:val="24"/>
          <w:szCs w:val="24"/>
        </w:rPr>
      </w:pPr>
      <w:r>
        <w:rPr>
          <w:rFonts w:cs="Calibri"/>
          <w:sz w:val="24"/>
          <w:szCs w:val="24"/>
        </w:rPr>
        <w:t xml:space="preserve">Used to represent constructions as a reality. </w:t>
      </w:r>
    </w:p>
    <w:p w14:paraId="25B8DBC3" w14:textId="77777777" w:rsidR="00857506" w:rsidRDefault="00857506" w:rsidP="00857506">
      <w:pPr>
        <w:pStyle w:val="ListParagraph"/>
        <w:numPr>
          <w:ilvl w:val="0"/>
          <w:numId w:val="39"/>
        </w:numPr>
        <w:spacing w:after="0" w:line="360" w:lineRule="auto"/>
        <w:ind w:left="720" w:hanging="360"/>
        <w:contextualSpacing w:val="0"/>
        <w:rPr>
          <w:rFonts w:cs="Calibri"/>
          <w:sz w:val="24"/>
          <w:szCs w:val="24"/>
        </w:rPr>
      </w:pPr>
      <w:r w:rsidRPr="00444D7A">
        <w:rPr>
          <w:rFonts w:cs="Calibri"/>
          <w:sz w:val="24"/>
          <w:szCs w:val="24"/>
        </w:rPr>
        <w:t>Medium</w:t>
      </w:r>
    </w:p>
    <w:p w14:paraId="3FD38CED" w14:textId="77777777" w:rsidR="00857506" w:rsidRPr="00041A5F" w:rsidRDefault="00857506" w:rsidP="00857506">
      <w:pPr>
        <w:spacing w:after="0" w:line="360" w:lineRule="auto"/>
        <w:ind w:left="360"/>
        <w:rPr>
          <w:rFonts w:cs="Calibri"/>
          <w:sz w:val="24"/>
          <w:szCs w:val="24"/>
        </w:rPr>
      </w:pPr>
      <w:r>
        <w:rPr>
          <w:rFonts w:cs="Calibri"/>
          <w:sz w:val="24"/>
          <w:szCs w:val="24"/>
        </w:rPr>
        <w:t>Use of interdiscursivity, whereby other texts, textual devices, genres or discourses are utilised for effect on the audience.</w:t>
      </w:r>
    </w:p>
    <w:p w14:paraId="31D225B5" w14:textId="77777777" w:rsidR="00857506" w:rsidRDefault="00857506" w:rsidP="00857506">
      <w:pPr>
        <w:pStyle w:val="ListParagraph"/>
        <w:numPr>
          <w:ilvl w:val="0"/>
          <w:numId w:val="39"/>
        </w:numPr>
        <w:spacing w:after="0" w:line="360" w:lineRule="auto"/>
        <w:ind w:left="720" w:hanging="360"/>
        <w:contextualSpacing w:val="0"/>
        <w:rPr>
          <w:rFonts w:cs="Calibri"/>
          <w:sz w:val="24"/>
          <w:szCs w:val="24"/>
        </w:rPr>
      </w:pPr>
      <w:r w:rsidRPr="00444D7A">
        <w:rPr>
          <w:rFonts w:cs="Calibri"/>
          <w:sz w:val="24"/>
          <w:szCs w:val="24"/>
        </w:rPr>
        <w:t>Audience</w:t>
      </w:r>
    </w:p>
    <w:p w14:paraId="65FD60C6" w14:textId="666F9A92" w:rsidR="00857506" w:rsidRPr="00041A5F" w:rsidRDefault="00857506" w:rsidP="00857506">
      <w:pPr>
        <w:spacing w:after="0" w:line="360" w:lineRule="auto"/>
        <w:ind w:left="360"/>
        <w:rPr>
          <w:rFonts w:cs="Calibri"/>
          <w:sz w:val="24"/>
          <w:szCs w:val="24"/>
        </w:rPr>
      </w:pPr>
      <w:r>
        <w:rPr>
          <w:rFonts w:cs="Calibri"/>
          <w:sz w:val="24"/>
          <w:szCs w:val="24"/>
        </w:rPr>
        <w:t xml:space="preserve">Consideration of who the perceived/intended audience for the text is. </w:t>
      </w:r>
    </w:p>
    <w:p w14:paraId="44768BD5" w14:textId="77777777" w:rsidR="00857506" w:rsidRDefault="00857506" w:rsidP="00857506">
      <w:pPr>
        <w:pStyle w:val="ListParagraph"/>
        <w:numPr>
          <w:ilvl w:val="0"/>
          <w:numId w:val="39"/>
        </w:numPr>
        <w:spacing w:after="0" w:line="360" w:lineRule="auto"/>
        <w:ind w:left="720" w:hanging="360"/>
        <w:contextualSpacing w:val="0"/>
        <w:rPr>
          <w:rFonts w:cs="Calibri"/>
          <w:sz w:val="24"/>
          <w:szCs w:val="24"/>
        </w:rPr>
      </w:pPr>
      <w:r w:rsidRPr="00444D7A">
        <w:rPr>
          <w:rFonts w:cs="Calibri"/>
          <w:sz w:val="24"/>
          <w:szCs w:val="24"/>
        </w:rPr>
        <w:t>Visual Images</w:t>
      </w:r>
    </w:p>
    <w:p w14:paraId="12DF468B" w14:textId="77777777" w:rsidR="00857506" w:rsidRPr="00041A5F" w:rsidRDefault="00857506" w:rsidP="00857506">
      <w:pPr>
        <w:spacing w:after="0" w:line="360" w:lineRule="auto"/>
        <w:ind w:left="360"/>
        <w:rPr>
          <w:rFonts w:cs="Calibri"/>
          <w:sz w:val="24"/>
          <w:szCs w:val="24"/>
        </w:rPr>
      </w:pPr>
      <w:r>
        <w:rPr>
          <w:rFonts w:cs="Calibri"/>
          <w:sz w:val="24"/>
          <w:szCs w:val="24"/>
        </w:rPr>
        <w:t>Impact of any included images or pictures on the reality or understanding of the text.</w:t>
      </w:r>
    </w:p>
    <w:p w14:paraId="1AA20602" w14:textId="77777777" w:rsidR="00857506" w:rsidRDefault="00857506" w:rsidP="00857506">
      <w:pPr>
        <w:pStyle w:val="ListParagraph"/>
        <w:numPr>
          <w:ilvl w:val="0"/>
          <w:numId w:val="39"/>
        </w:numPr>
        <w:spacing w:after="0" w:line="360" w:lineRule="auto"/>
        <w:ind w:left="720" w:hanging="360"/>
        <w:contextualSpacing w:val="0"/>
        <w:rPr>
          <w:rFonts w:cs="Calibri"/>
          <w:sz w:val="24"/>
          <w:szCs w:val="24"/>
        </w:rPr>
      </w:pPr>
      <w:r w:rsidRPr="00444D7A">
        <w:rPr>
          <w:rFonts w:cs="Calibri"/>
          <w:sz w:val="24"/>
          <w:szCs w:val="24"/>
        </w:rPr>
        <w:lastRenderedPageBreak/>
        <w:t>Age, Class, Disability, Gender, Race – Equity, Ethnicity and Sexuality Issues</w:t>
      </w:r>
    </w:p>
    <w:p w14:paraId="54CD4774" w14:textId="77777777" w:rsidR="00857506" w:rsidRPr="00041A5F" w:rsidRDefault="00857506" w:rsidP="00857506">
      <w:pPr>
        <w:spacing w:after="0" w:line="360" w:lineRule="auto"/>
        <w:ind w:left="360"/>
        <w:rPr>
          <w:rFonts w:cs="Calibri"/>
          <w:sz w:val="24"/>
          <w:szCs w:val="24"/>
        </w:rPr>
      </w:pPr>
      <w:r>
        <w:rPr>
          <w:rFonts w:cs="Calibri"/>
          <w:sz w:val="24"/>
          <w:szCs w:val="24"/>
        </w:rPr>
        <w:t>Any group identified within the text as potentially being less socially valued.</w:t>
      </w:r>
    </w:p>
    <w:p w14:paraId="623B06FA" w14:textId="77777777" w:rsidR="00857506" w:rsidRDefault="00857506" w:rsidP="00857506">
      <w:pPr>
        <w:pStyle w:val="ListParagraph"/>
        <w:numPr>
          <w:ilvl w:val="0"/>
          <w:numId w:val="39"/>
        </w:numPr>
        <w:spacing w:after="0" w:line="360" w:lineRule="auto"/>
        <w:ind w:left="720" w:hanging="360"/>
        <w:contextualSpacing w:val="0"/>
        <w:rPr>
          <w:rFonts w:cs="Calibri"/>
          <w:sz w:val="24"/>
          <w:szCs w:val="24"/>
        </w:rPr>
      </w:pPr>
      <w:r w:rsidRPr="00444D7A">
        <w:rPr>
          <w:rFonts w:cs="Calibri"/>
          <w:sz w:val="24"/>
          <w:szCs w:val="24"/>
        </w:rPr>
        <w:t>Reference to other texts, genres, discourses and individuals</w:t>
      </w:r>
    </w:p>
    <w:p w14:paraId="0D879CDC" w14:textId="6289B139" w:rsidR="00857506" w:rsidRPr="00041A5F" w:rsidRDefault="00857506" w:rsidP="00857506">
      <w:pPr>
        <w:spacing w:after="0" w:line="360" w:lineRule="auto"/>
        <w:ind w:left="360"/>
        <w:rPr>
          <w:rFonts w:cs="Calibri"/>
          <w:sz w:val="24"/>
          <w:szCs w:val="24"/>
        </w:rPr>
      </w:pPr>
      <w:r>
        <w:rPr>
          <w:rFonts w:cs="Calibri"/>
          <w:sz w:val="24"/>
          <w:szCs w:val="24"/>
        </w:rPr>
        <w:t>Any reference to other texts, genres, discourses and/or individuals in order to promote the legitimacy and/or worth of the current text.</w:t>
      </w:r>
    </w:p>
    <w:p w14:paraId="269956F3" w14:textId="77777777" w:rsidR="00857506" w:rsidRDefault="00857506" w:rsidP="00857506">
      <w:pPr>
        <w:rPr>
          <w:rFonts w:cs="Calibri"/>
          <w:sz w:val="24"/>
        </w:rPr>
      </w:pPr>
    </w:p>
    <w:p w14:paraId="22E84802" w14:textId="48A09F55" w:rsidR="00F57574" w:rsidRDefault="00F57574" w:rsidP="001F5668">
      <w:pPr>
        <w:spacing w:after="0" w:line="240" w:lineRule="auto"/>
        <w:jc w:val="center"/>
        <w:rPr>
          <w:sz w:val="24"/>
          <w:szCs w:val="24"/>
        </w:rPr>
      </w:pPr>
    </w:p>
    <w:p w14:paraId="2863287C" w14:textId="77777777" w:rsidR="00F70360" w:rsidRDefault="00F70360" w:rsidP="00F70360">
      <w:pPr>
        <w:pStyle w:val="ListParagraph"/>
      </w:pPr>
    </w:p>
    <w:p w14:paraId="7F14D5D7" w14:textId="77777777" w:rsidR="00F70360" w:rsidRDefault="00F70360" w:rsidP="00F70360">
      <w:pPr>
        <w:pStyle w:val="ListParagraph"/>
      </w:pPr>
    </w:p>
    <w:p w14:paraId="5D5C8D2B" w14:textId="77777777" w:rsidR="00F70360" w:rsidRDefault="00F70360" w:rsidP="00F70360">
      <w:pPr>
        <w:pStyle w:val="ListParagraph"/>
      </w:pPr>
    </w:p>
    <w:p w14:paraId="7A2530AD" w14:textId="7B05DA0C" w:rsidR="001F5668" w:rsidRDefault="001F5668">
      <w:pPr>
        <w:spacing w:after="0" w:line="240" w:lineRule="auto"/>
      </w:pPr>
      <w:r>
        <w:br w:type="page"/>
      </w:r>
    </w:p>
    <w:p w14:paraId="32DB9A79" w14:textId="2DBC1F88" w:rsidR="001F5668" w:rsidRPr="00DD7315" w:rsidRDefault="001F5668" w:rsidP="00531995">
      <w:pPr>
        <w:pStyle w:val="Heading1"/>
        <w:jc w:val="center"/>
        <w:rPr>
          <w:sz w:val="28"/>
          <w:szCs w:val="28"/>
        </w:rPr>
      </w:pPr>
      <w:bookmarkStart w:id="128" w:name="_Toc452316411"/>
      <w:r w:rsidRPr="00531995">
        <w:lastRenderedPageBreak/>
        <w:t xml:space="preserve">Appendix </w:t>
      </w:r>
      <w:r w:rsidR="00D27BF7" w:rsidRPr="00531995">
        <w:t>4</w:t>
      </w:r>
      <w:r w:rsidRPr="00531995">
        <w:t xml:space="preserve"> </w:t>
      </w:r>
      <w:r w:rsidR="00DF560C" w:rsidRPr="00531995">
        <w:t>–</w:t>
      </w:r>
      <w:r w:rsidR="00DF560C">
        <w:rPr>
          <w:sz w:val="28"/>
          <w:szCs w:val="28"/>
        </w:rPr>
        <w:t xml:space="preserve"> </w:t>
      </w:r>
      <w:r w:rsidR="00DF560C">
        <w:t>Participant Information Sheet</w:t>
      </w:r>
      <w:bookmarkEnd w:id="128"/>
    </w:p>
    <w:p w14:paraId="2DC1DCF0" w14:textId="77777777" w:rsidR="001F5668" w:rsidRDefault="001F5668" w:rsidP="001F5668">
      <w:pPr>
        <w:jc w:val="center"/>
        <w:rPr>
          <w:sz w:val="36"/>
          <w:szCs w:val="36"/>
        </w:rPr>
      </w:pPr>
      <w:r w:rsidRPr="00763678">
        <w:rPr>
          <w:sz w:val="36"/>
          <w:szCs w:val="36"/>
        </w:rPr>
        <w:t>Participant Information Sheet</w:t>
      </w:r>
    </w:p>
    <w:p w14:paraId="0145B9E2" w14:textId="77777777" w:rsidR="001F5668" w:rsidRDefault="001F5668" w:rsidP="001F5668">
      <w:pPr>
        <w:pStyle w:val="ListParagraph"/>
        <w:numPr>
          <w:ilvl w:val="0"/>
          <w:numId w:val="28"/>
        </w:numPr>
        <w:ind w:left="360"/>
        <w:rPr>
          <w:sz w:val="24"/>
          <w:szCs w:val="24"/>
        </w:rPr>
      </w:pPr>
      <w:r w:rsidRPr="001D6A7B">
        <w:rPr>
          <w:b/>
          <w:sz w:val="24"/>
          <w:szCs w:val="24"/>
        </w:rPr>
        <w:t>Research Project Title:</w:t>
      </w:r>
      <w:r>
        <w:rPr>
          <w:sz w:val="24"/>
          <w:szCs w:val="24"/>
        </w:rPr>
        <w:t xml:space="preserve"> </w:t>
      </w:r>
    </w:p>
    <w:p w14:paraId="6AF8CCA5" w14:textId="77777777" w:rsidR="001F5668" w:rsidRPr="007160C9" w:rsidRDefault="001F5668" w:rsidP="001F5668">
      <w:pPr>
        <w:rPr>
          <w:b/>
          <w:sz w:val="24"/>
        </w:rPr>
      </w:pPr>
      <w:r w:rsidRPr="007160C9">
        <w:rPr>
          <w:b/>
          <w:sz w:val="24"/>
        </w:rPr>
        <w:t>The constitution and implementation of the English Baccalaureate: implications for educational equality.</w:t>
      </w:r>
    </w:p>
    <w:p w14:paraId="6E7747D5" w14:textId="77777777" w:rsidR="001F5668" w:rsidRPr="001D6A7B" w:rsidRDefault="001F5668" w:rsidP="001F5668">
      <w:pPr>
        <w:pStyle w:val="ListParagraph"/>
        <w:numPr>
          <w:ilvl w:val="0"/>
          <w:numId w:val="28"/>
        </w:numPr>
        <w:ind w:left="360"/>
        <w:rPr>
          <w:b/>
          <w:sz w:val="24"/>
          <w:szCs w:val="24"/>
        </w:rPr>
      </w:pPr>
      <w:r w:rsidRPr="001D6A7B">
        <w:rPr>
          <w:b/>
          <w:sz w:val="24"/>
          <w:szCs w:val="24"/>
        </w:rPr>
        <w:t>Invitation paragraph</w:t>
      </w:r>
    </w:p>
    <w:p w14:paraId="710BA8DE" w14:textId="77777777" w:rsidR="001F5668" w:rsidRDefault="001F5668" w:rsidP="001F5668">
      <w:pPr>
        <w:pStyle w:val="ListParagraph"/>
        <w:ind w:left="0"/>
        <w:rPr>
          <w:sz w:val="24"/>
          <w:szCs w:val="24"/>
        </w:rPr>
      </w:pPr>
      <w:r>
        <w:rPr>
          <w:sz w:val="24"/>
          <w:szCs w:val="24"/>
        </w:rPr>
        <w:t>You are being invited to take part in a research project. Before you decide it is important for you to understand why the research is being done and what it will involve. Please take time to read the following information carefully and discuss it with others if you wish. Ask me if there is anything that is not clear or if you would like more information. Take time to decide whether or not you wish to take part. Thank you for reading this.</w:t>
      </w:r>
    </w:p>
    <w:p w14:paraId="675A3B77" w14:textId="77777777" w:rsidR="001F5668" w:rsidRDefault="001F5668" w:rsidP="001F5668">
      <w:pPr>
        <w:pStyle w:val="ListParagraph"/>
        <w:rPr>
          <w:sz w:val="24"/>
          <w:szCs w:val="24"/>
        </w:rPr>
      </w:pPr>
    </w:p>
    <w:p w14:paraId="0BA836F3" w14:textId="77777777" w:rsidR="001F5668" w:rsidRPr="001D6A7B" w:rsidRDefault="001F5668" w:rsidP="001F5668">
      <w:pPr>
        <w:pStyle w:val="ListParagraph"/>
        <w:numPr>
          <w:ilvl w:val="0"/>
          <w:numId w:val="28"/>
        </w:numPr>
        <w:ind w:left="360"/>
        <w:rPr>
          <w:b/>
          <w:sz w:val="24"/>
          <w:szCs w:val="24"/>
        </w:rPr>
      </w:pPr>
      <w:r w:rsidRPr="001D6A7B">
        <w:rPr>
          <w:b/>
          <w:sz w:val="24"/>
          <w:szCs w:val="24"/>
        </w:rPr>
        <w:t>What is the project’s purpose?</w:t>
      </w:r>
    </w:p>
    <w:p w14:paraId="4F50BF46" w14:textId="5760BDE8" w:rsidR="001F5668" w:rsidRDefault="001F5668" w:rsidP="001F5668">
      <w:pPr>
        <w:pStyle w:val="ListParagraph"/>
        <w:ind w:left="0"/>
        <w:rPr>
          <w:sz w:val="24"/>
          <w:szCs w:val="24"/>
        </w:rPr>
      </w:pPr>
      <w:r>
        <w:rPr>
          <w:sz w:val="24"/>
          <w:szCs w:val="24"/>
        </w:rPr>
        <w:t xml:space="preserve">The purpose of the project is to investigate the conditions which led to the </w:t>
      </w:r>
      <w:r w:rsidR="006C6000">
        <w:rPr>
          <w:sz w:val="24"/>
          <w:szCs w:val="24"/>
        </w:rPr>
        <w:t>C</w:t>
      </w:r>
      <w:r>
        <w:rPr>
          <w:sz w:val="24"/>
          <w:szCs w:val="24"/>
        </w:rPr>
        <w:t>oalition government setting out an educational policy in 2010 which included the creation of English Baccalaureate. I plan to analyse the curriculum policy text and to find out the perspectives of Deputy Head Curriculum and Heads of Department of English Baccalaureate and non-English Baccalaureate subjects regarding the actual implications of this policy within schools. The project will take place between March 2013 and July 2013 and is being carried out as part of my Doctoral studies at the University of Sheffield</w:t>
      </w:r>
      <w:r w:rsidR="006C6000">
        <w:rPr>
          <w:sz w:val="24"/>
          <w:szCs w:val="24"/>
        </w:rPr>
        <w:t>,</w:t>
      </w:r>
      <w:r>
        <w:rPr>
          <w:sz w:val="24"/>
          <w:szCs w:val="24"/>
        </w:rPr>
        <w:t xml:space="preserve"> School of Education.</w:t>
      </w:r>
    </w:p>
    <w:p w14:paraId="67C6C6B4" w14:textId="77777777" w:rsidR="001F5668" w:rsidRDefault="001F5668" w:rsidP="001F5668">
      <w:pPr>
        <w:pStyle w:val="ListParagraph"/>
        <w:ind w:left="360"/>
        <w:rPr>
          <w:sz w:val="24"/>
          <w:szCs w:val="24"/>
        </w:rPr>
      </w:pPr>
    </w:p>
    <w:p w14:paraId="4FC1E545" w14:textId="77777777" w:rsidR="001F5668" w:rsidRPr="001D6A7B" w:rsidRDefault="001F5668" w:rsidP="001F5668">
      <w:pPr>
        <w:pStyle w:val="ListParagraph"/>
        <w:numPr>
          <w:ilvl w:val="0"/>
          <w:numId w:val="28"/>
        </w:numPr>
        <w:ind w:left="360"/>
        <w:rPr>
          <w:b/>
          <w:sz w:val="24"/>
          <w:szCs w:val="24"/>
        </w:rPr>
      </w:pPr>
      <w:r w:rsidRPr="001D6A7B">
        <w:rPr>
          <w:b/>
          <w:sz w:val="24"/>
          <w:szCs w:val="24"/>
        </w:rPr>
        <w:t>Why have I been chosen?</w:t>
      </w:r>
    </w:p>
    <w:p w14:paraId="5C8567E6" w14:textId="35626432" w:rsidR="001F5668" w:rsidRDefault="001F5668" w:rsidP="001F5668">
      <w:pPr>
        <w:pStyle w:val="ListParagraph"/>
        <w:ind w:left="0"/>
        <w:rPr>
          <w:sz w:val="24"/>
          <w:szCs w:val="24"/>
        </w:rPr>
      </w:pPr>
      <w:r>
        <w:rPr>
          <w:sz w:val="24"/>
          <w:szCs w:val="24"/>
        </w:rPr>
        <w:t xml:space="preserve">You have been chosen because you are the Deputy Head </w:t>
      </w:r>
      <w:r w:rsidR="006C6000">
        <w:rPr>
          <w:sz w:val="24"/>
          <w:szCs w:val="24"/>
        </w:rPr>
        <w:t>C</w:t>
      </w:r>
      <w:r>
        <w:rPr>
          <w:sz w:val="24"/>
          <w:szCs w:val="24"/>
        </w:rPr>
        <w:t>urriculum and/or a Head of Department at an English Secondary school and you are involved in the implementation of curriculum policy at school and classroom level.</w:t>
      </w:r>
    </w:p>
    <w:p w14:paraId="04EFC89C" w14:textId="77777777" w:rsidR="001F5668" w:rsidRDefault="001F5668" w:rsidP="001F5668">
      <w:pPr>
        <w:pStyle w:val="ListParagraph"/>
        <w:ind w:left="360"/>
        <w:rPr>
          <w:sz w:val="24"/>
          <w:szCs w:val="24"/>
        </w:rPr>
      </w:pPr>
    </w:p>
    <w:p w14:paraId="7DEFCB48" w14:textId="77777777" w:rsidR="001F5668" w:rsidRPr="00FF75C4" w:rsidRDefault="001F5668" w:rsidP="001F5668">
      <w:pPr>
        <w:pStyle w:val="ListParagraph"/>
        <w:numPr>
          <w:ilvl w:val="0"/>
          <w:numId w:val="28"/>
        </w:numPr>
        <w:ind w:left="360"/>
        <w:rPr>
          <w:b/>
          <w:sz w:val="24"/>
          <w:szCs w:val="24"/>
        </w:rPr>
      </w:pPr>
      <w:r w:rsidRPr="00FF75C4">
        <w:rPr>
          <w:b/>
          <w:sz w:val="24"/>
          <w:szCs w:val="24"/>
        </w:rPr>
        <w:t>Do I have to take part?</w:t>
      </w:r>
    </w:p>
    <w:p w14:paraId="7356755A" w14:textId="77777777" w:rsidR="001F5668" w:rsidRDefault="001F5668" w:rsidP="001F5668">
      <w:pPr>
        <w:pStyle w:val="ListParagraph"/>
        <w:ind w:left="0"/>
        <w:rPr>
          <w:sz w:val="24"/>
          <w:szCs w:val="24"/>
        </w:rPr>
      </w:pPr>
      <w:r>
        <w:rPr>
          <w:sz w:val="24"/>
          <w:szCs w:val="24"/>
        </w:rPr>
        <w:t>It is up to you to decide whether or not to take part. If you do decide to take part you will be given this information sheet to keep (and be asked to sign a consent form) and you can still withdraw at any time without it affecting any benefits that you are entitled to in any way. You do not have to give a reason.</w:t>
      </w:r>
    </w:p>
    <w:p w14:paraId="56E0E29F" w14:textId="77777777" w:rsidR="001F5668" w:rsidRDefault="001F5668" w:rsidP="001F5668">
      <w:pPr>
        <w:pStyle w:val="ListParagraph"/>
        <w:ind w:left="360"/>
        <w:rPr>
          <w:sz w:val="24"/>
          <w:szCs w:val="24"/>
        </w:rPr>
      </w:pPr>
    </w:p>
    <w:p w14:paraId="0C62E161" w14:textId="77777777" w:rsidR="001F5668" w:rsidRPr="00756047" w:rsidRDefault="001F5668" w:rsidP="001F5668">
      <w:pPr>
        <w:pStyle w:val="ListParagraph"/>
        <w:numPr>
          <w:ilvl w:val="0"/>
          <w:numId w:val="28"/>
        </w:numPr>
        <w:ind w:left="360"/>
        <w:rPr>
          <w:b/>
          <w:sz w:val="24"/>
          <w:szCs w:val="24"/>
        </w:rPr>
      </w:pPr>
      <w:r w:rsidRPr="00756047">
        <w:rPr>
          <w:b/>
          <w:sz w:val="24"/>
          <w:szCs w:val="24"/>
        </w:rPr>
        <w:t>What will happen to me if I take part?</w:t>
      </w:r>
    </w:p>
    <w:p w14:paraId="486D0421" w14:textId="1AAA8FC2" w:rsidR="001F5668" w:rsidRDefault="001F5668" w:rsidP="001F5668">
      <w:pPr>
        <w:pStyle w:val="ListParagraph"/>
        <w:ind w:left="0"/>
        <w:rPr>
          <w:sz w:val="24"/>
          <w:szCs w:val="24"/>
        </w:rPr>
      </w:pPr>
      <w:r>
        <w:rPr>
          <w:sz w:val="24"/>
          <w:szCs w:val="24"/>
        </w:rPr>
        <w:t>I will ask if I can interview you for 45-60 minutes. No preparation is necessary</w:t>
      </w:r>
      <w:r w:rsidR="006C6000">
        <w:rPr>
          <w:sz w:val="24"/>
          <w:szCs w:val="24"/>
        </w:rPr>
        <w:t>,</w:t>
      </w:r>
      <w:r>
        <w:rPr>
          <w:sz w:val="24"/>
          <w:szCs w:val="24"/>
        </w:rPr>
        <w:t xml:space="preserve"> however I am happy to send you a copy of the key themes to be covered beforehand if you wish. The interview will be tape recorded. If any questions arise from the interview, I will ask if you </w:t>
      </w:r>
      <w:r>
        <w:rPr>
          <w:sz w:val="24"/>
          <w:szCs w:val="24"/>
        </w:rPr>
        <w:lastRenderedPageBreak/>
        <w:t>will be willing to respond by email. I will ask you to check my transcription after the interview.</w:t>
      </w:r>
    </w:p>
    <w:p w14:paraId="531671C0" w14:textId="77777777" w:rsidR="00DF560C" w:rsidRDefault="00DF560C" w:rsidP="001F5668">
      <w:pPr>
        <w:pStyle w:val="ListParagraph"/>
        <w:ind w:left="0"/>
        <w:rPr>
          <w:sz w:val="24"/>
          <w:szCs w:val="24"/>
        </w:rPr>
      </w:pPr>
    </w:p>
    <w:p w14:paraId="13A9A05D" w14:textId="77777777" w:rsidR="001F5668" w:rsidRPr="00756047" w:rsidRDefault="001F5668" w:rsidP="001F5668">
      <w:pPr>
        <w:pStyle w:val="ListParagraph"/>
        <w:numPr>
          <w:ilvl w:val="0"/>
          <w:numId w:val="28"/>
        </w:numPr>
        <w:ind w:left="360"/>
        <w:rPr>
          <w:b/>
          <w:sz w:val="24"/>
          <w:szCs w:val="24"/>
        </w:rPr>
      </w:pPr>
      <w:r w:rsidRPr="00756047">
        <w:rPr>
          <w:b/>
          <w:sz w:val="24"/>
          <w:szCs w:val="24"/>
        </w:rPr>
        <w:t>Will I be recorded, and how will the recorded media be used?</w:t>
      </w:r>
    </w:p>
    <w:p w14:paraId="6D79BE63" w14:textId="77777777" w:rsidR="001F5668" w:rsidRDefault="001F5668" w:rsidP="001F5668">
      <w:pPr>
        <w:rPr>
          <w:sz w:val="24"/>
          <w:szCs w:val="24"/>
        </w:rPr>
      </w:pPr>
      <w:r>
        <w:rPr>
          <w:sz w:val="24"/>
          <w:szCs w:val="24"/>
        </w:rPr>
        <w:t>The audio recordings made during this research will only be used for analysis and the anonymised findings for illustration in my Doctoral Thesis and any associated research publications, conference papers and lectures. No other use will be made of them without your written permission and no one outside of the original project will be allowed access to the original recordings. Names and/or identifying details of individuals or institutions will not be revealed in any reports, publications, communications or general conversations. Data will be anonymised and pseudonyms will be used at the transcription phase. A full transcript of the interview will be completed. The audio recorder will be stored in a locked cabinet and data will be stored on my password protected computer. The audio recording will be destroyed at the end of the project.</w:t>
      </w:r>
    </w:p>
    <w:p w14:paraId="7289DB6A" w14:textId="77777777" w:rsidR="001F5668" w:rsidRPr="00CD5E41" w:rsidRDefault="001F5668" w:rsidP="001F5668">
      <w:pPr>
        <w:pStyle w:val="ListParagraph"/>
        <w:numPr>
          <w:ilvl w:val="0"/>
          <w:numId w:val="28"/>
        </w:numPr>
        <w:ind w:left="360"/>
        <w:rPr>
          <w:b/>
          <w:sz w:val="24"/>
          <w:szCs w:val="24"/>
        </w:rPr>
      </w:pPr>
      <w:r w:rsidRPr="00CD5E41">
        <w:rPr>
          <w:b/>
          <w:sz w:val="24"/>
          <w:szCs w:val="24"/>
        </w:rPr>
        <w:t>What do I have to do?</w:t>
      </w:r>
    </w:p>
    <w:p w14:paraId="2DB370AA" w14:textId="77777777" w:rsidR="001F5668" w:rsidRDefault="001F5668" w:rsidP="001F5668">
      <w:pPr>
        <w:pStyle w:val="ListParagraph"/>
        <w:ind w:left="0"/>
        <w:rPr>
          <w:sz w:val="24"/>
          <w:szCs w:val="24"/>
        </w:rPr>
      </w:pPr>
      <w:r>
        <w:rPr>
          <w:sz w:val="24"/>
          <w:szCs w:val="24"/>
        </w:rPr>
        <w:t>Participation involves answering questions in a Face to Face interview.</w:t>
      </w:r>
    </w:p>
    <w:p w14:paraId="57F5E6AC" w14:textId="77777777" w:rsidR="001F5668" w:rsidRDefault="001F5668" w:rsidP="001F5668">
      <w:pPr>
        <w:pStyle w:val="ListParagraph"/>
        <w:ind w:left="360"/>
        <w:rPr>
          <w:sz w:val="24"/>
          <w:szCs w:val="24"/>
        </w:rPr>
      </w:pPr>
    </w:p>
    <w:p w14:paraId="0F9F482D" w14:textId="77777777" w:rsidR="001F5668" w:rsidRPr="00CD5E41" w:rsidRDefault="001F5668" w:rsidP="001F5668">
      <w:pPr>
        <w:pStyle w:val="ListParagraph"/>
        <w:numPr>
          <w:ilvl w:val="0"/>
          <w:numId w:val="28"/>
        </w:numPr>
        <w:ind w:left="360"/>
        <w:rPr>
          <w:b/>
          <w:sz w:val="24"/>
          <w:szCs w:val="24"/>
        </w:rPr>
      </w:pPr>
      <w:r w:rsidRPr="00CD5E41">
        <w:rPr>
          <w:b/>
          <w:sz w:val="24"/>
          <w:szCs w:val="24"/>
        </w:rPr>
        <w:t>What are the possible disadvantages and risks of taking part?</w:t>
      </w:r>
    </w:p>
    <w:p w14:paraId="6CA0AB34" w14:textId="77777777" w:rsidR="001F5668" w:rsidRDefault="001F5668" w:rsidP="001F5668">
      <w:pPr>
        <w:pStyle w:val="ListParagraph"/>
        <w:ind w:left="0"/>
        <w:rPr>
          <w:sz w:val="24"/>
          <w:szCs w:val="24"/>
        </w:rPr>
      </w:pPr>
      <w:r>
        <w:rPr>
          <w:sz w:val="24"/>
          <w:szCs w:val="24"/>
        </w:rPr>
        <w:t>There are no possible dangers or risks of taking part.</w:t>
      </w:r>
    </w:p>
    <w:p w14:paraId="6AD4E751" w14:textId="77777777" w:rsidR="001F5668" w:rsidRDefault="001F5668" w:rsidP="001F5668">
      <w:pPr>
        <w:pStyle w:val="ListParagraph"/>
        <w:ind w:left="360"/>
        <w:rPr>
          <w:sz w:val="24"/>
          <w:szCs w:val="24"/>
        </w:rPr>
      </w:pPr>
    </w:p>
    <w:p w14:paraId="04BB1154" w14:textId="77777777" w:rsidR="001F5668" w:rsidRPr="00CD5E41" w:rsidRDefault="001F5668" w:rsidP="001F5668">
      <w:pPr>
        <w:pStyle w:val="ListParagraph"/>
        <w:numPr>
          <w:ilvl w:val="0"/>
          <w:numId w:val="28"/>
        </w:numPr>
        <w:ind w:left="360"/>
        <w:rPr>
          <w:b/>
          <w:sz w:val="24"/>
          <w:szCs w:val="24"/>
        </w:rPr>
      </w:pPr>
      <w:r w:rsidRPr="00CD5E41">
        <w:rPr>
          <w:b/>
          <w:sz w:val="24"/>
          <w:szCs w:val="24"/>
        </w:rPr>
        <w:t>What are the possible benefits of taking part?</w:t>
      </w:r>
    </w:p>
    <w:p w14:paraId="17948395" w14:textId="1C59C4CB" w:rsidR="001F5668" w:rsidRDefault="001F5668" w:rsidP="001F5668">
      <w:pPr>
        <w:pStyle w:val="ListParagraph"/>
        <w:ind w:left="0"/>
        <w:rPr>
          <w:sz w:val="24"/>
          <w:szCs w:val="24"/>
        </w:rPr>
      </w:pPr>
      <w:r>
        <w:rPr>
          <w:sz w:val="24"/>
          <w:szCs w:val="24"/>
        </w:rPr>
        <w:t>The potential benefits of taking part consist of an opportunity for you to reflect on and assess your own ideas, and those of your school, on the English baccalaureate curriculum policy and its current and possible future impact on your school and pupils. I will share my main findings with you after the completion of my Doctorate and will be happy to speak to staff at the school about my further studies and the advantages of further study at Masters and/or Doctoral level.</w:t>
      </w:r>
    </w:p>
    <w:p w14:paraId="3788AA38" w14:textId="77777777" w:rsidR="001F5668" w:rsidRPr="00756047" w:rsidRDefault="001F5668" w:rsidP="001F5668">
      <w:pPr>
        <w:pStyle w:val="ListParagraph"/>
        <w:ind w:left="360"/>
        <w:rPr>
          <w:b/>
          <w:sz w:val="24"/>
          <w:szCs w:val="24"/>
        </w:rPr>
      </w:pPr>
    </w:p>
    <w:p w14:paraId="10F6FDF0" w14:textId="77777777" w:rsidR="001F5668" w:rsidRPr="00756047" w:rsidRDefault="001F5668" w:rsidP="001F5668">
      <w:pPr>
        <w:pStyle w:val="ListParagraph"/>
        <w:numPr>
          <w:ilvl w:val="0"/>
          <w:numId w:val="28"/>
        </w:numPr>
        <w:ind w:left="360"/>
        <w:rPr>
          <w:b/>
          <w:sz w:val="24"/>
          <w:szCs w:val="24"/>
        </w:rPr>
      </w:pPr>
      <w:r w:rsidRPr="00756047">
        <w:rPr>
          <w:b/>
          <w:sz w:val="24"/>
          <w:szCs w:val="24"/>
        </w:rPr>
        <w:t>What happens if the research study stops earlier than expected?</w:t>
      </w:r>
    </w:p>
    <w:p w14:paraId="6E78A0A0" w14:textId="77777777" w:rsidR="001F5668" w:rsidRDefault="001F5668" w:rsidP="001F5668">
      <w:pPr>
        <w:pStyle w:val="ListParagraph"/>
        <w:ind w:left="0"/>
        <w:rPr>
          <w:sz w:val="24"/>
          <w:szCs w:val="24"/>
        </w:rPr>
      </w:pPr>
      <w:r>
        <w:rPr>
          <w:sz w:val="24"/>
          <w:szCs w:val="24"/>
        </w:rPr>
        <w:t>If the research study stops earlier than expected, you will be informed of this and the reason for it.</w:t>
      </w:r>
    </w:p>
    <w:p w14:paraId="24B6FC0F" w14:textId="77777777" w:rsidR="001F5668" w:rsidRDefault="001F5668" w:rsidP="001F5668">
      <w:pPr>
        <w:pStyle w:val="ListParagraph"/>
        <w:ind w:left="360"/>
        <w:rPr>
          <w:sz w:val="24"/>
          <w:szCs w:val="24"/>
        </w:rPr>
      </w:pPr>
    </w:p>
    <w:p w14:paraId="1AF08E83" w14:textId="77777777" w:rsidR="001F5668" w:rsidRPr="00F57968" w:rsidRDefault="001F5668" w:rsidP="001F5668">
      <w:pPr>
        <w:pStyle w:val="ListParagraph"/>
        <w:numPr>
          <w:ilvl w:val="0"/>
          <w:numId w:val="28"/>
        </w:numPr>
        <w:ind w:left="360"/>
        <w:rPr>
          <w:b/>
          <w:sz w:val="24"/>
          <w:szCs w:val="24"/>
        </w:rPr>
      </w:pPr>
      <w:r w:rsidRPr="00F57968">
        <w:rPr>
          <w:b/>
          <w:sz w:val="24"/>
          <w:szCs w:val="24"/>
        </w:rPr>
        <w:t>What if something goes wrong?</w:t>
      </w:r>
    </w:p>
    <w:p w14:paraId="77663736" w14:textId="3ADF65E1" w:rsidR="001F5668" w:rsidRDefault="001F5668" w:rsidP="00A957EC">
      <w:pPr>
        <w:pStyle w:val="ListParagraph"/>
        <w:ind w:left="360"/>
        <w:rPr>
          <w:sz w:val="24"/>
          <w:szCs w:val="24"/>
        </w:rPr>
      </w:pPr>
      <w:r>
        <w:rPr>
          <w:sz w:val="24"/>
          <w:szCs w:val="24"/>
        </w:rPr>
        <w:t xml:space="preserve">If you are unhappy about any aspect of the project, please contact me straight away. I will address any concerns as soon as possible. You can contact me on xxx or on </w:t>
      </w:r>
      <w:hyperlink r:id="rId13" w:history="1">
        <w:r w:rsidRPr="002B5F1B">
          <w:rPr>
            <w:rStyle w:val="Hyperlink"/>
            <w:sz w:val="24"/>
            <w:szCs w:val="24"/>
          </w:rPr>
          <w:t>edp09kfh@sheffield.ac.uk</w:t>
        </w:r>
      </w:hyperlink>
      <w:r>
        <w:rPr>
          <w:sz w:val="24"/>
          <w:szCs w:val="24"/>
        </w:rPr>
        <w:t xml:space="preserve"> or xxx In the event of you still being dissatisfied, please contact my supervisor, Dr Chris Winter, </w:t>
      </w:r>
      <w:hyperlink r:id="rId14" w:history="1">
        <w:r w:rsidRPr="00B137B6">
          <w:rPr>
            <w:rStyle w:val="Hyperlink"/>
            <w:sz w:val="24"/>
            <w:szCs w:val="24"/>
          </w:rPr>
          <w:t>C.Winter@sheffield.ac.uk</w:t>
        </w:r>
      </w:hyperlink>
      <w:r>
        <w:rPr>
          <w:sz w:val="24"/>
          <w:szCs w:val="24"/>
        </w:rPr>
        <w:t xml:space="preserve"> or tel 0114 2228142. Your complaint can be investigated by the University of Sheffield’s Registrar and Secretary.</w:t>
      </w:r>
    </w:p>
    <w:p w14:paraId="3063DEF5" w14:textId="77777777" w:rsidR="001F5668" w:rsidRDefault="001F5668" w:rsidP="001F5668">
      <w:pPr>
        <w:pStyle w:val="ListParagraph"/>
        <w:ind w:left="360"/>
        <w:rPr>
          <w:sz w:val="24"/>
          <w:szCs w:val="24"/>
        </w:rPr>
      </w:pPr>
    </w:p>
    <w:p w14:paraId="026D1D85" w14:textId="77777777" w:rsidR="001F5668" w:rsidRPr="00F57968" w:rsidRDefault="001F5668" w:rsidP="001F5668">
      <w:pPr>
        <w:pStyle w:val="ListParagraph"/>
        <w:numPr>
          <w:ilvl w:val="0"/>
          <w:numId w:val="28"/>
        </w:numPr>
        <w:ind w:left="360"/>
        <w:rPr>
          <w:b/>
          <w:sz w:val="24"/>
          <w:szCs w:val="24"/>
        </w:rPr>
      </w:pPr>
      <w:r w:rsidRPr="00F57968">
        <w:rPr>
          <w:b/>
          <w:sz w:val="24"/>
          <w:szCs w:val="24"/>
        </w:rPr>
        <w:t>Will my taking part in this project be kept confidential?</w:t>
      </w:r>
    </w:p>
    <w:p w14:paraId="2F1239DB" w14:textId="77777777" w:rsidR="001F5668" w:rsidRDefault="001F5668" w:rsidP="001F5668">
      <w:pPr>
        <w:pStyle w:val="ListParagraph"/>
        <w:ind w:left="0"/>
        <w:rPr>
          <w:sz w:val="24"/>
          <w:szCs w:val="24"/>
        </w:rPr>
      </w:pPr>
      <w:r>
        <w:rPr>
          <w:sz w:val="24"/>
          <w:szCs w:val="24"/>
        </w:rPr>
        <w:t>All the information that I collect during the course of the research will be kept strictly confidential. You will not be able to be identified in any reports, publications, conference presentations or lectures.</w:t>
      </w:r>
    </w:p>
    <w:p w14:paraId="6942456C" w14:textId="77777777" w:rsidR="001F5668" w:rsidRDefault="001F5668" w:rsidP="001F5668">
      <w:pPr>
        <w:pStyle w:val="ListParagraph"/>
        <w:ind w:left="0"/>
        <w:rPr>
          <w:sz w:val="24"/>
          <w:szCs w:val="24"/>
        </w:rPr>
      </w:pPr>
    </w:p>
    <w:p w14:paraId="2E6E404A" w14:textId="77777777" w:rsidR="001F5668" w:rsidRPr="00F57968" w:rsidRDefault="001F5668" w:rsidP="001F5668">
      <w:pPr>
        <w:pStyle w:val="ListParagraph"/>
        <w:numPr>
          <w:ilvl w:val="0"/>
          <w:numId w:val="28"/>
        </w:numPr>
        <w:ind w:left="360"/>
        <w:rPr>
          <w:b/>
          <w:sz w:val="24"/>
          <w:szCs w:val="24"/>
        </w:rPr>
      </w:pPr>
      <w:r w:rsidRPr="00F57968">
        <w:rPr>
          <w:b/>
          <w:sz w:val="24"/>
          <w:szCs w:val="24"/>
        </w:rPr>
        <w:t>What will happen to the results of the research project?</w:t>
      </w:r>
    </w:p>
    <w:p w14:paraId="56A51A9E" w14:textId="77777777" w:rsidR="001F5668" w:rsidRDefault="001F5668" w:rsidP="001F5668">
      <w:pPr>
        <w:pStyle w:val="ListParagraph"/>
        <w:ind w:left="0"/>
        <w:rPr>
          <w:sz w:val="24"/>
          <w:szCs w:val="24"/>
        </w:rPr>
      </w:pPr>
      <w:r>
        <w:rPr>
          <w:sz w:val="24"/>
          <w:szCs w:val="24"/>
        </w:rPr>
        <w:t>The results of the research will be included in my Education Doctoral Thesis and may be published in a report in a peer reviewed journal. The dissertation will be lodged in the University of Sheffield Library. You and your institution will not be identified by name in any such report or publication. Data collected during the course of the project might be used for additional or subsequent research, but only after your permission has been obtained. Reports of the project may be shared at conferences.</w:t>
      </w:r>
    </w:p>
    <w:p w14:paraId="16FB0108" w14:textId="77777777" w:rsidR="001F5668" w:rsidRPr="00F57968" w:rsidRDefault="001F5668" w:rsidP="001F5668">
      <w:pPr>
        <w:pStyle w:val="ListParagraph"/>
        <w:ind w:left="360"/>
        <w:rPr>
          <w:b/>
          <w:sz w:val="24"/>
          <w:szCs w:val="24"/>
        </w:rPr>
      </w:pPr>
    </w:p>
    <w:p w14:paraId="36635D62" w14:textId="77777777" w:rsidR="001F5668" w:rsidRPr="00F57968" w:rsidRDefault="001F5668" w:rsidP="001F5668">
      <w:pPr>
        <w:pStyle w:val="ListParagraph"/>
        <w:numPr>
          <w:ilvl w:val="0"/>
          <w:numId w:val="28"/>
        </w:numPr>
        <w:ind w:left="360"/>
        <w:rPr>
          <w:b/>
          <w:sz w:val="24"/>
          <w:szCs w:val="24"/>
        </w:rPr>
      </w:pPr>
      <w:r w:rsidRPr="00F57968">
        <w:rPr>
          <w:b/>
          <w:sz w:val="24"/>
          <w:szCs w:val="24"/>
        </w:rPr>
        <w:t>Who is organising and funding the research?</w:t>
      </w:r>
    </w:p>
    <w:p w14:paraId="1D024B66" w14:textId="77777777" w:rsidR="001F5668" w:rsidRDefault="001F5668" w:rsidP="001F5668">
      <w:pPr>
        <w:pStyle w:val="ListParagraph"/>
        <w:ind w:left="0"/>
        <w:rPr>
          <w:sz w:val="24"/>
          <w:szCs w:val="24"/>
        </w:rPr>
      </w:pPr>
      <w:r>
        <w:rPr>
          <w:sz w:val="24"/>
          <w:szCs w:val="24"/>
        </w:rPr>
        <w:t>There are currently no external funding sources.</w:t>
      </w:r>
    </w:p>
    <w:p w14:paraId="7C1356E0" w14:textId="77777777" w:rsidR="001F5668" w:rsidRPr="00EA6F46" w:rsidRDefault="001F5668" w:rsidP="001F5668">
      <w:pPr>
        <w:pStyle w:val="ListParagraph"/>
        <w:ind w:left="360"/>
        <w:rPr>
          <w:b/>
          <w:sz w:val="24"/>
          <w:szCs w:val="24"/>
        </w:rPr>
      </w:pPr>
    </w:p>
    <w:p w14:paraId="0CF8D2E1" w14:textId="77777777" w:rsidR="001F5668" w:rsidRPr="00EA6F46" w:rsidRDefault="001F5668" w:rsidP="001F5668">
      <w:pPr>
        <w:pStyle w:val="ListParagraph"/>
        <w:numPr>
          <w:ilvl w:val="0"/>
          <w:numId w:val="28"/>
        </w:numPr>
        <w:ind w:left="360"/>
        <w:rPr>
          <w:b/>
          <w:sz w:val="24"/>
          <w:szCs w:val="24"/>
        </w:rPr>
      </w:pPr>
      <w:r w:rsidRPr="00EA6F46">
        <w:rPr>
          <w:b/>
          <w:sz w:val="24"/>
          <w:szCs w:val="24"/>
        </w:rPr>
        <w:t>Who has ethically reviewed the project?</w:t>
      </w:r>
    </w:p>
    <w:p w14:paraId="40BEACD3" w14:textId="77777777" w:rsidR="001F5668" w:rsidRDefault="001F5668" w:rsidP="001F5668">
      <w:pPr>
        <w:pStyle w:val="ListParagraph"/>
        <w:ind w:left="0"/>
        <w:rPr>
          <w:sz w:val="24"/>
          <w:szCs w:val="24"/>
        </w:rPr>
      </w:pPr>
      <w:r>
        <w:rPr>
          <w:sz w:val="24"/>
          <w:szCs w:val="24"/>
        </w:rPr>
        <w:t>This research project has been reviewed in accordance with the University of Sheffield Ethics review Procedure as operated by the School of Education.</w:t>
      </w:r>
    </w:p>
    <w:p w14:paraId="6DF8DF22" w14:textId="77777777" w:rsidR="001F5668" w:rsidRDefault="001F5668" w:rsidP="001F5668">
      <w:pPr>
        <w:pStyle w:val="ListParagraph"/>
        <w:ind w:left="360"/>
        <w:rPr>
          <w:sz w:val="24"/>
          <w:szCs w:val="24"/>
        </w:rPr>
      </w:pPr>
    </w:p>
    <w:p w14:paraId="7F951C4D" w14:textId="77777777" w:rsidR="001F5668" w:rsidRPr="00EA6F46" w:rsidRDefault="001F5668" w:rsidP="001F5668">
      <w:pPr>
        <w:pStyle w:val="ListParagraph"/>
        <w:numPr>
          <w:ilvl w:val="0"/>
          <w:numId w:val="28"/>
        </w:numPr>
        <w:ind w:left="360"/>
        <w:rPr>
          <w:b/>
          <w:sz w:val="24"/>
          <w:szCs w:val="24"/>
        </w:rPr>
      </w:pPr>
      <w:r w:rsidRPr="00EA6F46">
        <w:rPr>
          <w:b/>
          <w:sz w:val="24"/>
          <w:szCs w:val="24"/>
        </w:rPr>
        <w:t>Contact for further information</w:t>
      </w:r>
    </w:p>
    <w:p w14:paraId="166BA70B" w14:textId="77777777" w:rsidR="001F5668" w:rsidRDefault="001F5668" w:rsidP="001F5668">
      <w:pPr>
        <w:pStyle w:val="ListParagraph"/>
        <w:ind w:left="360"/>
        <w:rPr>
          <w:sz w:val="24"/>
          <w:szCs w:val="24"/>
        </w:rPr>
      </w:pPr>
    </w:p>
    <w:p w14:paraId="3AF40838" w14:textId="77777777" w:rsidR="001F5668" w:rsidRDefault="001F5668" w:rsidP="00A957EC">
      <w:pPr>
        <w:pStyle w:val="ListParagraph"/>
        <w:ind w:left="360"/>
        <w:outlineLvl w:val="0"/>
        <w:rPr>
          <w:sz w:val="24"/>
          <w:szCs w:val="24"/>
        </w:rPr>
      </w:pPr>
      <w:bookmarkStart w:id="129" w:name="_Toc450170256"/>
      <w:bookmarkStart w:id="130" w:name="_Toc451866218"/>
      <w:bookmarkStart w:id="131" w:name="_Toc452316412"/>
      <w:r>
        <w:rPr>
          <w:sz w:val="24"/>
          <w:szCs w:val="24"/>
        </w:rPr>
        <w:t>Mrs Kathryn Hobbs</w:t>
      </w:r>
      <w:bookmarkEnd w:id="129"/>
      <w:bookmarkEnd w:id="130"/>
      <w:bookmarkEnd w:id="131"/>
    </w:p>
    <w:p w14:paraId="3EEC212A" w14:textId="77777777" w:rsidR="001F5668" w:rsidRDefault="001F5668" w:rsidP="001F5668">
      <w:pPr>
        <w:pStyle w:val="ListParagraph"/>
        <w:ind w:left="360"/>
        <w:rPr>
          <w:sz w:val="24"/>
          <w:szCs w:val="24"/>
        </w:rPr>
      </w:pPr>
      <w:r>
        <w:rPr>
          <w:sz w:val="24"/>
          <w:szCs w:val="24"/>
        </w:rPr>
        <w:t>Deputy Head</w:t>
      </w:r>
    </w:p>
    <w:p w14:paraId="03C1136A" w14:textId="77777777" w:rsidR="001F5668" w:rsidRDefault="001F5668" w:rsidP="001F5668">
      <w:pPr>
        <w:pStyle w:val="ListParagraph"/>
        <w:ind w:left="360"/>
        <w:rPr>
          <w:sz w:val="24"/>
          <w:szCs w:val="24"/>
        </w:rPr>
      </w:pPr>
      <w:r>
        <w:rPr>
          <w:sz w:val="24"/>
          <w:szCs w:val="24"/>
        </w:rPr>
        <w:t>xxx</w:t>
      </w:r>
    </w:p>
    <w:p w14:paraId="2112841B" w14:textId="77777777" w:rsidR="001F5668" w:rsidRDefault="001F5668" w:rsidP="001F5668">
      <w:pPr>
        <w:pStyle w:val="ListParagraph"/>
        <w:ind w:left="360"/>
        <w:rPr>
          <w:sz w:val="24"/>
          <w:szCs w:val="24"/>
        </w:rPr>
      </w:pPr>
    </w:p>
    <w:p w14:paraId="5E62B4EE" w14:textId="77777777" w:rsidR="001F5668" w:rsidRDefault="001F5668" w:rsidP="00A957EC">
      <w:pPr>
        <w:pStyle w:val="ListParagraph"/>
        <w:ind w:left="360"/>
        <w:outlineLvl w:val="0"/>
        <w:rPr>
          <w:sz w:val="24"/>
          <w:szCs w:val="24"/>
        </w:rPr>
      </w:pPr>
      <w:bookmarkStart w:id="132" w:name="_Toc450170257"/>
      <w:bookmarkStart w:id="133" w:name="_Toc451866219"/>
      <w:bookmarkStart w:id="134" w:name="_Toc452316413"/>
      <w:r>
        <w:rPr>
          <w:sz w:val="24"/>
          <w:szCs w:val="24"/>
        </w:rPr>
        <w:t>You will be given a copy of the information sheet and a signed consent form to keep.</w:t>
      </w:r>
      <w:bookmarkEnd w:id="132"/>
      <w:bookmarkEnd w:id="133"/>
      <w:bookmarkEnd w:id="134"/>
    </w:p>
    <w:p w14:paraId="0BC4065A" w14:textId="77777777" w:rsidR="001F5668" w:rsidRPr="00EA6F46" w:rsidRDefault="001F5668" w:rsidP="001F5668">
      <w:pPr>
        <w:pStyle w:val="ListParagraph"/>
        <w:ind w:left="360"/>
        <w:jc w:val="center"/>
        <w:rPr>
          <w:b/>
          <w:sz w:val="24"/>
          <w:szCs w:val="24"/>
        </w:rPr>
      </w:pPr>
    </w:p>
    <w:p w14:paraId="7A344FC8" w14:textId="77777777" w:rsidR="001F5668" w:rsidRPr="00EA6F46" w:rsidRDefault="001F5668" w:rsidP="00A957EC">
      <w:pPr>
        <w:pStyle w:val="ListParagraph"/>
        <w:ind w:left="360"/>
        <w:jc w:val="center"/>
        <w:outlineLvl w:val="0"/>
        <w:rPr>
          <w:b/>
          <w:sz w:val="24"/>
          <w:szCs w:val="24"/>
        </w:rPr>
      </w:pPr>
      <w:bookmarkStart w:id="135" w:name="_Toc450170258"/>
      <w:bookmarkStart w:id="136" w:name="_Toc451866220"/>
      <w:bookmarkStart w:id="137" w:name="_Toc452316414"/>
      <w:r w:rsidRPr="00EA6F46">
        <w:rPr>
          <w:b/>
          <w:sz w:val="24"/>
          <w:szCs w:val="24"/>
        </w:rPr>
        <w:t>Thank you for reading this participant information sheet</w:t>
      </w:r>
      <w:bookmarkEnd w:id="135"/>
      <w:bookmarkEnd w:id="136"/>
      <w:bookmarkEnd w:id="137"/>
    </w:p>
    <w:p w14:paraId="43E5A87D" w14:textId="77777777" w:rsidR="001F5668" w:rsidRDefault="001F5668" w:rsidP="001F5668">
      <w:pPr>
        <w:pStyle w:val="ListParagraph"/>
        <w:ind w:left="360"/>
        <w:rPr>
          <w:sz w:val="24"/>
          <w:szCs w:val="24"/>
        </w:rPr>
      </w:pPr>
    </w:p>
    <w:p w14:paraId="73044451" w14:textId="77777777" w:rsidR="00DF560C" w:rsidRDefault="00DF560C" w:rsidP="001F5668">
      <w:pPr>
        <w:spacing w:line="360" w:lineRule="auto"/>
        <w:jc w:val="center"/>
        <w:rPr>
          <w:rFonts w:cs="Calibri"/>
          <w:b/>
          <w:sz w:val="28"/>
          <w:szCs w:val="28"/>
        </w:rPr>
      </w:pPr>
    </w:p>
    <w:p w14:paraId="05BDC31A" w14:textId="77777777" w:rsidR="00DF560C" w:rsidRDefault="00DF560C" w:rsidP="001F5668">
      <w:pPr>
        <w:spacing w:line="360" w:lineRule="auto"/>
        <w:jc w:val="center"/>
        <w:rPr>
          <w:rFonts w:cs="Calibri"/>
          <w:b/>
          <w:sz w:val="28"/>
          <w:szCs w:val="28"/>
        </w:rPr>
      </w:pPr>
    </w:p>
    <w:p w14:paraId="5BF270AB" w14:textId="77777777" w:rsidR="00DF560C" w:rsidRDefault="00DF560C" w:rsidP="001F5668">
      <w:pPr>
        <w:spacing w:line="360" w:lineRule="auto"/>
        <w:jc w:val="center"/>
        <w:rPr>
          <w:rFonts w:cs="Calibri"/>
          <w:b/>
          <w:sz w:val="28"/>
          <w:szCs w:val="28"/>
        </w:rPr>
      </w:pPr>
    </w:p>
    <w:p w14:paraId="25127328" w14:textId="77777777" w:rsidR="00D7475B" w:rsidRDefault="00D7475B" w:rsidP="00A957EC">
      <w:pPr>
        <w:spacing w:line="360" w:lineRule="auto"/>
        <w:jc w:val="center"/>
        <w:outlineLvl w:val="0"/>
        <w:rPr>
          <w:rFonts w:cs="Calibri"/>
          <w:b/>
          <w:sz w:val="28"/>
          <w:szCs w:val="28"/>
        </w:rPr>
      </w:pPr>
    </w:p>
    <w:p w14:paraId="5C7D8E90" w14:textId="417D22D6" w:rsidR="001F5668" w:rsidRPr="00D7475B" w:rsidRDefault="001F5668" w:rsidP="00531995">
      <w:pPr>
        <w:pStyle w:val="Heading1"/>
        <w:jc w:val="center"/>
      </w:pPr>
      <w:bookmarkStart w:id="138" w:name="_Toc452316415"/>
      <w:r w:rsidRPr="00DD7315">
        <w:lastRenderedPageBreak/>
        <w:t xml:space="preserve">Appendix </w:t>
      </w:r>
      <w:r w:rsidR="00D27BF7">
        <w:t>5</w:t>
      </w:r>
      <w:r w:rsidRPr="00DD7315">
        <w:t xml:space="preserve"> </w:t>
      </w:r>
      <w:r w:rsidRPr="00D7475B">
        <w:t xml:space="preserve">- </w:t>
      </w:r>
      <w:r w:rsidRPr="00531995">
        <w:t>Consent form</w:t>
      </w:r>
      <w:bookmarkEnd w:id="138"/>
    </w:p>
    <w:p w14:paraId="57D30B45" w14:textId="77777777" w:rsidR="001F5668" w:rsidRDefault="001F5668" w:rsidP="001F5668">
      <w:pPr>
        <w:pStyle w:val="ListParagraph"/>
        <w:ind w:left="360"/>
        <w:rPr>
          <w:sz w:val="24"/>
          <w:szCs w:val="24"/>
        </w:rPr>
      </w:pPr>
    </w:p>
    <w:p w14:paraId="5664318E" w14:textId="77777777" w:rsidR="001F5668" w:rsidRDefault="001F5668" w:rsidP="00A957EC">
      <w:pPr>
        <w:outlineLvl w:val="0"/>
        <w:rPr>
          <w:sz w:val="32"/>
          <w:szCs w:val="32"/>
        </w:rPr>
      </w:pPr>
      <w:bookmarkStart w:id="139" w:name="_Toc450170260"/>
      <w:bookmarkStart w:id="140" w:name="_Toc451866222"/>
      <w:bookmarkStart w:id="141" w:name="_Toc452316416"/>
      <w:r>
        <w:rPr>
          <w:sz w:val="32"/>
          <w:szCs w:val="32"/>
        </w:rPr>
        <w:t>Consent form</w:t>
      </w:r>
      <w:bookmarkEnd w:id="139"/>
      <w:bookmarkEnd w:id="140"/>
      <w:bookmarkEnd w:id="141"/>
      <w:r>
        <w:rPr>
          <w:sz w:val="32"/>
          <w:szCs w:val="32"/>
        </w:rPr>
        <w:t xml:space="preserve"> </w:t>
      </w:r>
    </w:p>
    <w:p w14:paraId="5CCDE61B" w14:textId="77777777" w:rsidR="001F5668" w:rsidRPr="00247619" w:rsidRDefault="001F5668" w:rsidP="001F5668">
      <w:pPr>
        <w:rPr>
          <w:b/>
          <w:sz w:val="24"/>
          <w:szCs w:val="24"/>
        </w:rPr>
      </w:pPr>
      <w:r w:rsidRPr="00446EF3">
        <w:rPr>
          <w:b/>
          <w:sz w:val="24"/>
          <w:szCs w:val="24"/>
        </w:rPr>
        <w:t>The constitution and implementation of the English Baccalaureate: implications for educational equality.</w:t>
      </w:r>
    </w:p>
    <w:p w14:paraId="62018B9F" w14:textId="77777777" w:rsidR="001F5668" w:rsidRDefault="001F5668" w:rsidP="001F5668">
      <w:pPr>
        <w:rPr>
          <w:sz w:val="24"/>
          <w:szCs w:val="24"/>
        </w:rPr>
      </w:pPr>
      <w:r>
        <w:rPr>
          <w:sz w:val="24"/>
          <w:szCs w:val="24"/>
        </w:rPr>
        <w:t>I consent to take part in the research as outlined in the Participant Information sheet. This will involve an interview with Kathryn Hobbs for the purposes of Doctoral research supervised by The University of Sheffield. I also consent to the audio recording of this interview.</w:t>
      </w:r>
    </w:p>
    <w:p w14:paraId="70564F97" w14:textId="77777777" w:rsidR="001F5668" w:rsidRPr="00446938" w:rsidRDefault="001F5668" w:rsidP="001F5668">
      <w:pPr>
        <w:rPr>
          <w:sz w:val="24"/>
          <w:szCs w:val="24"/>
        </w:rPr>
      </w:pPr>
      <w:r>
        <w:rPr>
          <w:sz w:val="24"/>
          <w:szCs w:val="24"/>
        </w:rPr>
        <w:t>I understand that my conversations will be confidential and that the recording will be kept secure and that I, my school, students and LA will be anonymised both in the transcript and in the final write up.</w:t>
      </w:r>
    </w:p>
    <w:p w14:paraId="3A384539" w14:textId="77777777" w:rsidR="001F5668" w:rsidRDefault="001F5668" w:rsidP="001F5668">
      <w:pPr>
        <w:rPr>
          <w:sz w:val="24"/>
          <w:szCs w:val="24"/>
        </w:rPr>
      </w:pPr>
      <w:r>
        <w:rPr>
          <w:sz w:val="24"/>
          <w:szCs w:val="24"/>
        </w:rPr>
        <w:t>I will be provided with a copy of the full transcript.</w:t>
      </w:r>
    </w:p>
    <w:p w14:paraId="1BC46ECE" w14:textId="77777777" w:rsidR="001F5668" w:rsidRDefault="001F5668" w:rsidP="001F5668">
      <w:pPr>
        <w:rPr>
          <w:sz w:val="24"/>
          <w:szCs w:val="24"/>
        </w:rPr>
      </w:pPr>
    </w:p>
    <w:p w14:paraId="59DB992B" w14:textId="77777777" w:rsidR="001F5668" w:rsidRDefault="001F5668" w:rsidP="00A957EC">
      <w:pPr>
        <w:outlineLvl w:val="0"/>
        <w:rPr>
          <w:sz w:val="24"/>
          <w:szCs w:val="24"/>
        </w:rPr>
      </w:pPr>
      <w:bookmarkStart w:id="142" w:name="_Toc450170261"/>
      <w:bookmarkStart w:id="143" w:name="_Toc451866223"/>
      <w:bookmarkStart w:id="144" w:name="_Toc452316417"/>
      <w:r>
        <w:rPr>
          <w:sz w:val="24"/>
          <w:szCs w:val="24"/>
        </w:rPr>
        <w:t>Name</w:t>
      </w:r>
      <w:bookmarkEnd w:id="142"/>
      <w:bookmarkEnd w:id="143"/>
      <w:bookmarkEnd w:id="144"/>
    </w:p>
    <w:p w14:paraId="588FF9A3" w14:textId="77777777" w:rsidR="001F5668" w:rsidRDefault="001F5668" w:rsidP="001F5668">
      <w:pPr>
        <w:rPr>
          <w:sz w:val="24"/>
          <w:szCs w:val="24"/>
        </w:rPr>
      </w:pPr>
    </w:p>
    <w:p w14:paraId="2668B516" w14:textId="77777777" w:rsidR="001F5668" w:rsidRDefault="001F5668" w:rsidP="00A957EC">
      <w:pPr>
        <w:outlineLvl w:val="0"/>
        <w:rPr>
          <w:sz w:val="24"/>
          <w:szCs w:val="24"/>
        </w:rPr>
      </w:pPr>
      <w:bookmarkStart w:id="145" w:name="_Toc450170262"/>
      <w:bookmarkStart w:id="146" w:name="_Toc451866224"/>
      <w:bookmarkStart w:id="147" w:name="_Toc452316418"/>
      <w:r>
        <w:rPr>
          <w:sz w:val="24"/>
          <w:szCs w:val="24"/>
        </w:rPr>
        <w:t>Signed</w:t>
      </w:r>
      <w:bookmarkEnd w:id="145"/>
      <w:bookmarkEnd w:id="146"/>
      <w:bookmarkEnd w:id="147"/>
    </w:p>
    <w:p w14:paraId="19F7E2CA" w14:textId="77777777" w:rsidR="001F5668" w:rsidRDefault="001F5668" w:rsidP="001F5668">
      <w:pPr>
        <w:rPr>
          <w:sz w:val="24"/>
          <w:szCs w:val="24"/>
        </w:rPr>
      </w:pPr>
    </w:p>
    <w:p w14:paraId="55C41209" w14:textId="77777777" w:rsidR="001F5668" w:rsidRDefault="001F5668" w:rsidP="00A957EC">
      <w:pPr>
        <w:outlineLvl w:val="0"/>
        <w:rPr>
          <w:sz w:val="24"/>
          <w:szCs w:val="24"/>
        </w:rPr>
      </w:pPr>
      <w:bookmarkStart w:id="148" w:name="_Toc450170263"/>
      <w:bookmarkStart w:id="149" w:name="_Toc451866225"/>
      <w:bookmarkStart w:id="150" w:name="_Toc452316419"/>
      <w:r>
        <w:rPr>
          <w:sz w:val="24"/>
          <w:szCs w:val="24"/>
        </w:rPr>
        <w:t>Date</w:t>
      </w:r>
      <w:bookmarkEnd w:id="148"/>
      <w:bookmarkEnd w:id="149"/>
      <w:bookmarkEnd w:id="150"/>
    </w:p>
    <w:p w14:paraId="5DF4B504" w14:textId="77777777" w:rsidR="001F5668" w:rsidRDefault="001F5668" w:rsidP="001F5668">
      <w:pPr>
        <w:rPr>
          <w:sz w:val="24"/>
          <w:szCs w:val="24"/>
        </w:rPr>
      </w:pPr>
    </w:p>
    <w:p w14:paraId="0FD13AD0" w14:textId="77777777" w:rsidR="001F5668" w:rsidRPr="00247619" w:rsidRDefault="001F5668" w:rsidP="00A957EC">
      <w:pPr>
        <w:outlineLvl w:val="0"/>
        <w:rPr>
          <w:sz w:val="24"/>
          <w:szCs w:val="24"/>
        </w:rPr>
      </w:pPr>
      <w:bookmarkStart w:id="151" w:name="_Toc450170264"/>
      <w:bookmarkStart w:id="152" w:name="_Toc451866226"/>
      <w:bookmarkStart w:id="153" w:name="_Toc452316420"/>
      <w:r>
        <w:rPr>
          <w:sz w:val="24"/>
          <w:szCs w:val="24"/>
        </w:rPr>
        <w:t>Kathryn Hobbs 24.3.12</w:t>
      </w:r>
      <w:bookmarkEnd w:id="151"/>
      <w:bookmarkEnd w:id="152"/>
      <w:bookmarkEnd w:id="153"/>
    </w:p>
    <w:p w14:paraId="68CA07AA" w14:textId="77777777" w:rsidR="001F5668" w:rsidRDefault="001F5668" w:rsidP="001F5668">
      <w:pPr>
        <w:pStyle w:val="ListParagraph"/>
        <w:ind w:left="360"/>
        <w:rPr>
          <w:sz w:val="24"/>
          <w:szCs w:val="24"/>
        </w:rPr>
      </w:pPr>
    </w:p>
    <w:p w14:paraId="2994F740" w14:textId="77777777" w:rsidR="001F5668" w:rsidRPr="00FF75C4" w:rsidRDefault="001F5668" w:rsidP="001F5668">
      <w:pPr>
        <w:pStyle w:val="ListParagraph"/>
        <w:ind w:left="360"/>
        <w:rPr>
          <w:sz w:val="24"/>
          <w:szCs w:val="24"/>
        </w:rPr>
      </w:pPr>
    </w:p>
    <w:p w14:paraId="2A8B08C1" w14:textId="4D74CFF3" w:rsidR="001F5668" w:rsidRDefault="001F5668">
      <w:pPr>
        <w:spacing w:after="0" w:line="240" w:lineRule="auto"/>
      </w:pPr>
      <w:r>
        <w:br w:type="page"/>
      </w:r>
    </w:p>
    <w:p w14:paraId="49A7166F" w14:textId="119E6C59" w:rsidR="001F5668" w:rsidRPr="00F70360" w:rsidRDefault="001F5668" w:rsidP="00531995">
      <w:pPr>
        <w:pStyle w:val="Heading1"/>
        <w:jc w:val="center"/>
        <w:rPr>
          <w:sz w:val="24"/>
          <w:szCs w:val="24"/>
        </w:rPr>
      </w:pPr>
      <w:bookmarkStart w:id="154" w:name="_Toc452316421"/>
      <w:r w:rsidRPr="00A957EC">
        <w:lastRenderedPageBreak/>
        <w:t xml:space="preserve">Appendix </w:t>
      </w:r>
      <w:r w:rsidR="00D27BF7" w:rsidRPr="00A957EC">
        <w:t>6</w:t>
      </w:r>
      <w:r w:rsidRPr="00F70360">
        <w:rPr>
          <w:szCs w:val="28"/>
        </w:rPr>
        <w:t xml:space="preserve"> -</w:t>
      </w:r>
      <w:r>
        <w:rPr>
          <w:sz w:val="24"/>
          <w:szCs w:val="24"/>
        </w:rPr>
        <w:t xml:space="preserve"> </w:t>
      </w:r>
      <w:r w:rsidRPr="00A957EC">
        <w:t>Interview questions</w:t>
      </w:r>
      <w:bookmarkEnd w:id="154"/>
    </w:p>
    <w:p w14:paraId="6EB0AE27" w14:textId="77777777" w:rsidR="001F5668" w:rsidRPr="00800F60" w:rsidRDefault="001F5668" w:rsidP="00A957EC">
      <w:pPr>
        <w:spacing w:line="360" w:lineRule="auto"/>
        <w:outlineLvl w:val="0"/>
        <w:rPr>
          <w:b/>
        </w:rPr>
      </w:pPr>
      <w:bookmarkStart w:id="155" w:name="_Toc451866228"/>
      <w:bookmarkStart w:id="156" w:name="_Toc452316422"/>
      <w:r w:rsidRPr="00800F60">
        <w:rPr>
          <w:b/>
        </w:rPr>
        <w:t xml:space="preserve">Deputy Head </w:t>
      </w:r>
      <w:r>
        <w:rPr>
          <w:b/>
        </w:rPr>
        <w:t>–</w:t>
      </w:r>
      <w:r w:rsidRPr="00800F60">
        <w:rPr>
          <w:b/>
        </w:rPr>
        <w:t xml:space="preserve"> Curriculum</w:t>
      </w:r>
      <w:r>
        <w:rPr>
          <w:b/>
        </w:rPr>
        <w:t xml:space="preserve"> questions</w:t>
      </w:r>
      <w:bookmarkEnd w:id="155"/>
      <w:bookmarkEnd w:id="156"/>
    </w:p>
    <w:p w14:paraId="0B15F533" w14:textId="2754432E" w:rsidR="001F5668" w:rsidRDefault="001F5668" w:rsidP="001F5668">
      <w:pPr>
        <w:pStyle w:val="ListParagraph"/>
        <w:numPr>
          <w:ilvl w:val="0"/>
          <w:numId w:val="14"/>
        </w:numPr>
        <w:rPr>
          <w:i/>
        </w:rPr>
      </w:pPr>
      <w:r w:rsidRPr="00A46B97">
        <w:rPr>
          <w:i/>
        </w:rPr>
        <w:t>(Suggestion to begin with non-controversial questions framed in the present tense, focusing on experiences/behaviour</w:t>
      </w:r>
      <w:r>
        <w:rPr>
          <w:i/>
        </w:rPr>
        <w:t xml:space="preserve"> Patton 1994</w:t>
      </w:r>
      <w:r w:rsidRPr="00A46B97">
        <w:rPr>
          <w:i/>
        </w:rPr>
        <w:t>).</w:t>
      </w:r>
    </w:p>
    <w:p w14:paraId="646C4FB6" w14:textId="66A1F867" w:rsidR="001F5668" w:rsidRPr="00313BF0" w:rsidRDefault="001F5668" w:rsidP="001F5668">
      <w:pPr>
        <w:pStyle w:val="ListParagraph"/>
        <w:rPr>
          <w:i/>
        </w:rPr>
      </w:pPr>
      <w:r>
        <w:t xml:space="preserve">Please could you briefly describe your school, students and community? </w:t>
      </w:r>
    </w:p>
    <w:p w14:paraId="2A3ADD13" w14:textId="77777777" w:rsidR="001F5668" w:rsidRPr="007C39F9" w:rsidRDefault="001F5668" w:rsidP="001F5668">
      <w:pPr>
        <w:pStyle w:val="ListParagraph"/>
        <w:numPr>
          <w:ilvl w:val="1"/>
          <w:numId w:val="14"/>
        </w:numPr>
        <w:rPr>
          <w:i/>
        </w:rPr>
      </w:pPr>
      <w:r w:rsidRPr="007C39F9">
        <w:rPr>
          <w:i/>
        </w:rPr>
        <w:t>To focus on size of school, cohort breakdown and majority catchment. As well as to allow the interviewee to set out their own description and account of their school.</w:t>
      </w:r>
    </w:p>
    <w:p w14:paraId="2F3FE138" w14:textId="77777777" w:rsidR="001F5668" w:rsidRPr="00313BF0" w:rsidRDefault="001F5668" w:rsidP="001F5668">
      <w:pPr>
        <w:rPr>
          <w:i/>
        </w:rPr>
      </w:pPr>
    </w:p>
    <w:p w14:paraId="40AFE77A" w14:textId="77777777" w:rsidR="001F5668" w:rsidRPr="00313BF0" w:rsidRDefault="001F5668" w:rsidP="001F5668">
      <w:pPr>
        <w:pStyle w:val="ListParagraph"/>
        <w:numPr>
          <w:ilvl w:val="0"/>
          <w:numId w:val="14"/>
        </w:numPr>
        <w:rPr>
          <w:i/>
        </w:rPr>
      </w:pPr>
      <w:r>
        <w:t>Please could you tell me about the curriculum on offer within your school?</w:t>
      </w:r>
    </w:p>
    <w:p w14:paraId="37500DC2" w14:textId="6EC36633" w:rsidR="001F5668" w:rsidRDefault="001F5668" w:rsidP="001F5668">
      <w:pPr>
        <w:pStyle w:val="ListParagraph"/>
        <w:numPr>
          <w:ilvl w:val="0"/>
          <w:numId w:val="18"/>
        </w:numPr>
      </w:pPr>
      <w:r>
        <w:t>Prompt to ensure that some mention is made of Key Stage 3, 4 and</w:t>
      </w:r>
      <w:r w:rsidR="004E082E">
        <w:t>,</w:t>
      </w:r>
      <w:r>
        <w:t xml:space="preserve"> where relevant</w:t>
      </w:r>
      <w:r w:rsidR="004E082E">
        <w:t>,</w:t>
      </w:r>
      <w:r>
        <w:t xml:space="preserve"> Sixth </w:t>
      </w:r>
      <w:r w:rsidR="004E082E">
        <w:t>F</w:t>
      </w:r>
      <w:r>
        <w:t>orm.</w:t>
      </w:r>
    </w:p>
    <w:p w14:paraId="152CAE89" w14:textId="77777777" w:rsidR="001F5668" w:rsidRDefault="001F5668" w:rsidP="001F5668">
      <w:pPr>
        <w:pStyle w:val="ListParagraph"/>
        <w:numPr>
          <w:ilvl w:val="0"/>
          <w:numId w:val="18"/>
        </w:numPr>
      </w:pPr>
      <w:r>
        <w:t>Prompt to ensure that a full understanding of the subject choice - academic and vocational offer is gained.</w:t>
      </w:r>
    </w:p>
    <w:p w14:paraId="6E307630" w14:textId="77777777" w:rsidR="001F5668" w:rsidRDefault="001F5668" w:rsidP="001F5668">
      <w:pPr>
        <w:pStyle w:val="ListParagraph"/>
        <w:numPr>
          <w:ilvl w:val="0"/>
          <w:numId w:val="18"/>
        </w:numPr>
      </w:pPr>
      <w:r>
        <w:t>Underlying principles behind KS4 curriculum? E.g. freedom of choice, blocks, one humanity, all top set do Languages etc.</w:t>
      </w:r>
    </w:p>
    <w:p w14:paraId="54330706" w14:textId="77777777" w:rsidR="001F5668" w:rsidRDefault="001F5668" w:rsidP="001F5668">
      <w:pPr>
        <w:pStyle w:val="ListParagraph"/>
        <w:ind w:left="1080"/>
      </w:pPr>
    </w:p>
    <w:p w14:paraId="44A1471F" w14:textId="77777777" w:rsidR="001F5668" w:rsidRDefault="001F5668" w:rsidP="001F5668">
      <w:pPr>
        <w:pStyle w:val="ListParagraph"/>
        <w:ind w:left="1080"/>
      </w:pPr>
    </w:p>
    <w:p w14:paraId="7A325736" w14:textId="77777777" w:rsidR="001F5668" w:rsidRDefault="001F5668" w:rsidP="001F5668">
      <w:pPr>
        <w:pStyle w:val="ListParagraph"/>
        <w:numPr>
          <w:ilvl w:val="0"/>
          <w:numId w:val="14"/>
        </w:numPr>
      </w:pPr>
      <w:r>
        <w:t>At aged 16 and 18 what are the usual destinations of your students?</w:t>
      </w:r>
    </w:p>
    <w:p w14:paraId="7848A27B" w14:textId="77777777" w:rsidR="001F5668" w:rsidRPr="00A46B97" w:rsidRDefault="001F5668" w:rsidP="001F5668">
      <w:pPr>
        <w:pStyle w:val="ListParagraph"/>
      </w:pPr>
    </w:p>
    <w:p w14:paraId="158E503B" w14:textId="77777777" w:rsidR="001F5668" w:rsidRDefault="001F5668" w:rsidP="001F5668">
      <w:pPr>
        <w:pStyle w:val="ListParagraph"/>
        <w:ind w:left="360"/>
      </w:pPr>
      <w:r>
        <w:t>The EBac was part of the 2010 White Paper, The Importance of Teaching, the first Coalition Government policy announcement.</w:t>
      </w:r>
    </w:p>
    <w:p w14:paraId="0FA8B18A" w14:textId="77777777" w:rsidR="001F5668" w:rsidRDefault="001F5668" w:rsidP="001F5668">
      <w:pPr>
        <w:pStyle w:val="ListParagraph"/>
        <w:ind w:left="360"/>
      </w:pPr>
    </w:p>
    <w:p w14:paraId="55AFC742" w14:textId="77777777" w:rsidR="001F5668" w:rsidRDefault="001F5668" w:rsidP="001F5668">
      <w:pPr>
        <w:pStyle w:val="ListParagraph"/>
        <w:numPr>
          <w:ilvl w:val="0"/>
          <w:numId w:val="14"/>
        </w:numPr>
      </w:pPr>
      <w:r>
        <w:t>Please could you describe to me how the EBac initial announcement a) was regarded by your school?</w:t>
      </w:r>
    </w:p>
    <w:p w14:paraId="537C1DCB" w14:textId="77777777" w:rsidR="001F5668" w:rsidRDefault="001F5668" w:rsidP="001F5668">
      <w:pPr>
        <w:pStyle w:val="ListParagraph"/>
      </w:pPr>
    </w:p>
    <w:p w14:paraId="5B8FE763" w14:textId="77777777" w:rsidR="001F5668" w:rsidRDefault="001F5668" w:rsidP="001F5668">
      <w:pPr>
        <w:pStyle w:val="ListParagraph"/>
        <w:numPr>
          <w:ilvl w:val="0"/>
          <w:numId w:val="14"/>
        </w:numPr>
      </w:pPr>
      <w:r>
        <w:t xml:space="preserve"> b)</w:t>
      </w:r>
      <w:r w:rsidRPr="00E707C8">
        <w:t xml:space="preserve"> </w:t>
      </w:r>
      <w:r>
        <w:t>Please could you describe to me how the EBac initial announcement impacted on your school and curriculum in 2010/?</w:t>
      </w:r>
    </w:p>
    <w:p w14:paraId="3AAC975C" w14:textId="77777777" w:rsidR="001F5668" w:rsidRDefault="001F5668" w:rsidP="001F5668">
      <w:pPr>
        <w:pStyle w:val="ListParagraph"/>
      </w:pPr>
    </w:p>
    <w:p w14:paraId="0A376876" w14:textId="77777777" w:rsidR="001F5668" w:rsidRDefault="001F5668" w:rsidP="001F5668">
      <w:pPr>
        <w:pStyle w:val="ListParagraph"/>
        <w:numPr>
          <w:ilvl w:val="0"/>
          <w:numId w:val="14"/>
        </w:numPr>
      </w:pPr>
      <w:r>
        <w:t>How did the retrospective measure of the EBac impact on your results for 2010 when the EBac measure was applied to your school results at a point when the EBac did not exist when the students had chosen their options?</w:t>
      </w:r>
    </w:p>
    <w:p w14:paraId="0AAF27A6" w14:textId="77777777" w:rsidR="001F5668" w:rsidRDefault="001F5668" w:rsidP="001F5668">
      <w:pPr>
        <w:pStyle w:val="ListParagraph"/>
      </w:pPr>
    </w:p>
    <w:p w14:paraId="7C90C84B" w14:textId="77777777" w:rsidR="001F5668" w:rsidRDefault="001F5668" w:rsidP="001F5668">
      <w:pPr>
        <w:pStyle w:val="ListParagraph"/>
        <w:numPr>
          <w:ilvl w:val="0"/>
          <w:numId w:val="19"/>
        </w:numPr>
        <w:ind w:left="1080"/>
      </w:pPr>
      <w:r>
        <w:t>How did you feel about this?</w:t>
      </w:r>
    </w:p>
    <w:p w14:paraId="5960DFE7" w14:textId="77777777" w:rsidR="001F5668" w:rsidRDefault="001F5668" w:rsidP="001F5668">
      <w:pPr>
        <w:pStyle w:val="ListParagraph"/>
        <w:numPr>
          <w:ilvl w:val="0"/>
          <w:numId w:val="19"/>
        </w:numPr>
        <w:ind w:left="1080"/>
      </w:pPr>
      <w:r>
        <w:t xml:space="preserve"> How did you respond to this?? </w:t>
      </w:r>
    </w:p>
    <w:p w14:paraId="747A8817" w14:textId="77777777" w:rsidR="001F5668" w:rsidRDefault="001F5668" w:rsidP="001F5668">
      <w:pPr>
        <w:pStyle w:val="ListParagraph"/>
      </w:pPr>
    </w:p>
    <w:p w14:paraId="1BC3DF22" w14:textId="77777777" w:rsidR="001F5668" w:rsidRDefault="001F5668" w:rsidP="001F5668">
      <w:pPr>
        <w:pStyle w:val="ListParagraph"/>
      </w:pPr>
    </w:p>
    <w:p w14:paraId="4453C9BB" w14:textId="77777777" w:rsidR="001F5668" w:rsidRDefault="001F5668" w:rsidP="001F5668">
      <w:pPr>
        <w:pStyle w:val="ListParagraph"/>
        <w:numPr>
          <w:ilvl w:val="0"/>
          <w:numId w:val="14"/>
        </w:numPr>
      </w:pPr>
      <w:r>
        <w:t xml:space="preserve">How did the EBac initially impact on your curriculum/school? </w:t>
      </w:r>
    </w:p>
    <w:p w14:paraId="5D6EF57B" w14:textId="77777777" w:rsidR="001F5668" w:rsidRDefault="001F5668" w:rsidP="001F5668">
      <w:pPr>
        <w:pStyle w:val="ListParagraph"/>
      </w:pPr>
      <w:r>
        <w:t>Focus on 2011 curriculum offer and selection.</w:t>
      </w:r>
    </w:p>
    <w:p w14:paraId="04CC54C4" w14:textId="77777777" w:rsidR="001F5668" w:rsidRDefault="001F5668" w:rsidP="001F5668">
      <w:pPr>
        <w:pStyle w:val="ListParagraph"/>
      </w:pPr>
    </w:p>
    <w:p w14:paraId="2DDC97F4" w14:textId="77777777" w:rsidR="001F5668" w:rsidRDefault="001F5668" w:rsidP="001F5668">
      <w:pPr>
        <w:pStyle w:val="ListParagraph"/>
        <w:numPr>
          <w:ilvl w:val="1"/>
          <w:numId w:val="14"/>
        </w:numPr>
      </w:pPr>
      <w:r>
        <w:t>How did you present/ explain the EBac to Year 9 students and parents?</w:t>
      </w:r>
    </w:p>
    <w:p w14:paraId="02BE40B0" w14:textId="77777777" w:rsidR="001F5668" w:rsidRDefault="001F5668" w:rsidP="001F5668">
      <w:pPr>
        <w:pStyle w:val="ListParagraph"/>
        <w:numPr>
          <w:ilvl w:val="1"/>
          <w:numId w:val="14"/>
        </w:numPr>
      </w:pPr>
      <w:r>
        <w:lastRenderedPageBreak/>
        <w:t>What was the student/ parent reaction?</w:t>
      </w:r>
    </w:p>
    <w:p w14:paraId="57C459A2" w14:textId="77777777" w:rsidR="001F5668" w:rsidRDefault="001F5668" w:rsidP="001F5668">
      <w:pPr>
        <w:pStyle w:val="ListParagraph"/>
        <w:numPr>
          <w:ilvl w:val="1"/>
          <w:numId w:val="14"/>
        </w:numPr>
      </w:pPr>
      <w:r>
        <w:t>Explore number of Year 9s choosing individual EBac subjects (as seen by the number of groups and class sizes) and percentage passing EBac in 2010</w:t>
      </w:r>
    </w:p>
    <w:p w14:paraId="22AF7073" w14:textId="77777777" w:rsidR="001F5668" w:rsidRDefault="001F5668" w:rsidP="001F5668">
      <w:pPr>
        <w:pStyle w:val="ListParagraph"/>
        <w:numPr>
          <w:ilvl w:val="1"/>
          <w:numId w:val="14"/>
        </w:numPr>
      </w:pPr>
      <w:r>
        <w:t>Focus on any changes in curriculum or curriculum organisation and why?</w:t>
      </w:r>
    </w:p>
    <w:p w14:paraId="3F79B907" w14:textId="77777777" w:rsidR="001F5668" w:rsidRDefault="001F5668" w:rsidP="001F5668">
      <w:pPr>
        <w:pStyle w:val="ListParagraph"/>
      </w:pPr>
    </w:p>
    <w:p w14:paraId="3BBC25CC" w14:textId="77777777" w:rsidR="001F5668" w:rsidRDefault="001F5668" w:rsidP="001F5668">
      <w:pPr>
        <w:pStyle w:val="ListParagraph"/>
      </w:pPr>
    </w:p>
    <w:p w14:paraId="3C02DE4C" w14:textId="77777777" w:rsidR="001F5668" w:rsidRDefault="001F5668" w:rsidP="001F5668">
      <w:pPr>
        <w:pStyle w:val="ListParagraph"/>
        <w:numPr>
          <w:ilvl w:val="0"/>
          <w:numId w:val="14"/>
        </w:numPr>
      </w:pPr>
      <w:r>
        <w:t xml:space="preserve">How has the impact of the EBac being felt since? </w:t>
      </w:r>
    </w:p>
    <w:p w14:paraId="5516E59F" w14:textId="77777777" w:rsidR="001F5668" w:rsidRDefault="001F5668" w:rsidP="001F5668">
      <w:pPr>
        <w:pStyle w:val="ListParagraph"/>
        <w:numPr>
          <w:ilvl w:val="1"/>
          <w:numId w:val="14"/>
        </w:numPr>
      </w:pPr>
      <w:r>
        <w:t>Any changes over time? Curriculum, school, option choices, parental requests, student awareness, pressure on HoD?</w:t>
      </w:r>
    </w:p>
    <w:p w14:paraId="6A73E0B2" w14:textId="77777777" w:rsidR="001F5668" w:rsidRPr="00877248" w:rsidRDefault="001F5668" w:rsidP="001F5668">
      <w:pPr>
        <w:pStyle w:val="ListParagraph"/>
        <w:numPr>
          <w:ilvl w:val="1"/>
          <w:numId w:val="14"/>
        </w:numPr>
        <w:rPr>
          <w:i/>
        </w:rPr>
      </w:pPr>
      <w:r>
        <w:t>Discuss the percentages of EBac passes 2010, 2011 and 2012 + current percentage of Y11 and Y10 and possibly Y9 if this figure is now known who are taking the EBac</w:t>
      </w:r>
      <w:r w:rsidRPr="00877248">
        <w:rPr>
          <w:i/>
        </w:rPr>
        <w:t>. I will ask for a copy of any results in written form for later reference.</w:t>
      </w:r>
    </w:p>
    <w:p w14:paraId="7A8007FE" w14:textId="77777777" w:rsidR="001F5668" w:rsidRDefault="001F5668" w:rsidP="001F5668">
      <w:pPr>
        <w:pStyle w:val="ListParagraph"/>
        <w:numPr>
          <w:ilvl w:val="1"/>
          <w:numId w:val="14"/>
        </w:numPr>
      </w:pPr>
      <w:r>
        <w:t>Focus on vocational offer and any changes to this either linked to the EBac or more generally to changes in Performance Tables and Performance measures.</w:t>
      </w:r>
    </w:p>
    <w:p w14:paraId="1CBF9ABB" w14:textId="77777777" w:rsidR="001F5668" w:rsidRDefault="001F5668" w:rsidP="001F5668">
      <w:pPr>
        <w:pStyle w:val="ListParagraph"/>
        <w:numPr>
          <w:ilvl w:val="1"/>
          <w:numId w:val="14"/>
        </w:numPr>
      </w:pPr>
      <w:r>
        <w:t>Any particular pressures on the school caused by the EBac e.g. recruitment of staff for certain subjects, redundancy, variation of staff within EBac subjects and across all subjects etc.</w:t>
      </w:r>
    </w:p>
    <w:p w14:paraId="7D9FAA5B" w14:textId="77777777" w:rsidR="001F5668" w:rsidRDefault="001F5668" w:rsidP="001F5668">
      <w:pPr>
        <w:pStyle w:val="ListParagraph"/>
      </w:pPr>
    </w:p>
    <w:p w14:paraId="71576EA0" w14:textId="77777777" w:rsidR="001F5668" w:rsidRDefault="001F5668" w:rsidP="001F5668">
      <w:pPr>
        <w:pStyle w:val="ListParagraph"/>
        <w:numPr>
          <w:ilvl w:val="0"/>
          <w:numId w:val="14"/>
        </w:numPr>
      </w:pPr>
      <w:r>
        <w:t>Everything that you say to me will remain confidential as I am very interested in how these changes were regarded by the school (Head/ SLT/ ethos and values of the school)?</w:t>
      </w:r>
    </w:p>
    <w:p w14:paraId="423BDCD9" w14:textId="77777777" w:rsidR="001F5668" w:rsidRDefault="001F5668" w:rsidP="001F5668">
      <w:pPr>
        <w:pStyle w:val="ListParagraph"/>
      </w:pPr>
    </w:p>
    <w:p w14:paraId="0D9439E4" w14:textId="77777777" w:rsidR="001F5668" w:rsidRDefault="001F5668" w:rsidP="001F5668">
      <w:pPr>
        <w:pStyle w:val="ListParagraph"/>
        <w:numPr>
          <w:ilvl w:val="0"/>
          <w:numId w:val="14"/>
        </w:numPr>
      </w:pPr>
      <w:r>
        <w:t>And how do you feel about these changes?</w:t>
      </w:r>
    </w:p>
    <w:p w14:paraId="0A7D9721" w14:textId="77777777" w:rsidR="001F5668" w:rsidRDefault="001F5668" w:rsidP="001F5668">
      <w:pPr>
        <w:pStyle w:val="ListParagraph"/>
      </w:pPr>
    </w:p>
    <w:p w14:paraId="0F1B826A" w14:textId="77777777" w:rsidR="001F5668" w:rsidRDefault="001F5668" w:rsidP="001F5668">
      <w:pPr>
        <w:pStyle w:val="ListParagraph"/>
        <w:numPr>
          <w:ilvl w:val="0"/>
          <w:numId w:val="14"/>
        </w:numPr>
      </w:pPr>
      <w:r>
        <w:t>How has the EBac impacted on your departments?</w:t>
      </w:r>
    </w:p>
    <w:p w14:paraId="2D66E38B" w14:textId="77777777" w:rsidR="001F5668" w:rsidRDefault="001F5668" w:rsidP="001F5668">
      <w:pPr>
        <w:pStyle w:val="ListParagraph"/>
      </w:pPr>
    </w:p>
    <w:p w14:paraId="5F340677" w14:textId="77777777" w:rsidR="001F5668" w:rsidRDefault="001F5668" w:rsidP="001F5668">
      <w:pPr>
        <w:pStyle w:val="ListParagraph"/>
        <w:numPr>
          <w:ilvl w:val="1"/>
          <w:numId w:val="14"/>
        </w:numPr>
      </w:pPr>
      <w:r>
        <w:t>Ensure discuss impact on EBac departments and non-EBac departments.</w:t>
      </w:r>
    </w:p>
    <w:p w14:paraId="69E8DB32" w14:textId="77777777" w:rsidR="001F5668" w:rsidRDefault="001F5668" w:rsidP="001F5668">
      <w:pPr>
        <w:pStyle w:val="ListParagraph"/>
        <w:numPr>
          <w:ilvl w:val="1"/>
          <w:numId w:val="14"/>
        </w:numPr>
      </w:pPr>
      <w:r>
        <w:t>Relationship between departments to be explored.</w:t>
      </w:r>
    </w:p>
    <w:p w14:paraId="252DF072" w14:textId="77777777" w:rsidR="001F5668" w:rsidRDefault="001F5668" w:rsidP="001F5668">
      <w:pPr>
        <w:pStyle w:val="ListParagraph"/>
        <w:numPr>
          <w:ilvl w:val="1"/>
          <w:numId w:val="14"/>
        </w:numPr>
      </w:pPr>
      <w:r>
        <w:t>Individual department issues to be explored. To focus on equality issues.</w:t>
      </w:r>
    </w:p>
    <w:p w14:paraId="6E6E12BD" w14:textId="77777777" w:rsidR="001F5668" w:rsidRDefault="001F5668" w:rsidP="001F5668">
      <w:pPr>
        <w:pStyle w:val="ListParagraph"/>
      </w:pPr>
    </w:p>
    <w:p w14:paraId="0FD1C7E3" w14:textId="77777777" w:rsidR="001F5668" w:rsidRDefault="001F5668" w:rsidP="001F5668">
      <w:pPr>
        <w:pStyle w:val="ListParagraph"/>
        <w:numPr>
          <w:ilvl w:val="0"/>
          <w:numId w:val="14"/>
        </w:numPr>
      </w:pPr>
      <w:r>
        <w:t>How has the EBac impacted on your students?</w:t>
      </w:r>
    </w:p>
    <w:p w14:paraId="7DEE003D" w14:textId="77777777" w:rsidR="001F5668" w:rsidRDefault="001F5668" w:rsidP="001F5668">
      <w:pPr>
        <w:pStyle w:val="ListParagraph"/>
      </w:pPr>
    </w:p>
    <w:p w14:paraId="2E8C2DE1" w14:textId="77777777" w:rsidR="001F5668" w:rsidRDefault="001F5668" w:rsidP="001F5668">
      <w:pPr>
        <w:pStyle w:val="ListParagraph"/>
        <w:numPr>
          <w:ilvl w:val="1"/>
          <w:numId w:val="14"/>
        </w:numPr>
      </w:pPr>
      <w:r>
        <w:t>What has been student reaction to the EBac?</w:t>
      </w:r>
    </w:p>
    <w:p w14:paraId="52C8E52F" w14:textId="77777777" w:rsidR="001F5668" w:rsidRDefault="001F5668" w:rsidP="001F5668">
      <w:pPr>
        <w:pStyle w:val="ListParagraph"/>
        <w:numPr>
          <w:ilvl w:val="1"/>
          <w:numId w:val="14"/>
        </w:numPr>
      </w:pPr>
      <w:r>
        <w:t>Parent reaction?</w:t>
      </w:r>
    </w:p>
    <w:p w14:paraId="000D0AC1" w14:textId="77777777" w:rsidR="001F5668" w:rsidRDefault="001F5668" w:rsidP="001F5668">
      <w:pPr>
        <w:pStyle w:val="ListParagraph"/>
        <w:numPr>
          <w:ilvl w:val="1"/>
          <w:numId w:val="14"/>
        </w:numPr>
      </w:pPr>
      <w:r>
        <w:t>How relevant is the EBac for your students? Reasons for irrelevance/relevance?</w:t>
      </w:r>
    </w:p>
    <w:p w14:paraId="0F6236F4" w14:textId="77777777" w:rsidR="001F5668" w:rsidRDefault="001F5668" w:rsidP="001F5668">
      <w:pPr>
        <w:pStyle w:val="ListParagraph"/>
        <w:numPr>
          <w:ilvl w:val="1"/>
          <w:numId w:val="14"/>
        </w:numPr>
      </w:pPr>
      <w:r>
        <w:t>Any cohort variation e.g. gender, ethnicity, FSM, Pupil Premium</w:t>
      </w:r>
    </w:p>
    <w:p w14:paraId="45E2E1E5" w14:textId="77777777" w:rsidR="001F5668" w:rsidRDefault="001F5668" w:rsidP="001F5668">
      <w:pPr>
        <w:pStyle w:val="ListParagraph"/>
        <w:numPr>
          <w:ilvl w:val="1"/>
          <w:numId w:val="14"/>
        </w:numPr>
      </w:pPr>
      <w:r>
        <w:t>Impact on different cohorts</w:t>
      </w:r>
    </w:p>
    <w:p w14:paraId="2C00D89E" w14:textId="77777777" w:rsidR="001F5668" w:rsidRDefault="001F5668" w:rsidP="001F5668">
      <w:pPr>
        <w:pStyle w:val="ListParagraph"/>
        <w:numPr>
          <w:ilvl w:val="1"/>
          <w:numId w:val="14"/>
        </w:numPr>
      </w:pPr>
      <w:r>
        <w:t>Barriers to taking/ passing EBac</w:t>
      </w:r>
    </w:p>
    <w:p w14:paraId="3782DF2B" w14:textId="77777777" w:rsidR="001F5668" w:rsidRDefault="001F5668" w:rsidP="001F5668">
      <w:pPr>
        <w:pStyle w:val="ListParagraph"/>
        <w:numPr>
          <w:ilvl w:val="1"/>
          <w:numId w:val="14"/>
        </w:numPr>
      </w:pPr>
      <w:r>
        <w:t>Follow up any equality issues mentioned.</w:t>
      </w:r>
    </w:p>
    <w:p w14:paraId="32B8502F" w14:textId="77777777" w:rsidR="001F5668" w:rsidRDefault="001F5668" w:rsidP="001F5668">
      <w:pPr>
        <w:pStyle w:val="ListParagraph"/>
        <w:ind w:left="1440"/>
      </w:pPr>
    </w:p>
    <w:p w14:paraId="63E8F390" w14:textId="77777777" w:rsidR="001F5668" w:rsidRPr="00D7137E" w:rsidRDefault="001F5668" w:rsidP="001F5668">
      <w:pPr>
        <w:pStyle w:val="ListParagraph"/>
        <w:numPr>
          <w:ilvl w:val="0"/>
          <w:numId w:val="14"/>
        </w:numPr>
        <w:rPr>
          <w:i/>
        </w:rPr>
      </w:pPr>
      <w:r>
        <w:t xml:space="preserve">How has the EBac impacted on you in your role as subject teacher, school leader and Head of Curriculum? </w:t>
      </w:r>
      <w:r w:rsidRPr="00D7137E">
        <w:rPr>
          <w:i/>
        </w:rPr>
        <w:t>Use this question to ask some demographic questions e.g. length of time in post? Own curriculum background and teaching subject?</w:t>
      </w:r>
      <w:r>
        <w:rPr>
          <w:i/>
        </w:rPr>
        <w:t xml:space="preserve"> Career path? Personal attitudes </w:t>
      </w:r>
      <w:r>
        <w:rPr>
          <w:i/>
        </w:rPr>
        <w:lastRenderedPageBreak/>
        <w:t>and values. Probe where they stand re equality issues and how they rationalise/ justify their positions.</w:t>
      </w:r>
    </w:p>
    <w:p w14:paraId="7AD4C901" w14:textId="77777777" w:rsidR="001F5668" w:rsidRDefault="001F5668" w:rsidP="001F5668">
      <w:pPr>
        <w:pStyle w:val="ListParagraph"/>
        <w:ind w:left="1440"/>
      </w:pPr>
    </w:p>
    <w:p w14:paraId="50302891" w14:textId="77777777" w:rsidR="001F5668" w:rsidRDefault="001F5668" w:rsidP="001F5668">
      <w:pPr>
        <w:pStyle w:val="ListParagraph"/>
        <w:numPr>
          <w:ilvl w:val="0"/>
          <w:numId w:val="14"/>
        </w:numPr>
      </w:pPr>
      <w:r>
        <w:t>What are your thoughts on the EBac subjects as a curriculum for your children? (not as a performance measure)</w:t>
      </w:r>
    </w:p>
    <w:p w14:paraId="62913098" w14:textId="77777777" w:rsidR="001F5668" w:rsidRDefault="001F5668" w:rsidP="001F5668">
      <w:pPr>
        <w:pStyle w:val="ListParagraph"/>
        <w:numPr>
          <w:ilvl w:val="1"/>
          <w:numId w:val="14"/>
        </w:numPr>
      </w:pPr>
      <w:r>
        <w:t>Explore if this is regarded as a broad and balanced curriculum?</w:t>
      </w:r>
    </w:p>
    <w:p w14:paraId="770222F6" w14:textId="77777777" w:rsidR="001F5668" w:rsidRDefault="001F5668" w:rsidP="001F5668">
      <w:pPr>
        <w:pStyle w:val="ListParagraph"/>
        <w:numPr>
          <w:ilvl w:val="1"/>
          <w:numId w:val="14"/>
        </w:numPr>
      </w:pPr>
      <w:r>
        <w:t>Explore notion of core curriculum.</w:t>
      </w:r>
    </w:p>
    <w:p w14:paraId="28043F37" w14:textId="77777777" w:rsidR="001F5668" w:rsidRDefault="001F5668" w:rsidP="001F5668">
      <w:pPr>
        <w:pStyle w:val="ListParagraph"/>
        <w:numPr>
          <w:ilvl w:val="1"/>
          <w:numId w:val="14"/>
        </w:numPr>
      </w:pPr>
      <w:r>
        <w:t>What would their school ethos and culture regard as appropriate for your children?</w:t>
      </w:r>
    </w:p>
    <w:p w14:paraId="45F9E098" w14:textId="77777777" w:rsidR="001F5668" w:rsidRDefault="001F5668" w:rsidP="001F5668">
      <w:pPr>
        <w:pStyle w:val="ListParagraph"/>
        <w:numPr>
          <w:ilvl w:val="1"/>
          <w:numId w:val="14"/>
        </w:numPr>
      </w:pPr>
      <w:r>
        <w:t>What would they personally regard as appropriate for their children?</w:t>
      </w:r>
    </w:p>
    <w:p w14:paraId="1E2A093A" w14:textId="77777777" w:rsidR="001F5668" w:rsidRDefault="001F5668" w:rsidP="001F5668">
      <w:pPr>
        <w:pStyle w:val="ListParagraph"/>
        <w:ind w:left="1440"/>
      </w:pPr>
    </w:p>
    <w:p w14:paraId="4DB0C006" w14:textId="77777777" w:rsidR="001F5668" w:rsidRDefault="001F5668" w:rsidP="001F5668">
      <w:pPr>
        <w:pStyle w:val="ListParagraph"/>
        <w:numPr>
          <w:ilvl w:val="0"/>
          <w:numId w:val="14"/>
        </w:numPr>
      </w:pPr>
      <w:r>
        <w:t>Has the EBac or other recent curriculum changes had any impact on the likely pathways of students at 16 and post 16?</w:t>
      </w:r>
    </w:p>
    <w:p w14:paraId="10C38ABD" w14:textId="77777777" w:rsidR="001F5668" w:rsidRDefault="001F5668" w:rsidP="001F5668">
      <w:pPr>
        <w:pStyle w:val="ListParagraph"/>
      </w:pPr>
    </w:p>
    <w:p w14:paraId="38AE1EFF" w14:textId="77777777" w:rsidR="001F5668" w:rsidRDefault="001F5668" w:rsidP="001F5668">
      <w:pPr>
        <w:pStyle w:val="ListParagraph"/>
        <w:numPr>
          <w:ilvl w:val="0"/>
          <w:numId w:val="14"/>
        </w:numPr>
      </w:pPr>
      <w:r>
        <w:t>From your perspective who are the winners and losers of the EBac policy?</w:t>
      </w:r>
    </w:p>
    <w:p w14:paraId="0AE7E82B" w14:textId="77777777" w:rsidR="001F5668" w:rsidRDefault="001F5668" w:rsidP="001F5668">
      <w:pPr>
        <w:pStyle w:val="ListParagraph"/>
      </w:pPr>
    </w:p>
    <w:p w14:paraId="7DC270B1" w14:textId="77777777" w:rsidR="001F5668" w:rsidRDefault="001F5668" w:rsidP="001F5668">
      <w:pPr>
        <w:pStyle w:val="ListParagraph"/>
        <w:numPr>
          <w:ilvl w:val="0"/>
          <w:numId w:val="14"/>
        </w:numPr>
      </w:pPr>
      <w:r>
        <w:t>What are the possible future impacts of the EBac that you can foresee?</w:t>
      </w:r>
    </w:p>
    <w:p w14:paraId="276A238C" w14:textId="77777777" w:rsidR="001F5668" w:rsidRDefault="001F5668" w:rsidP="001F5668">
      <w:pPr>
        <w:pStyle w:val="ListParagraph"/>
      </w:pPr>
    </w:p>
    <w:p w14:paraId="2DE28568" w14:textId="77777777" w:rsidR="001F5668" w:rsidRDefault="001F5668" w:rsidP="001F5668">
      <w:pPr>
        <w:pStyle w:val="ListParagraph"/>
        <w:numPr>
          <w:ilvl w:val="0"/>
          <w:numId w:val="14"/>
        </w:numPr>
      </w:pPr>
      <w:r>
        <w:t>Is there anything else that you would like to add?</w:t>
      </w:r>
    </w:p>
    <w:p w14:paraId="6624AE90" w14:textId="77777777" w:rsidR="001F5668" w:rsidRDefault="001F5668" w:rsidP="001F5668">
      <w:pPr>
        <w:pStyle w:val="ListParagraph"/>
        <w:numPr>
          <w:ilvl w:val="0"/>
          <w:numId w:val="14"/>
        </w:numPr>
      </w:pPr>
      <w:r>
        <w:t>Is there anything you would like to ask me?</w:t>
      </w:r>
    </w:p>
    <w:p w14:paraId="2849A49A" w14:textId="77777777" w:rsidR="001F5668" w:rsidRDefault="001F5668" w:rsidP="001F5668">
      <w:pPr>
        <w:pStyle w:val="ListParagraph"/>
      </w:pPr>
    </w:p>
    <w:p w14:paraId="2C3C7D11" w14:textId="77777777" w:rsidR="001F5668" w:rsidRDefault="001F5668" w:rsidP="001F5668">
      <w:pPr>
        <w:pStyle w:val="ListParagraph"/>
      </w:pPr>
      <w:r>
        <w:t>Would it be possible for me to come back to you via email if I have any points that would be valuable to follow up?</w:t>
      </w:r>
    </w:p>
    <w:p w14:paraId="2796B5D7" w14:textId="77777777" w:rsidR="001F5668" w:rsidRDefault="001F5668" w:rsidP="001F5668">
      <w:pPr>
        <w:pStyle w:val="ListParagraph"/>
      </w:pPr>
    </w:p>
    <w:p w14:paraId="5BCAC994" w14:textId="77777777" w:rsidR="001F5668" w:rsidRDefault="001F5668" w:rsidP="001F5668">
      <w:pPr>
        <w:pStyle w:val="ListParagraph"/>
      </w:pPr>
      <w:r>
        <w:t xml:space="preserve">Thank you very much for letting me interview you – I will send a full transcript of our conversation within four weeks. </w:t>
      </w:r>
    </w:p>
    <w:p w14:paraId="0DA40FC1" w14:textId="77777777" w:rsidR="001F5668" w:rsidRDefault="001F5668" w:rsidP="001F5668">
      <w:pPr>
        <w:pStyle w:val="ListParagraph"/>
      </w:pPr>
    </w:p>
    <w:p w14:paraId="69FD228C" w14:textId="3A49683D" w:rsidR="001F5668" w:rsidRDefault="001F5668" w:rsidP="001F5668">
      <w:pPr>
        <w:pStyle w:val="ListParagraph"/>
        <w:numPr>
          <w:ilvl w:val="0"/>
          <w:numId w:val="20"/>
        </w:numPr>
      </w:pPr>
      <w:r>
        <w:t>For pilot interview explore any issues of sensitivity whereby the Deputy feels that other colleagues may not feel comfortable answering these questions. Or areas where they feel that Deputies may be in conflict with their Headteachers position.</w:t>
      </w:r>
    </w:p>
    <w:p w14:paraId="2F2340FB" w14:textId="77777777" w:rsidR="001F5668" w:rsidRDefault="001F5668" w:rsidP="001F5668">
      <w:pPr>
        <w:pStyle w:val="ListParagraph"/>
        <w:numPr>
          <w:ilvl w:val="0"/>
          <w:numId w:val="20"/>
        </w:numPr>
      </w:pPr>
      <w:r>
        <w:t>Ask if there is anything that I haven’t asked about that would have been useful.</w:t>
      </w:r>
    </w:p>
    <w:p w14:paraId="7680BB24" w14:textId="77777777" w:rsidR="001F5668" w:rsidRDefault="001F5668" w:rsidP="001F5668">
      <w:pPr>
        <w:pStyle w:val="ListParagraph"/>
        <w:numPr>
          <w:ilvl w:val="0"/>
          <w:numId w:val="20"/>
        </w:numPr>
      </w:pPr>
      <w:r>
        <w:t>Ask for copies of exam results and discuss if they feel that this would be appropriate to ask for at the time of arranging the interview.</w:t>
      </w:r>
    </w:p>
    <w:p w14:paraId="43984BBD" w14:textId="77777777" w:rsidR="001F5668" w:rsidRDefault="001F5668" w:rsidP="001F5668">
      <w:pPr>
        <w:pStyle w:val="ListParagraph"/>
        <w:numPr>
          <w:ilvl w:val="0"/>
          <w:numId w:val="20"/>
        </w:numPr>
      </w:pPr>
      <w:r>
        <w:t>Ask about how to select/ ask for the right information to be able to select the Head of Department from an EBac subject (History, Geography or Languages) and non-EBac optional subject?</w:t>
      </w:r>
    </w:p>
    <w:p w14:paraId="294DE7D9" w14:textId="77777777" w:rsidR="001F5668" w:rsidRDefault="001F5668" w:rsidP="001F5668">
      <w:pPr>
        <w:pStyle w:val="ListParagraph"/>
      </w:pPr>
    </w:p>
    <w:p w14:paraId="7E17E203" w14:textId="77777777" w:rsidR="001F5668" w:rsidRDefault="001F5668" w:rsidP="00A957EC">
      <w:pPr>
        <w:outlineLvl w:val="0"/>
        <w:rPr>
          <w:b/>
        </w:rPr>
      </w:pPr>
      <w:bookmarkStart w:id="157" w:name="_Toc451866229"/>
      <w:bookmarkStart w:id="158" w:name="_Toc452316423"/>
      <w:r w:rsidRPr="00183BCF">
        <w:rPr>
          <w:b/>
        </w:rPr>
        <w:t>Head of Department questions</w:t>
      </w:r>
      <w:bookmarkEnd w:id="157"/>
      <w:bookmarkEnd w:id="158"/>
    </w:p>
    <w:p w14:paraId="75467E14" w14:textId="77777777" w:rsidR="001F5668" w:rsidRPr="00E4586A" w:rsidRDefault="001F5668" w:rsidP="00A957EC">
      <w:pPr>
        <w:spacing w:line="360" w:lineRule="auto"/>
        <w:outlineLvl w:val="0"/>
        <w:rPr>
          <w:b/>
        </w:rPr>
      </w:pPr>
      <w:bookmarkStart w:id="159" w:name="_Toc450170268"/>
      <w:bookmarkStart w:id="160" w:name="_Toc451866230"/>
      <w:bookmarkStart w:id="161" w:name="_Toc452316424"/>
      <w:r w:rsidRPr="00E4586A">
        <w:rPr>
          <w:b/>
        </w:rPr>
        <w:t>Introduction</w:t>
      </w:r>
      <w:bookmarkEnd w:id="159"/>
      <w:bookmarkEnd w:id="160"/>
      <w:bookmarkEnd w:id="161"/>
    </w:p>
    <w:p w14:paraId="2C5FC22C" w14:textId="77777777" w:rsidR="001F5668" w:rsidRDefault="001F5668" w:rsidP="001F5668">
      <w:pPr>
        <w:pStyle w:val="ListParagraph"/>
        <w:numPr>
          <w:ilvl w:val="0"/>
          <w:numId w:val="21"/>
        </w:numPr>
        <w:rPr>
          <w:i/>
        </w:rPr>
      </w:pPr>
      <w:r w:rsidRPr="00A46B97">
        <w:rPr>
          <w:i/>
        </w:rPr>
        <w:t>(Suggestion to begin with non-controversial questions framed in the present tense, focusing on experiences/ behaviour</w:t>
      </w:r>
      <w:r>
        <w:rPr>
          <w:i/>
        </w:rPr>
        <w:t xml:space="preserve"> Patton 1994</w:t>
      </w:r>
      <w:r w:rsidRPr="00A46B97">
        <w:rPr>
          <w:i/>
        </w:rPr>
        <w:t>).</w:t>
      </w:r>
    </w:p>
    <w:p w14:paraId="70A8E407" w14:textId="77777777" w:rsidR="001F5668" w:rsidRPr="00D7137E" w:rsidRDefault="001F5668" w:rsidP="001F5668">
      <w:pPr>
        <w:pStyle w:val="ListParagraph"/>
        <w:numPr>
          <w:ilvl w:val="1"/>
          <w:numId w:val="22"/>
        </w:numPr>
        <w:rPr>
          <w:i/>
        </w:rPr>
      </w:pPr>
      <w:r>
        <w:t>Please could you describe your department?</w:t>
      </w:r>
    </w:p>
    <w:p w14:paraId="1A40DCC7" w14:textId="77777777" w:rsidR="001F5668" w:rsidRPr="00D7137E" w:rsidRDefault="001F5668" w:rsidP="001F5668">
      <w:pPr>
        <w:pStyle w:val="ListParagraph"/>
        <w:numPr>
          <w:ilvl w:val="1"/>
          <w:numId w:val="22"/>
        </w:numPr>
        <w:rPr>
          <w:i/>
        </w:rPr>
      </w:pPr>
      <w:r>
        <w:lastRenderedPageBreak/>
        <w:t>To focus on size, staff membership and curriculum and course coverage of department. As well as to allow the interviewee to set out their own description and account of their department.</w:t>
      </w:r>
    </w:p>
    <w:p w14:paraId="45627810" w14:textId="77777777" w:rsidR="001F5668" w:rsidRPr="00313BF0" w:rsidRDefault="001F5668" w:rsidP="001F5668">
      <w:pPr>
        <w:rPr>
          <w:i/>
        </w:rPr>
      </w:pPr>
    </w:p>
    <w:p w14:paraId="6DA4D95F" w14:textId="77777777" w:rsidR="001F5668" w:rsidRPr="00D7137E" w:rsidRDefault="001F5668" w:rsidP="001F5668">
      <w:pPr>
        <w:pStyle w:val="ListParagraph"/>
        <w:numPr>
          <w:ilvl w:val="0"/>
          <w:numId w:val="21"/>
        </w:numPr>
        <w:rPr>
          <w:i/>
        </w:rPr>
      </w:pPr>
      <w:r>
        <w:t>Please could you tell me about the curriculum and qualification offer within your department?</w:t>
      </w:r>
    </w:p>
    <w:p w14:paraId="6834105D" w14:textId="77777777" w:rsidR="001F5668" w:rsidRPr="00D7137E" w:rsidRDefault="001F5668" w:rsidP="001F5668">
      <w:pPr>
        <w:pStyle w:val="ListParagraph"/>
        <w:numPr>
          <w:ilvl w:val="1"/>
          <w:numId w:val="21"/>
        </w:numPr>
        <w:rPr>
          <w:i/>
        </w:rPr>
      </w:pPr>
      <w:r>
        <w:t xml:space="preserve">Course offer and number of pupils? </w:t>
      </w:r>
    </w:p>
    <w:p w14:paraId="3064AD8E" w14:textId="77777777" w:rsidR="001F5668" w:rsidRDefault="001F5668" w:rsidP="001F5668">
      <w:pPr>
        <w:pStyle w:val="ListParagraph"/>
        <w:numPr>
          <w:ilvl w:val="1"/>
          <w:numId w:val="21"/>
        </w:numPr>
      </w:pPr>
      <w:r>
        <w:t>Prompt to ensure that some mention is made of Key Stage 3, 4 and where relevant Sixth form.</w:t>
      </w:r>
    </w:p>
    <w:p w14:paraId="2162FE66" w14:textId="77777777" w:rsidR="001F5668" w:rsidRDefault="001F5668" w:rsidP="001F5668">
      <w:pPr>
        <w:pStyle w:val="ListParagraph"/>
        <w:numPr>
          <w:ilvl w:val="1"/>
          <w:numId w:val="21"/>
        </w:numPr>
      </w:pPr>
      <w:r>
        <w:t>Prompt to ensure that a full understanding of the subject choice academic and vocational offer is gained.</w:t>
      </w:r>
    </w:p>
    <w:p w14:paraId="6DC6526A" w14:textId="77777777" w:rsidR="001F5668" w:rsidRDefault="001F5668" w:rsidP="001F5668">
      <w:pPr>
        <w:pStyle w:val="ListParagraph"/>
        <w:ind w:left="1080"/>
      </w:pPr>
    </w:p>
    <w:p w14:paraId="6C5491A9" w14:textId="77777777" w:rsidR="001F5668" w:rsidRDefault="001F5668" w:rsidP="001F5668">
      <w:pPr>
        <w:pStyle w:val="ListParagraph"/>
        <w:ind w:left="1080"/>
      </w:pPr>
    </w:p>
    <w:p w14:paraId="0364E2A1" w14:textId="77777777" w:rsidR="001F5668" w:rsidRDefault="001F5668" w:rsidP="001F5668">
      <w:pPr>
        <w:pStyle w:val="ListParagraph"/>
        <w:numPr>
          <w:ilvl w:val="0"/>
          <w:numId w:val="21"/>
        </w:numPr>
      </w:pPr>
      <w:r>
        <w:t>At aged 16 and 18 what are the usual destinations of your students?</w:t>
      </w:r>
    </w:p>
    <w:p w14:paraId="5056F30F" w14:textId="77777777" w:rsidR="001F5668" w:rsidRPr="00A46B97" w:rsidRDefault="001F5668" w:rsidP="001F5668">
      <w:pPr>
        <w:pStyle w:val="ListParagraph"/>
      </w:pPr>
    </w:p>
    <w:p w14:paraId="32B7659C" w14:textId="77777777" w:rsidR="001F5668" w:rsidRDefault="001F5668" w:rsidP="001F5668">
      <w:pPr>
        <w:pStyle w:val="ListParagraph"/>
        <w:ind w:left="360"/>
      </w:pPr>
      <w:r>
        <w:t>The EBac was part of the 2010 White Paper, The Importance of Teaching, the first Coalition Government policy announcement.</w:t>
      </w:r>
    </w:p>
    <w:p w14:paraId="40C1DF5F" w14:textId="77777777" w:rsidR="001F5668" w:rsidRDefault="001F5668" w:rsidP="001F5668">
      <w:pPr>
        <w:pStyle w:val="ListParagraph"/>
        <w:ind w:left="360"/>
      </w:pPr>
    </w:p>
    <w:p w14:paraId="68A32736" w14:textId="2591AA86" w:rsidR="001F5668" w:rsidRDefault="001F5668" w:rsidP="001F5668">
      <w:pPr>
        <w:pStyle w:val="ListParagraph"/>
        <w:numPr>
          <w:ilvl w:val="0"/>
          <w:numId w:val="21"/>
        </w:numPr>
      </w:pPr>
      <w:r>
        <w:t xml:space="preserve">What was </w:t>
      </w:r>
      <w:r w:rsidR="006F063B">
        <w:t>your own</w:t>
      </w:r>
      <w:r>
        <w:t xml:space="preserve"> initial reaction to the EBac announcement?</w:t>
      </w:r>
    </w:p>
    <w:p w14:paraId="56242B71" w14:textId="77777777" w:rsidR="001F5668" w:rsidRDefault="001F5668" w:rsidP="001F5668">
      <w:pPr>
        <w:pStyle w:val="ListParagraph"/>
        <w:ind w:left="360"/>
      </w:pPr>
    </w:p>
    <w:p w14:paraId="44A36C50" w14:textId="77777777" w:rsidR="001F5668" w:rsidRDefault="001F5668" w:rsidP="001F5668">
      <w:pPr>
        <w:pStyle w:val="ListParagraph"/>
        <w:numPr>
          <w:ilvl w:val="0"/>
          <w:numId w:val="21"/>
        </w:numPr>
      </w:pPr>
      <w:r>
        <w:t xml:space="preserve">Please could you describe to me how the EBac initial announcement impacted on your department in 2010? </w:t>
      </w:r>
    </w:p>
    <w:p w14:paraId="4C7EFFDF" w14:textId="77777777" w:rsidR="001F5668" w:rsidRDefault="001F5668" w:rsidP="001F5668">
      <w:pPr>
        <w:pStyle w:val="ListParagraph"/>
        <w:ind w:left="1080"/>
      </w:pPr>
    </w:p>
    <w:p w14:paraId="3F2ADA70" w14:textId="77777777" w:rsidR="001F5668" w:rsidRDefault="001F5668" w:rsidP="001F5668">
      <w:pPr>
        <w:pStyle w:val="ListParagraph"/>
        <w:numPr>
          <w:ilvl w:val="0"/>
          <w:numId w:val="21"/>
        </w:numPr>
      </w:pPr>
      <w:r>
        <w:t>How was the EBac announcement regarded and approached by the Senior Leadership team of your school?</w:t>
      </w:r>
    </w:p>
    <w:p w14:paraId="6A0ADF04" w14:textId="77777777" w:rsidR="001F5668" w:rsidRDefault="001F5668" w:rsidP="001F5668">
      <w:pPr>
        <w:pStyle w:val="ListParagraph"/>
      </w:pPr>
    </w:p>
    <w:p w14:paraId="3E1A7E9C" w14:textId="77777777" w:rsidR="001F5668" w:rsidRDefault="001F5668" w:rsidP="001F5668">
      <w:pPr>
        <w:pStyle w:val="ListParagraph"/>
        <w:numPr>
          <w:ilvl w:val="1"/>
          <w:numId w:val="21"/>
        </w:numPr>
      </w:pPr>
      <w:r>
        <w:t>Explore impact of this approach on own subject.</w:t>
      </w:r>
    </w:p>
    <w:p w14:paraId="1977FE91" w14:textId="77777777" w:rsidR="001F5668" w:rsidRDefault="001F5668" w:rsidP="001F5668">
      <w:pPr>
        <w:pStyle w:val="ListParagraph"/>
      </w:pPr>
    </w:p>
    <w:p w14:paraId="2B6DB6A0" w14:textId="77777777" w:rsidR="001F5668" w:rsidRDefault="001F5668" w:rsidP="001F5668">
      <w:pPr>
        <w:pStyle w:val="ListParagraph"/>
        <w:numPr>
          <w:ilvl w:val="0"/>
          <w:numId w:val="21"/>
        </w:numPr>
      </w:pPr>
      <w:r>
        <w:t>How did the retrospective measure of the EBac impact on your results for 2010?</w:t>
      </w:r>
    </w:p>
    <w:p w14:paraId="2B03E993" w14:textId="77777777" w:rsidR="001F5668" w:rsidRDefault="001F5668" w:rsidP="001F5668">
      <w:pPr>
        <w:pStyle w:val="ListParagraph"/>
        <w:ind w:left="1080"/>
      </w:pPr>
    </w:p>
    <w:p w14:paraId="502470E3" w14:textId="77777777" w:rsidR="001F5668" w:rsidRDefault="001F5668" w:rsidP="001F5668">
      <w:pPr>
        <w:pStyle w:val="ListParagraph"/>
        <w:numPr>
          <w:ilvl w:val="1"/>
          <w:numId w:val="21"/>
        </w:numPr>
      </w:pPr>
      <w:r>
        <w:t>How did you feel about this?</w:t>
      </w:r>
    </w:p>
    <w:p w14:paraId="210B8F0E" w14:textId="77777777" w:rsidR="001F5668" w:rsidRDefault="001F5668" w:rsidP="001F5668">
      <w:pPr>
        <w:pStyle w:val="ListParagraph"/>
        <w:ind w:left="1080"/>
      </w:pPr>
    </w:p>
    <w:p w14:paraId="537BD6B7" w14:textId="77777777" w:rsidR="001F5668" w:rsidRDefault="001F5668" w:rsidP="001F5668">
      <w:pPr>
        <w:pStyle w:val="ListParagraph"/>
        <w:numPr>
          <w:ilvl w:val="0"/>
          <w:numId w:val="19"/>
        </w:numPr>
        <w:ind w:left="1080"/>
      </w:pPr>
      <w:r>
        <w:t xml:space="preserve">What was the reaction by the SLT to this if any? </w:t>
      </w:r>
    </w:p>
    <w:p w14:paraId="50E90106" w14:textId="77777777" w:rsidR="001F5668" w:rsidRDefault="001F5668" w:rsidP="001F5668">
      <w:pPr>
        <w:pStyle w:val="ListParagraph"/>
        <w:numPr>
          <w:ilvl w:val="0"/>
          <w:numId w:val="19"/>
        </w:numPr>
        <w:ind w:left="1080"/>
      </w:pPr>
      <w:r>
        <w:t>How did you feel about this reaction?</w:t>
      </w:r>
    </w:p>
    <w:p w14:paraId="15D91527" w14:textId="77777777" w:rsidR="001F5668" w:rsidRDefault="001F5668" w:rsidP="001F5668">
      <w:pPr>
        <w:pStyle w:val="ListParagraph"/>
      </w:pPr>
    </w:p>
    <w:p w14:paraId="440D4811" w14:textId="77777777" w:rsidR="001F5668" w:rsidRDefault="001F5668" w:rsidP="001F5668">
      <w:pPr>
        <w:pStyle w:val="ListParagraph"/>
      </w:pPr>
    </w:p>
    <w:p w14:paraId="4C929848" w14:textId="77777777" w:rsidR="001F5668" w:rsidRDefault="001F5668" w:rsidP="001F5668">
      <w:pPr>
        <w:pStyle w:val="ListParagraph"/>
        <w:numPr>
          <w:ilvl w:val="0"/>
          <w:numId w:val="21"/>
        </w:numPr>
      </w:pPr>
      <w:r>
        <w:t xml:space="preserve">How did the EBac initially impact on your department for September 2011? </w:t>
      </w:r>
    </w:p>
    <w:p w14:paraId="2EE8CF69" w14:textId="77777777" w:rsidR="001F5668" w:rsidRDefault="001F5668" w:rsidP="001F5668">
      <w:pPr>
        <w:pStyle w:val="ListParagraph"/>
      </w:pPr>
      <w:r>
        <w:t>Focus on 2011 curriculum offer and selection.</w:t>
      </w:r>
    </w:p>
    <w:p w14:paraId="3469AD09" w14:textId="77777777" w:rsidR="001F5668" w:rsidRDefault="001F5668" w:rsidP="001F5668">
      <w:pPr>
        <w:pStyle w:val="ListParagraph"/>
      </w:pPr>
    </w:p>
    <w:p w14:paraId="55200D75" w14:textId="77777777" w:rsidR="001F5668" w:rsidRDefault="001F5668" w:rsidP="001F5668">
      <w:pPr>
        <w:pStyle w:val="ListParagraph"/>
        <w:numPr>
          <w:ilvl w:val="1"/>
          <w:numId w:val="21"/>
        </w:numPr>
      </w:pPr>
      <w:r>
        <w:t>How did the school present/ explain the EBac to Year 9 students and parents?</w:t>
      </w:r>
    </w:p>
    <w:p w14:paraId="49B11D84" w14:textId="77777777" w:rsidR="001F5668" w:rsidRDefault="001F5668" w:rsidP="001F5668">
      <w:pPr>
        <w:pStyle w:val="ListParagraph"/>
        <w:numPr>
          <w:ilvl w:val="1"/>
          <w:numId w:val="21"/>
        </w:numPr>
      </w:pPr>
      <w:r>
        <w:t>What was the student/ parent reaction to your subject?</w:t>
      </w:r>
    </w:p>
    <w:p w14:paraId="2AC62CE4" w14:textId="77777777" w:rsidR="001F5668" w:rsidRDefault="001F5668" w:rsidP="001F5668">
      <w:pPr>
        <w:pStyle w:val="ListParagraph"/>
        <w:numPr>
          <w:ilvl w:val="1"/>
          <w:numId w:val="21"/>
        </w:numPr>
      </w:pPr>
      <w:r>
        <w:t xml:space="preserve">Explore number of Year 9s choosing this subject (as seen by the number of groups and class sizes) </w:t>
      </w:r>
    </w:p>
    <w:p w14:paraId="0FB4FBCD" w14:textId="77777777" w:rsidR="001F5668" w:rsidRDefault="001F5668" w:rsidP="001F5668">
      <w:pPr>
        <w:pStyle w:val="ListParagraph"/>
        <w:numPr>
          <w:ilvl w:val="1"/>
          <w:numId w:val="21"/>
        </w:numPr>
      </w:pPr>
      <w:r>
        <w:lastRenderedPageBreak/>
        <w:t>Focus on any changes in department teaching, courses or organisation and why?</w:t>
      </w:r>
    </w:p>
    <w:p w14:paraId="2D2C9A33" w14:textId="77777777" w:rsidR="001F5668" w:rsidRDefault="001F5668" w:rsidP="001F5668">
      <w:pPr>
        <w:pStyle w:val="ListParagraph"/>
      </w:pPr>
    </w:p>
    <w:p w14:paraId="23246F3F" w14:textId="77777777" w:rsidR="001F5668" w:rsidRDefault="001F5668" w:rsidP="001F5668">
      <w:pPr>
        <w:pStyle w:val="ListParagraph"/>
      </w:pPr>
    </w:p>
    <w:p w14:paraId="47CC79C3" w14:textId="77777777" w:rsidR="001F5668" w:rsidRDefault="001F5668" w:rsidP="001F5668">
      <w:pPr>
        <w:pStyle w:val="ListParagraph"/>
        <w:numPr>
          <w:ilvl w:val="0"/>
          <w:numId w:val="21"/>
        </w:numPr>
      </w:pPr>
      <w:r>
        <w:t xml:space="preserve">How has the impact of the EBac being felt in your department since? </w:t>
      </w:r>
    </w:p>
    <w:p w14:paraId="0A67F852" w14:textId="77777777" w:rsidR="001F5668" w:rsidRDefault="001F5668" w:rsidP="001F5668">
      <w:pPr>
        <w:pStyle w:val="ListParagraph"/>
        <w:numPr>
          <w:ilvl w:val="1"/>
          <w:numId w:val="21"/>
        </w:numPr>
      </w:pPr>
      <w:r>
        <w:t>Any changes over time? Curriculum, school, option choices, parental requests, student awareness, pressure on your department/ you as HoD?</w:t>
      </w:r>
    </w:p>
    <w:p w14:paraId="51AE2A65" w14:textId="77777777" w:rsidR="001F5668" w:rsidRDefault="001F5668" w:rsidP="001F5668">
      <w:pPr>
        <w:pStyle w:val="ListParagraph"/>
        <w:numPr>
          <w:ilvl w:val="1"/>
          <w:numId w:val="21"/>
        </w:numPr>
      </w:pPr>
      <w:r>
        <w:t>Discuss the number of students taking this subject over 2010,2011,2012 and 2013 if known.</w:t>
      </w:r>
    </w:p>
    <w:p w14:paraId="219D3EE8" w14:textId="77777777" w:rsidR="001F5668" w:rsidRDefault="001F5668" w:rsidP="001F5668">
      <w:pPr>
        <w:pStyle w:val="ListParagraph"/>
        <w:numPr>
          <w:ilvl w:val="1"/>
          <w:numId w:val="21"/>
        </w:numPr>
      </w:pPr>
      <w:r>
        <w:t>Focus on any vocational offer by the department and any changes to this either linked to the EBac or more generally to changes in Performance Tables and Performance measures.</w:t>
      </w:r>
    </w:p>
    <w:p w14:paraId="2883186F" w14:textId="77777777" w:rsidR="001F5668" w:rsidRDefault="001F5668" w:rsidP="001F5668">
      <w:pPr>
        <w:pStyle w:val="ListParagraph"/>
        <w:numPr>
          <w:ilvl w:val="1"/>
          <w:numId w:val="21"/>
        </w:numPr>
      </w:pPr>
      <w:r>
        <w:t>Any particular pressures on the department caused by the EBac e.g. recruitment of staff for certain subjects, redundancy, variation of staff within EBac subjects and across all subjects etc.</w:t>
      </w:r>
    </w:p>
    <w:p w14:paraId="484D1F1C" w14:textId="77777777" w:rsidR="001F5668" w:rsidRDefault="001F5668" w:rsidP="001F5668">
      <w:pPr>
        <w:pStyle w:val="ListParagraph"/>
        <w:numPr>
          <w:ilvl w:val="1"/>
          <w:numId w:val="21"/>
        </w:numPr>
      </w:pPr>
      <w:r>
        <w:t>How have these pressures being felt/ managed?</w:t>
      </w:r>
    </w:p>
    <w:p w14:paraId="51AF4545" w14:textId="77777777" w:rsidR="001F5668" w:rsidRDefault="001F5668" w:rsidP="001F5668">
      <w:pPr>
        <w:pStyle w:val="ListParagraph"/>
        <w:numPr>
          <w:ilvl w:val="1"/>
          <w:numId w:val="21"/>
        </w:numPr>
      </w:pPr>
      <w:r>
        <w:t>How do you feel?</w:t>
      </w:r>
    </w:p>
    <w:p w14:paraId="4C014893" w14:textId="77777777" w:rsidR="001F5668" w:rsidRDefault="001F5668" w:rsidP="001F5668">
      <w:pPr>
        <w:pStyle w:val="ListParagraph"/>
        <w:ind w:left="1440"/>
      </w:pPr>
    </w:p>
    <w:p w14:paraId="684A0771" w14:textId="77777777" w:rsidR="001F5668" w:rsidRDefault="001F5668" w:rsidP="001F5668">
      <w:pPr>
        <w:pStyle w:val="ListParagraph"/>
        <w:numPr>
          <w:ilvl w:val="0"/>
          <w:numId w:val="21"/>
        </w:numPr>
      </w:pPr>
      <w:r>
        <w:t>What is the SLT position on these changes?</w:t>
      </w:r>
    </w:p>
    <w:p w14:paraId="7B0C644C" w14:textId="77777777" w:rsidR="001F5668" w:rsidRDefault="001F5668" w:rsidP="001F5668">
      <w:pPr>
        <w:pStyle w:val="ListParagraph"/>
      </w:pPr>
    </w:p>
    <w:p w14:paraId="2570A72E" w14:textId="77777777" w:rsidR="001F5668" w:rsidRDefault="001F5668" w:rsidP="001F5668">
      <w:pPr>
        <w:pStyle w:val="ListParagraph"/>
        <w:numPr>
          <w:ilvl w:val="0"/>
          <w:numId w:val="21"/>
        </w:numPr>
      </w:pPr>
      <w:r>
        <w:t>How do you feel about these changes?</w:t>
      </w:r>
    </w:p>
    <w:p w14:paraId="6DCA5504" w14:textId="77777777" w:rsidR="001F5668" w:rsidRDefault="001F5668" w:rsidP="001F5668">
      <w:pPr>
        <w:pStyle w:val="ListParagraph"/>
      </w:pPr>
    </w:p>
    <w:p w14:paraId="062C7B55" w14:textId="77777777" w:rsidR="001F5668" w:rsidRDefault="001F5668" w:rsidP="001F5668">
      <w:pPr>
        <w:pStyle w:val="ListParagraph"/>
        <w:numPr>
          <w:ilvl w:val="0"/>
          <w:numId w:val="21"/>
        </w:numPr>
      </w:pPr>
      <w:r>
        <w:t>How has the EBac impacted on your department in comparison to others?</w:t>
      </w:r>
    </w:p>
    <w:p w14:paraId="73842F89" w14:textId="77777777" w:rsidR="001F5668" w:rsidRDefault="001F5668" w:rsidP="001F5668">
      <w:pPr>
        <w:pStyle w:val="ListParagraph"/>
      </w:pPr>
    </w:p>
    <w:p w14:paraId="31209BCC" w14:textId="77777777" w:rsidR="001F5668" w:rsidRDefault="001F5668" w:rsidP="001F5668">
      <w:pPr>
        <w:pStyle w:val="ListParagraph"/>
        <w:numPr>
          <w:ilvl w:val="1"/>
          <w:numId w:val="21"/>
        </w:numPr>
      </w:pPr>
      <w:r>
        <w:t>Ensure discuss EBac departments and nonEBac departments.</w:t>
      </w:r>
    </w:p>
    <w:p w14:paraId="4B05B2DB" w14:textId="77777777" w:rsidR="001F5668" w:rsidRDefault="001F5668" w:rsidP="001F5668">
      <w:pPr>
        <w:pStyle w:val="ListParagraph"/>
        <w:numPr>
          <w:ilvl w:val="1"/>
          <w:numId w:val="21"/>
        </w:numPr>
      </w:pPr>
      <w:r>
        <w:t>Relationship between departments to be explored.</w:t>
      </w:r>
    </w:p>
    <w:p w14:paraId="34AB5BEB" w14:textId="77777777" w:rsidR="001F5668" w:rsidRDefault="001F5668" w:rsidP="001F5668">
      <w:pPr>
        <w:pStyle w:val="ListParagraph"/>
        <w:numPr>
          <w:ilvl w:val="1"/>
          <w:numId w:val="21"/>
        </w:numPr>
      </w:pPr>
      <w:r>
        <w:t>Individual department issues to be explored.</w:t>
      </w:r>
    </w:p>
    <w:p w14:paraId="2CF2107A" w14:textId="77777777" w:rsidR="001F5668" w:rsidRDefault="001F5668" w:rsidP="001F5668">
      <w:pPr>
        <w:pStyle w:val="ListParagraph"/>
      </w:pPr>
    </w:p>
    <w:p w14:paraId="5D6EE472" w14:textId="77777777" w:rsidR="001F5668" w:rsidRDefault="001F5668" w:rsidP="001F5668">
      <w:pPr>
        <w:pStyle w:val="ListParagraph"/>
        <w:numPr>
          <w:ilvl w:val="0"/>
          <w:numId w:val="21"/>
        </w:numPr>
      </w:pPr>
      <w:r>
        <w:t>How has the EBac impacted on your students?</w:t>
      </w:r>
    </w:p>
    <w:p w14:paraId="023ED83D" w14:textId="77777777" w:rsidR="001F5668" w:rsidRDefault="001F5668" w:rsidP="001F5668">
      <w:pPr>
        <w:pStyle w:val="ListParagraph"/>
      </w:pPr>
    </w:p>
    <w:p w14:paraId="3FFA4213" w14:textId="77777777" w:rsidR="001F5668" w:rsidRDefault="001F5668" w:rsidP="001F5668">
      <w:pPr>
        <w:pStyle w:val="ListParagraph"/>
        <w:numPr>
          <w:ilvl w:val="1"/>
          <w:numId w:val="21"/>
        </w:numPr>
      </w:pPr>
      <w:r>
        <w:t>How relevant is the EBac for your students?</w:t>
      </w:r>
    </w:p>
    <w:p w14:paraId="7EC5A94B" w14:textId="77777777" w:rsidR="001F5668" w:rsidRDefault="001F5668" w:rsidP="001F5668">
      <w:pPr>
        <w:pStyle w:val="ListParagraph"/>
        <w:numPr>
          <w:ilvl w:val="1"/>
          <w:numId w:val="21"/>
        </w:numPr>
      </w:pPr>
      <w:r>
        <w:t>What has been student reaction to the EBac?</w:t>
      </w:r>
    </w:p>
    <w:p w14:paraId="7FFCA3A5" w14:textId="77777777" w:rsidR="001F5668" w:rsidRDefault="001F5668" w:rsidP="001F5668">
      <w:pPr>
        <w:pStyle w:val="ListParagraph"/>
        <w:numPr>
          <w:ilvl w:val="1"/>
          <w:numId w:val="21"/>
        </w:numPr>
      </w:pPr>
      <w:r>
        <w:t>Any cohort variation e.g. gender, ethnicity, FSM, Pupil Premium</w:t>
      </w:r>
    </w:p>
    <w:p w14:paraId="1A1EE575" w14:textId="77777777" w:rsidR="001F5668" w:rsidRDefault="001F5668" w:rsidP="001F5668">
      <w:pPr>
        <w:pStyle w:val="ListParagraph"/>
        <w:numPr>
          <w:ilvl w:val="1"/>
          <w:numId w:val="21"/>
        </w:numPr>
      </w:pPr>
      <w:r>
        <w:t>Impact on different cohorts</w:t>
      </w:r>
    </w:p>
    <w:p w14:paraId="2E557E5D" w14:textId="77777777" w:rsidR="001F5668" w:rsidRDefault="001F5668" w:rsidP="001F5668">
      <w:pPr>
        <w:pStyle w:val="ListParagraph"/>
        <w:numPr>
          <w:ilvl w:val="1"/>
          <w:numId w:val="21"/>
        </w:numPr>
      </w:pPr>
      <w:r>
        <w:t>Barriers to taking/ passing EBac</w:t>
      </w:r>
    </w:p>
    <w:p w14:paraId="20DD8CDB" w14:textId="77777777" w:rsidR="001F5668" w:rsidRDefault="001F5668" w:rsidP="001F5668">
      <w:pPr>
        <w:pStyle w:val="ListParagraph"/>
        <w:ind w:left="1800"/>
      </w:pPr>
    </w:p>
    <w:p w14:paraId="6E716394" w14:textId="77777777" w:rsidR="001F5668" w:rsidRPr="00D7137E" w:rsidRDefault="001F5668" w:rsidP="001F5668">
      <w:pPr>
        <w:pStyle w:val="ListParagraph"/>
        <w:numPr>
          <w:ilvl w:val="0"/>
          <w:numId w:val="21"/>
        </w:numPr>
        <w:rPr>
          <w:i/>
        </w:rPr>
      </w:pPr>
      <w:r>
        <w:t xml:space="preserve">How has the EBac impacted on you? </w:t>
      </w:r>
      <w:r w:rsidRPr="00D7137E">
        <w:rPr>
          <w:i/>
        </w:rPr>
        <w:t>Use this question to ask some demographic questions e.g. length of time in post? Own curriculum background and teaching subject?</w:t>
      </w:r>
      <w:r>
        <w:rPr>
          <w:i/>
        </w:rPr>
        <w:t xml:space="preserve"> Career path? Personal attitudes and values. Probe where they stand re equality issues and how they rationalise/ justify their positions.</w:t>
      </w:r>
    </w:p>
    <w:p w14:paraId="0F06238C" w14:textId="77777777" w:rsidR="001F5668" w:rsidRDefault="001F5668" w:rsidP="001F5668">
      <w:pPr>
        <w:pStyle w:val="ListParagraph"/>
        <w:ind w:left="1080"/>
      </w:pPr>
    </w:p>
    <w:p w14:paraId="798E7238" w14:textId="77777777" w:rsidR="001F5668" w:rsidRDefault="001F5668" w:rsidP="001F5668">
      <w:pPr>
        <w:pStyle w:val="ListParagraph"/>
        <w:ind w:left="1440"/>
      </w:pPr>
    </w:p>
    <w:p w14:paraId="68C0CFAB" w14:textId="77777777" w:rsidR="001F5668" w:rsidRDefault="001F5668" w:rsidP="001F5668">
      <w:pPr>
        <w:pStyle w:val="ListParagraph"/>
        <w:numPr>
          <w:ilvl w:val="0"/>
          <w:numId w:val="21"/>
        </w:numPr>
      </w:pPr>
      <w:r>
        <w:t>What are your thoughts on the EBac subjects as a curriculum for your students? (not as a performance measure)</w:t>
      </w:r>
    </w:p>
    <w:p w14:paraId="47EBC0BE" w14:textId="77777777" w:rsidR="001F5668" w:rsidRDefault="001F5668" w:rsidP="001F5668">
      <w:pPr>
        <w:pStyle w:val="ListParagraph"/>
        <w:numPr>
          <w:ilvl w:val="1"/>
          <w:numId w:val="21"/>
        </w:numPr>
      </w:pPr>
      <w:r>
        <w:lastRenderedPageBreak/>
        <w:t>Explore if this is regarded as a broad and balanced curriculum?</w:t>
      </w:r>
    </w:p>
    <w:p w14:paraId="3A4E08E6" w14:textId="77777777" w:rsidR="001F5668" w:rsidRDefault="001F5668" w:rsidP="001F5668">
      <w:pPr>
        <w:pStyle w:val="ListParagraph"/>
        <w:numPr>
          <w:ilvl w:val="1"/>
          <w:numId w:val="21"/>
        </w:numPr>
      </w:pPr>
      <w:r>
        <w:t>Explore notion of core curriculum.</w:t>
      </w:r>
    </w:p>
    <w:p w14:paraId="5EB82B28" w14:textId="77777777" w:rsidR="001F5668" w:rsidRDefault="001F5668" w:rsidP="001F5668">
      <w:pPr>
        <w:pStyle w:val="ListParagraph"/>
        <w:numPr>
          <w:ilvl w:val="1"/>
          <w:numId w:val="21"/>
        </w:numPr>
      </w:pPr>
      <w:r>
        <w:t>What would their school ethos and culture regard as appropriate for your students?</w:t>
      </w:r>
    </w:p>
    <w:p w14:paraId="5A5C81EF" w14:textId="77777777" w:rsidR="001F5668" w:rsidRDefault="001F5668" w:rsidP="001F5668">
      <w:pPr>
        <w:pStyle w:val="ListParagraph"/>
        <w:numPr>
          <w:ilvl w:val="1"/>
          <w:numId w:val="21"/>
        </w:numPr>
      </w:pPr>
      <w:r>
        <w:t>What would they regard as appropriate for their children?</w:t>
      </w:r>
    </w:p>
    <w:p w14:paraId="29F196F3" w14:textId="77777777" w:rsidR="001F5668" w:rsidRDefault="001F5668" w:rsidP="001F5668">
      <w:pPr>
        <w:pStyle w:val="ListParagraph"/>
        <w:ind w:left="1440"/>
      </w:pPr>
    </w:p>
    <w:p w14:paraId="3438BC0C" w14:textId="77777777" w:rsidR="001F5668" w:rsidRDefault="001F5668" w:rsidP="001F5668">
      <w:pPr>
        <w:pStyle w:val="ListParagraph"/>
        <w:numPr>
          <w:ilvl w:val="0"/>
          <w:numId w:val="21"/>
        </w:numPr>
      </w:pPr>
      <w:r>
        <w:t>Has the EBac or other recent curriculum changes had any impact on the likely pathways of students at 16 and post 16?</w:t>
      </w:r>
    </w:p>
    <w:p w14:paraId="7F92F50B" w14:textId="77777777" w:rsidR="001F5668" w:rsidRDefault="001F5668" w:rsidP="001F5668">
      <w:pPr>
        <w:pStyle w:val="ListParagraph"/>
      </w:pPr>
    </w:p>
    <w:p w14:paraId="43CF9B49" w14:textId="77777777" w:rsidR="001F5668" w:rsidRDefault="001F5668" w:rsidP="001F5668">
      <w:pPr>
        <w:pStyle w:val="ListParagraph"/>
        <w:numPr>
          <w:ilvl w:val="0"/>
          <w:numId w:val="21"/>
        </w:numPr>
      </w:pPr>
      <w:r>
        <w:t>From your perspective who are the winners and losers of the EBac policy?</w:t>
      </w:r>
    </w:p>
    <w:p w14:paraId="0E8515C4" w14:textId="77777777" w:rsidR="001F5668" w:rsidRDefault="001F5668" w:rsidP="001F5668">
      <w:pPr>
        <w:pStyle w:val="ListParagraph"/>
      </w:pPr>
    </w:p>
    <w:p w14:paraId="22A0B64E" w14:textId="77777777" w:rsidR="001F5668" w:rsidRDefault="001F5668" w:rsidP="001F5668">
      <w:pPr>
        <w:pStyle w:val="ListParagraph"/>
        <w:numPr>
          <w:ilvl w:val="0"/>
          <w:numId w:val="21"/>
        </w:numPr>
      </w:pPr>
      <w:r>
        <w:t>What are the possible future impacts of the EBac on your department that you can foresee?</w:t>
      </w:r>
    </w:p>
    <w:p w14:paraId="0A7E875C" w14:textId="77777777" w:rsidR="001F5668" w:rsidRDefault="001F5668" w:rsidP="001F5668">
      <w:pPr>
        <w:pStyle w:val="ListParagraph"/>
      </w:pPr>
    </w:p>
    <w:p w14:paraId="4389A518" w14:textId="5934AA1D" w:rsidR="001F5668" w:rsidRDefault="001F5668" w:rsidP="00A957EC">
      <w:pPr>
        <w:pStyle w:val="ListParagraph"/>
      </w:pPr>
      <w:r>
        <w:t>Is there anything else that you would like to add?</w:t>
      </w:r>
    </w:p>
    <w:p w14:paraId="128F73AC" w14:textId="77777777" w:rsidR="001F5668" w:rsidRDefault="001F5668" w:rsidP="001F5668">
      <w:pPr>
        <w:pStyle w:val="ListParagraph"/>
        <w:ind w:left="1080"/>
      </w:pPr>
    </w:p>
    <w:p w14:paraId="24553AD1" w14:textId="77777777" w:rsidR="001F5668" w:rsidRDefault="001F5668" w:rsidP="001F5668">
      <w:pPr>
        <w:pStyle w:val="ListParagraph"/>
        <w:numPr>
          <w:ilvl w:val="0"/>
          <w:numId w:val="21"/>
        </w:numPr>
      </w:pPr>
      <w:r>
        <w:t>Is there anything you would like to ask me?</w:t>
      </w:r>
    </w:p>
    <w:p w14:paraId="74BE39A4" w14:textId="77777777" w:rsidR="001F5668" w:rsidRDefault="001F5668" w:rsidP="001F5668">
      <w:pPr>
        <w:pStyle w:val="ListParagraph"/>
      </w:pPr>
    </w:p>
    <w:p w14:paraId="40B640FD" w14:textId="77777777" w:rsidR="001F5668" w:rsidRDefault="001F5668" w:rsidP="001F5668">
      <w:pPr>
        <w:pStyle w:val="ListParagraph"/>
      </w:pPr>
      <w:r>
        <w:t>Would it be possible for me to come back to you via email if I have any points that would be valuable to follow up?</w:t>
      </w:r>
    </w:p>
    <w:p w14:paraId="2AE7FFDB" w14:textId="77777777" w:rsidR="001F5668" w:rsidRDefault="001F5668" w:rsidP="001F5668">
      <w:pPr>
        <w:pStyle w:val="ListParagraph"/>
      </w:pPr>
    </w:p>
    <w:p w14:paraId="214F3526" w14:textId="77777777" w:rsidR="001F5668" w:rsidRDefault="001F5668" w:rsidP="001F5668">
      <w:pPr>
        <w:pStyle w:val="ListParagraph"/>
      </w:pPr>
      <w:r>
        <w:t xml:space="preserve">Thank you very much for letting me interview you – I will send a full transcript of our conversation within four weeks. </w:t>
      </w:r>
    </w:p>
    <w:p w14:paraId="155A70D3" w14:textId="77777777" w:rsidR="00EB13F6" w:rsidRDefault="00EB13F6" w:rsidP="00F70360">
      <w:pPr>
        <w:pStyle w:val="ListParagraph"/>
      </w:pPr>
    </w:p>
    <w:p w14:paraId="7FC957CD" w14:textId="4EB827D6" w:rsidR="001F5668" w:rsidRDefault="001F5668">
      <w:pPr>
        <w:spacing w:after="0" w:line="240" w:lineRule="auto"/>
      </w:pPr>
      <w:r>
        <w:br w:type="page"/>
      </w:r>
    </w:p>
    <w:p w14:paraId="7FCC99E9" w14:textId="546EF07A" w:rsidR="001F5668" w:rsidRDefault="001F5668" w:rsidP="00531995">
      <w:pPr>
        <w:pStyle w:val="Heading1"/>
        <w:jc w:val="center"/>
        <w:rPr>
          <w:sz w:val="24"/>
          <w:szCs w:val="24"/>
        </w:rPr>
      </w:pPr>
      <w:bookmarkStart w:id="162" w:name="_Toc452316425"/>
      <w:r w:rsidRPr="00A957EC">
        <w:lastRenderedPageBreak/>
        <w:t xml:space="preserve">Appendix </w:t>
      </w:r>
      <w:r w:rsidR="00D27BF7" w:rsidRPr="00A957EC">
        <w:t>7</w:t>
      </w:r>
      <w:r w:rsidRPr="00A957EC">
        <w:t xml:space="preserve"> </w:t>
      </w:r>
      <w:r w:rsidRPr="00D7475B">
        <w:t>–</w:t>
      </w:r>
      <w:r w:rsidRPr="00531995">
        <w:t xml:space="preserve"> </w:t>
      </w:r>
      <w:r w:rsidR="00F951BF" w:rsidRPr="00531995">
        <w:t>C</w:t>
      </w:r>
      <w:r w:rsidRPr="00531995">
        <w:t>oding</w:t>
      </w:r>
      <w:bookmarkEnd w:id="162"/>
    </w:p>
    <w:p w14:paraId="67398D8F" w14:textId="77777777" w:rsidR="001F5668" w:rsidRDefault="001F5668" w:rsidP="001F5668">
      <w:pPr>
        <w:spacing w:after="0" w:line="240" w:lineRule="auto"/>
        <w:rPr>
          <w:sz w:val="24"/>
          <w:szCs w:val="24"/>
        </w:rPr>
      </w:pPr>
    </w:p>
    <w:p w14:paraId="25F881FD" w14:textId="77777777" w:rsidR="001F5668" w:rsidRDefault="001F5668" w:rsidP="001F5668">
      <w:pPr>
        <w:spacing w:after="0" w:line="240" w:lineRule="auto"/>
        <w:rPr>
          <w:sz w:val="24"/>
          <w:szCs w:val="24"/>
        </w:rPr>
      </w:pPr>
      <w:r w:rsidRPr="00B7068B">
        <w:rPr>
          <w:noProof/>
          <w:lang w:eastAsia="en-GB"/>
        </w:rPr>
        <w:drawing>
          <wp:inline distT="0" distB="0" distL="0" distR="0" wp14:anchorId="0BE892CB" wp14:editId="74542F83">
            <wp:extent cx="5731510" cy="7278339"/>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7278339"/>
                    </a:xfrm>
                    <a:prstGeom prst="rect">
                      <a:avLst/>
                    </a:prstGeom>
                    <a:noFill/>
                    <a:ln>
                      <a:noFill/>
                    </a:ln>
                  </pic:spPr>
                </pic:pic>
              </a:graphicData>
            </a:graphic>
          </wp:inline>
        </w:drawing>
      </w:r>
    </w:p>
    <w:p w14:paraId="499F94FC" w14:textId="77777777" w:rsidR="001F5668" w:rsidRPr="00B7068B" w:rsidRDefault="001F5668" w:rsidP="001F5668">
      <w:pPr>
        <w:spacing w:after="0" w:line="240" w:lineRule="auto"/>
        <w:rPr>
          <w:b/>
          <w:sz w:val="32"/>
          <w:szCs w:val="32"/>
        </w:rPr>
      </w:pPr>
    </w:p>
    <w:p w14:paraId="5B1620AE" w14:textId="0A4903B9" w:rsidR="00EB13F6" w:rsidRPr="00D27BF7" w:rsidRDefault="001F5668" w:rsidP="00D27BF7">
      <w:pPr>
        <w:rPr>
          <w:sz w:val="24"/>
          <w:szCs w:val="24"/>
        </w:rPr>
      </w:pPr>
      <w:r>
        <w:rPr>
          <w:sz w:val="24"/>
          <w:szCs w:val="24"/>
        </w:rPr>
        <w:br w:type="page"/>
      </w:r>
    </w:p>
    <w:p w14:paraId="79006F39" w14:textId="3F0C5F46" w:rsidR="00B226EF" w:rsidRPr="001F5668" w:rsidRDefault="001F5668" w:rsidP="00531995">
      <w:pPr>
        <w:pStyle w:val="Heading1"/>
        <w:jc w:val="center"/>
        <w:rPr>
          <w:sz w:val="28"/>
          <w:szCs w:val="28"/>
        </w:rPr>
      </w:pPr>
      <w:bookmarkStart w:id="163" w:name="_Toc452316426"/>
      <w:r w:rsidRPr="00531995">
        <w:lastRenderedPageBreak/>
        <w:t>A</w:t>
      </w:r>
      <w:r w:rsidR="00D27BF7" w:rsidRPr="00531995">
        <w:t>ppendix 8</w:t>
      </w:r>
      <w:r w:rsidR="00F951BF" w:rsidRPr="00531995">
        <w:t xml:space="preserve"> -</w:t>
      </w:r>
      <w:r w:rsidR="00F951BF">
        <w:rPr>
          <w:rFonts w:cs="Calibri"/>
          <w:sz w:val="28"/>
          <w:szCs w:val="28"/>
        </w:rPr>
        <w:t xml:space="preserve"> </w:t>
      </w:r>
      <w:r w:rsidR="00B226EF" w:rsidRPr="00A957EC">
        <w:t>Fourfold typology of school response to policy</w:t>
      </w:r>
      <w:bookmarkEnd w:id="163"/>
    </w:p>
    <w:p w14:paraId="49AA34B3" w14:textId="77777777" w:rsidR="003C227D" w:rsidRDefault="003C227D" w:rsidP="00B226EF">
      <w:pPr>
        <w:pStyle w:val="Default"/>
        <w:tabs>
          <w:tab w:val="left" w:pos="7371"/>
          <w:tab w:val="left" w:pos="8789"/>
        </w:tabs>
        <w:spacing w:line="360" w:lineRule="auto"/>
        <w:rPr>
          <w:rFonts w:ascii="Calibri" w:eastAsia="Calibri" w:hAnsi="Calibri" w:cs="Calibri"/>
        </w:rPr>
      </w:pPr>
    </w:p>
    <w:p w14:paraId="20B7D9DE" w14:textId="23E96681" w:rsidR="00B226EF" w:rsidRDefault="007F673A" w:rsidP="00B226EF">
      <w:pPr>
        <w:pStyle w:val="Default"/>
        <w:tabs>
          <w:tab w:val="left" w:pos="7371"/>
          <w:tab w:val="left" w:pos="8789"/>
        </w:tabs>
        <w:spacing w:line="360" w:lineRule="auto"/>
        <w:rPr>
          <w:rFonts w:ascii="Calibri" w:eastAsia="Calibri" w:hAnsi="Calibri" w:cs="Calibri"/>
        </w:rPr>
      </w:pPr>
      <w:r>
        <w:rPr>
          <w:rFonts w:ascii="Calibri" w:eastAsia="Calibri" w:hAnsi="Calibri" w:cs="Calibri"/>
        </w:rPr>
        <w:t>My research identified four main responses to the EBac policy. T</w:t>
      </w:r>
      <w:r w:rsidR="00B226EF">
        <w:rPr>
          <w:rFonts w:ascii="Calibri" w:eastAsia="Calibri" w:hAnsi="Calibri" w:cs="Calibri"/>
        </w:rPr>
        <w:t xml:space="preserve">he likely response for each typology </w:t>
      </w:r>
      <w:r>
        <w:rPr>
          <w:rFonts w:ascii="Calibri" w:eastAsia="Calibri" w:hAnsi="Calibri" w:cs="Calibri"/>
        </w:rPr>
        <w:t xml:space="preserve">is outlined </w:t>
      </w:r>
      <w:r w:rsidR="00B226EF">
        <w:rPr>
          <w:rFonts w:ascii="Calibri" w:eastAsia="Calibri" w:hAnsi="Calibri" w:cs="Calibri"/>
        </w:rPr>
        <w:t>giving examples from the EBac policy implementation and considering issues of equality.</w:t>
      </w:r>
    </w:p>
    <w:p w14:paraId="482DCC60" w14:textId="77777777" w:rsidR="00B226EF" w:rsidRDefault="00B226EF" w:rsidP="00B226EF">
      <w:pPr>
        <w:pStyle w:val="Default"/>
        <w:spacing w:line="360" w:lineRule="auto"/>
        <w:rPr>
          <w:rFonts w:ascii="Calibri" w:eastAsia="Calibri" w:hAnsi="Calibri" w:cs="Calibri"/>
        </w:rPr>
      </w:pPr>
    </w:p>
    <w:p w14:paraId="20065798" w14:textId="77777777" w:rsidR="00B226EF" w:rsidRDefault="00B226EF" w:rsidP="00B226EF">
      <w:pPr>
        <w:pStyle w:val="Default"/>
        <w:tabs>
          <w:tab w:val="left" w:pos="7513"/>
          <w:tab w:val="left" w:pos="7655"/>
          <w:tab w:val="left" w:pos="7797"/>
        </w:tabs>
        <w:spacing w:line="360" w:lineRule="auto"/>
        <w:rPr>
          <w:rFonts w:ascii="Calibri" w:eastAsia="Calibri" w:hAnsi="Calibri" w:cs="Calibri"/>
        </w:rPr>
      </w:pPr>
      <w:r w:rsidRPr="007F673A">
        <w:rPr>
          <w:rFonts w:ascii="Calibri" w:eastAsia="Calibri" w:hAnsi="Calibri" w:cs="Calibri"/>
          <w:b/>
        </w:rPr>
        <w:t>Acceptance</w:t>
      </w:r>
      <w:r>
        <w:rPr>
          <w:rFonts w:ascii="Calibri" w:eastAsia="Calibri" w:hAnsi="Calibri" w:cs="Calibri"/>
        </w:rPr>
        <w:t xml:space="preserve">, the ethos, cultural and structural components of a school provides an ideal backdrop for initial and future success adopting the given policy. In the case of the EBac policy this includes academically ambitious parents and children with high levels of cultural capital (Bourdieu and Passeron 1977), a high degree of correspondence between the home and the school (Bowles and Gintis (1976) and a traditional academic curriculum and ethos already in place. Such correspondence between the school and the policy may initially promote equality within the school as there is no need to question fundamental beliefs and values but may lead to growing inequality compared to other schools. </w:t>
      </w:r>
    </w:p>
    <w:p w14:paraId="2E5B1818" w14:textId="77777777" w:rsidR="00B226EF" w:rsidRDefault="00B226EF" w:rsidP="00B226EF">
      <w:pPr>
        <w:pStyle w:val="Default"/>
        <w:tabs>
          <w:tab w:val="left" w:pos="7513"/>
        </w:tabs>
        <w:spacing w:line="360" w:lineRule="auto"/>
        <w:rPr>
          <w:rFonts w:ascii="Calibri" w:eastAsia="Calibri" w:hAnsi="Calibri" w:cs="Calibri"/>
        </w:rPr>
      </w:pPr>
    </w:p>
    <w:p w14:paraId="77B81B32" w14:textId="15EE6B04" w:rsidR="00B226EF" w:rsidRDefault="00B226EF" w:rsidP="00B226EF">
      <w:pPr>
        <w:pStyle w:val="Default"/>
        <w:tabs>
          <w:tab w:val="left" w:pos="7513"/>
        </w:tabs>
        <w:spacing w:line="360" w:lineRule="auto"/>
        <w:rPr>
          <w:rFonts w:ascii="Calibri" w:eastAsia="Calibri" w:hAnsi="Calibri" w:cs="Calibri"/>
        </w:rPr>
      </w:pPr>
      <w:r w:rsidRPr="007F673A">
        <w:rPr>
          <w:rFonts w:ascii="Calibri" w:eastAsia="Calibri" w:hAnsi="Calibri" w:cs="Calibri"/>
          <w:b/>
        </w:rPr>
        <w:t>Resist</w:t>
      </w:r>
      <w:r w:rsidR="00882EB9">
        <w:rPr>
          <w:rFonts w:ascii="Calibri" w:eastAsia="Calibri" w:hAnsi="Calibri" w:cs="Calibri"/>
          <w:b/>
        </w:rPr>
        <w:t>ance</w:t>
      </w:r>
      <w:r>
        <w:rPr>
          <w:rFonts w:ascii="Calibri" w:eastAsia="Calibri" w:hAnsi="Calibri" w:cs="Calibri"/>
        </w:rPr>
        <w:t>, the confidence and belief of the school in their current course of action leads them to be determined not to be driven solely by the given policy. Care must be taken to ensure that resistance does not become an end in itself to the detriment of the students or the school. For example the case</w:t>
      </w:r>
      <w:r w:rsidR="009000A9">
        <w:rPr>
          <w:rFonts w:ascii="Calibri" w:eastAsia="Calibri" w:hAnsi="Calibri" w:cs="Calibri"/>
        </w:rPr>
        <w:t>-</w:t>
      </w:r>
      <w:r>
        <w:rPr>
          <w:rFonts w:ascii="Calibri" w:eastAsia="Calibri" w:hAnsi="Calibri" w:cs="Calibri"/>
        </w:rPr>
        <w:t>study school resisted the rhetoric that all students should study the EBac however the school did make a number of changes in response to this policy to ensure that individual students were not disadvantaged. This reaction can be seen as a stance against the control and governing of schools through the accountability system of the performance points or as a reflection of the power of such systems to determine behaviour even when initially resisted (Lingard 2013).</w:t>
      </w:r>
    </w:p>
    <w:p w14:paraId="6CF83C21" w14:textId="77777777" w:rsidR="00B226EF" w:rsidRDefault="00B226EF" w:rsidP="00B226EF">
      <w:pPr>
        <w:pStyle w:val="Default"/>
        <w:spacing w:line="360" w:lineRule="auto"/>
        <w:rPr>
          <w:rFonts w:ascii="Calibri" w:eastAsia="Calibri" w:hAnsi="Calibri" w:cs="Calibri"/>
        </w:rPr>
      </w:pPr>
    </w:p>
    <w:p w14:paraId="0A27BEA5" w14:textId="559C011A" w:rsidR="00B226EF" w:rsidRDefault="00B226EF" w:rsidP="00B226EF">
      <w:pPr>
        <w:pStyle w:val="Default"/>
        <w:spacing w:line="360" w:lineRule="auto"/>
        <w:rPr>
          <w:rFonts w:ascii="Calibri" w:eastAsia="Calibri" w:hAnsi="Calibri" w:cs="Calibri"/>
        </w:rPr>
      </w:pPr>
      <w:r w:rsidRPr="007F673A">
        <w:rPr>
          <w:rFonts w:ascii="Calibri" w:eastAsia="Calibri" w:hAnsi="Calibri" w:cs="Calibri"/>
          <w:b/>
        </w:rPr>
        <w:t>Compliance</w:t>
      </w:r>
      <w:r>
        <w:rPr>
          <w:rFonts w:ascii="Calibri" w:eastAsia="Calibri" w:hAnsi="Calibri" w:cs="Calibri"/>
        </w:rPr>
        <w:t xml:space="preserve"> is the reaction by a school which feels that it had no power to determine its own course, even when it may have structural freedoms such as academy status which imply opportunity to deviate from national policy. From an accoun</w:t>
      </w:r>
      <w:r w:rsidR="00755DFA">
        <w:rPr>
          <w:rFonts w:ascii="Calibri" w:eastAsia="Calibri" w:hAnsi="Calibri" w:cs="Calibri"/>
        </w:rPr>
        <w:t>tability perspective Hirsch (199</w:t>
      </w:r>
      <w:r>
        <w:rPr>
          <w:rFonts w:ascii="Calibri" w:eastAsia="Calibri" w:hAnsi="Calibri" w:cs="Calibri"/>
        </w:rPr>
        <w:t xml:space="preserve">6) would argue that this is an example of “core knowledge” having to be reinforced in the curriculum allows children access to future high level knowledge.  Such a stance may </w:t>
      </w:r>
      <w:r>
        <w:rPr>
          <w:rFonts w:ascii="Calibri" w:eastAsia="Calibri" w:hAnsi="Calibri" w:cs="Calibri"/>
        </w:rPr>
        <w:lastRenderedPageBreak/>
        <w:t>lead to inequalities for the students who are not provided with appropriate solutions to their needs and potentially</w:t>
      </w:r>
      <w:r w:rsidR="00D034E0">
        <w:rPr>
          <w:rFonts w:ascii="Calibri" w:eastAsia="Calibri" w:hAnsi="Calibri" w:cs="Calibri"/>
        </w:rPr>
        <w:t xml:space="preserve"> “learned helplessness” (Seligman and Maier 1967</w:t>
      </w:r>
      <w:r>
        <w:rPr>
          <w:rFonts w:ascii="Calibri" w:eastAsia="Calibri" w:hAnsi="Calibri" w:cs="Calibri"/>
        </w:rPr>
        <w:t>) for the teachers and school creating a future need to be supported rather than generating school led solutions.</w:t>
      </w:r>
    </w:p>
    <w:p w14:paraId="31C96EC6" w14:textId="77777777" w:rsidR="00B226EF" w:rsidRDefault="00B226EF" w:rsidP="00B226EF">
      <w:pPr>
        <w:pStyle w:val="Default"/>
        <w:spacing w:line="360" w:lineRule="auto"/>
        <w:rPr>
          <w:rFonts w:ascii="Calibri" w:eastAsia="Calibri" w:hAnsi="Calibri" w:cs="Calibri"/>
        </w:rPr>
      </w:pPr>
    </w:p>
    <w:p w14:paraId="17AB6990" w14:textId="77777777" w:rsidR="00B226EF" w:rsidRDefault="00B226EF" w:rsidP="00B226EF">
      <w:pPr>
        <w:pStyle w:val="Default"/>
        <w:spacing w:line="360" w:lineRule="auto"/>
        <w:rPr>
          <w:rFonts w:ascii="Calibri" w:eastAsia="Calibri" w:hAnsi="Calibri" w:cs="Calibri"/>
        </w:rPr>
      </w:pPr>
      <w:r w:rsidRPr="007F673A">
        <w:rPr>
          <w:rFonts w:ascii="Calibri" w:eastAsia="Calibri" w:hAnsi="Calibri" w:cs="Calibri"/>
          <w:b/>
        </w:rPr>
        <w:t>Confusion</w:t>
      </w:r>
      <w:r>
        <w:rPr>
          <w:rFonts w:ascii="Calibri" w:eastAsia="Calibri" w:hAnsi="Calibri" w:cs="Calibri"/>
        </w:rPr>
        <w:t xml:space="preserve"> is experienced by a school that reacts quickly to policy announcements and does not consider the implications of decisions taken and does not prepare and plan for the changes implemented. Such an approach while initially complying with a policy request has the potential to generate additional problems and inequalities for students and teachers which may then require a further policy solution at a later time. </w:t>
      </w:r>
    </w:p>
    <w:p w14:paraId="251A3217" w14:textId="0D18B5D1" w:rsidR="001F5668" w:rsidRDefault="001F5668">
      <w:pPr>
        <w:spacing w:after="0" w:line="240" w:lineRule="auto"/>
        <w:rPr>
          <w:sz w:val="24"/>
          <w:szCs w:val="24"/>
        </w:rPr>
      </w:pPr>
      <w:r>
        <w:rPr>
          <w:sz w:val="24"/>
          <w:szCs w:val="24"/>
        </w:rPr>
        <w:br w:type="page"/>
      </w:r>
    </w:p>
    <w:p w14:paraId="3461D30D" w14:textId="77777777" w:rsidR="001E54EB" w:rsidRDefault="001E54EB" w:rsidP="00531995">
      <w:pPr>
        <w:pStyle w:val="Heading1"/>
        <w:jc w:val="center"/>
        <w:sectPr w:rsidR="001E54EB" w:rsidSect="00DE318D">
          <w:pgSz w:w="11906" w:h="16838"/>
          <w:pgMar w:top="1440" w:right="1440" w:bottom="1440" w:left="1440" w:header="708" w:footer="708" w:gutter="0"/>
          <w:cols w:space="708"/>
          <w:docGrid w:linePitch="360"/>
        </w:sectPr>
      </w:pPr>
    </w:p>
    <w:p w14:paraId="7AF0906B" w14:textId="4CC81F33" w:rsidR="00EB13F6" w:rsidRPr="00A957EC" w:rsidRDefault="00D530C1" w:rsidP="00531995">
      <w:pPr>
        <w:pStyle w:val="Heading1"/>
        <w:jc w:val="center"/>
      </w:pPr>
      <w:bookmarkStart w:id="164" w:name="_Toc452316427"/>
      <w:r w:rsidRPr="00531995">
        <w:lastRenderedPageBreak/>
        <w:t xml:space="preserve">Appendix </w:t>
      </w:r>
      <w:r w:rsidR="00D27BF7" w:rsidRPr="00531995">
        <w:t>9</w:t>
      </w:r>
      <w:r w:rsidR="003C227D" w:rsidRPr="00531995">
        <w:t xml:space="preserve"> –</w:t>
      </w:r>
      <w:r w:rsidR="003C227D">
        <w:rPr>
          <w:sz w:val="28"/>
          <w:szCs w:val="28"/>
        </w:rPr>
        <w:t xml:space="preserve"> </w:t>
      </w:r>
      <w:r w:rsidR="003C227D">
        <w:t>Scheurich’s 4 Arenas</w:t>
      </w:r>
      <w:bookmarkEnd w:id="164"/>
    </w:p>
    <w:p w14:paraId="09BE9522" w14:textId="38CFFE9F" w:rsidR="00D530C1" w:rsidRPr="00531995" w:rsidRDefault="00D14D4B" w:rsidP="00531995">
      <w:pPr>
        <w:pStyle w:val="Caption"/>
        <w:rPr>
          <w:rFonts w:cs="Calibri"/>
          <w:b/>
          <w:i w:val="0"/>
          <w:iCs w:val="0"/>
          <w:color w:val="auto"/>
          <w:sz w:val="24"/>
          <w:szCs w:val="22"/>
        </w:rPr>
      </w:pPr>
      <w:bookmarkStart w:id="165" w:name="_Toc450170431"/>
      <w:r w:rsidRPr="00531995">
        <w:rPr>
          <w:b/>
          <w:color w:val="000000" w:themeColor="text1"/>
          <w:sz w:val="24"/>
          <w:szCs w:val="24"/>
        </w:rPr>
        <w:t xml:space="preserve">Table </w:t>
      </w:r>
      <w:r w:rsidRPr="00531995">
        <w:rPr>
          <w:b/>
          <w:color w:val="000000" w:themeColor="text1"/>
          <w:sz w:val="24"/>
          <w:szCs w:val="24"/>
        </w:rPr>
        <w:fldChar w:fldCharType="begin"/>
      </w:r>
      <w:r w:rsidRPr="00531995">
        <w:rPr>
          <w:b/>
          <w:color w:val="000000" w:themeColor="text1"/>
          <w:sz w:val="24"/>
          <w:szCs w:val="24"/>
        </w:rPr>
        <w:instrText xml:space="preserve"> SEQ Table \* ARABIC </w:instrText>
      </w:r>
      <w:r w:rsidRPr="00531995">
        <w:rPr>
          <w:b/>
          <w:color w:val="000000" w:themeColor="text1"/>
          <w:sz w:val="24"/>
          <w:szCs w:val="24"/>
        </w:rPr>
        <w:fldChar w:fldCharType="separate"/>
      </w:r>
      <w:r w:rsidR="00ED3AF0">
        <w:rPr>
          <w:b/>
          <w:noProof/>
          <w:color w:val="000000" w:themeColor="text1"/>
          <w:sz w:val="24"/>
          <w:szCs w:val="24"/>
        </w:rPr>
        <w:t>3</w:t>
      </w:r>
      <w:r w:rsidRPr="00531995">
        <w:rPr>
          <w:b/>
          <w:color w:val="000000" w:themeColor="text1"/>
          <w:sz w:val="24"/>
          <w:szCs w:val="24"/>
        </w:rPr>
        <w:fldChar w:fldCharType="end"/>
      </w:r>
      <w:r w:rsidRPr="00531995">
        <w:rPr>
          <w:b/>
          <w:color w:val="000000" w:themeColor="text1"/>
          <w:sz w:val="24"/>
          <w:szCs w:val="24"/>
        </w:rPr>
        <w:t xml:space="preserve"> - Scheurich's Arena 1</w:t>
      </w:r>
      <w:bookmarkEnd w:id="165"/>
    </w:p>
    <w:tbl>
      <w:tblPr>
        <w:tblStyle w:val="TableGrid"/>
        <w:tblW w:w="0" w:type="auto"/>
        <w:tblLook w:val="04A0" w:firstRow="1" w:lastRow="0" w:firstColumn="1" w:lastColumn="0" w:noHBand="0" w:noVBand="1"/>
      </w:tblPr>
      <w:tblGrid>
        <w:gridCol w:w="5070"/>
        <w:gridCol w:w="3402"/>
        <w:gridCol w:w="5670"/>
      </w:tblGrid>
      <w:tr w:rsidR="00D530C1" w14:paraId="67C09587" w14:textId="77777777" w:rsidTr="001E54EB">
        <w:tc>
          <w:tcPr>
            <w:tcW w:w="5070" w:type="dxa"/>
          </w:tcPr>
          <w:p w14:paraId="6C895E99" w14:textId="77777777" w:rsidR="00D530C1" w:rsidRPr="00B43651" w:rsidRDefault="00D530C1" w:rsidP="00B226EF">
            <w:pPr>
              <w:rPr>
                <w:rFonts w:cs="Calibri"/>
                <w:b/>
                <w:sz w:val="24"/>
              </w:rPr>
            </w:pPr>
            <w:r>
              <w:rPr>
                <w:rFonts w:cs="Calibri"/>
                <w:b/>
                <w:sz w:val="24"/>
              </w:rPr>
              <w:t>Arena 1 – Problem</w:t>
            </w:r>
          </w:p>
        </w:tc>
        <w:tc>
          <w:tcPr>
            <w:tcW w:w="3402" w:type="dxa"/>
          </w:tcPr>
          <w:p w14:paraId="6CFF1342" w14:textId="77777777" w:rsidR="00D530C1" w:rsidRPr="00B43651" w:rsidRDefault="00D530C1" w:rsidP="00B226EF">
            <w:pPr>
              <w:rPr>
                <w:rFonts w:cs="Calibri"/>
                <w:b/>
                <w:sz w:val="24"/>
              </w:rPr>
            </w:pPr>
            <w:r>
              <w:rPr>
                <w:rFonts w:cs="Calibri"/>
                <w:b/>
                <w:sz w:val="24"/>
              </w:rPr>
              <w:t xml:space="preserve"> Social construction of problem</w:t>
            </w:r>
          </w:p>
        </w:tc>
        <w:tc>
          <w:tcPr>
            <w:tcW w:w="5670" w:type="dxa"/>
          </w:tcPr>
          <w:p w14:paraId="1092B89A" w14:textId="70A5CEBC" w:rsidR="00D530C1" w:rsidRDefault="00D530C1" w:rsidP="003410B4">
            <w:pPr>
              <w:rPr>
                <w:rFonts w:cs="Calibri"/>
                <w:b/>
                <w:sz w:val="24"/>
              </w:rPr>
            </w:pPr>
            <w:r>
              <w:rPr>
                <w:rFonts w:cs="Calibri"/>
                <w:b/>
                <w:sz w:val="24"/>
              </w:rPr>
              <w:t xml:space="preserve">Source </w:t>
            </w:r>
            <w:r w:rsidR="003410B4">
              <w:rPr>
                <w:rFonts w:cs="Calibri"/>
                <w:b/>
                <w:sz w:val="24"/>
              </w:rPr>
              <w:t>and</w:t>
            </w:r>
            <w:r>
              <w:rPr>
                <w:rFonts w:cs="Calibri"/>
                <w:b/>
                <w:sz w:val="24"/>
              </w:rPr>
              <w:t xml:space="preserve"> page</w:t>
            </w:r>
          </w:p>
        </w:tc>
      </w:tr>
      <w:tr w:rsidR="00D530C1" w:rsidRPr="008D31D5" w14:paraId="3B934568" w14:textId="77777777" w:rsidTr="001E54EB">
        <w:trPr>
          <w:trHeight w:val="156"/>
        </w:trPr>
        <w:tc>
          <w:tcPr>
            <w:tcW w:w="5070" w:type="dxa"/>
            <w:vMerge w:val="restart"/>
          </w:tcPr>
          <w:p w14:paraId="623554FA" w14:textId="12C3780F" w:rsidR="00D530C1" w:rsidRPr="008D31D5" w:rsidRDefault="00D530C1" w:rsidP="00B226EF">
            <w:pPr>
              <w:rPr>
                <w:rFonts w:asciiTheme="minorHAnsi" w:hAnsiTheme="minorHAnsi" w:cstheme="minorHAnsi"/>
                <w:sz w:val="24"/>
                <w:szCs w:val="24"/>
              </w:rPr>
            </w:pPr>
            <w:r w:rsidRPr="008D31D5">
              <w:rPr>
                <w:rFonts w:asciiTheme="minorHAnsi" w:hAnsiTheme="minorHAnsi" w:cstheme="minorHAnsi"/>
                <w:sz w:val="24"/>
                <w:szCs w:val="24"/>
              </w:rPr>
              <w:t xml:space="preserve">Educational standards in England </w:t>
            </w:r>
            <w:r w:rsidRPr="008D31D5">
              <w:rPr>
                <w:rFonts w:asciiTheme="minorHAnsi" w:hAnsiTheme="minorHAnsi" w:cstheme="minorHAnsi"/>
                <w:sz w:val="24"/>
                <w:szCs w:val="24"/>
                <w:lang w:eastAsia="en-GB"/>
              </w:rPr>
              <w:t>with a focus/ concern on</w:t>
            </w:r>
            <w:r w:rsidRPr="008D31D5">
              <w:rPr>
                <w:rFonts w:asciiTheme="minorHAnsi" w:hAnsiTheme="minorHAnsi" w:cstheme="minorHAnsi"/>
                <w:sz w:val="24"/>
                <w:szCs w:val="24"/>
              </w:rPr>
              <w:t>:</w:t>
            </w:r>
            <w:r w:rsidRPr="008D31D5">
              <w:rPr>
                <w:rFonts w:asciiTheme="minorHAnsi" w:hAnsiTheme="minorHAnsi" w:cstheme="minorHAnsi"/>
                <w:sz w:val="24"/>
                <w:szCs w:val="24"/>
                <w:lang w:eastAsia="en-GB"/>
              </w:rPr>
              <w:t xml:space="preserve"> </w:t>
            </w:r>
          </w:p>
          <w:p w14:paraId="3309DB1B" w14:textId="43EE1796" w:rsidR="00D530C1" w:rsidRPr="008D31D5" w:rsidRDefault="00D71419" w:rsidP="00B226EF">
            <w:pPr>
              <w:pStyle w:val="ListParagraph"/>
              <w:numPr>
                <w:ilvl w:val="0"/>
                <w:numId w:val="36"/>
              </w:numPr>
              <w:spacing w:after="0" w:line="240" w:lineRule="auto"/>
              <w:rPr>
                <w:rFonts w:asciiTheme="minorHAnsi" w:hAnsiTheme="minorHAnsi" w:cstheme="minorHAnsi"/>
                <w:sz w:val="24"/>
                <w:szCs w:val="24"/>
                <w:lang w:eastAsia="en-GB"/>
              </w:rPr>
            </w:pPr>
            <w:r>
              <w:rPr>
                <w:rFonts w:asciiTheme="minorHAnsi" w:hAnsiTheme="minorHAnsi" w:cstheme="minorHAnsi"/>
                <w:sz w:val="24"/>
                <w:szCs w:val="24"/>
                <w:lang w:eastAsia="en-GB"/>
              </w:rPr>
              <w:t>D</w:t>
            </w:r>
            <w:r w:rsidR="00D530C1" w:rsidRPr="008D31D5">
              <w:rPr>
                <w:rFonts w:asciiTheme="minorHAnsi" w:hAnsiTheme="minorHAnsi" w:cstheme="minorHAnsi"/>
                <w:sz w:val="24"/>
                <w:szCs w:val="24"/>
                <w:lang w:eastAsia="en-GB"/>
              </w:rPr>
              <w:t xml:space="preserve">eclining educational standards </w:t>
            </w:r>
            <w:r w:rsidR="00D530C1" w:rsidRPr="008D31D5">
              <w:rPr>
                <w:rFonts w:asciiTheme="minorHAnsi" w:hAnsiTheme="minorHAnsi" w:cstheme="minorHAnsi"/>
                <w:sz w:val="24"/>
                <w:szCs w:val="24"/>
              </w:rPr>
              <w:t>on International measure</w:t>
            </w:r>
          </w:p>
          <w:p w14:paraId="0DE1461D" w14:textId="77777777" w:rsidR="00D71419" w:rsidRDefault="00D530C1" w:rsidP="00D71419">
            <w:pPr>
              <w:pStyle w:val="ListParagraph"/>
              <w:numPr>
                <w:ilvl w:val="0"/>
                <w:numId w:val="36"/>
              </w:numPr>
              <w:spacing w:after="0" w:line="240" w:lineRule="auto"/>
              <w:rPr>
                <w:rFonts w:asciiTheme="minorHAnsi" w:hAnsiTheme="minorHAnsi" w:cstheme="minorHAnsi"/>
                <w:sz w:val="24"/>
                <w:szCs w:val="24"/>
                <w:lang w:eastAsia="en-GB"/>
              </w:rPr>
            </w:pPr>
            <w:r>
              <w:rPr>
                <w:rFonts w:asciiTheme="minorHAnsi" w:hAnsiTheme="minorHAnsi" w:cstheme="minorHAnsi"/>
                <w:sz w:val="24"/>
                <w:szCs w:val="24"/>
              </w:rPr>
              <w:t xml:space="preserve">Attainment </w:t>
            </w:r>
            <w:r w:rsidRPr="008D31D5">
              <w:rPr>
                <w:rFonts w:asciiTheme="minorHAnsi" w:hAnsiTheme="minorHAnsi" w:cstheme="minorHAnsi"/>
                <w:sz w:val="24"/>
                <w:szCs w:val="24"/>
              </w:rPr>
              <w:t>gap between disadvantaged students and others</w:t>
            </w:r>
          </w:p>
          <w:p w14:paraId="46E78F61" w14:textId="77777777" w:rsidR="00D71419" w:rsidRDefault="00D71419" w:rsidP="00D71419">
            <w:pPr>
              <w:pStyle w:val="ListParagraph"/>
              <w:numPr>
                <w:ilvl w:val="0"/>
                <w:numId w:val="36"/>
              </w:numPr>
              <w:spacing w:after="0" w:line="240" w:lineRule="auto"/>
              <w:rPr>
                <w:rFonts w:asciiTheme="minorHAnsi" w:hAnsiTheme="minorHAnsi" w:cstheme="minorHAnsi"/>
                <w:sz w:val="24"/>
                <w:szCs w:val="24"/>
                <w:lang w:eastAsia="en-GB"/>
              </w:rPr>
            </w:pPr>
            <w:r>
              <w:rPr>
                <w:rFonts w:asciiTheme="minorHAnsi" w:hAnsiTheme="minorHAnsi" w:cstheme="minorHAnsi"/>
                <w:sz w:val="24"/>
                <w:szCs w:val="24"/>
              </w:rPr>
              <w:t>Increase in vocational provision in schools – perceived to be of lower standard and less demanding than GCSE qualifications</w:t>
            </w:r>
          </w:p>
          <w:p w14:paraId="040A824E" w14:textId="097BFE2A" w:rsidR="00D71419" w:rsidRDefault="00D71419" w:rsidP="00D71419">
            <w:pPr>
              <w:pStyle w:val="ListParagraph"/>
              <w:numPr>
                <w:ilvl w:val="0"/>
                <w:numId w:val="36"/>
              </w:numPr>
              <w:spacing w:after="0" w:line="240" w:lineRule="auto"/>
              <w:rPr>
                <w:rFonts w:asciiTheme="minorHAnsi" w:hAnsiTheme="minorHAnsi" w:cstheme="minorHAnsi"/>
                <w:sz w:val="24"/>
                <w:szCs w:val="24"/>
                <w:lang w:eastAsia="en-GB"/>
              </w:rPr>
            </w:pPr>
            <w:r>
              <w:rPr>
                <w:rFonts w:asciiTheme="minorHAnsi" w:hAnsiTheme="minorHAnsi" w:cstheme="minorHAnsi"/>
                <w:sz w:val="24"/>
                <w:szCs w:val="24"/>
                <w:lang w:eastAsia="en-GB"/>
              </w:rPr>
              <w:t>Impact on Performance tables of vocational qualifications</w:t>
            </w:r>
          </w:p>
          <w:p w14:paraId="54E93C84" w14:textId="77777777" w:rsidR="00D71419" w:rsidRDefault="00D71419" w:rsidP="00D71419">
            <w:pPr>
              <w:pStyle w:val="ListParagraph"/>
              <w:numPr>
                <w:ilvl w:val="0"/>
                <w:numId w:val="36"/>
              </w:numPr>
              <w:spacing w:after="0" w:line="240" w:lineRule="auto"/>
              <w:rPr>
                <w:rFonts w:asciiTheme="minorHAnsi" w:hAnsiTheme="minorHAnsi" w:cstheme="minorHAnsi"/>
                <w:sz w:val="24"/>
                <w:szCs w:val="24"/>
                <w:lang w:eastAsia="en-GB"/>
              </w:rPr>
            </w:pPr>
            <w:r>
              <w:rPr>
                <w:rFonts w:asciiTheme="minorHAnsi" w:hAnsiTheme="minorHAnsi" w:cstheme="minorHAnsi"/>
                <w:sz w:val="24"/>
                <w:szCs w:val="24"/>
              </w:rPr>
              <w:t>Decrease in examination entries at GCSE for subjects such as Languages, History and Geography</w:t>
            </w:r>
          </w:p>
          <w:p w14:paraId="1C275DF2" w14:textId="1FF9A2CF" w:rsidR="00D71419" w:rsidRPr="00D71419" w:rsidRDefault="00D71419" w:rsidP="00D71419">
            <w:pPr>
              <w:pStyle w:val="ListParagraph"/>
              <w:spacing w:after="0" w:line="240" w:lineRule="auto"/>
              <w:ind w:left="360"/>
              <w:rPr>
                <w:rFonts w:asciiTheme="minorHAnsi" w:hAnsiTheme="minorHAnsi" w:cstheme="minorHAnsi"/>
                <w:sz w:val="24"/>
                <w:szCs w:val="24"/>
                <w:lang w:eastAsia="en-GB"/>
              </w:rPr>
            </w:pPr>
          </w:p>
        </w:tc>
        <w:tc>
          <w:tcPr>
            <w:tcW w:w="3402" w:type="dxa"/>
          </w:tcPr>
          <w:p w14:paraId="2D4BDD2A" w14:textId="77777777" w:rsidR="00D530C1" w:rsidRPr="008D31D5" w:rsidRDefault="00D530C1" w:rsidP="00B226EF">
            <w:pPr>
              <w:rPr>
                <w:rFonts w:asciiTheme="minorHAnsi" w:hAnsiTheme="minorHAnsi" w:cstheme="minorHAnsi"/>
                <w:sz w:val="24"/>
                <w:szCs w:val="24"/>
              </w:rPr>
            </w:pPr>
            <w:r w:rsidRPr="008D31D5">
              <w:rPr>
                <w:rFonts w:asciiTheme="minorHAnsi" w:hAnsiTheme="minorHAnsi" w:cstheme="minorHAnsi"/>
                <w:sz w:val="24"/>
                <w:szCs w:val="24"/>
              </w:rPr>
              <w:t>New Coalition government</w:t>
            </w:r>
          </w:p>
        </w:tc>
        <w:tc>
          <w:tcPr>
            <w:tcW w:w="5670" w:type="dxa"/>
          </w:tcPr>
          <w:p w14:paraId="6B5CAA37" w14:textId="77777777" w:rsidR="00EC75F2" w:rsidRPr="00EC75F2" w:rsidRDefault="00EC75F2" w:rsidP="005B1B6A">
            <w:pPr>
              <w:spacing w:line="240" w:lineRule="auto"/>
              <w:rPr>
                <w:rFonts w:asciiTheme="minorHAnsi" w:hAnsiTheme="minorHAnsi" w:cstheme="minorHAnsi"/>
                <w:sz w:val="24"/>
                <w:szCs w:val="24"/>
              </w:rPr>
            </w:pPr>
            <w:r w:rsidRPr="00EC75F2">
              <w:rPr>
                <w:rFonts w:asciiTheme="minorHAnsi" w:hAnsiTheme="minorHAnsi" w:cstheme="minorHAnsi"/>
                <w:sz w:val="24"/>
                <w:szCs w:val="24"/>
              </w:rPr>
              <w:t>1.2 Context p.10</w:t>
            </w:r>
          </w:p>
          <w:p w14:paraId="5CFAF265" w14:textId="2A3C6287" w:rsidR="00EC75F2" w:rsidRPr="00EC75F2" w:rsidRDefault="00EC75F2" w:rsidP="005B1B6A">
            <w:pPr>
              <w:spacing w:line="240" w:lineRule="auto"/>
              <w:rPr>
                <w:rFonts w:asciiTheme="minorHAnsi" w:hAnsiTheme="minorHAnsi" w:cstheme="minorHAnsi"/>
                <w:sz w:val="24"/>
                <w:szCs w:val="24"/>
              </w:rPr>
            </w:pPr>
            <w:r w:rsidRPr="00EC75F2">
              <w:rPr>
                <w:rFonts w:asciiTheme="minorHAnsi" w:hAnsiTheme="minorHAnsi" w:cstheme="minorHAnsi"/>
                <w:sz w:val="24"/>
                <w:szCs w:val="24"/>
              </w:rPr>
              <w:t xml:space="preserve">4.2.13 </w:t>
            </w:r>
            <w:r w:rsidR="0074508C">
              <w:rPr>
                <w:rFonts w:asciiTheme="minorHAnsi" w:hAnsiTheme="minorHAnsi" w:cstheme="minorHAnsi"/>
                <w:sz w:val="24"/>
                <w:szCs w:val="24"/>
              </w:rPr>
              <w:t xml:space="preserve">Conclusion - </w:t>
            </w:r>
            <w:r w:rsidRPr="00EC75F2">
              <w:rPr>
                <w:rFonts w:asciiTheme="minorHAnsi" w:hAnsiTheme="minorHAnsi" w:cstheme="minorHAnsi"/>
                <w:sz w:val="24"/>
                <w:szCs w:val="24"/>
              </w:rPr>
              <w:t>Coalition policy p.107</w:t>
            </w:r>
          </w:p>
          <w:p w14:paraId="52705C57" w14:textId="4B63E273" w:rsidR="00EC75F2" w:rsidRPr="00EC75F2" w:rsidRDefault="00EC75F2" w:rsidP="005B1B6A">
            <w:pPr>
              <w:spacing w:line="240" w:lineRule="auto"/>
              <w:rPr>
                <w:rFonts w:asciiTheme="minorHAnsi" w:hAnsiTheme="minorHAnsi" w:cstheme="minorHAnsi"/>
                <w:sz w:val="18"/>
                <w:szCs w:val="18"/>
              </w:rPr>
            </w:pPr>
            <w:r w:rsidRPr="00EC75F2">
              <w:rPr>
                <w:rFonts w:asciiTheme="minorHAnsi" w:hAnsiTheme="minorHAnsi" w:cstheme="minorHAnsi"/>
                <w:sz w:val="24"/>
                <w:szCs w:val="24"/>
              </w:rPr>
              <w:t>5.2 EBac PA p.133</w:t>
            </w:r>
          </w:p>
        </w:tc>
      </w:tr>
      <w:tr w:rsidR="00D530C1" w:rsidRPr="008D31D5" w14:paraId="679E4D52" w14:textId="77777777" w:rsidTr="001E54EB">
        <w:trPr>
          <w:trHeight w:val="156"/>
        </w:trPr>
        <w:tc>
          <w:tcPr>
            <w:tcW w:w="5070" w:type="dxa"/>
            <w:vMerge/>
          </w:tcPr>
          <w:p w14:paraId="1BDA6B6B" w14:textId="2962B91A" w:rsidR="00D530C1" w:rsidRPr="008D31D5" w:rsidRDefault="00D530C1" w:rsidP="00B226EF">
            <w:pPr>
              <w:rPr>
                <w:rFonts w:asciiTheme="minorHAnsi" w:hAnsiTheme="minorHAnsi" w:cstheme="minorHAnsi"/>
                <w:sz w:val="24"/>
                <w:szCs w:val="24"/>
              </w:rPr>
            </w:pPr>
          </w:p>
        </w:tc>
        <w:tc>
          <w:tcPr>
            <w:tcW w:w="3402" w:type="dxa"/>
          </w:tcPr>
          <w:p w14:paraId="2557AA09" w14:textId="77777777" w:rsidR="00D530C1" w:rsidRPr="008D31D5" w:rsidRDefault="00D530C1" w:rsidP="00B226EF">
            <w:pPr>
              <w:rPr>
                <w:rFonts w:asciiTheme="minorHAnsi" w:hAnsiTheme="minorHAnsi" w:cstheme="minorHAnsi"/>
                <w:sz w:val="24"/>
                <w:szCs w:val="24"/>
              </w:rPr>
            </w:pPr>
            <w:r w:rsidRPr="008D31D5">
              <w:rPr>
                <w:rFonts w:asciiTheme="minorHAnsi" w:hAnsiTheme="minorHAnsi" w:cstheme="minorHAnsi"/>
                <w:sz w:val="24"/>
                <w:szCs w:val="24"/>
              </w:rPr>
              <w:t>Declining PISA rankings</w:t>
            </w:r>
          </w:p>
        </w:tc>
        <w:tc>
          <w:tcPr>
            <w:tcW w:w="5670" w:type="dxa"/>
          </w:tcPr>
          <w:p w14:paraId="51F344F8" w14:textId="77777777" w:rsidR="00D530C1" w:rsidRDefault="00EC75F2" w:rsidP="00B226EF">
            <w:pPr>
              <w:rPr>
                <w:rFonts w:asciiTheme="minorHAnsi" w:hAnsiTheme="minorHAnsi" w:cstheme="minorHAnsi"/>
                <w:sz w:val="24"/>
                <w:szCs w:val="24"/>
              </w:rPr>
            </w:pPr>
            <w:r>
              <w:rPr>
                <w:rFonts w:asciiTheme="minorHAnsi" w:hAnsiTheme="minorHAnsi" w:cstheme="minorHAnsi"/>
                <w:sz w:val="24"/>
                <w:szCs w:val="24"/>
              </w:rPr>
              <w:t>1.2 Context p.11</w:t>
            </w:r>
          </w:p>
          <w:p w14:paraId="3274BABF" w14:textId="77777777" w:rsidR="00EC75F2" w:rsidRDefault="00EC75F2" w:rsidP="00B226EF">
            <w:pPr>
              <w:rPr>
                <w:rFonts w:asciiTheme="minorHAnsi" w:hAnsiTheme="minorHAnsi" w:cstheme="minorHAnsi"/>
                <w:sz w:val="24"/>
                <w:szCs w:val="24"/>
              </w:rPr>
            </w:pPr>
            <w:r>
              <w:rPr>
                <w:rFonts w:asciiTheme="minorHAnsi" w:hAnsiTheme="minorHAnsi" w:cstheme="minorHAnsi"/>
                <w:sz w:val="24"/>
                <w:szCs w:val="24"/>
              </w:rPr>
              <w:t>1.6.3 Governance and Neo Liberalism p.22</w:t>
            </w:r>
          </w:p>
          <w:p w14:paraId="432D0F92" w14:textId="77777777" w:rsidR="00EC75F2" w:rsidRDefault="00EC75F2" w:rsidP="00B226EF">
            <w:pPr>
              <w:rPr>
                <w:rFonts w:asciiTheme="minorHAnsi" w:hAnsiTheme="minorHAnsi" w:cstheme="minorHAnsi"/>
                <w:sz w:val="24"/>
                <w:szCs w:val="24"/>
              </w:rPr>
            </w:pPr>
            <w:r>
              <w:rPr>
                <w:rFonts w:asciiTheme="minorHAnsi" w:hAnsiTheme="minorHAnsi" w:cstheme="minorHAnsi"/>
                <w:sz w:val="24"/>
                <w:szCs w:val="24"/>
              </w:rPr>
              <w:t>2.6.2 PA p.47</w:t>
            </w:r>
          </w:p>
          <w:p w14:paraId="2F22DDA8" w14:textId="0EEBEF7F" w:rsidR="00EC75F2" w:rsidRPr="008D31D5" w:rsidRDefault="00EC75F2" w:rsidP="00B226EF">
            <w:pPr>
              <w:rPr>
                <w:rFonts w:asciiTheme="minorHAnsi" w:hAnsiTheme="minorHAnsi" w:cstheme="minorHAnsi"/>
                <w:sz w:val="24"/>
                <w:szCs w:val="24"/>
              </w:rPr>
            </w:pPr>
            <w:r>
              <w:rPr>
                <w:rFonts w:asciiTheme="minorHAnsi" w:hAnsiTheme="minorHAnsi" w:cstheme="minorHAnsi"/>
                <w:sz w:val="24"/>
                <w:szCs w:val="24"/>
              </w:rPr>
              <w:t>4.2.5 CDA p.97/ p.102</w:t>
            </w:r>
          </w:p>
        </w:tc>
      </w:tr>
      <w:tr w:rsidR="00D530C1" w:rsidRPr="008D31D5" w14:paraId="5CB9A236" w14:textId="77777777" w:rsidTr="001E54EB">
        <w:trPr>
          <w:trHeight w:val="156"/>
        </w:trPr>
        <w:tc>
          <w:tcPr>
            <w:tcW w:w="5070" w:type="dxa"/>
            <w:vMerge/>
          </w:tcPr>
          <w:p w14:paraId="3F093415" w14:textId="32BB3A3E" w:rsidR="00D530C1" w:rsidRPr="008D31D5" w:rsidRDefault="00D530C1" w:rsidP="00B226EF">
            <w:pPr>
              <w:rPr>
                <w:rFonts w:asciiTheme="minorHAnsi" w:hAnsiTheme="minorHAnsi" w:cstheme="minorHAnsi"/>
                <w:sz w:val="24"/>
                <w:szCs w:val="24"/>
              </w:rPr>
            </w:pPr>
          </w:p>
        </w:tc>
        <w:tc>
          <w:tcPr>
            <w:tcW w:w="3402" w:type="dxa"/>
          </w:tcPr>
          <w:p w14:paraId="5F1FD5AE" w14:textId="77777777" w:rsidR="00D530C1" w:rsidRPr="008D31D5" w:rsidRDefault="00D530C1" w:rsidP="00B226EF">
            <w:pPr>
              <w:rPr>
                <w:rFonts w:asciiTheme="minorHAnsi" w:hAnsiTheme="minorHAnsi" w:cstheme="minorHAnsi"/>
                <w:sz w:val="24"/>
                <w:szCs w:val="24"/>
              </w:rPr>
            </w:pPr>
            <w:r w:rsidRPr="008D31D5">
              <w:rPr>
                <w:rFonts w:asciiTheme="minorHAnsi" w:hAnsiTheme="minorHAnsi" w:cstheme="minorHAnsi"/>
                <w:sz w:val="24"/>
                <w:szCs w:val="24"/>
              </w:rPr>
              <w:t>Grade inflation</w:t>
            </w:r>
            <w:r w:rsidRPr="008D31D5">
              <w:rPr>
                <w:rStyle w:val="FootnoteReference"/>
                <w:rFonts w:asciiTheme="minorHAnsi" w:hAnsiTheme="minorHAnsi" w:cstheme="minorHAnsi"/>
                <w:sz w:val="24"/>
                <w:szCs w:val="24"/>
              </w:rPr>
              <w:footnoteReference w:id="49"/>
            </w:r>
          </w:p>
        </w:tc>
        <w:tc>
          <w:tcPr>
            <w:tcW w:w="5670" w:type="dxa"/>
          </w:tcPr>
          <w:p w14:paraId="63555C0F" w14:textId="2A5160AB" w:rsidR="00D530C1" w:rsidRPr="008D31D5" w:rsidRDefault="00ED3AF0" w:rsidP="00B226EF">
            <w:pPr>
              <w:rPr>
                <w:rFonts w:asciiTheme="minorHAnsi" w:hAnsiTheme="minorHAnsi" w:cstheme="minorHAnsi"/>
                <w:sz w:val="24"/>
                <w:szCs w:val="24"/>
              </w:rPr>
            </w:pPr>
            <w:r>
              <w:rPr>
                <w:rFonts w:asciiTheme="minorHAnsi" w:hAnsiTheme="minorHAnsi" w:cstheme="minorHAnsi"/>
                <w:sz w:val="24"/>
                <w:szCs w:val="24"/>
              </w:rPr>
              <w:t>1.2 Context p.10/ p.11</w:t>
            </w:r>
          </w:p>
        </w:tc>
      </w:tr>
      <w:tr w:rsidR="00D530C1" w:rsidRPr="008D31D5" w14:paraId="352FA28C" w14:textId="77777777" w:rsidTr="001E54EB">
        <w:trPr>
          <w:trHeight w:val="156"/>
        </w:trPr>
        <w:tc>
          <w:tcPr>
            <w:tcW w:w="5070" w:type="dxa"/>
            <w:vMerge/>
          </w:tcPr>
          <w:p w14:paraId="5890C7A2" w14:textId="77777777" w:rsidR="00D530C1" w:rsidRPr="008D31D5" w:rsidRDefault="00D530C1" w:rsidP="00B226EF">
            <w:pPr>
              <w:rPr>
                <w:rFonts w:asciiTheme="minorHAnsi" w:hAnsiTheme="minorHAnsi" w:cstheme="minorHAnsi"/>
                <w:sz w:val="24"/>
                <w:szCs w:val="24"/>
              </w:rPr>
            </w:pPr>
          </w:p>
        </w:tc>
        <w:tc>
          <w:tcPr>
            <w:tcW w:w="3402" w:type="dxa"/>
          </w:tcPr>
          <w:p w14:paraId="45477FC5" w14:textId="77777777" w:rsidR="00D530C1" w:rsidRPr="008D31D5" w:rsidRDefault="00D530C1" w:rsidP="00B226EF">
            <w:pPr>
              <w:rPr>
                <w:rFonts w:asciiTheme="minorHAnsi" w:hAnsiTheme="minorHAnsi" w:cstheme="minorHAnsi"/>
                <w:sz w:val="24"/>
                <w:szCs w:val="24"/>
              </w:rPr>
            </w:pPr>
            <w:r w:rsidRPr="008D31D5">
              <w:rPr>
                <w:rFonts w:asciiTheme="minorHAnsi" w:hAnsiTheme="minorHAnsi" w:cstheme="minorHAnsi"/>
                <w:sz w:val="24"/>
                <w:szCs w:val="24"/>
              </w:rPr>
              <w:t>Increase in vocational and alternative qualifications under previous government</w:t>
            </w:r>
          </w:p>
        </w:tc>
        <w:tc>
          <w:tcPr>
            <w:tcW w:w="5670" w:type="dxa"/>
          </w:tcPr>
          <w:p w14:paraId="18DD9500" w14:textId="77777777" w:rsidR="00ED3AF0" w:rsidRDefault="00ED3AF0" w:rsidP="00B226EF">
            <w:pPr>
              <w:rPr>
                <w:rFonts w:asciiTheme="minorHAnsi" w:hAnsiTheme="minorHAnsi" w:cstheme="minorHAnsi"/>
                <w:sz w:val="24"/>
                <w:szCs w:val="24"/>
              </w:rPr>
            </w:pPr>
            <w:r>
              <w:rPr>
                <w:rFonts w:asciiTheme="minorHAnsi" w:hAnsiTheme="minorHAnsi" w:cstheme="minorHAnsi"/>
                <w:sz w:val="24"/>
                <w:szCs w:val="24"/>
              </w:rPr>
              <w:t>1.2 Context p.9/p.13</w:t>
            </w:r>
          </w:p>
          <w:p w14:paraId="1D2E911E" w14:textId="77777777" w:rsidR="00ED3AF0" w:rsidRDefault="00ED3AF0" w:rsidP="00B226EF">
            <w:pPr>
              <w:rPr>
                <w:rFonts w:asciiTheme="minorHAnsi" w:hAnsiTheme="minorHAnsi" w:cstheme="minorHAnsi"/>
                <w:sz w:val="24"/>
                <w:szCs w:val="24"/>
              </w:rPr>
            </w:pPr>
            <w:r>
              <w:rPr>
                <w:rFonts w:asciiTheme="minorHAnsi" w:hAnsiTheme="minorHAnsi" w:cstheme="minorHAnsi"/>
                <w:sz w:val="24"/>
                <w:szCs w:val="24"/>
              </w:rPr>
              <w:t>2.2.2 1988 National Curriculum p.29</w:t>
            </w:r>
          </w:p>
          <w:p w14:paraId="2A54DB4C" w14:textId="77777777" w:rsidR="00ED3AF0" w:rsidRDefault="00ED3AF0" w:rsidP="00B226EF">
            <w:pPr>
              <w:rPr>
                <w:rFonts w:asciiTheme="minorHAnsi" w:hAnsiTheme="minorHAnsi" w:cstheme="minorHAnsi"/>
                <w:sz w:val="24"/>
                <w:szCs w:val="24"/>
              </w:rPr>
            </w:pPr>
            <w:r>
              <w:rPr>
                <w:rFonts w:asciiTheme="minorHAnsi" w:hAnsiTheme="minorHAnsi" w:cstheme="minorHAnsi"/>
                <w:sz w:val="24"/>
                <w:szCs w:val="24"/>
              </w:rPr>
              <w:t>4.3.4 Rapidly improving Academy p.111</w:t>
            </w:r>
          </w:p>
          <w:p w14:paraId="62FD9450" w14:textId="22902EAD" w:rsidR="00ED3AF0" w:rsidRPr="008D31D5" w:rsidRDefault="00ED3AF0" w:rsidP="00B226EF">
            <w:pPr>
              <w:rPr>
                <w:rFonts w:asciiTheme="minorHAnsi" w:hAnsiTheme="minorHAnsi" w:cstheme="minorHAnsi"/>
                <w:sz w:val="24"/>
                <w:szCs w:val="24"/>
              </w:rPr>
            </w:pPr>
            <w:r>
              <w:rPr>
                <w:rFonts w:asciiTheme="minorHAnsi" w:hAnsiTheme="minorHAnsi" w:cstheme="minorHAnsi"/>
                <w:sz w:val="24"/>
                <w:szCs w:val="24"/>
              </w:rPr>
              <w:lastRenderedPageBreak/>
              <w:t>4.3.5 Rapidly improving non-academy p.113</w:t>
            </w:r>
          </w:p>
        </w:tc>
      </w:tr>
      <w:tr w:rsidR="00D530C1" w:rsidRPr="008D31D5" w14:paraId="4FFD65CC" w14:textId="77777777" w:rsidTr="001E54EB">
        <w:trPr>
          <w:trHeight w:val="156"/>
        </w:trPr>
        <w:tc>
          <w:tcPr>
            <w:tcW w:w="5070" w:type="dxa"/>
            <w:vMerge/>
          </w:tcPr>
          <w:p w14:paraId="7F7B9465" w14:textId="1E81FABA" w:rsidR="00D530C1" w:rsidRPr="008D31D5" w:rsidRDefault="00D530C1" w:rsidP="00B226EF">
            <w:pPr>
              <w:rPr>
                <w:rFonts w:asciiTheme="minorHAnsi" w:hAnsiTheme="minorHAnsi" w:cstheme="minorHAnsi"/>
                <w:sz w:val="24"/>
                <w:szCs w:val="24"/>
              </w:rPr>
            </w:pPr>
          </w:p>
        </w:tc>
        <w:tc>
          <w:tcPr>
            <w:tcW w:w="3402" w:type="dxa"/>
          </w:tcPr>
          <w:p w14:paraId="42F8E818" w14:textId="77777777" w:rsidR="00D530C1" w:rsidRPr="008D31D5" w:rsidRDefault="00D530C1" w:rsidP="00B226EF">
            <w:pPr>
              <w:rPr>
                <w:rFonts w:asciiTheme="minorHAnsi" w:hAnsiTheme="minorHAnsi" w:cstheme="minorHAnsi"/>
                <w:sz w:val="24"/>
                <w:szCs w:val="24"/>
              </w:rPr>
            </w:pPr>
            <w:r w:rsidRPr="008D31D5">
              <w:rPr>
                <w:rFonts w:asciiTheme="minorHAnsi" w:hAnsiTheme="minorHAnsi" w:cstheme="minorHAnsi"/>
                <w:sz w:val="24"/>
                <w:szCs w:val="24"/>
              </w:rPr>
              <w:t>Lack of progression/ career routes with some vocational and alternative qualifications</w:t>
            </w:r>
          </w:p>
        </w:tc>
        <w:tc>
          <w:tcPr>
            <w:tcW w:w="5670" w:type="dxa"/>
          </w:tcPr>
          <w:p w14:paraId="513CF0A3" w14:textId="77777777" w:rsidR="00D530C1" w:rsidRDefault="005B1B6A" w:rsidP="00B226EF">
            <w:pPr>
              <w:rPr>
                <w:rFonts w:asciiTheme="minorHAnsi" w:hAnsiTheme="minorHAnsi" w:cstheme="minorHAnsi"/>
                <w:sz w:val="24"/>
                <w:szCs w:val="24"/>
              </w:rPr>
            </w:pPr>
            <w:r>
              <w:rPr>
                <w:rFonts w:asciiTheme="minorHAnsi" w:hAnsiTheme="minorHAnsi" w:cstheme="minorHAnsi"/>
                <w:sz w:val="24"/>
                <w:szCs w:val="24"/>
              </w:rPr>
              <w:t>1.2 Context p.10</w:t>
            </w:r>
          </w:p>
          <w:p w14:paraId="55ADAB72" w14:textId="77777777" w:rsidR="005B1B6A" w:rsidRDefault="005B1B6A" w:rsidP="00B226EF">
            <w:pPr>
              <w:rPr>
                <w:rFonts w:asciiTheme="minorHAnsi" w:hAnsiTheme="minorHAnsi" w:cstheme="minorHAnsi"/>
                <w:sz w:val="24"/>
                <w:szCs w:val="24"/>
              </w:rPr>
            </w:pPr>
            <w:r>
              <w:rPr>
                <w:rFonts w:asciiTheme="minorHAnsi" w:hAnsiTheme="minorHAnsi" w:cstheme="minorHAnsi"/>
                <w:sz w:val="24"/>
                <w:szCs w:val="24"/>
              </w:rPr>
              <w:t>1.5 Researchers positionality p.18</w:t>
            </w:r>
          </w:p>
          <w:p w14:paraId="7DD24F14" w14:textId="77777777" w:rsidR="005B1B6A" w:rsidRDefault="005B1B6A" w:rsidP="00B226EF">
            <w:pPr>
              <w:rPr>
                <w:rFonts w:asciiTheme="minorHAnsi" w:hAnsiTheme="minorHAnsi" w:cstheme="minorHAnsi"/>
                <w:sz w:val="24"/>
                <w:szCs w:val="24"/>
              </w:rPr>
            </w:pPr>
            <w:r>
              <w:rPr>
                <w:rFonts w:asciiTheme="minorHAnsi" w:hAnsiTheme="minorHAnsi" w:cstheme="minorHAnsi"/>
                <w:sz w:val="24"/>
                <w:szCs w:val="24"/>
              </w:rPr>
              <w:t>5.2 EBac Policy PA p.133</w:t>
            </w:r>
          </w:p>
          <w:p w14:paraId="61ECAEDE" w14:textId="4DD9E72C" w:rsidR="005B1B6A" w:rsidRPr="008D31D5" w:rsidRDefault="005B1B6A" w:rsidP="00B226EF">
            <w:pPr>
              <w:rPr>
                <w:rFonts w:asciiTheme="minorHAnsi" w:hAnsiTheme="minorHAnsi" w:cstheme="minorHAnsi"/>
                <w:sz w:val="24"/>
                <w:szCs w:val="24"/>
              </w:rPr>
            </w:pPr>
            <w:r>
              <w:rPr>
                <w:rFonts w:asciiTheme="minorHAnsi" w:hAnsiTheme="minorHAnsi" w:cstheme="minorHAnsi"/>
                <w:sz w:val="24"/>
                <w:szCs w:val="24"/>
              </w:rPr>
              <w:t>6.3.1 Recommendations p.146</w:t>
            </w:r>
          </w:p>
        </w:tc>
      </w:tr>
      <w:tr w:rsidR="00D530C1" w:rsidRPr="008D31D5" w14:paraId="5C66E9FC" w14:textId="77777777" w:rsidTr="001E54EB">
        <w:trPr>
          <w:trHeight w:val="156"/>
        </w:trPr>
        <w:tc>
          <w:tcPr>
            <w:tcW w:w="5070" w:type="dxa"/>
            <w:vMerge/>
          </w:tcPr>
          <w:p w14:paraId="47371335" w14:textId="0830A941" w:rsidR="00D530C1" w:rsidRPr="008D31D5" w:rsidRDefault="00D530C1" w:rsidP="00B226EF">
            <w:pPr>
              <w:rPr>
                <w:rFonts w:asciiTheme="minorHAnsi" w:hAnsiTheme="minorHAnsi" w:cstheme="minorHAnsi"/>
                <w:sz w:val="24"/>
                <w:szCs w:val="24"/>
              </w:rPr>
            </w:pPr>
          </w:p>
        </w:tc>
        <w:tc>
          <w:tcPr>
            <w:tcW w:w="3402" w:type="dxa"/>
          </w:tcPr>
          <w:p w14:paraId="26E8B8C3" w14:textId="5605603E" w:rsidR="00D530C1" w:rsidRPr="008D31D5" w:rsidRDefault="007C60E7" w:rsidP="00B226EF">
            <w:pPr>
              <w:rPr>
                <w:rFonts w:asciiTheme="minorHAnsi" w:hAnsiTheme="minorHAnsi" w:cstheme="minorHAnsi"/>
                <w:sz w:val="24"/>
                <w:szCs w:val="24"/>
              </w:rPr>
            </w:pPr>
            <w:r>
              <w:rPr>
                <w:rFonts w:asciiTheme="minorHAnsi" w:hAnsiTheme="minorHAnsi" w:cstheme="minorHAnsi"/>
                <w:sz w:val="24"/>
                <w:szCs w:val="24"/>
              </w:rPr>
              <w:t xml:space="preserve">Perception of importance of subjects such as </w:t>
            </w:r>
            <w:r w:rsidR="00D530C1" w:rsidRPr="008D31D5">
              <w:rPr>
                <w:rFonts w:asciiTheme="minorHAnsi" w:hAnsiTheme="minorHAnsi" w:cstheme="minorHAnsi"/>
                <w:sz w:val="24"/>
                <w:szCs w:val="24"/>
              </w:rPr>
              <w:t>Modern Foreign Languages, History and Geography</w:t>
            </w:r>
          </w:p>
        </w:tc>
        <w:tc>
          <w:tcPr>
            <w:tcW w:w="5670" w:type="dxa"/>
          </w:tcPr>
          <w:p w14:paraId="71A62160" w14:textId="77777777" w:rsidR="00D530C1" w:rsidRDefault="005B1B6A" w:rsidP="00B226EF">
            <w:pPr>
              <w:rPr>
                <w:rFonts w:asciiTheme="minorHAnsi" w:hAnsiTheme="minorHAnsi" w:cstheme="minorHAnsi"/>
                <w:sz w:val="24"/>
                <w:szCs w:val="24"/>
              </w:rPr>
            </w:pPr>
            <w:r>
              <w:rPr>
                <w:rFonts w:asciiTheme="minorHAnsi" w:hAnsiTheme="minorHAnsi" w:cstheme="minorHAnsi"/>
                <w:sz w:val="24"/>
                <w:szCs w:val="24"/>
              </w:rPr>
              <w:t>1.6 Significance p.19</w:t>
            </w:r>
          </w:p>
          <w:p w14:paraId="4BBE8140" w14:textId="77777777" w:rsidR="005B1B6A" w:rsidRDefault="005B1B6A" w:rsidP="00B226EF">
            <w:pPr>
              <w:rPr>
                <w:rFonts w:asciiTheme="minorHAnsi" w:hAnsiTheme="minorHAnsi" w:cstheme="minorHAnsi"/>
                <w:sz w:val="24"/>
                <w:szCs w:val="24"/>
              </w:rPr>
            </w:pPr>
            <w:r>
              <w:rPr>
                <w:rFonts w:asciiTheme="minorHAnsi" w:hAnsiTheme="minorHAnsi" w:cstheme="minorHAnsi"/>
                <w:sz w:val="24"/>
                <w:szCs w:val="24"/>
              </w:rPr>
              <w:t>4.3.3 Low Performing non-academy p.110</w:t>
            </w:r>
          </w:p>
          <w:p w14:paraId="4904E8E1" w14:textId="1F99FFB1" w:rsidR="005B1B6A" w:rsidRPr="008D31D5" w:rsidRDefault="005B1B6A" w:rsidP="00B226EF">
            <w:pPr>
              <w:rPr>
                <w:rFonts w:asciiTheme="minorHAnsi" w:hAnsiTheme="minorHAnsi" w:cstheme="minorHAnsi"/>
                <w:sz w:val="24"/>
                <w:szCs w:val="24"/>
              </w:rPr>
            </w:pPr>
            <w:r>
              <w:rPr>
                <w:rFonts w:asciiTheme="minorHAnsi" w:hAnsiTheme="minorHAnsi" w:cstheme="minorHAnsi"/>
                <w:sz w:val="24"/>
                <w:szCs w:val="24"/>
              </w:rPr>
              <w:t>4.4.2 Differentiation and Hierarchy p.123</w:t>
            </w:r>
          </w:p>
        </w:tc>
      </w:tr>
      <w:tr w:rsidR="00D530C1" w:rsidRPr="008D31D5" w14:paraId="79EEBA55" w14:textId="77777777" w:rsidTr="001E54EB">
        <w:trPr>
          <w:trHeight w:val="156"/>
        </w:trPr>
        <w:tc>
          <w:tcPr>
            <w:tcW w:w="5070" w:type="dxa"/>
            <w:vMerge/>
          </w:tcPr>
          <w:p w14:paraId="732B581D" w14:textId="0D5B52E5" w:rsidR="00D530C1" w:rsidRPr="008D31D5" w:rsidRDefault="00D530C1" w:rsidP="00B226EF">
            <w:pPr>
              <w:rPr>
                <w:rFonts w:asciiTheme="minorHAnsi" w:hAnsiTheme="minorHAnsi" w:cstheme="minorHAnsi"/>
                <w:sz w:val="24"/>
                <w:szCs w:val="24"/>
              </w:rPr>
            </w:pPr>
          </w:p>
        </w:tc>
        <w:tc>
          <w:tcPr>
            <w:tcW w:w="3402" w:type="dxa"/>
          </w:tcPr>
          <w:p w14:paraId="60E03C21" w14:textId="54DEDE4A" w:rsidR="00D530C1" w:rsidRPr="008D31D5" w:rsidRDefault="00D530C1" w:rsidP="00B226EF">
            <w:pPr>
              <w:rPr>
                <w:rFonts w:asciiTheme="minorHAnsi" w:hAnsiTheme="minorHAnsi" w:cstheme="minorHAnsi"/>
                <w:sz w:val="24"/>
                <w:szCs w:val="24"/>
              </w:rPr>
            </w:pPr>
            <w:r w:rsidRPr="008D31D5">
              <w:rPr>
                <w:rFonts w:asciiTheme="minorHAnsi" w:hAnsiTheme="minorHAnsi" w:cstheme="minorHAnsi"/>
                <w:sz w:val="24"/>
                <w:szCs w:val="24"/>
              </w:rPr>
              <w:t>Desire to strengthen accountability measure</w:t>
            </w:r>
            <w:r w:rsidR="005B1B6A">
              <w:rPr>
                <w:rFonts w:asciiTheme="minorHAnsi" w:hAnsiTheme="minorHAnsi" w:cstheme="minorHAnsi"/>
                <w:sz w:val="24"/>
                <w:szCs w:val="24"/>
              </w:rPr>
              <w:t>s on schools (Performance tables</w:t>
            </w:r>
            <w:r w:rsidRPr="008D31D5">
              <w:rPr>
                <w:rFonts w:asciiTheme="minorHAnsi" w:hAnsiTheme="minorHAnsi" w:cstheme="minorHAnsi"/>
                <w:sz w:val="24"/>
                <w:szCs w:val="24"/>
              </w:rPr>
              <w:t>, exams and Ofsted)</w:t>
            </w:r>
          </w:p>
        </w:tc>
        <w:tc>
          <w:tcPr>
            <w:tcW w:w="5670" w:type="dxa"/>
          </w:tcPr>
          <w:p w14:paraId="4F6E481A" w14:textId="77777777" w:rsidR="00D530C1" w:rsidRDefault="005B1B6A" w:rsidP="00B226EF">
            <w:pPr>
              <w:rPr>
                <w:rFonts w:asciiTheme="minorHAnsi" w:hAnsiTheme="minorHAnsi" w:cstheme="minorHAnsi"/>
                <w:sz w:val="24"/>
                <w:szCs w:val="24"/>
              </w:rPr>
            </w:pPr>
            <w:r>
              <w:rPr>
                <w:rFonts w:asciiTheme="minorHAnsi" w:hAnsiTheme="minorHAnsi" w:cstheme="minorHAnsi"/>
                <w:sz w:val="24"/>
                <w:szCs w:val="24"/>
              </w:rPr>
              <w:t>2.6 PA p.51</w:t>
            </w:r>
          </w:p>
          <w:p w14:paraId="3DD0F8E2" w14:textId="77777777" w:rsidR="005B1B6A" w:rsidRDefault="005B1B6A" w:rsidP="00B226EF">
            <w:pPr>
              <w:rPr>
                <w:rFonts w:asciiTheme="minorHAnsi" w:hAnsiTheme="minorHAnsi" w:cstheme="minorHAnsi"/>
                <w:sz w:val="24"/>
                <w:szCs w:val="24"/>
              </w:rPr>
            </w:pPr>
            <w:r>
              <w:rPr>
                <w:rFonts w:asciiTheme="minorHAnsi" w:hAnsiTheme="minorHAnsi" w:cstheme="minorHAnsi"/>
                <w:sz w:val="24"/>
                <w:szCs w:val="24"/>
              </w:rPr>
              <w:t>6.2.2 Teachers’ perspectives p.142</w:t>
            </w:r>
          </w:p>
          <w:p w14:paraId="1A6D0D74" w14:textId="77777777" w:rsidR="005B1B6A" w:rsidRDefault="005B1B6A" w:rsidP="00B226EF">
            <w:pPr>
              <w:rPr>
                <w:rFonts w:asciiTheme="minorHAnsi" w:hAnsiTheme="minorHAnsi" w:cstheme="minorHAnsi"/>
                <w:sz w:val="24"/>
                <w:szCs w:val="24"/>
              </w:rPr>
            </w:pPr>
            <w:r>
              <w:rPr>
                <w:rFonts w:asciiTheme="minorHAnsi" w:hAnsiTheme="minorHAnsi" w:cstheme="minorHAnsi"/>
                <w:sz w:val="24"/>
                <w:szCs w:val="24"/>
              </w:rPr>
              <w:t>6.2.3 EBac implications for equality p.144</w:t>
            </w:r>
          </w:p>
          <w:p w14:paraId="156FB7E6" w14:textId="53404DD2" w:rsidR="005B1B6A" w:rsidRPr="008D31D5" w:rsidRDefault="005B1B6A" w:rsidP="00B226EF">
            <w:pPr>
              <w:rPr>
                <w:rFonts w:asciiTheme="minorHAnsi" w:hAnsiTheme="minorHAnsi" w:cstheme="minorHAnsi"/>
                <w:sz w:val="24"/>
                <w:szCs w:val="24"/>
              </w:rPr>
            </w:pPr>
            <w:r>
              <w:rPr>
                <w:rFonts w:asciiTheme="minorHAnsi" w:hAnsiTheme="minorHAnsi" w:cstheme="minorHAnsi"/>
                <w:sz w:val="24"/>
                <w:szCs w:val="24"/>
              </w:rPr>
              <w:t>6.4 Original contribution to knowledge p.148</w:t>
            </w:r>
          </w:p>
        </w:tc>
      </w:tr>
      <w:tr w:rsidR="00D530C1" w:rsidRPr="008D31D5" w14:paraId="28817A1F" w14:textId="77777777" w:rsidTr="001E54EB">
        <w:trPr>
          <w:trHeight w:val="156"/>
        </w:trPr>
        <w:tc>
          <w:tcPr>
            <w:tcW w:w="5070" w:type="dxa"/>
            <w:vMerge/>
          </w:tcPr>
          <w:p w14:paraId="566F4F88" w14:textId="64A9D3C9" w:rsidR="00D530C1" w:rsidRPr="008D31D5" w:rsidRDefault="00D530C1" w:rsidP="00B226EF">
            <w:pPr>
              <w:rPr>
                <w:rFonts w:asciiTheme="minorHAnsi" w:hAnsiTheme="minorHAnsi" w:cstheme="minorHAnsi"/>
                <w:sz w:val="24"/>
                <w:szCs w:val="24"/>
              </w:rPr>
            </w:pPr>
          </w:p>
        </w:tc>
        <w:tc>
          <w:tcPr>
            <w:tcW w:w="3402" w:type="dxa"/>
          </w:tcPr>
          <w:p w14:paraId="074AE99A" w14:textId="5DDE1239" w:rsidR="00D530C1" w:rsidRPr="008D31D5" w:rsidRDefault="00D530C1" w:rsidP="00B226EF">
            <w:pPr>
              <w:rPr>
                <w:rFonts w:asciiTheme="minorHAnsi" w:hAnsiTheme="minorHAnsi" w:cstheme="minorHAnsi"/>
                <w:sz w:val="24"/>
                <w:szCs w:val="24"/>
              </w:rPr>
            </w:pPr>
            <w:r w:rsidRPr="008D31D5">
              <w:rPr>
                <w:rFonts w:asciiTheme="minorHAnsi" w:hAnsiTheme="minorHAnsi" w:cstheme="minorHAnsi"/>
                <w:sz w:val="24"/>
                <w:szCs w:val="24"/>
              </w:rPr>
              <w:t xml:space="preserve">Impact of performance tables on </w:t>
            </w:r>
            <w:r w:rsidR="007C60E7">
              <w:rPr>
                <w:rFonts w:asciiTheme="minorHAnsi" w:hAnsiTheme="minorHAnsi" w:cstheme="minorHAnsi"/>
                <w:sz w:val="24"/>
                <w:szCs w:val="24"/>
              </w:rPr>
              <w:t xml:space="preserve">decisions taken by </w:t>
            </w:r>
            <w:r w:rsidRPr="008D31D5">
              <w:rPr>
                <w:rFonts w:asciiTheme="minorHAnsi" w:hAnsiTheme="minorHAnsi" w:cstheme="minorHAnsi"/>
                <w:sz w:val="24"/>
                <w:szCs w:val="24"/>
              </w:rPr>
              <w:t xml:space="preserve">schools - </w:t>
            </w:r>
            <w:r w:rsidRPr="008D31D5">
              <w:rPr>
                <w:rFonts w:asciiTheme="minorHAnsi" w:hAnsiTheme="minorHAnsi" w:cstheme="minorHAnsi"/>
                <w:sz w:val="24"/>
                <w:szCs w:val="24"/>
              </w:rPr>
              <w:lastRenderedPageBreak/>
              <w:t xml:space="preserve">Concern over some schools ‘league table game playing’ </w:t>
            </w:r>
            <w:r w:rsidRPr="008D31D5">
              <w:rPr>
                <w:rStyle w:val="FootnoteReference"/>
                <w:rFonts w:asciiTheme="minorHAnsi" w:hAnsiTheme="minorHAnsi" w:cstheme="minorHAnsi"/>
                <w:sz w:val="24"/>
                <w:szCs w:val="24"/>
              </w:rPr>
              <w:footnoteReference w:id="50"/>
            </w:r>
            <w:r w:rsidR="007C60E7">
              <w:rPr>
                <w:rFonts w:asciiTheme="minorHAnsi" w:hAnsiTheme="minorHAnsi" w:cstheme="minorHAnsi"/>
                <w:sz w:val="24"/>
                <w:szCs w:val="24"/>
              </w:rPr>
              <w:t xml:space="preserve"> at expense of the best interests of children</w:t>
            </w:r>
          </w:p>
        </w:tc>
        <w:tc>
          <w:tcPr>
            <w:tcW w:w="5670" w:type="dxa"/>
          </w:tcPr>
          <w:p w14:paraId="291DD67B" w14:textId="47C48CFC" w:rsidR="00D530C1" w:rsidRDefault="00C928AD" w:rsidP="00B226EF">
            <w:pPr>
              <w:rPr>
                <w:rFonts w:asciiTheme="minorHAnsi" w:hAnsiTheme="minorHAnsi" w:cstheme="minorHAnsi"/>
                <w:sz w:val="24"/>
                <w:szCs w:val="24"/>
              </w:rPr>
            </w:pPr>
            <w:r>
              <w:rPr>
                <w:rFonts w:asciiTheme="minorHAnsi" w:hAnsiTheme="minorHAnsi" w:cstheme="minorHAnsi"/>
                <w:sz w:val="24"/>
                <w:szCs w:val="24"/>
              </w:rPr>
              <w:lastRenderedPageBreak/>
              <w:t>1.5 Researchers positionality p.18</w:t>
            </w:r>
          </w:p>
          <w:p w14:paraId="5A61878C" w14:textId="77777777" w:rsidR="00C928AD" w:rsidRDefault="00C928AD" w:rsidP="00B226EF">
            <w:pPr>
              <w:rPr>
                <w:rFonts w:asciiTheme="minorHAnsi" w:hAnsiTheme="minorHAnsi" w:cstheme="minorHAnsi"/>
                <w:sz w:val="24"/>
                <w:szCs w:val="24"/>
              </w:rPr>
            </w:pPr>
            <w:r>
              <w:rPr>
                <w:rFonts w:asciiTheme="minorHAnsi" w:hAnsiTheme="minorHAnsi" w:cstheme="minorHAnsi"/>
                <w:sz w:val="24"/>
                <w:szCs w:val="24"/>
              </w:rPr>
              <w:lastRenderedPageBreak/>
              <w:t>4.3.3 Low performing academy p.110</w:t>
            </w:r>
          </w:p>
          <w:p w14:paraId="5FF08093" w14:textId="2CD41FF1" w:rsidR="00C928AD" w:rsidRPr="008D31D5" w:rsidRDefault="00C928AD" w:rsidP="00B226EF">
            <w:pPr>
              <w:rPr>
                <w:rFonts w:asciiTheme="minorHAnsi" w:hAnsiTheme="minorHAnsi" w:cstheme="minorHAnsi"/>
                <w:sz w:val="24"/>
                <w:szCs w:val="24"/>
              </w:rPr>
            </w:pPr>
            <w:r>
              <w:rPr>
                <w:rFonts w:asciiTheme="minorHAnsi" w:hAnsiTheme="minorHAnsi" w:cstheme="minorHAnsi"/>
                <w:sz w:val="24"/>
                <w:szCs w:val="24"/>
              </w:rPr>
              <w:t>4.4.3 Choice and resistance p.124</w:t>
            </w:r>
          </w:p>
        </w:tc>
      </w:tr>
    </w:tbl>
    <w:p w14:paraId="69406144" w14:textId="78BA0818" w:rsidR="00D530C1" w:rsidRDefault="00D530C1" w:rsidP="00477642"/>
    <w:p w14:paraId="139C3162" w14:textId="24B6DEF4" w:rsidR="00D530C1" w:rsidRPr="00531995" w:rsidRDefault="00D14D4B" w:rsidP="00531995">
      <w:pPr>
        <w:pStyle w:val="Caption"/>
        <w:rPr>
          <w:rFonts w:asciiTheme="minorHAnsi" w:hAnsiTheme="minorHAnsi" w:cstheme="minorHAnsi"/>
          <w:b/>
          <w:i w:val="0"/>
          <w:iCs w:val="0"/>
          <w:color w:val="auto"/>
          <w:sz w:val="24"/>
          <w:szCs w:val="24"/>
        </w:rPr>
      </w:pPr>
      <w:bookmarkStart w:id="166" w:name="_Toc450170432"/>
      <w:r w:rsidRPr="00531995">
        <w:rPr>
          <w:b/>
          <w:color w:val="000000" w:themeColor="text1"/>
          <w:sz w:val="24"/>
          <w:szCs w:val="24"/>
        </w:rPr>
        <w:t xml:space="preserve">Table </w:t>
      </w:r>
      <w:r w:rsidRPr="00531995">
        <w:rPr>
          <w:b/>
          <w:color w:val="000000" w:themeColor="text1"/>
          <w:sz w:val="24"/>
          <w:szCs w:val="24"/>
        </w:rPr>
        <w:fldChar w:fldCharType="begin"/>
      </w:r>
      <w:r w:rsidRPr="00531995">
        <w:rPr>
          <w:b/>
          <w:color w:val="000000" w:themeColor="text1"/>
          <w:sz w:val="24"/>
          <w:szCs w:val="24"/>
        </w:rPr>
        <w:instrText xml:space="preserve"> SEQ Table \* ARABIC </w:instrText>
      </w:r>
      <w:r w:rsidRPr="00531995">
        <w:rPr>
          <w:b/>
          <w:color w:val="000000" w:themeColor="text1"/>
          <w:sz w:val="24"/>
          <w:szCs w:val="24"/>
        </w:rPr>
        <w:fldChar w:fldCharType="separate"/>
      </w:r>
      <w:r w:rsidR="00ED3AF0">
        <w:rPr>
          <w:b/>
          <w:noProof/>
          <w:color w:val="000000" w:themeColor="text1"/>
          <w:sz w:val="24"/>
          <w:szCs w:val="24"/>
        </w:rPr>
        <w:t>4</w:t>
      </w:r>
      <w:r w:rsidRPr="00531995">
        <w:rPr>
          <w:b/>
          <w:color w:val="000000" w:themeColor="text1"/>
          <w:sz w:val="24"/>
          <w:szCs w:val="24"/>
        </w:rPr>
        <w:fldChar w:fldCharType="end"/>
      </w:r>
      <w:r w:rsidRPr="00531995">
        <w:rPr>
          <w:b/>
          <w:color w:val="000000" w:themeColor="text1"/>
          <w:sz w:val="24"/>
          <w:szCs w:val="24"/>
        </w:rPr>
        <w:t xml:space="preserve"> - Scheurich's Arena 2</w:t>
      </w:r>
      <w:bookmarkEnd w:id="166"/>
    </w:p>
    <w:tbl>
      <w:tblPr>
        <w:tblStyle w:val="TableGrid"/>
        <w:tblW w:w="0" w:type="auto"/>
        <w:tblLook w:val="04A0" w:firstRow="1" w:lastRow="0" w:firstColumn="1" w:lastColumn="0" w:noHBand="0" w:noVBand="1"/>
      </w:tblPr>
      <w:tblGrid>
        <w:gridCol w:w="5070"/>
        <w:gridCol w:w="3402"/>
        <w:gridCol w:w="5670"/>
      </w:tblGrid>
      <w:tr w:rsidR="00D530C1" w:rsidRPr="008D31D5" w14:paraId="5955AB9F" w14:textId="77777777" w:rsidTr="001E54EB">
        <w:tc>
          <w:tcPr>
            <w:tcW w:w="5070" w:type="dxa"/>
          </w:tcPr>
          <w:p w14:paraId="6A1F3BC4" w14:textId="77777777" w:rsidR="00D530C1" w:rsidRPr="008D31D5" w:rsidRDefault="00D530C1" w:rsidP="00B226EF">
            <w:pPr>
              <w:rPr>
                <w:rFonts w:asciiTheme="minorHAnsi" w:hAnsiTheme="minorHAnsi" w:cstheme="minorHAnsi"/>
                <w:b/>
                <w:sz w:val="24"/>
                <w:szCs w:val="24"/>
              </w:rPr>
            </w:pPr>
            <w:r w:rsidRPr="008D31D5">
              <w:rPr>
                <w:rFonts w:asciiTheme="minorHAnsi" w:hAnsiTheme="minorHAnsi" w:cstheme="minorHAnsi"/>
                <w:b/>
                <w:sz w:val="24"/>
                <w:szCs w:val="24"/>
              </w:rPr>
              <w:t>Arena 2 – Social Regularities</w:t>
            </w:r>
          </w:p>
        </w:tc>
        <w:tc>
          <w:tcPr>
            <w:tcW w:w="3402" w:type="dxa"/>
          </w:tcPr>
          <w:p w14:paraId="4B44ACC3" w14:textId="77777777" w:rsidR="00D530C1" w:rsidRPr="008D31D5" w:rsidRDefault="00D530C1" w:rsidP="00B226EF">
            <w:pPr>
              <w:rPr>
                <w:rFonts w:asciiTheme="minorHAnsi" w:hAnsiTheme="minorHAnsi" w:cstheme="minorHAnsi"/>
                <w:sz w:val="24"/>
                <w:szCs w:val="24"/>
              </w:rPr>
            </w:pPr>
            <w:r w:rsidRPr="008D31D5">
              <w:rPr>
                <w:rFonts w:asciiTheme="minorHAnsi" w:hAnsiTheme="minorHAnsi" w:cstheme="minorHAnsi"/>
                <w:b/>
                <w:sz w:val="24"/>
                <w:szCs w:val="24"/>
              </w:rPr>
              <w:t>Grid of Social Regularities</w:t>
            </w:r>
          </w:p>
        </w:tc>
        <w:tc>
          <w:tcPr>
            <w:tcW w:w="5670" w:type="dxa"/>
          </w:tcPr>
          <w:p w14:paraId="24A49786" w14:textId="77777777" w:rsidR="00D530C1" w:rsidRPr="008D31D5" w:rsidRDefault="00D530C1" w:rsidP="00B226EF">
            <w:pPr>
              <w:rPr>
                <w:rFonts w:asciiTheme="minorHAnsi" w:hAnsiTheme="minorHAnsi" w:cstheme="minorHAnsi"/>
                <w:b/>
                <w:sz w:val="24"/>
                <w:szCs w:val="24"/>
              </w:rPr>
            </w:pPr>
            <w:r>
              <w:rPr>
                <w:rFonts w:asciiTheme="minorHAnsi" w:hAnsiTheme="minorHAnsi" w:cstheme="minorHAnsi"/>
                <w:b/>
                <w:sz w:val="24"/>
                <w:szCs w:val="24"/>
              </w:rPr>
              <w:t>Source and page</w:t>
            </w:r>
          </w:p>
        </w:tc>
      </w:tr>
      <w:tr w:rsidR="00D530C1" w:rsidRPr="008D31D5" w14:paraId="29E2AB0D" w14:textId="77777777" w:rsidTr="001E54EB">
        <w:tc>
          <w:tcPr>
            <w:tcW w:w="5070" w:type="dxa"/>
            <w:vMerge w:val="restart"/>
          </w:tcPr>
          <w:p w14:paraId="46A5D897" w14:textId="77777777" w:rsidR="00D530C1" w:rsidRPr="008D31D5" w:rsidRDefault="00D530C1" w:rsidP="00B226EF">
            <w:pPr>
              <w:rPr>
                <w:rFonts w:asciiTheme="minorHAnsi" w:hAnsiTheme="minorHAnsi" w:cstheme="minorHAnsi"/>
                <w:sz w:val="24"/>
                <w:szCs w:val="24"/>
              </w:rPr>
            </w:pPr>
            <w:r>
              <w:rPr>
                <w:rFonts w:asciiTheme="minorHAnsi" w:hAnsiTheme="minorHAnsi" w:cstheme="minorHAnsi"/>
                <w:sz w:val="24"/>
                <w:szCs w:val="24"/>
              </w:rPr>
              <w:t>Intersection of regularities which constitute and construct the problem of Educational standards in England</w:t>
            </w:r>
          </w:p>
        </w:tc>
        <w:tc>
          <w:tcPr>
            <w:tcW w:w="3402" w:type="dxa"/>
          </w:tcPr>
          <w:p w14:paraId="6372ECEC" w14:textId="77777777" w:rsidR="00D530C1" w:rsidRDefault="00D530C1" w:rsidP="00B226EF">
            <w:pPr>
              <w:rPr>
                <w:rFonts w:cs="Calibri"/>
                <w:sz w:val="24"/>
              </w:rPr>
            </w:pPr>
            <w:r>
              <w:rPr>
                <w:rFonts w:cs="Calibri"/>
                <w:sz w:val="24"/>
              </w:rPr>
              <w:t>Political ideology around concern over the lower educational standards achieved by the ‘disadvantaged’ (FSM). An ever increasing education gap in place between the better off and poorer children. As social class statistics aren’t collated by schools FSM is used as a proxy indicator of poverty.</w:t>
            </w:r>
          </w:p>
        </w:tc>
        <w:tc>
          <w:tcPr>
            <w:tcW w:w="5670" w:type="dxa"/>
          </w:tcPr>
          <w:p w14:paraId="2FD57CBB" w14:textId="77777777" w:rsidR="00D530C1" w:rsidRDefault="00223243" w:rsidP="00B226EF">
            <w:pPr>
              <w:rPr>
                <w:rFonts w:cs="Calibri"/>
                <w:sz w:val="24"/>
              </w:rPr>
            </w:pPr>
            <w:r w:rsidRPr="00223243">
              <w:rPr>
                <w:rFonts w:cs="Calibri"/>
                <w:sz w:val="24"/>
              </w:rPr>
              <w:t>1.2 Context</w:t>
            </w:r>
            <w:r>
              <w:rPr>
                <w:rFonts w:cs="Calibri"/>
                <w:sz w:val="24"/>
              </w:rPr>
              <w:t xml:space="preserve"> p.10</w:t>
            </w:r>
          </w:p>
          <w:p w14:paraId="2C1EEB79" w14:textId="77777777" w:rsidR="00223243" w:rsidRDefault="00223243" w:rsidP="00B226EF">
            <w:pPr>
              <w:rPr>
                <w:rFonts w:cs="Calibri"/>
                <w:sz w:val="24"/>
              </w:rPr>
            </w:pPr>
            <w:r>
              <w:rPr>
                <w:rFonts w:cs="Calibri"/>
                <w:sz w:val="24"/>
              </w:rPr>
              <w:t>2.2.3 Social Class p.30-31</w:t>
            </w:r>
          </w:p>
          <w:p w14:paraId="5BCD31C5" w14:textId="77777777" w:rsidR="00223243" w:rsidRDefault="00223243" w:rsidP="00B226EF">
            <w:pPr>
              <w:rPr>
                <w:rFonts w:cs="Calibri"/>
                <w:sz w:val="24"/>
              </w:rPr>
            </w:pPr>
            <w:r>
              <w:rPr>
                <w:rFonts w:cs="Calibri"/>
                <w:sz w:val="24"/>
              </w:rPr>
              <w:t>4.2.5 Verbal processes p.96</w:t>
            </w:r>
          </w:p>
          <w:p w14:paraId="4AF8124B" w14:textId="501C97AF" w:rsidR="00223243" w:rsidRPr="00223243" w:rsidRDefault="00223243" w:rsidP="00B226EF">
            <w:pPr>
              <w:rPr>
                <w:rFonts w:cs="Calibri"/>
                <w:sz w:val="24"/>
              </w:rPr>
            </w:pPr>
            <w:r>
              <w:rPr>
                <w:rFonts w:cs="Calibri"/>
                <w:sz w:val="24"/>
              </w:rPr>
              <w:t>4.2.11 Class issues p.104</w:t>
            </w:r>
          </w:p>
        </w:tc>
      </w:tr>
      <w:tr w:rsidR="00D530C1" w:rsidRPr="008D31D5" w14:paraId="307F4F8D" w14:textId="77777777" w:rsidTr="001E54EB">
        <w:tc>
          <w:tcPr>
            <w:tcW w:w="5070" w:type="dxa"/>
            <w:vMerge/>
          </w:tcPr>
          <w:p w14:paraId="77C8E976" w14:textId="69FB45A7" w:rsidR="00D530C1" w:rsidRPr="008D31D5" w:rsidRDefault="00D530C1" w:rsidP="00B226EF">
            <w:pPr>
              <w:rPr>
                <w:rFonts w:asciiTheme="minorHAnsi" w:hAnsiTheme="minorHAnsi" w:cstheme="minorHAnsi"/>
                <w:sz w:val="24"/>
                <w:szCs w:val="24"/>
              </w:rPr>
            </w:pPr>
          </w:p>
        </w:tc>
        <w:tc>
          <w:tcPr>
            <w:tcW w:w="3402" w:type="dxa"/>
          </w:tcPr>
          <w:p w14:paraId="71B1489A" w14:textId="77777777" w:rsidR="00D530C1" w:rsidRDefault="00D530C1" w:rsidP="00B226EF">
            <w:pPr>
              <w:rPr>
                <w:rFonts w:cs="Calibri"/>
                <w:sz w:val="24"/>
              </w:rPr>
            </w:pPr>
            <w:r>
              <w:rPr>
                <w:rFonts w:cs="Calibri"/>
                <w:sz w:val="24"/>
              </w:rPr>
              <w:t xml:space="preserve">New Coalition government working and, Conservative </w:t>
            </w:r>
            <w:r>
              <w:rPr>
                <w:rFonts w:cs="Calibri"/>
                <w:sz w:val="24"/>
              </w:rPr>
              <w:lastRenderedPageBreak/>
              <w:t xml:space="preserve">combined with Liberal Democrat ideologies. </w:t>
            </w:r>
          </w:p>
        </w:tc>
        <w:tc>
          <w:tcPr>
            <w:tcW w:w="5670" w:type="dxa"/>
          </w:tcPr>
          <w:p w14:paraId="0E1E5670" w14:textId="4596536A" w:rsidR="00F36FFC" w:rsidRDefault="00F36FFC" w:rsidP="00F36FFC">
            <w:pPr>
              <w:spacing w:line="240" w:lineRule="auto"/>
              <w:rPr>
                <w:rFonts w:asciiTheme="minorHAnsi" w:hAnsiTheme="minorHAnsi" w:cstheme="minorHAnsi"/>
                <w:sz w:val="24"/>
                <w:szCs w:val="24"/>
              </w:rPr>
            </w:pPr>
            <w:r>
              <w:rPr>
                <w:rFonts w:asciiTheme="minorHAnsi" w:hAnsiTheme="minorHAnsi" w:cstheme="minorHAnsi"/>
                <w:sz w:val="24"/>
                <w:szCs w:val="24"/>
              </w:rPr>
              <w:lastRenderedPageBreak/>
              <w:t>1.4 Research aims and questions p.10</w:t>
            </w:r>
          </w:p>
          <w:p w14:paraId="330AEBE4" w14:textId="77777777" w:rsidR="00F36FFC" w:rsidRDefault="00F36FFC" w:rsidP="00F36FFC">
            <w:pPr>
              <w:spacing w:line="240" w:lineRule="auto"/>
              <w:rPr>
                <w:rFonts w:asciiTheme="minorHAnsi" w:hAnsiTheme="minorHAnsi" w:cstheme="minorHAnsi"/>
                <w:sz w:val="24"/>
                <w:szCs w:val="24"/>
              </w:rPr>
            </w:pPr>
            <w:r>
              <w:rPr>
                <w:rFonts w:asciiTheme="minorHAnsi" w:hAnsiTheme="minorHAnsi" w:cstheme="minorHAnsi"/>
                <w:sz w:val="24"/>
                <w:szCs w:val="24"/>
              </w:rPr>
              <w:lastRenderedPageBreak/>
              <w:t>1.6 Significance p.19</w:t>
            </w:r>
          </w:p>
          <w:p w14:paraId="45085043" w14:textId="77777777" w:rsidR="00F36FFC" w:rsidRDefault="00F36FFC" w:rsidP="00F36FFC">
            <w:pPr>
              <w:spacing w:line="240" w:lineRule="auto"/>
              <w:rPr>
                <w:rFonts w:asciiTheme="minorHAnsi" w:hAnsiTheme="minorHAnsi" w:cstheme="minorHAnsi"/>
                <w:sz w:val="24"/>
                <w:szCs w:val="24"/>
              </w:rPr>
            </w:pPr>
            <w:r>
              <w:rPr>
                <w:rFonts w:asciiTheme="minorHAnsi" w:hAnsiTheme="minorHAnsi" w:cstheme="minorHAnsi"/>
                <w:sz w:val="24"/>
                <w:szCs w:val="24"/>
              </w:rPr>
              <w:t>1.6.4 Critical Educational research p.22</w:t>
            </w:r>
          </w:p>
          <w:p w14:paraId="5D57EB74" w14:textId="35A2F154" w:rsidR="00F36FFC" w:rsidRDefault="00F36FFC" w:rsidP="00F36FFC">
            <w:pPr>
              <w:spacing w:line="240" w:lineRule="auto"/>
              <w:rPr>
                <w:rFonts w:asciiTheme="minorHAnsi" w:hAnsiTheme="minorHAnsi" w:cstheme="minorHAnsi"/>
                <w:sz w:val="24"/>
                <w:szCs w:val="24"/>
              </w:rPr>
            </w:pPr>
            <w:r>
              <w:rPr>
                <w:rFonts w:asciiTheme="minorHAnsi" w:hAnsiTheme="minorHAnsi" w:cstheme="minorHAnsi"/>
                <w:sz w:val="24"/>
                <w:szCs w:val="24"/>
              </w:rPr>
              <w:t>2.2.2 1988 NC and links to EBac p.28-29</w:t>
            </w:r>
          </w:p>
          <w:p w14:paraId="591FFAA5" w14:textId="3D5010DB" w:rsidR="0074508C" w:rsidRDefault="0074508C" w:rsidP="00F36FFC">
            <w:pPr>
              <w:spacing w:line="240" w:lineRule="auto"/>
              <w:rPr>
                <w:rFonts w:asciiTheme="minorHAnsi" w:hAnsiTheme="minorHAnsi" w:cstheme="minorHAnsi"/>
                <w:sz w:val="24"/>
                <w:szCs w:val="24"/>
              </w:rPr>
            </w:pPr>
            <w:r>
              <w:rPr>
                <w:rFonts w:asciiTheme="minorHAnsi" w:hAnsiTheme="minorHAnsi" w:cstheme="minorHAnsi"/>
                <w:sz w:val="24"/>
                <w:szCs w:val="24"/>
              </w:rPr>
              <w:t>2.5.2 Core knowledge p.42</w:t>
            </w:r>
          </w:p>
          <w:p w14:paraId="43A37F12" w14:textId="77777777" w:rsidR="0074508C" w:rsidRDefault="0074508C" w:rsidP="00F36FFC">
            <w:pPr>
              <w:spacing w:line="240" w:lineRule="auto"/>
              <w:rPr>
                <w:rFonts w:asciiTheme="minorHAnsi" w:hAnsiTheme="minorHAnsi" w:cstheme="minorHAnsi"/>
                <w:sz w:val="24"/>
                <w:szCs w:val="24"/>
              </w:rPr>
            </w:pPr>
            <w:r>
              <w:rPr>
                <w:rFonts w:asciiTheme="minorHAnsi" w:hAnsiTheme="minorHAnsi" w:cstheme="minorHAnsi"/>
                <w:sz w:val="24"/>
                <w:szCs w:val="24"/>
              </w:rPr>
              <w:t>4.2.10 Visual images p.103</w:t>
            </w:r>
          </w:p>
          <w:p w14:paraId="393B3C26" w14:textId="369577D3" w:rsidR="00D530C1" w:rsidRPr="00F36FFC" w:rsidRDefault="0074508C" w:rsidP="00F36FFC">
            <w:pPr>
              <w:spacing w:line="240" w:lineRule="auto"/>
              <w:rPr>
                <w:rFonts w:asciiTheme="minorHAnsi" w:hAnsiTheme="minorHAnsi" w:cstheme="minorHAnsi"/>
                <w:sz w:val="24"/>
                <w:szCs w:val="24"/>
              </w:rPr>
            </w:pPr>
            <w:r>
              <w:rPr>
                <w:rFonts w:asciiTheme="minorHAnsi" w:hAnsiTheme="minorHAnsi" w:cstheme="minorHAnsi"/>
                <w:sz w:val="24"/>
                <w:szCs w:val="24"/>
              </w:rPr>
              <w:t>4.2.12 Other texts p.105</w:t>
            </w:r>
          </w:p>
        </w:tc>
      </w:tr>
      <w:tr w:rsidR="000667DF" w:rsidRPr="008D31D5" w14:paraId="73AB63A1" w14:textId="77777777" w:rsidTr="001E54EB">
        <w:tc>
          <w:tcPr>
            <w:tcW w:w="5070" w:type="dxa"/>
            <w:vMerge/>
          </w:tcPr>
          <w:p w14:paraId="603FD187" w14:textId="7F73AEAD" w:rsidR="000667DF" w:rsidRPr="008D31D5" w:rsidRDefault="000667DF" w:rsidP="00B226EF">
            <w:pPr>
              <w:rPr>
                <w:rFonts w:asciiTheme="minorHAnsi" w:hAnsiTheme="minorHAnsi" w:cstheme="minorHAnsi"/>
                <w:sz w:val="24"/>
                <w:szCs w:val="24"/>
              </w:rPr>
            </w:pPr>
          </w:p>
        </w:tc>
        <w:tc>
          <w:tcPr>
            <w:tcW w:w="3402" w:type="dxa"/>
          </w:tcPr>
          <w:p w14:paraId="0B5605C8" w14:textId="0B31C340" w:rsidR="000667DF" w:rsidRDefault="000667DF" w:rsidP="00B226EF">
            <w:pPr>
              <w:rPr>
                <w:rFonts w:cs="Calibri"/>
                <w:sz w:val="24"/>
              </w:rPr>
            </w:pPr>
            <w:r>
              <w:rPr>
                <w:rFonts w:cs="Calibri"/>
                <w:sz w:val="24"/>
              </w:rPr>
              <w:t>Hig</w:t>
            </w:r>
            <w:r w:rsidR="000871E5">
              <w:rPr>
                <w:rFonts w:cs="Calibri"/>
                <w:sz w:val="24"/>
              </w:rPr>
              <w:t xml:space="preserve">h stakes testing and assessment as a technology of Governmentality. </w:t>
            </w:r>
            <w:r>
              <w:rPr>
                <w:rFonts w:cs="Calibri"/>
                <w:sz w:val="24"/>
              </w:rPr>
              <w:t xml:space="preserve"> Coalition government wanted to use outcomes as indicator of success not previous measures such as CVA</w:t>
            </w:r>
          </w:p>
        </w:tc>
        <w:tc>
          <w:tcPr>
            <w:tcW w:w="5670" w:type="dxa"/>
          </w:tcPr>
          <w:p w14:paraId="080FDAB5" w14:textId="131F0932" w:rsidR="0074508C" w:rsidRDefault="0074508C" w:rsidP="00B226EF">
            <w:pPr>
              <w:rPr>
                <w:rFonts w:cs="Calibri"/>
                <w:sz w:val="24"/>
              </w:rPr>
            </w:pPr>
            <w:r>
              <w:rPr>
                <w:rFonts w:cs="Calibri"/>
                <w:sz w:val="24"/>
              </w:rPr>
              <w:t>2.7. Governmentality and surveillance p.51-53</w:t>
            </w:r>
          </w:p>
          <w:p w14:paraId="5BB66F67" w14:textId="00DCAF71" w:rsidR="000667DF" w:rsidRDefault="0074508C" w:rsidP="00B226EF">
            <w:pPr>
              <w:rPr>
                <w:rFonts w:cs="Calibri"/>
                <w:sz w:val="24"/>
              </w:rPr>
            </w:pPr>
            <w:r>
              <w:rPr>
                <w:rFonts w:cs="Calibri"/>
                <w:sz w:val="24"/>
              </w:rPr>
              <w:t>2.8. Impact of the EBac policy p.53-54</w:t>
            </w:r>
          </w:p>
          <w:p w14:paraId="7E28860C" w14:textId="17C4E192" w:rsidR="0074508C" w:rsidRDefault="0074508C" w:rsidP="00B226EF">
            <w:pPr>
              <w:rPr>
                <w:rFonts w:cs="Calibri"/>
                <w:sz w:val="24"/>
              </w:rPr>
            </w:pPr>
            <w:r>
              <w:rPr>
                <w:rFonts w:cs="Calibri"/>
                <w:sz w:val="24"/>
              </w:rPr>
              <w:t>5.4 Governance, surveillance and ‘ability’ p.137-139</w:t>
            </w:r>
          </w:p>
        </w:tc>
      </w:tr>
      <w:tr w:rsidR="00D530C1" w:rsidRPr="008D31D5" w14:paraId="67D3638D" w14:textId="77777777" w:rsidTr="001E54EB">
        <w:tc>
          <w:tcPr>
            <w:tcW w:w="5070" w:type="dxa"/>
            <w:vMerge/>
          </w:tcPr>
          <w:p w14:paraId="1F1BB495" w14:textId="3EAF5A85" w:rsidR="00D530C1" w:rsidRPr="008D31D5" w:rsidRDefault="00D530C1" w:rsidP="00B226EF">
            <w:pPr>
              <w:rPr>
                <w:rFonts w:asciiTheme="minorHAnsi" w:hAnsiTheme="minorHAnsi" w:cstheme="minorHAnsi"/>
                <w:sz w:val="24"/>
                <w:szCs w:val="24"/>
              </w:rPr>
            </w:pPr>
          </w:p>
        </w:tc>
        <w:tc>
          <w:tcPr>
            <w:tcW w:w="3402" w:type="dxa"/>
          </w:tcPr>
          <w:p w14:paraId="04EB823D" w14:textId="330BB469" w:rsidR="00D530C1" w:rsidRDefault="00D530C1" w:rsidP="000871E5">
            <w:pPr>
              <w:rPr>
                <w:rFonts w:cs="Calibri"/>
                <w:sz w:val="24"/>
              </w:rPr>
            </w:pPr>
            <w:r>
              <w:rPr>
                <w:rFonts w:cs="Calibri"/>
                <w:sz w:val="24"/>
              </w:rPr>
              <w:t>Datafication of education</w:t>
            </w:r>
            <w:r w:rsidR="000871E5">
              <w:rPr>
                <w:rFonts w:cs="Calibri"/>
                <w:sz w:val="24"/>
              </w:rPr>
              <w:t>.</w:t>
            </w:r>
            <w:r>
              <w:rPr>
                <w:rFonts w:cs="Calibri"/>
                <w:sz w:val="24"/>
              </w:rPr>
              <w:t xml:space="preserve"> Increased reliance on data as a predictive and controlling device. </w:t>
            </w:r>
          </w:p>
        </w:tc>
        <w:tc>
          <w:tcPr>
            <w:tcW w:w="5670" w:type="dxa"/>
          </w:tcPr>
          <w:p w14:paraId="675A4017" w14:textId="77777777" w:rsidR="00D530C1" w:rsidRDefault="00CD4B9F" w:rsidP="00B226EF">
            <w:pPr>
              <w:rPr>
                <w:rFonts w:cs="Calibri"/>
                <w:sz w:val="24"/>
              </w:rPr>
            </w:pPr>
            <w:r>
              <w:rPr>
                <w:rFonts w:cs="Calibri"/>
                <w:sz w:val="24"/>
              </w:rPr>
              <w:t>4.4 Thematic analysis p.116</w:t>
            </w:r>
          </w:p>
          <w:p w14:paraId="6262C641" w14:textId="77777777" w:rsidR="00CD4B9F" w:rsidRDefault="00CD4B9F" w:rsidP="00B226EF">
            <w:pPr>
              <w:rPr>
                <w:rFonts w:cs="Calibri"/>
                <w:sz w:val="24"/>
              </w:rPr>
            </w:pPr>
            <w:r>
              <w:rPr>
                <w:rFonts w:cs="Calibri"/>
                <w:sz w:val="24"/>
              </w:rPr>
              <w:t>4.4.5 Equality p.129</w:t>
            </w:r>
          </w:p>
          <w:p w14:paraId="59F003EC" w14:textId="025C8E00" w:rsidR="00CD4B9F" w:rsidRDefault="00CD4B9F" w:rsidP="00B226EF">
            <w:pPr>
              <w:rPr>
                <w:rFonts w:cs="Calibri"/>
                <w:sz w:val="24"/>
              </w:rPr>
            </w:pPr>
            <w:r>
              <w:rPr>
                <w:rFonts w:cs="Calibri"/>
                <w:sz w:val="24"/>
              </w:rPr>
              <w:t>5.4 Governance, surveillance and ‘ability’ p.137-139</w:t>
            </w:r>
          </w:p>
        </w:tc>
      </w:tr>
      <w:tr w:rsidR="00D530C1" w:rsidRPr="008D31D5" w14:paraId="0C402908" w14:textId="77777777" w:rsidTr="001E54EB">
        <w:tc>
          <w:tcPr>
            <w:tcW w:w="5070" w:type="dxa"/>
            <w:vMerge/>
          </w:tcPr>
          <w:p w14:paraId="339F0ADD" w14:textId="77777777" w:rsidR="00D530C1" w:rsidRPr="008D31D5" w:rsidRDefault="00D530C1" w:rsidP="00B226EF">
            <w:pPr>
              <w:rPr>
                <w:rFonts w:asciiTheme="minorHAnsi" w:hAnsiTheme="minorHAnsi" w:cstheme="minorHAnsi"/>
                <w:sz w:val="24"/>
                <w:szCs w:val="24"/>
              </w:rPr>
            </w:pPr>
          </w:p>
        </w:tc>
        <w:tc>
          <w:tcPr>
            <w:tcW w:w="3402" w:type="dxa"/>
          </w:tcPr>
          <w:p w14:paraId="777096AD" w14:textId="7D92187F" w:rsidR="000871E5" w:rsidRDefault="00D530C1" w:rsidP="00B226EF">
            <w:pPr>
              <w:rPr>
                <w:rFonts w:cs="Calibri"/>
                <w:sz w:val="24"/>
              </w:rPr>
            </w:pPr>
            <w:r>
              <w:rPr>
                <w:rFonts w:cs="Calibri"/>
                <w:sz w:val="24"/>
              </w:rPr>
              <w:t>Global education surveilla</w:t>
            </w:r>
            <w:r w:rsidR="00CD4B9F">
              <w:rPr>
                <w:rFonts w:cs="Calibri"/>
                <w:sz w:val="24"/>
              </w:rPr>
              <w:t>nce ‘global pa</w:t>
            </w:r>
            <w:r w:rsidR="00176CD4">
              <w:rPr>
                <w:rFonts w:cs="Calibri"/>
                <w:sz w:val="24"/>
              </w:rPr>
              <w:t>nopticism’ (Lingard et al. 2013</w:t>
            </w:r>
            <w:r w:rsidR="00CD4B9F">
              <w:rPr>
                <w:rFonts w:cs="Calibri"/>
                <w:sz w:val="24"/>
              </w:rPr>
              <w:t xml:space="preserve"> p.540</w:t>
            </w:r>
            <w:r>
              <w:rPr>
                <w:rFonts w:cs="Calibri"/>
                <w:sz w:val="24"/>
              </w:rPr>
              <w:t>)</w:t>
            </w:r>
            <w:r w:rsidR="000667DF">
              <w:rPr>
                <w:rFonts w:cs="Calibri"/>
                <w:sz w:val="24"/>
              </w:rPr>
              <w:t xml:space="preserve">. The increased use of high stakes testing as </w:t>
            </w:r>
            <w:r w:rsidR="000667DF">
              <w:rPr>
                <w:rFonts w:cs="Calibri"/>
                <w:sz w:val="24"/>
              </w:rPr>
              <w:lastRenderedPageBreak/>
              <w:t>international comparators within a</w:t>
            </w:r>
            <w:r w:rsidR="000871E5">
              <w:rPr>
                <w:rFonts w:cs="Calibri"/>
                <w:sz w:val="24"/>
              </w:rPr>
              <w:t xml:space="preserve"> near unified neoliberal approach.</w:t>
            </w:r>
          </w:p>
        </w:tc>
        <w:tc>
          <w:tcPr>
            <w:tcW w:w="5670" w:type="dxa"/>
          </w:tcPr>
          <w:p w14:paraId="12BEF690" w14:textId="77777777" w:rsidR="00D530C1" w:rsidRDefault="00CD4B9F" w:rsidP="00B226EF">
            <w:pPr>
              <w:rPr>
                <w:rFonts w:cs="Calibri"/>
                <w:sz w:val="24"/>
              </w:rPr>
            </w:pPr>
            <w:r>
              <w:rPr>
                <w:rFonts w:cs="Calibri"/>
                <w:sz w:val="24"/>
              </w:rPr>
              <w:lastRenderedPageBreak/>
              <w:t>1.6.3 Governance and neoliberalism p.22</w:t>
            </w:r>
          </w:p>
          <w:p w14:paraId="3551553F" w14:textId="4305B1DA" w:rsidR="00CD4B9F" w:rsidRDefault="00CD4B9F" w:rsidP="00B226EF">
            <w:pPr>
              <w:rPr>
                <w:rFonts w:cs="Calibri"/>
                <w:sz w:val="24"/>
              </w:rPr>
            </w:pPr>
            <w:r>
              <w:rPr>
                <w:rFonts w:cs="Calibri"/>
                <w:sz w:val="24"/>
              </w:rPr>
              <w:t>4.2.7 Presupposition/ implication p.101</w:t>
            </w:r>
          </w:p>
        </w:tc>
      </w:tr>
      <w:tr w:rsidR="00D530C1" w:rsidRPr="008D31D5" w14:paraId="47F18E44" w14:textId="77777777" w:rsidTr="001E54EB">
        <w:tc>
          <w:tcPr>
            <w:tcW w:w="5070" w:type="dxa"/>
            <w:vMerge/>
          </w:tcPr>
          <w:p w14:paraId="1472D4E7" w14:textId="17F030BB" w:rsidR="00D530C1" w:rsidRPr="008D31D5" w:rsidRDefault="00D530C1" w:rsidP="00B226EF">
            <w:pPr>
              <w:rPr>
                <w:rFonts w:asciiTheme="minorHAnsi" w:hAnsiTheme="minorHAnsi" w:cstheme="minorHAnsi"/>
                <w:sz w:val="24"/>
                <w:szCs w:val="24"/>
              </w:rPr>
            </w:pPr>
          </w:p>
        </w:tc>
        <w:tc>
          <w:tcPr>
            <w:tcW w:w="3402" w:type="dxa"/>
          </w:tcPr>
          <w:p w14:paraId="145E4FDA" w14:textId="2B51D29A" w:rsidR="00D530C1" w:rsidRDefault="00D530C1" w:rsidP="00B226EF">
            <w:pPr>
              <w:rPr>
                <w:rFonts w:cs="Calibri"/>
                <w:sz w:val="24"/>
              </w:rPr>
            </w:pPr>
            <w:r>
              <w:rPr>
                <w:rFonts w:cs="Calibri"/>
                <w:sz w:val="24"/>
              </w:rPr>
              <w:t>Economy/ jobs market (b</w:t>
            </w:r>
            <w:r w:rsidR="00E11EE7">
              <w:rPr>
                <w:rFonts w:cs="Calibri"/>
                <w:sz w:val="24"/>
              </w:rPr>
              <w:t>udget deficit position of Britain</w:t>
            </w:r>
            <w:r>
              <w:rPr>
                <w:rFonts w:cs="Calibri"/>
                <w:sz w:val="24"/>
              </w:rPr>
              <w:t>)</w:t>
            </w:r>
          </w:p>
        </w:tc>
        <w:tc>
          <w:tcPr>
            <w:tcW w:w="5670" w:type="dxa"/>
          </w:tcPr>
          <w:p w14:paraId="2B1364F3" w14:textId="77777777" w:rsidR="00D530C1" w:rsidRDefault="007E32F0" w:rsidP="00B226EF">
            <w:pPr>
              <w:rPr>
                <w:rFonts w:cs="Calibri"/>
                <w:sz w:val="24"/>
              </w:rPr>
            </w:pPr>
            <w:r>
              <w:rPr>
                <w:rFonts w:cs="Calibri"/>
                <w:sz w:val="24"/>
              </w:rPr>
              <w:t>1.2 Context p10</w:t>
            </w:r>
          </w:p>
          <w:p w14:paraId="012A1EF0" w14:textId="080BCBE1" w:rsidR="007E32F0" w:rsidRDefault="007E32F0" w:rsidP="00B226EF">
            <w:pPr>
              <w:rPr>
                <w:rFonts w:cs="Calibri"/>
                <w:sz w:val="24"/>
              </w:rPr>
            </w:pPr>
            <w:r>
              <w:rPr>
                <w:rFonts w:cs="Calibri"/>
                <w:sz w:val="24"/>
              </w:rPr>
              <w:t>4.2.7 Presupposition/ Implication p.100</w:t>
            </w:r>
          </w:p>
        </w:tc>
      </w:tr>
      <w:tr w:rsidR="00D530C1" w:rsidRPr="008D31D5" w14:paraId="7BFA2CF2" w14:textId="77777777" w:rsidTr="001E54EB">
        <w:tc>
          <w:tcPr>
            <w:tcW w:w="5070" w:type="dxa"/>
            <w:vMerge/>
          </w:tcPr>
          <w:p w14:paraId="18EB9F92" w14:textId="221483AA" w:rsidR="00D530C1" w:rsidRPr="008D31D5" w:rsidRDefault="00D530C1" w:rsidP="00B226EF">
            <w:pPr>
              <w:rPr>
                <w:rFonts w:asciiTheme="minorHAnsi" w:hAnsiTheme="minorHAnsi" w:cstheme="minorHAnsi"/>
                <w:sz w:val="24"/>
                <w:szCs w:val="24"/>
              </w:rPr>
            </w:pPr>
          </w:p>
        </w:tc>
        <w:tc>
          <w:tcPr>
            <w:tcW w:w="3402" w:type="dxa"/>
          </w:tcPr>
          <w:p w14:paraId="22557351" w14:textId="37B87F5B" w:rsidR="00D530C1" w:rsidRDefault="00D530C1" w:rsidP="00B226EF">
            <w:pPr>
              <w:rPr>
                <w:rFonts w:cs="Calibri"/>
                <w:sz w:val="24"/>
              </w:rPr>
            </w:pPr>
            <w:r>
              <w:rPr>
                <w:rFonts w:cs="Calibri"/>
                <w:sz w:val="24"/>
              </w:rPr>
              <w:t xml:space="preserve">Educational establishment (e.g. LA’s, schools, teachers, universities). Increased </w:t>
            </w:r>
            <w:r w:rsidR="00372F5E">
              <w:rPr>
                <w:rFonts w:cs="Calibri"/>
                <w:sz w:val="24"/>
              </w:rPr>
              <w:t xml:space="preserve">educational </w:t>
            </w:r>
            <w:r>
              <w:rPr>
                <w:rFonts w:cs="Calibri"/>
                <w:sz w:val="24"/>
              </w:rPr>
              <w:t>market place as more academies</w:t>
            </w:r>
            <w:r w:rsidR="00372F5E">
              <w:rPr>
                <w:rFonts w:cs="Calibri"/>
                <w:sz w:val="24"/>
              </w:rPr>
              <w:t xml:space="preserve"> and Free schools</w:t>
            </w:r>
            <w:r>
              <w:rPr>
                <w:rFonts w:cs="Calibri"/>
                <w:sz w:val="24"/>
              </w:rPr>
              <w:t xml:space="preserve"> independent of LA control are created.</w:t>
            </w:r>
          </w:p>
        </w:tc>
        <w:tc>
          <w:tcPr>
            <w:tcW w:w="5670" w:type="dxa"/>
          </w:tcPr>
          <w:p w14:paraId="51DA81DC" w14:textId="77777777" w:rsidR="00D530C1" w:rsidRDefault="00925778" w:rsidP="00B226EF">
            <w:pPr>
              <w:rPr>
                <w:rFonts w:cs="Calibri"/>
                <w:sz w:val="24"/>
              </w:rPr>
            </w:pPr>
            <w:r>
              <w:rPr>
                <w:rFonts w:cs="Calibri"/>
                <w:sz w:val="24"/>
              </w:rPr>
              <w:t>1.2 Context p11-12</w:t>
            </w:r>
          </w:p>
          <w:p w14:paraId="4FB2F661" w14:textId="727C3CF9" w:rsidR="00925778" w:rsidRDefault="00925778" w:rsidP="00925778">
            <w:pPr>
              <w:spacing w:line="240" w:lineRule="auto"/>
              <w:rPr>
                <w:rFonts w:asciiTheme="minorHAnsi" w:hAnsiTheme="minorHAnsi" w:cstheme="minorHAnsi"/>
                <w:sz w:val="24"/>
                <w:szCs w:val="24"/>
              </w:rPr>
            </w:pPr>
            <w:r>
              <w:rPr>
                <w:rFonts w:cs="Calibri"/>
                <w:sz w:val="24"/>
              </w:rPr>
              <w:t>2.2.2</w:t>
            </w:r>
            <w:r>
              <w:rPr>
                <w:rFonts w:asciiTheme="minorHAnsi" w:hAnsiTheme="minorHAnsi" w:cstheme="minorHAnsi"/>
                <w:sz w:val="24"/>
                <w:szCs w:val="24"/>
              </w:rPr>
              <w:t xml:space="preserve"> 1988 NC and links to EBac p.28</w:t>
            </w:r>
          </w:p>
          <w:p w14:paraId="4335A4A5" w14:textId="267ACA63" w:rsidR="00925778" w:rsidRDefault="00925778" w:rsidP="00B226EF">
            <w:pPr>
              <w:rPr>
                <w:rFonts w:cs="Calibri"/>
                <w:sz w:val="24"/>
              </w:rPr>
            </w:pPr>
          </w:p>
        </w:tc>
      </w:tr>
      <w:tr w:rsidR="00D530C1" w:rsidRPr="008D31D5" w14:paraId="5230B754" w14:textId="77777777" w:rsidTr="001E54EB">
        <w:tc>
          <w:tcPr>
            <w:tcW w:w="5070" w:type="dxa"/>
            <w:vMerge/>
          </w:tcPr>
          <w:p w14:paraId="479B4C68" w14:textId="46B4B07C" w:rsidR="00D530C1" w:rsidRPr="008D31D5" w:rsidRDefault="00D530C1" w:rsidP="00B226EF">
            <w:pPr>
              <w:rPr>
                <w:rFonts w:asciiTheme="minorHAnsi" w:hAnsiTheme="minorHAnsi" w:cstheme="minorHAnsi"/>
                <w:sz w:val="24"/>
                <w:szCs w:val="24"/>
              </w:rPr>
            </w:pPr>
          </w:p>
        </w:tc>
        <w:tc>
          <w:tcPr>
            <w:tcW w:w="3402" w:type="dxa"/>
          </w:tcPr>
          <w:p w14:paraId="2BCEFB70" w14:textId="5B1051AB" w:rsidR="00D530C1" w:rsidRDefault="00D530C1" w:rsidP="00372F5E">
            <w:pPr>
              <w:rPr>
                <w:rFonts w:cs="Calibri"/>
                <w:sz w:val="24"/>
              </w:rPr>
            </w:pPr>
            <w:r>
              <w:rPr>
                <w:rFonts w:cs="Calibri"/>
                <w:sz w:val="24"/>
              </w:rPr>
              <w:t xml:space="preserve">Student characteristics, </w:t>
            </w:r>
            <w:r w:rsidR="006F063B">
              <w:rPr>
                <w:rFonts w:cs="Calibri"/>
                <w:sz w:val="24"/>
              </w:rPr>
              <w:t>e.g.</w:t>
            </w:r>
            <w:r>
              <w:rPr>
                <w:rFonts w:cs="Calibri"/>
                <w:sz w:val="24"/>
              </w:rPr>
              <w:t xml:space="preserve"> social class, ethnicity, gender, SEND, </w:t>
            </w:r>
            <w:r w:rsidR="00372F5E">
              <w:rPr>
                <w:rFonts w:cs="Calibri"/>
                <w:sz w:val="24"/>
              </w:rPr>
              <w:t xml:space="preserve">as recognised characteristics which impact on student outcomes and educational opportunities </w:t>
            </w:r>
          </w:p>
        </w:tc>
        <w:tc>
          <w:tcPr>
            <w:tcW w:w="5670" w:type="dxa"/>
          </w:tcPr>
          <w:p w14:paraId="580A310A" w14:textId="77777777" w:rsidR="002B72D4" w:rsidRDefault="002B72D4" w:rsidP="00B226EF">
            <w:pPr>
              <w:rPr>
                <w:rFonts w:cs="Calibri"/>
                <w:sz w:val="24"/>
              </w:rPr>
            </w:pPr>
            <w:r>
              <w:rPr>
                <w:rFonts w:cs="Calibri"/>
                <w:sz w:val="24"/>
              </w:rPr>
              <w:t>2.2.3 Social class p.30-31</w:t>
            </w:r>
          </w:p>
          <w:p w14:paraId="1A0840D9" w14:textId="77777777" w:rsidR="002B72D4" w:rsidRDefault="002B72D4" w:rsidP="00B226EF">
            <w:pPr>
              <w:rPr>
                <w:rFonts w:cs="Calibri"/>
                <w:sz w:val="24"/>
              </w:rPr>
            </w:pPr>
            <w:r>
              <w:rPr>
                <w:rFonts w:cs="Calibri"/>
                <w:sz w:val="24"/>
              </w:rPr>
              <w:t>2.2.4 Ethnicity p.31-32</w:t>
            </w:r>
          </w:p>
          <w:p w14:paraId="7CBAB063" w14:textId="293E885F" w:rsidR="002B72D4" w:rsidRDefault="002B72D4" w:rsidP="00B226EF">
            <w:pPr>
              <w:rPr>
                <w:rFonts w:cs="Calibri"/>
                <w:sz w:val="24"/>
              </w:rPr>
            </w:pPr>
            <w:r>
              <w:rPr>
                <w:rFonts w:cs="Calibri"/>
                <w:sz w:val="24"/>
              </w:rPr>
              <w:t>2.2.4 Gender p.32</w:t>
            </w:r>
          </w:p>
          <w:p w14:paraId="5F026E17" w14:textId="53887143" w:rsidR="002B72D4" w:rsidRDefault="002B72D4" w:rsidP="00B226EF">
            <w:pPr>
              <w:rPr>
                <w:rFonts w:cs="Calibri"/>
                <w:sz w:val="24"/>
              </w:rPr>
            </w:pPr>
            <w:r>
              <w:rPr>
                <w:rFonts w:cs="Calibri"/>
                <w:sz w:val="24"/>
              </w:rPr>
              <w:t>2.2.6 SEND p.32-33</w:t>
            </w:r>
          </w:p>
          <w:p w14:paraId="3E90C05E" w14:textId="12155929" w:rsidR="00D530C1" w:rsidRDefault="00925778" w:rsidP="00B226EF">
            <w:pPr>
              <w:rPr>
                <w:rFonts w:cs="Calibri"/>
                <w:sz w:val="24"/>
              </w:rPr>
            </w:pPr>
            <w:r>
              <w:rPr>
                <w:rFonts w:cs="Calibri"/>
                <w:sz w:val="24"/>
              </w:rPr>
              <w:t xml:space="preserve">4.2.11 </w:t>
            </w:r>
            <w:r w:rsidR="002B72D4">
              <w:rPr>
                <w:rFonts w:cs="Calibri"/>
                <w:sz w:val="24"/>
              </w:rPr>
              <w:t xml:space="preserve">Age, class, disability, gender, race-equity, ethnicity and sexuality </w:t>
            </w:r>
            <w:r>
              <w:rPr>
                <w:rFonts w:cs="Calibri"/>
                <w:sz w:val="24"/>
              </w:rPr>
              <w:t xml:space="preserve"> p.104</w:t>
            </w:r>
          </w:p>
        </w:tc>
      </w:tr>
      <w:tr w:rsidR="00372F5E" w:rsidRPr="008D31D5" w14:paraId="423E6D01" w14:textId="77777777" w:rsidTr="001E54EB">
        <w:tc>
          <w:tcPr>
            <w:tcW w:w="5070" w:type="dxa"/>
          </w:tcPr>
          <w:p w14:paraId="2CBB8FA6" w14:textId="7B46506D" w:rsidR="00372F5E" w:rsidRPr="008D31D5" w:rsidRDefault="00372F5E" w:rsidP="00B226EF">
            <w:pPr>
              <w:rPr>
                <w:rFonts w:asciiTheme="minorHAnsi" w:hAnsiTheme="minorHAnsi" w:cstheme="minorHAnsi"/>
                <w:sz w:val="24"/>
                <w:szCs w:val="24"/>
              </w:rPr>
            </w:pPr>
          </w:p>
        </w:tc>
        <w:tc>
          <w:tcPr>
            <w:tcW w:w="3402" w:type="dxa"/>
          </w:tcPr>
          <w:p w14:paraId="3282B084" w14:textId="3192581E" w:rsidR="00372F5E" w:rsidRDefault="00925778" w:rsidP="00372F5E">
            <w:pPr>
              <w:rPr>
                <w:rFonts w:cs="Calibri"/>
                <w:sz w:val="24"/>
              </w:rPr>
            </w:pPr>
            <w:r>
              <w:rPr>
                <w:rFonts w:cs="Calibri"/>
                <w:sz w:val="24"/>
              </w:rPr>
              <w:t xml:space="preserve">Student ‘ability’ belief held about a student’s likelihood of </w:t>
            </w:r>
            <w:r>
              <w:rPr>
                <w:rFonts w:cs="Calibri"/>
                <w:sz w:val="24"/>
              </w:rPr>
              <w:lastRenderedPageBreak/>
              <w:t xml:space="preserve">passing certain qualifications </w:t>
            </w:r>
          </w:p>
        </w:tc>
        <w:tc>
          <w:tcPr>
            <w:tcW w:w="5670" w:type="dxa"/>
          </w:tcPr>
          <w:p w14:paraId="7C1D1D19" w14:textId="77777777" w:rsidR="00372F5E" w:rsidRDefault="002B72D4" w:rsidP="00B226EF">
            <w:pPr>
              <w:rPr>
                <w:rFonts w:cs="Calibri"/>
                <w:sz w:val="24"/>
              </w:rPr>
            </w:pPr>
            <w:r>
              <w:rPr>
                <w:rFonts w:cs="Calibri"/>
                <w:sz w:val="24"/>
              </w:rPr>
              <w:lastRenderedPageBreak/>
              <w:t>2.3 Social and cultural reproduction p.36</w:t>
            </w:r>
          </w:p>
          <w:p w14:paraId="01E59D99" w14:textId="77777777" w:rsidR="002B72D4" w:rsidRDefault="002B72D4" w:rsidP="00B226EF">
            <w:pPr>
              <w:rPr>
                <w:rFonts w:cs="Calibri"/>
                <w:sz w:val="24"/>
              </w:rPr>
            </w:pPr>
            <w:r>
              <w:rPr>
                <w:rFonts w:cs="Calibri"/>
                <w:sz w:val="24"/>
              </w:rPr>
              <w:lastRenderedPageBreak/>
              <w:t>4.4 Thematic analysis p.116-117, 120, 129, 131</w:t>
            </w:r>
          </w:p>
          <w:p w14:paraId="5D956915" w14:textId="47ED35DA" w:rsidR="002B72D4" w:rsidRDefault="002B72D4" w:rsidP="00B226EF">
            <w:pPr>
              <w:rPr>
                <w:rFonts w:cs="Calibri"/>
                <w:sz w:val="24"/>
              </w:rPr>
            </w:pPr>
            <w:r>
              <w:rPr>
                <w:rFonts w:cs="Calibri"/>
                <w:sz w:val="24"/>
              </w:rPr>
              <w:t>5.4 Governance, surveillance and ‘ability’ p.137-139</w:t>
            </w:r>
          </w:p>
          <w:p w14:paraId="5ABA904B" w14:textId="077813CE" w:rsidR="007C5D60" w:rsidRDefault="002B72D4" w:rsidP="00B226EF">
            <w:pPr>
              <w:rPr>
                <w:rFonts w:cs="Calibri"/>
                <w:sz w:val="24"/>
              </w:rPr>
            </w:pPr>
            <w:r>
              <w:rPr>
                <w:rFonts w:cs="Calibri"/>
                <w:sz w:val="24"/>
              </w:rPr>
              <w:t>6.2 Addressing the research questions p.140-144</w:t>
            </w:r>
          </w:p>
        </w:tc>
      </w:tr>
    </w:tbl>
    <w:p w14:paraId="31F601E9" w14:textId="60DB9C58" w:rsidR="00D530C1" w:rsidRDefault="00D530C1" w:rsidP="00D530C1">
      <w:pPr>
        <w:tabs>
          <w:tab w:val="left" w:pos="3075"/>
        </w:tabs>
        <w:spacing w:line="360" w:lineRule="auto"/>
        <w:rPr>
          <w:rFonts w:asciiTheme="minorHAnsi" w:hAnsiTheme="minorHAnsi" w:cstheme="minorHAnsi"/>
          <w:sz w:val="24"/>
          <w:szCs w:val="24"/>
        </w:rPr>
      </w:pPr>
      <w:r>
        <w:rPr>
          <w:rFonts w:asciiTheme="minorHAnsi" w:hAnsiTheme="minorHAnsi" w:cstheme="minorHAnsi"/>
          <w:sz w:val="24"/>
          <w:szCs w:val="24"/>
        </w:rPr>
        <w:lastRenderedPageBreak/>
        <w:tab/>
      </w:r>
    </w:p>
    <w:p w14:paraId="127AE0C4" w14:textId="36A71E3A" w:rsidR="00D01CFC" w:rsidRDefault="00D14D4B" w:rsidP="00531995">
      <w:pPr>
        <w:pStyle w:val="Caption"/>
      </w:pPr>
      <w:bookmarkStart w:id="167" w:name="_Toc450170433"/>
      <w:r w:rsidRPr="00531995">
        <w:rPr>
          <w:b/>
          <w:color w:val="000000" w:themeColor="text1"/>
          <w:sz w:val="24"/>
          <w:szCs w:val="24"/>
        </w:rPr>
        <w:t xml:space="preserve">Table </w:t>
      </w:r>
      <w:r w:rsidRPr="00531995">
        <w:rPr>
          <w:b/>
          <w:color w:val="000000" w:themeColor="text1"/>
          <w:sz w:val="24"/>
          <w:szCs w:val="24"/>
        </w:rPr>
        <w:fldChar w:fldCharType="begin"/>
      </w:r>
      <w:r w:rsidRPr="00531995">
        <w:rPr>
          <w:b/>
          <w:color w:val="000000" w:themeColor="text1"/>
          <w:sz w:val="24"/>
          <w:szCs w:val="24"/>
        </w:rPr>
        <w:instrText xml:space="preserve"> SEQ Table \* ARABIC </w:instrText>
      </w:r>
      <w:r w:rsidRPr="00531995">
        <w:rPr>
          <w:b/>
          <w:color w:val="000000" w:themeColor="text1"/>
          <w:sz w:val="24"/>
          <w:szCs w:val="24"/>
        </w:rPr>
        <w:fldChar w:fldCharType="separate"/>
      </w:r>
      <w:r w:rsidR="00ED3AF0">
        <w:rPr>
          <w:b/>
          <w:noProof/>
          <w:color w:val="000000" w:themeColor="text1"/>
          <w:sz w:val="24"/>
          <w:szCs w:val="24"/>
        </w:rPr>
        <w:t>5</w:t>
      </w:r>
      <w:r w:rsidRPr="00531995">
        <w:rPr>
          <w:b/>
          <w:color w:val="000000" w:themeColor="text1"/>
          <w:sz w:val="24"/>
          <w:szCs w:val="24"/>
        </w:rPr>
        <w:fldChar w:fldCharType="end"/>
      </w:r>
      <w:r w:rsidRPr="00531995">
        <w:rPr>
          <w:b/>
          <w:color w:val="000000" w:themeColor="text1"/>
          <w:sz w:val="24"/>
          <w:szCs w:val="24"/>
        </w:rPr>
        <w:t xml:space="preserve"> - Scheurich's Arena 3</w:t>
      </w:r>
      <w:bookmarkEnd w:id="167"/>
    </w:p>
    <w:tbl>
      <w:tblPr>
        <w:tblStyle w:val="TableGrid"/>
        <w:tblW w:w="0" w:type="auto"/>
        <w:tblLook w:val="04A0" w:firstRow="1" w:lastRow="0" w:firstColumn="1" w:lastColumn="0" w:noHBand="0" w:noVBand="1"/>
      </w:tblPr>
      <w:tblGrid>
        <w:gridCol w:w="5070"/>
        <w:gridCol w:w="3402"/>
        <w:gridCol w:w="5670"/>
      </w:tblGrid>
      <w:tr w:rsidR="00D01CFC" w:rsidRPr="00596137" w14:paraId="1988F5DE" w14:textId="77777777" w:rsidTr="001E54EB">
        <w:tc>
          <w:tcPr>
            <w:tcW w:w="5070" w:type="dxa"/>
          </w:tcPr>
          <w:p w14:paraId="64EA6BAC" w14:textId="691F6D84" w:rsidR="00D01CFC" w:rsidRPr="00596137" w:rsidRDefault="00D01CFC" w:rsidP="00B226EF">
            <w:pPr>
              <w:rPr>
                <w:b/>
                <w:sz w:val="24"/>
                <w:szCs w:val="24"/>
              </w:rPr>
            </w:pPr>
            <w:r w:rsidRPr="00596137">
              <w:rPr>
                <w:b/>
                <w:sz w:val="24"/>
                <w:szCs w:val="24"/>
              </w:rPr>
              <w:t xml:space="preserve">Arena 3 </w:t>
            </w:r>
            <w:r w:rsidR="00164CB7">
              <w:rPr>
                <w:b/>
                <w:sz w:val="24"/>
                <w:szCs w:val="24"/>
              </w:rPr>
              <w:t>–</w:t>
            </w:r>
            <w:r w:rsidRPr="00596137">
              <w:rPr>
                <w:b/>
                <w:sz w:val="24"/>
                <w:szCs w:val="24"/>
              </w:rPr>
              <w:t xml:space="preserve"> S</w:t>
            </w:r>
            <w:r w:rsidR="00164CB7">
              <w:rPr>
                <w:b/>
                <w:sz w:val="24"/>
                <w:szCs w:val="24"/>
              </w:rPr>
              <w:t>ocial regularities</w:t>
            </w:r>
          </w:p>
        </w:tc>
        <w:tc>
          <w:tcPr>
            <w:tcW w:w="3402" w:type="dxa"/>
          </w:tcPr>
          <w:p w14:paraId="10319402" w14:textId="75B95C22" w:rsidR="00D01CFC" w:rsidRPr="00596137" w:rsidRDefault="003934B1" w:rsidP="00B226EF">
            <w:pPr>
              <w:rPr>
                <w:b/>
                <w:sz w:val="24"/>
                <w:szCs w:val="24"/>
              </w:rPr>
            </w:pPr>
            <w:r>
              <w:rPr>
                <w:b/>
                <w:sz w:val="24"/>
                <w:szCs w:val="24"/>
              </w:rPr>
              <w:t>EBac p</w:t>
            </w:r>
            <w:r w:rsidR="00D01CFC">
              <w:rPr>
                <w:b/>
                <w:sz w:val="24"/>
                <w:szCs w:val="24"/>
              </w:rPr>
              <w:t xml:space="preserve">olicy </w:t>
            </w:r>
            <w:r>
              <w:rPr>
                <w:b/>
                <w:sz w:val="24"/>
                <w:szCs w:val="24"/>
              </w:rPr>
              <w:t xml:space="preserve">solution </w:t>
            </w:r>
            <w:r w:rsidR="00164CB7">
              <w:rPr>
                <w:b/>
                <w:sz w:val="24"/>
                <w:szCs w:val="24"/>
              </w:rPr>
              <w:t xml:space="preserve">- </w:t>
            </w:r>
            <w:r w:rsidR="00D01CFC">
              <w:rPr>
                <w:b/>
                <w:sz w:val="24"/>
                <w:szCs w:val="24"/>
              </w:rPr>
              <w:t xml:space="preserve">effects intended </w:t>
            </w:r>
          </w:p>
        </w:tc>
        <w:tc>
          <w:tcPr>
            <w:tcW w:w="5670" w:type="dxa"/>
          </w:tcPr>
          <w:p w14:paraId="5907C121" w14:textId="77777777" w:rsidR="00D01CFC" w:rsidRDefault="00D01CFC" w:rsidP="00B226EF">
            <w:pPr>
              <w:rPr>
                <w:b/>
                <w:sz w:val="24"/>
                <w:szCs w:val="24"/>
              </w:rPr>
            </w:pPr>
            <w:r>
              <w:rPr>
                <w:b/>
                <w:sz w:val="24"/>
                <w:szCs w:val="24"/>
              </w:rPr>
              <w:t>Source and page</w:t>
            </w:r>
          </w:p>
        </w:tc>
      </w:tr>
      <w:tr w:rsidR="00D01CFC" w:rsidRPr="00596137" w14:paraId="55B0AAFD" w14:textId="77777777" w:rsidTr="001E54EB">
        <w:tc>
          <w:tcPr>
            <w:tcW w:w="5070" w:type="dxa"/>
            <w:vMerge w:val="restart"/>
          </w:tcPr>
          <w:p w14:paraId="443FD84D" w14:textId="637D8591" w:rsidR="00D01CFC" w:rsidRPr="00596137" w:rsidRDefault="00164CB7" w:rsidP="00B226EF">
            <w:pPr>
              <w:rPr>
                <w:sz w:val="24"/>
                <w:szCs w:val="24"/>
              </w:rPr>
            </w:pPr>
            <w:r>
              <w:rPr>
                <w:sz w:val="24"/>
                <w:szCs w:val="24"/>
              </w:rPr>
              <w:t>Social regularities lead to a range of possible and impossible policy solutions for identified problem</w:t>
            </w:r>
          </w:p>
        </w:tc>
        <w:tc>
          <w:tcPr>
            <w:tcW w:w="3402" w:type="dxa"/>
          </w:tcPr>
          <w:p w14:paraId="6059EB05" w14:textId="77777777" w:rsidR="00D01CFC" w:rsidRPr="00596137" w:rsidRDefault="00D01CFC" w:rsidP="00B226EF">
            <w:pPr>
              <w:rPr>
                <w:sz w:val="24"/>
                <w:szCs w:val="24"/>
              </w:rPr>
            </w:pPr>
            <w:r>
              <w:rPr>
                <w:sz w:val="24"/>
                <w:szCs w:val="24"/>
              </w:rPr>
              <w:t>Increase take up of specified academic subjects (EBac combination)</w:t>
            </w:r>
          </w:p>
        </w:tc>
        <w:tc>
          <w:tcPr>
            <w:tcW w:w="5670" w:type="dxa"/>
          </w:tcPr>
          <w:p w14:paraId="6F50B9BD" w14:textId="77777777" w:rsidR="00D01CFC" w:rsidRDefault="00CA61C4" w:rsidP="00B226EF">
            <w:pPr>
              <w:rPr>
                <w:sz w:val="24"/>
                <w:szCs w:val="24"/>
              </w:rPr>
            </w:pPr>
            <w:r>
              <w:rPr>
                <w:sz w:val="24"/>
                <w:szCs w:val="24"/>
              </w:rPr>
              <w:t>2.8 Impact of EBac policy p.54-56</w:t>
            </w:r>
          </w:p>
          <w:p w14:paraId="1F02D5AD" w14:textId="77777777" w:rsidR="00CA61C4" w:rsidRDefault="00CA61C4" w:rsidP="00B226EF">
            <w:pPr>
              <w:rPr>
                <w:sz w:val="24"/>
                <w:szCs w:val="24"/>
              </w:rPr>
            </w:pPr>
            <w:r>
              <w:rPr>
                <w:sz w:val="24"/>
                <w:szCs w:val="24"/>
              </w:rPr>
              <w:t>4.3.2 Bluefield p.109</w:t>
            </w:r>
          </w:p>
          <w:p w14:paraId="2137093F" w14:textId="77777777" w:rsidR="00CA61C4" w:rsidRDefault="00CA61C4" w:rsidP="00B226EF">
            <w:pPr>
              <w:rPr>
                <w:sz w:val="24"/>
                <w:szCs w:val="24"/>
              </w:rPr>
            </w:pPr>
            <w:r>
              <w:rPr>
                <w:sz w:val="24"/>
                <w:szCs w:val="24"/>
              </w:rPr>
              <w:t>4.3.3 Yellowfield p.109-110</w:t>
            </w:r>
          </w:p>
          <w:p w14:paraId="576A7FEA" w14:textId="77777777" w:rsidR="00CA61C4" w:rsidRDefault="00CA61C4" w:rsidP="00B226EF">
            <w:pPr>
              <w:rPr>
                <w:sz w:val="24"/>
                <w:szCs w:val="24"/>
              </w:rPr>
            </w:pPr>
            <w:r>
              <w:rPr>
                <w:sz w:val="24"/>
                <w:szCs w:val="24"/>
              </w:rPr>
              <w:t>4.3.4 Purplefield p.112</w:t>
            </w:r>
          </w:p>
          <w:p w14:paraId="41F33F73" w14:textId="77777777" w:rsidR="00CA61C4" w:rsidRDefault="00CA61C4" w:rsidP="00B226EF">
            <w:pPr>
              <w:rPr>
                <w:sz w:val="24"/>
                <w:szCs w:val="24"/>
              </w:rPr>
            </w:pPr>
            <w:r>
              <w:rPr>
                <w:sz w:val="24"/>
                <w:szCs w:val="24"/>
              </w:rPr>
              <w:t>4.3.5 Redfield p.115</w:t>
            </w:r>
          </w:p>
          <w:p w14:paraId="749A11FA" w14:textId="3B89D0D2" w:rsidR="00CA61C4" w:rsidRPr="00CA61C4" w:rsidRDefault="00CA61C4" w:rsidP="00B226EF">
            <w:pPr>
              <w:rPr>
                <w:sz w:val="24"/>
                <w:szCs w:val="24"/>
              </w:rPr>
            </w:pPr>
            <w:r>
              <w:rPr>
                <w:sz w:val="24"/>
                <w:szCs w:val="24"/>
              </w:rPr>
              <w:t>4.42 Differentiation and hierarchy p.120</w:t>
            </w:r>
          </w:p>
        </w:tc>
      </w:tr>
      <w:tr w:rsidR="00D01CFC" w:rsidRPr="00596137" w14:paraId="23BC9EA8" w14:textId="77777777" w:rsidTr="001E54EB">
        <w:tc>
          <w:tcPr>
            <w:tcW w:w="5070" w:type="dxa"/>
            <w:vMerge/>
          </w:tcPr>
          <w:p w14:paraId="759C9FD2" w14:textId="2BBA1F88" w:rsidR="00D01CFC" w:rsidRPr="00596137" w:rsidRDefault="00D01CFC" w:rsidP="00B226EF">
            <w:pPr>
              <w:rPr>
                <w:sz w:val="24"/>
                <w:szCs w:val="24"/>
              </w:rPr>
            </w:pPr>
          </w:p>
        </w:tc>
        <w:tc>
          <w:tcPr>
            <w:tcW w:w="3402" w:type="dxa"/>
          </w:tcPr>
          <w:p w14:paraId="14AC3B6B" w14:textId="77777777" w:rsidR="00D01CFC" w:rsidRPr="00596137" w:rsidRDefault="00D01CFC" w:rsidP="00B226EF">
            <w:pPr>
              <w:rPr>
                <w:sz w:val="24"/>
                <w:szCs w:val="24"/>
              </w:rPr>
            </w:pPr>
            <w:r>
              <w:rPr>
                <w:sz w:val="24"/>
                <w:szCs w:val="24"/>
              </w:rPr>
              <w:t>Decrease vocational options</w:t>
            </w:r>
          </w:p>
        </w:tc>
        <w:tc>
          <w:tcPr>
            <w:tcW w:w="5670" w:type="dxa"/>
          </w:tcPr>
          <w:p w14:paraId="7C8C195F" w14:textId="601E9791" w:rsidR="001C3A6C" w:rsidRDefault="001C3A6C" w:rsidP="001C3A6C">
            <w:pPr>
              <w:rPr>
                <w:sz w:val="24"/>
                <w:szCs w:val="24"/>
              </w:rPr>
            </w:pPr>
            <w:r>
              <w:rPr>
                <w:sz w:val="24"/>
                <w:szCs w:val="24"/>
              </w:rPr>
              <w:t>4.3.4 Purplefield p.111-112</w:t>
            </w:r>
          </w:p>
          <w:p w14:paraId="25B65D1B" w14:textId="53FED4E2" w:rsidR="001C3A6C" w:rsidRDefault="001C3A6C" w:rsidP="001C3A6C">
            <w:pPr>
              <w:rPr>
                <w:sz w:val="24"/>
                <w:szCs w:val="24"/>
              </w:rPr>
            </w:pPr>
            <w:r>
              <w:rPr>
                <w:sz w:val="24"/>
                <w:szCs w:val="24"/>
              </w:rPr>
              <w:t>4.3.5 Redfield p.113</w:t>
            </w:r>
          </w:p>
          <w:p w14:paraId="74E92A14" w14:textId="77777777" w:rsidR="00D01CFC" w:rsidRDefault="001C3A6C" w:rsidP="00B226EF">
            <w:pPr>
              <w:rPr>
                <w:sz w:val="24"/>
                <w:szCs w:val="24"/>
              </w:rPr>
            </w:pPr>
            <w:r>
              <w:rPr>
                <w:sz w:val="24"/>
                <w:szCs w:val="24"/>
              </w:rPr>
              <w:t>4.42 Differentiation and hierarchy p.120</w:t>
            </w:r>
          </w:p>
          <w:p w14:paraId="2E7042BA" w14:textId="3000370E" w:rsidR="001C3A6C" w:rsidRDefault="001C3A6C" w:rsidP="00B226EF">
            <w:pPr>
              <w:rPr>
                <w:sz w:val="24"/>
                <w:szCs w:val="24"/>
              </w:rPr>
            </w:pPr>
            <w:r>
              <w:rPr>
                <w:sz w:val="24"/>
                <w:szCs w:val="24"/>
              </w:rPr>
              <w:lastRenderedPageBreak/>
              <w:t>4.45 Equality p.128</w:t>
            </w:r>
          </w:p>
        </w:tc>
      </w:tr>
      <w:tr w:rsidR="00D01CFC" w:rsidRPr="00596137" w14:paraId="0728FD36" w14:textId="77777777" w:rsidTr="001E54EB">
        <w:tc>
          <w:tcPr>
            <w:tcW w:w="5070" w:type="dxa"/>
            <w:vMerge/>
          </w:tcPr>
          <w:p w14:paraId="161F58A4" w14:textId="77777777" w:rsidR="00D01CFC" w:rsidRPr="00596137" w:rsidRDefault="00D01CFC" w:rsidP="00B226EF">
            <w:pPr>
              <w:rPr>
                <w:sz w:val="24"/>
                <w:szCs w:val="24"/>
              </w:rPr>
            </w:pPr>
          </w:p>
        </w:tc>
        <w:tc>
          <w:tcPr>
            <w:tcW w:w="3402" w:type="dxa"/>
          </w:tcPr>
          <w:p w14:paraId="4B985B9A" w14:textId="105CB9F4" w:rsidR="00D01CFC" w:rsidRPr="00596137" w:rsidRDefault="00D01CFC" w:rsidP="00B226EF">
            <w:pPr>
              <w:rPr>
                <w:sz w:val="24"/>
                <w:szCs w:val="24"/>
              </w:rPr>
            </w:pPr>
            <w:r>
              <w:rPr>
                <w:sz w:val="24"/>
                <w:szCs w:val="24"/>
              </w:rPr>
              <w:t>Retrospective measure of schools EBac performance</w:t>
            </w:r>
            <w:r w:rsidR="00164CB7">
              <w:rPr>
                <w:sz w:val="24"/>
                <w:szCs w:val="24"/>
              </w:rPr>
              <w:t xml:space="preserve"> to highlight low achievement on EBac and reinforce importance of policy</w:t>
            </w:r>
          </w:p>
        </w:tc>
        <w:tc>
          <w:tcPr>
            <w:tcW w:w="5670" w:type="dxa"/>
          </w:tcPr>
          <w:p w14:paraId="722F91A0" w14:textId="3D28CBD9" w:rsidR="00342A30" w:rsidRPr="00342A30" w:rsidRDefault="00342A30" w:rsidP="00342A30">
            <w:pPr>
              <w:spacing w:line="240" w:lineRule="auto"/>
              <w:rPr>
                <w:rFonts w:asciiTheme="minorHAnsi" w:hAnsiTheme="minorHAnsi" w:cstheme="minorHAnsi"/>
                <w:sz w:val="24"/>
                <w:szCs w:val="24"/>
              </w:rPr>
            </w:pPr>
            <w:r>
              <w:rPr>
                <w:rFonts w:cs="Calibri"/>
                <w:sz w:val="24"/>
              </w:rPr>
              <w:t>2.2.2</w:t>
            </w:r>
            <w:r>
              <w:rPr>
                <w:rFonts w:asciiTheme="minorHAnsi" w:hAnsiTheme="minorHAnsi" w:cstheme="minorHAnsi"/>
                <w:sz w:val="24"/>
                <w:szCs w:val="24"/>
              </w:rPr>
              <w:t xml:space="preserve"> 1988 NC and links to EBac p.29</w:t>
            </w:r>
          </w:p>
          <w:p w14:paraId="2FE29092" w14:textId="5C139F68" w:rsidR="001C3A6C" w:rsidRDefault="001C3A6C" w:rsidP="001C3A6C">
            <w:pPr>
              <w:rPr>
                <w:sz w:val="24"/>
                <w:szCs w:val="24"/>
              </w:rPr>
            </w:pPr>
            <w:r>
              <w:rPr>
                <w:sz w:val="24"/>
                <w:szCs w:val="24"/>
              </w:rPr>
              <w:t>2</w:t>
            </w:r>
            <w:r w:rsidR="00342A30">
              <w:rPr>
                <w:sz w:val="24"/>
                <w:szCs w:val="24"/>
              </w:rPr>
              <w:t>.8 Impact of EBac policy p.53</w:t>
            </w:r>
            <w:r>
              <w:rPr>
                <w:sz w:val="24"/>
                <w:szCs w:val="24"/>
              </w:rPr>
              <w:t>-55</w:t>
            </w:r>
          </w:p>
          <w:p w14:paraId="2EFEFC7C" w14:textId="5A66992B" w:rsidR="00D01CFC" w:rsidRDefault="00342A30" w:rsidP="00B226EF">
            <w:pPr>
              <w:rPr>
                <w:sz w:val="24"/>
                <w:szCs w:val="24"/>
              </w:rPr>
            </w:pPr>
            <w:r>
              <w:rPr>
                <w:sz w:val="24"/>
                <w:szCs w:val="24"/>
              </w:rPr>
              <w:t>4.4.4 Control and accountability p.126-127</w:t>
            </w:r>
          </w:p>
        </w:tc>
      </w:tr>
      <w:tr w:rsidR="00D01CFC" w:rsidRPr="00596137" w14:paraId="2BAAE8EC" w14:textId="77777777" w:rsidTr="001E54EB">
        <w:tc>
          <w:tcPr>
            <w:tcW w:w="5070" w:type="dxa"/>
            <w:vMerge/>
          </w:tcPr>
          <w:p w14:paraId="04370743" w14:textId="77777777" w:rsidR="00D01CFC" w:rsidRPr="00596137" w:rsidRDefault="00D01CFC" w:rsidP="00B226EF">
            <w:pPr>
              <w:rPr>
                <w:sz w:val="24"/>
                <w:szCs w:val="24"/>
              </w:rPr>
            </w:pPr>
          </w:p>
        </w:tc>
        <w:tc>
          <w:tcPr>
            <w:tcW w:w="3402" w:type="dxa"/>
          </w:tcPr>
          <w:p w14:paraId="4E1E3D33" w14:textId="34B5FBF3" w:rsidR="00D01CFC" w:rsidRPr="00596137" w:rsidRDefault="00342A30" w:rsidP="00B226EF">
            <w:pPr>
              <w:rPr>
                <w:sz w:val="24"/>
                <w:szCs w:val="24"/>
              </w:rPr>
            </w:pPr>
            <w:r>
              <w:rPr>
                <w:sz w:val="24"/>
                <w:szCs w:val="24"/>
              </w:rPr>
              <w:t>Changed</w:t>
            </w:r>
            <w:r w:rsidR="00D01CFC">
              <w:rPr>
                <w:sz w:val="24"/>
                <w:szCs w:val="24"/>
              </w:rPr>
              <w:t xml:space="preserve"> accountability measures – performance tables and point allocation </w:t>
            </w:r>
            <w:r>
              <w:rPr>
                <w:sz w:val="24"/>
                <w:szCs w:val="24"/>
              </w:rPr>
              <w:t xml:space="preserve">amended </w:t>
            </w:r>
            <w:r w:rsidR="00164CB7">
              <w:rPr>
                <w:sz w:val="24"/>
                <w:szCs w:val="24"/>
              </w:rPr>
              <w:t>to highlight, reflect and reinforce the EBac</w:t>
            </w:r>
          </w:p>
        </w:tc>
        <w:tc>
          <w:tcPr>
            <w:tcW w:w="5670" w:type="dxa"/>
          </w:tcPr>
          <w:p w14:paraId="6D45C292" w14:textId="77777777" w:rsidR="00D01CFC" w:rsidRDefault="003F6B21" w:rsidP="00B226EF">
            <w:pPr>
              <w:rPr>
                <w:rFonts w:asciiTheme="minorHAnsi" w:hAnsiTheme="minorHAnsi" w:cstheme="minorHAnsi"/>
                <w:sz w:val="24"/>
                <w:szCs w:val="24"/>
              </w:rPr>
            </w:pPr>
            <w:r>
              <w:rPr>
                <w:sz w:val="24"/>
                <w:szCs w:val="24"/>
              </w:rPr>
              <w:t xml:space="preserve">2.2.2 </w:t>
            </w:r>
            <w:r>
              <w:rPr>
                <w:rFonts w:asciiTheme="minorHAnsi" w:hAnsiTheme="minorHAnsi" w:cstheme="minorHAnsi"/>
                <w:sz w:val="24"/>
                <w:szCs w:val="24"/>
              </w:rPr>
              <w:t>1988 NC and links to EBac p.28-29</w:t>
            </w:r>
          </w:p>
          <w:p w14:paraId="791EBFA4" w14:textId="2B6B62EA" w:rsidR="003F6B21" w:rsidRDefault="00B252F2" w:rsidP="00B226EF">
            <w:pPr>
              <w:rPr>
                <w:sz w:val="24"/>
                <w:szCs w:val="24"/>
              </w:rPr>
            </w:pPr>
            <w:r>
              <w:rPr>
                <w:sz w:val="24"/>
                <w:szCs w:val="24"/>
              </w:rPr>
              <w:t>4.4.4 Control and accountability p.125-127</w:t>
            </w:r>
          </w:p>
        </w:tc>
      </w:tr>
      <w:tr w:rsidR="00164CB7" w:rsidRPr="00596137" w14:paraId="3DA3D34D" w14:textId="77777777" w:rsidTr="001E54EB">
        <w:tc>
          <w:tcPr>
            <w:tcW w:w="5070" w:type="dxa"/>
            <w:vMerge/>
          </w:tcPr>
          <w:p w14:paraId="1D666EAA" w14:textId="77777777" w:rsidR="00164CB7" w:rsidRPr="00596137" w:rsidRDefault="00164CB7" w:rsidP="00B226EF">
            <w:pPr>
              <w:rPr>
                <w:sz w:val="24"/>
                <w:szCs w:val="24"/>
              </w:rPr>
            </w:pPr>
          </w:p>
        </w:tc>
        <w:tc>
          <w:tcPr>
            <w:tcW w:w="3402" w:type="dxa"/>
          </w:tcPr>
          <w:p w14:paraId="7DB03224" w14:textId="4DE315CB" w:rsidR="00164CB7" w:rsidRDefault="00164CB7" w:rsidP="00B226EF">
            <w:pPr>
              <w:rPr>
                <w:sz w:val="24"/>
                <w:szCs w:val="24"/>
              </w:rPr>
            </w:pPr>
            <w:r>
              <w:rPr>
                <w:sz w:val="24"/>
                <w:szCs w:val="24"/>
              </w:rPr>
              <w:t>Internal surveillance of EBac choices by teachers and self-selection by students</w:t>
            </w:r>
          </w:p>
        </w:tc>
        <w:tc>
          <w:tcPr>
            <w:tcW w:w="5670" w:type="dxa"/>
          </w:tcPr>
          <w:p w14:paraId="37F39CA5" w14:textId="77777777" w:rsidR="00B252F2" w:rsidRDefault="00B252F2" w:rsidP="00B252F2">
            <w:pPr>
              <w:rPr>
                <w:sz w:val="24"/>
                <w:szCs w:val="24"/>
              </w:rPr>
            </w:pPr>
            <w:r>
              <w:rPr>
                <w:sz w:val="24"/>
                <w:szCs w:val="24"/>
              </w:rPr>
              <w:t>4.3.2 Bluefield p.109</w:t>
            </w:r>
          </w:p>
          <w:p w14:paraId="17CD49C0" w14:textId="77777777" w:rsidR="00B252F2" w:rsidRDefault="00B252F2" w:rsidP="00B252F2">
            <w:pPr>
              <w:rPr>
                <w:sz w:val="24"/>
                <w:szCs w:val="24"/>
              </w:rPr>
            </w:pPr>
            <w:r>
              <w:rPr>
                <w:sz w:val="24"/>
                <w:szCs w:val="24"/>
              </w:rPr>
              <w:t>4.3.3 Yellowfield p.109-110</w:t>
            </w:r>
          </w:p>
          <w:p w14:paraId="3992FC21" w14:textId="77777777" w:rsidR="00B252F2" w:rsidRDefault="00B252F2" w:rsidP="00B252F2">
            <w:pPr>
              <w:rPr>
                <w:sz w:val="24"/>
                <w:szCs w:val="24"/>
              </w:rPr>
            </w:pPr>
            <w:r>
              <w:rPr>
                <w:sz w:val="24"/>
                <w:szCs w:val="24"/>
              </w:rPr>
              <w:t>4.3.4 Purplefield p.112</w:t>
            </w:r>
          </w:p>
          <w:p w14:paraId="6B808CBB" w14:textId="69B0B335" w:rsidR="007C5D60" w:rsidRDefault="00B252F2" w:rsidP="00B226EF">
            <w:pPr>
              <w:rPr>
                <w:sz w:val="24"/>
                <w:szCs w:val="24"/>
              </w:rPr>
            </w:pPr>
            <w:r>
              <w:rPr>
                <w:sz w:val="24"/>
                <w:szCs w:val="24"/>
              </w:rPr>
              <w:t>4.3.5 Redfield p.115</w:t>
            </w:r>
          </w:p>
        </w:tc>
      </w:tr>
      <w:tr w:rsidR="00D01CFC" w:rsidRPr="00596137" w14:paraId="498F3D1F" w14:textId="77777777" w:rsidTr="001E54EB">
        <w:tc>
          <w:tcPr>
            <w:tcW w:w="5070" w:type="dxa"/>
            <w:vMerge/>
          </w:tcPr>
          <w:p w14:paraId="56B66067" w14:textId="77777777" w:rsidR="00D01CFC" w:rsidRPr="00596137" w:rsidRDefault="00D01CFC" w:rsidP="00B226EF">
            <w:pPr>
              <w:rPr>
                <w:sz w:val="24"/>
                <w:szCs w:val="24"/>
              </w:rPr>
            </w:pPr>
          </w:p>
        </w:tc>
        <w:tc>
          <w:tcPr>
            <w:tcW w:w="3402" w:type="dxa"/>
          </w:tcPr>
          <w:p w14:paraId="2D9D31E0" w14:textId="454ECB7C" w:rsidR="00D01CFC" w:rsidRPr="00596137" w:rsidRDefault="007C60E7" w:rsidP="00B226EF">
            <w:pPr>
              <w:rPr>
                <w:sz w:val="24"/>
                <w:szCs w:val="24"/>
              </w:rPr>
            </w:pPr>
            <w:r>
              <w:rPr>
                <w:sz w:val="24"/>
                <w:szCs w:val="24"/>
              </w:rPr>
              <w:t>Continued</w:t>
            </w:r>
            <w:r w:rsidR="00D01CFC">
              <w:rPr>
                <w:sz w:val="24"/>
                <w:szCs w:val="24"/>
              </w:rPr>
              <w:t xml:space="preserve"> surveillance </w:t>
            </w:r>
            <w:r>
              <w:rPr>
                <w:sz w:val="24"/>
                <w:szCs w:val="24"/>
              </w:rPr>
              <w:t xml:space="preserve">of schools </w:t>
            </w:r>
            <w:r w:rsidR="00D01CFC">
              <w:rPr>
                <w:sz w:val="24"/>
                <w:szCs w:val="24"/>
              </w:rPr>
              <w:t xml:space="preserve">– </w:t>
            </w:r>
            <w:r>
              <w:rPr>
                <w:sz w:val="24"/>
                <w:szCs w:val="24"/>
              </w:rPr>
              <w:t xml:space="preserve">Performance measures and </w:t>
            </w:r>
            <w:r w:rsidR="00D01CFC">
              <w:rPr>
                <w:sz w:val="24"/>
                <w:szCs w:val="24"/>
              </w:rPr>
              <w:t>Ofsted</w:t>
            </w:r>
          </w:p>
        </w:tc>
        <w:tc>
          <w:tcPr>
            <w:tcW w:w="5670" w:type="dxa"/>
          </w:tcPr>
          <w:p w14:paraId="6047A3B7" w14:textId="77777777" w:rsidR="00D01CFC" w:rsidRDefault="00B252F2" w:rsidP="00B226EF">
            <w:pPr>
              <w:rPr>
                <w:sz w:val="24"/>
                <w:szCs w:val="24"/>
              </w:rPr>
            </w:pPr>
            <w:r>
              <w:rPr>
                <w:sz w:val="24"/>
                <w:szCs w:val="24"/>
              </w:rPr>
              <w:t>1.2 Context p.12</w:t>
            </w:r>
          </w:p>
          <w:p w14:paraId="513CDF4B" w14:textId="77777777" w:rsidR="00B252F2" w:rsidRDefault="00B252F2" w:rsidP="00B226EF">
            <w:pPr>
              <w:rPr>
                <w:rFonts w:asciiTheme="minorHAnsi" w:hAnsiTheme="minorHAnsi" w:cstheme="minorHAnsi"/>
                <w:sz w:val="24"/>
                <w:szCs w:val="24"/>
              </w:rPr>
            </w:pPr>
            <w:r>
              <w:rPr>
                <w:sz w:val="24"/>
                <w:szCs w:val="24"/>
              </w:rPr>
              <w:t xml:space="preserve">4.4.3 </w:t>
            </w:r>
            <w:r>
              <w:rPr>
                <w:rFonts w:asciiTheme="minorHAnsi" w:hAnsiTheme="minorHAnsi" w:cstheme="minorHAnsi"/>
                <w:sz w:val="24"/>
                <w:szCs w:val="24"/>
              </w:rPr>
              <w:t>Choice and resistance p.123</w:t>
            </w:r>
          </w:p>
          <w:p w14:paraId="028F2BC8" w14:textId="144C6128" w:rsidR="007C5D60" w:rsidRDefault="00B252F2" w:rsidP="00B226EF">
            <w:pPr>
              <w:rPr>
                <w:sz w:val="24"/>
                <w:szCs w:val="24"/>
              </w:rPr>
            </w:pPr>
            <w:r>
              <w:rPr>
                <w:rFonts w:asciiTheme="minorHAnsi" w:hAnsiTheme="minorHAnsi" w:cstheme="minorHAnsi"/>
                <w:sz w:val="24"/>
                <w:szCs w:val="24"/>
              </w:rPr>
              <w:t xml:space="preserve">4.4.4 </w:t>
            </w:r>
            <w:r>
              <w:rPr>
                <w:sz w:val="24"/>
                <w:szCs w:val="24"/>
              </w:rPr>
              <w:t>Control and accountability p.125-127</w:t>
            </w:r>
          </w:p>
        </w:tc>
      </w:tr>
      <w:tr w:rsidR="00D01CFC" w:rsidRPr="00596137" w14:paraId="61BEFDE3" w14:textId="77777777" w:rsidTr="001E54EB">
        <w:tc>
          <w:tcPr>
            <w:tcW w:w="5070" w:type="dxa"/>
            <w:vMerge/>
          </w:tcPr>
          <w:p w14:paraId="1728A136" w14:textId="37609752" w:rsidR="00D01CFC" w:rsidRPr="00596137" w:rsidRDefault="00D01CFC" w:rsidP="00B226EF">
            <w:pPr>
              <w:rPr>
                <w:sz w:val="24"/>
                <w:szCs w:val="24"/>
              </w:rPr>
            </w:pPr>
          </w:p>
        </w:tc>
        <w:tc>
          <w:tcPr>
            <w:tcW w:w="3402" w:type="dxa"/>
          </w:tcPr>
          <w:p w14:paraId="0CBD6206" w14:textId="07FE3C11" w:rsidR="00D01CFC" w:rsidRPr="00596137" w:rsidRDefault="00D01CFC" w:rsidP="00B226EF">
            <w:pPr>
              <w:rPr>
                <w:sz w:val="24"/>
                <w:szCs w:val="24"/>
              </w:rPr>
            </w:pPr>
            <w:r>
              <w:rPr>
                <w:sz w:val="24"/>
                <w:szCs w:val="24"/>
              </w:rPr>
              <w:t xml:space="preserve">Focus on increasing </w:t>
            </w:r>
            <w:r w:rsidR="00164CB7">
              <w:rPr>
                <w:sz w:val="24"/>
                <w:szCs w:val="24"/>
              </w:rPr>
              <w:t xml:space="preserve">future </w:t>
            </w:r>
            <w:r w:rsidR="00164CB7">
              <w:rPr>
                <w:sz w:val="24"/>
                <w:szCs w:val="24"/>
              </w:rPr>
              <w:lastRenderedPageBreak/>
              <w:t>progression</w:t>
            </w:r>
            <w:r>
              <w:rPr>
                <w:sz w:val="24"/>
                <w:szCs w:val="24"/>
              </w:rPr>
              <w:t xml:space="preserve"> of disadvantaged students</w:t>
            </w:r>
            <w:r w:rsidR="00164CB7">
              <w:rPr>
                <w:sz w:val="24"/>
                <w:szCs w:val="24"/>
              </w:rPr>
              <w:t xml:space="preserve"> though specified EBac subject choice</w:t>
            </w:r>
          </w:p>
        </w:tc>
        <w:tc>
          <w:tcPr>
            <w:tcW w:w="5670" w:type="dxa"/>
          </w:tcPr>
          <w:p w14:paraId="279DF2BF" w14:textId="6E2489C7" w:rsidR="007C5D60" w:rsidRDefault="007C5D60" w:rsidP="007C5D60">
            <w:pPr>
              <w:spacing w:line="240" w:lineRule="auto"/>
              <w:rPr>
                <w:rFonts w:asciiTheme="minorHAnsi" w:hAnsiTheme="minorHAnsi" w:cstheme="minorHAnsi"/>
                <w:sz w:val="24"/>
                <w:szCs w:val="24"/>
              </w:rPr>
            </w:pPr>
            <w:r>
              <w:rPr>
                <w:rFonts w:cs="Calibri"/>
                <w:sz w:val="24"/>
              </w:rPr>
              <w:lastRenderedPageBreak/>
              <w:t>2.2.2</w:t>
            </w:r>
            <w:r>
              <w:rPr>
                <w:rFonts w:asciiTheme="minorHAnsi" w:hAnsiTheme="minorHAnsi" w:cstheme="minorHAnsi"/>
                <w:sz w:val="24"/>
                <w:szCs w:val="24"/>
              </w:rPr>
              <w:t xml:space="preserve"> 1988 NC and links to EBac p.30</w:t>
            </w:r>
          </w:p>
          <w:p w14:paraId="586625A5" w14:textId="2D5FB3AE" w:rsidR="00D01CFC" w:rsidRPr="007C5D60" w:rsidRDefault="007C5D60" w:rsidP="007C5D60">
            <w:pPr>
              <w:spacing w:line="240" w:lineRule="auto"/>
              <w:rPr>
                <w:rFonts w:asciiTheme="minorHAnsi" w:hAnsiTheme="minorHAnsi" w:cstheme="minorHAnsi"/>
                <w:sz w:val="24"/>
                <w:szCs w:val="24"/>
              </w:rPr>
            </w:pPr>
            <w:r>
              <w:rPr>
                <w:rFonts w:asciiTheme="minorHAnsi" w:hAnsiTheme="minorHAnsi" w:cstheme="minorHAnsi"/>
                <w:sz w:val="24"/>
                <w:szCs w:val="24"/>
              </w:rPr>
              <w:lastRenderedPageBreak/>
              <w:t>2.5 Curriculum knowledge 9.40-41</w:t>
            </w:r>
          </w:p>
        </w:tc>
      </w:tr>
      <w:tr w:rsidR="00D01CFC" w:rsidRPr="00596137" w14:paraId="236927FB" w14:textId="77777777" w:rsidTr="001E54EB">
        <w:tc>
          <w:tcPr>
            <w:tcW w:w="5070" w:type="dxa"/>
          </w:tcPr>
          <w:p w14:paraId="771ECA39" w14:textId="77777777" w:rsidR="00D01CFC" w:rsidRPr="00596137" w:rsidRDefault="00D01CFC" w:rsidP="00B226EF">
            <w:pPr>
              <w:rPr>
                <w:sz w:val="24"/>
                <w:szCs w:val="24"/>
              </w:rPr>
            </w:pPr>
          </w:p>
        </w:tc>
        <w:tc>
          <w:tcPr>
            <w:tcW w:w="3402" w:type="dxa"/>
          </w:tcPr>
          <w:p w14:paraId="7340E7F6" w14:textId="3F530A27" w:rsidR="00D01CFC" w:rsidRDefault="00164CB7" w:rsidP="00B226EF">
            <w:pPr>
              <w:rPr>
                <w:sz w:val="24"/>
                <w:szCs w:val="24"/>
              </w:rPr>
            </w:pPr>
            <w:r>
              <w:rPr>
                <w:b/>
                <w:sz w:val="24"/>
                <w:szCs w:val="24"/>
              </w:rPr>
              <w:t>EBac p</w:t>
            </w:r>
            <w:r w:rsidR="00D01CFC">
              <w:rPr>
                <w:b/>
                <w:sz w:val="24"/>
                <w:szCs w:val="24"/>
              </w:rPr>
              <w:t xml:space="preserve">olicy </w:t>
            </w:r>
            <w:r>
              <w:rPr>
                <w:b/>
                <w:sz w:val="24"/>
                <w:szCs w:val="24"/>
              </w:rPr>
              <w:t xml:space="preserve">solution </w:t>
            </w:r>
            <w:r w:rsidR="00D01CFC">
              <w:rPr>
                <w:b/>
                <w:sz w:val="24"/>
                <w:szCs w:val="24"/>
              </w:rPr>
              <w:t>effects unintended</w:t>
            </w:r>
          </w:p>
        </w:tc>
        <w:tc>
          <w:tcPr>
            <w:tcW w:w="5670" w:type="dxa"/>
          </w:tcPr>
          <w:p w14:paraId="1C0FC0EE" w14:textId="4D5A21EA" w:rsidR="00D01CFC" w:rsidRDefault="00342A30" w:rsidP="00B226EF">
            <w:pPr>
              <w:rPr>
                <w:sz w:val="24"/>
                <w:szCs w:val="24"/>
              </w:rPr>
            </w:pPr>
            <w:r>
              <w:rPr>
                <w:b/>
                <w:sz w:val="24"/>
                <w:szCs w:val="24"/>
              </w:rPr>
              <w:t>Source and page</w:t>
            </w:r>
          </w:p>
        </w:tc>
      </w:tr>
      <w:tr w:rsidR="00D01CFC" w:rsidRPr="00596137" w14:paraId="02620B3C" w14:textId="77777777" w:rsidTr="001E54EB">
        <w:tc>
          <w:tcPr>
            <w:tcW w:w="5070" w:type="dxa"/>
          </w:tcPr>
          <w:p w14:paraId="142F8088" w14:textId="77777777" w:rsidR="00D01CFC" w:rsidRPr="00596137" w:rsidRDefault="00D01CFC" w:rsidP="00B226EF">
            <w:pPr>
              <w:rPr>
                <w:sz w:val="24"/>
                <w:szCs w:val="24"/>
              </w:rPr>
            </w:pPr>
          </w:p>
        </w:tc>
        <w:tc>
          <w:tcPr>
            <w:tcW w:w="3402" w:type="dxa"/>
          </w:tcPr>
          <w:p w14:paraId="7D62ABA8" w14:textId="77777777" w:rsidR="00D01CFC" w:rsidRDefault="00D01CFC" w:rsidP="00B226EF">
            <w:pPr>
              <w:rPr>
                <w:sz w:val="24"/>
                <w:szCs w:val="24"/>
              </w:rPr>
            </w:pPr>
            <w:r>
              <w:rPr>
                <w:sz w:val="24"/>
                <w:szCs w:val="24"/>
              </w:rPr>
              <w:t>Students deemed ‘not capable’ of gaining a C grade directed away from EBac subjects due to pressure of Performance tables and accountability measures.</w:t>
            </w:r>
          </w:p>
        </w:tc>
        <w:tc>
          <w:tcPr>
            <w:tcW w:w="5670" w:type="dxa"/>
          </w:tcPr>
          <w:p w14:paraId="39E9DC17" w14:textId="77777777" w:rsidR="00D01CFC" w:rsidRDefault="00627E6B" w:rsidP="00B226EF">
            <w:pPr>
              <w:rPr>
                <w:sz w:val="24"/>
                <w:szCs w:val="24"/>
              </w:rPr>
            </w:pPr>
            <w:r>
              <w:rPr>
                <w:sz w:val="24"/>
                <w:szCs w:val="24"/>
              </w:rPr>
              <w:t>4.4.3 Choice and resistance p.122-125</w:t>
            </w:r>
          </w:p>
          <w:p w14:paraId="67B80F30" w14:textId="77777777" w:rsidR="00627E6B" w:rsidRDefault="00627E6B" w:rsidP="00B226EF">
            <w:pPr>
              <w:rPr>
                <w:sz w:val="24"/>
                <w:szCs w:val="24"/>
              </w:rPr>
            </w:pPr>
            <w:r>
              <w:rPr>
                <w:sz w:val="24"/>
                <w:szCs w:val="24"/>
              </w:rPr>
              <w:t>4.3.5 Redfield p.114-115</w:t>
            </w:r>
          </w:p>
          <w:p w14:paraId="4D604C75" w14:textId="2435BBF7" w:rsidR="00627E6B" w:rsidRDefault="00627E6B" w:rsidP="00B226EF">
            <w:pPr>
              <w:rPr>
                <w:sz w:val="24"/>
                <w:szCs w:val="24"/>
              </w:rPr>
            </w:pPr>
            <w:r>
              <w:rPr>
                <w:sz w:val="24"/>
                <w:szCs w:val="24"/>
              </w:rPr>
              <w:t>6.2.3 Does the EBac have implications for educational equality? P.143-144</w:t>
            </w:r>
          </w:p>
        </w:tc>
      </w:tr>
      <w:tr w:rsidR="00D01CFC" w:rsidRPr="00596137" w14:paraId="2E2D2C55" w14:textId="77777777" w:rsidTr="001E54EB">
        <w:tc>
          <w:tcPr>
            <w:tcW w:w="5070" w:type="dxa"/>
          </w:tcPr>
          <w:p w14:paraId="0655B166" w14:textId="1B2B84F3" w:rsidR="00D01CFC" w:rsidRPr="00596137" w:rsidRDefault="00D01CFC" w:rsidP="00B226EF">
            <w:pPr>
              <w:rPr>
                <w:sz w:val="24"/>
                <w:szCs w:val="24"/>
              </w:rPr>
            </w:pPr>
          </w:p>
        </w:tc>
        <w:tc>
          <w:tcPr>
            <w:tcW w:w="3402" w:type="dxa"/>
          </w:tcPr>
          <w:p w14:paraId="20835D2B" w14:textId="77777777" w:rsidR="00D01CFC" w:rsidRDefault="00D01CFC" w:rsidP="00B226EF">
            <w:pPr>
              <w:rPr>
                <w:sz w:val="24"/>
                <w:szCs w:val="24"/>
              </w:rPr>
            </w:pPr>
            <w:r>
              <w:rPr>
                <w:sz w:val="24"/>
                <w:szCs w:val="24"/>
              </w:rPr>
              <w:t>Ethnic minority students not entered for EBac subjects in same proportions as white students</w:t>
            </w:r>
          </w:p>
        </w:tc>
        <w:tc>
          <w:tcPr>
            <w:tcW w:w="5670" w:type="dxa"/>
          </w:tcPr>
          <w:p w14:paraId="7E5C4AA6" w14:textId="4AF78B67" w:rsidR="00D01CFC" w:rsidRDefault="00627E6B" w:rsidP="00B226EF">
            <w:pPr>
              <w:rPr>
                <w:sz w:val="24"/>
                <w:szCs w:val="24"/>
              </w:rPr>
            </w:pPr>
            <w:r>
              <w:rPr>
                <w:sz w:val="24"/>
                <w:szCs w:val="24"/>
              </w:rPr>
              <w:t>1.6.2 Anti-democratic political tool p.21</w:t>
            </w:r>
          </w:p>
          <w:p w14:paraId="6A99ED30" w14:textId="302A0BC4" w:rsidR="00627E6B" w:rsidRDefault="00627E6B" w:rsidP="00B226EF">
            <w:pPr>
              <w:rPr>
                <w:sz w:val="24"/>
                <w:szCs w:val="24"/>
              </w:rPr>
            </w:pPr>
            <w:r>
              <w:rPr>
                <w:sz w:val="24"/>
                <w:szCs w:val="24"/>
              </w:rPr>
              <w:t>2.2.4 Ethnicity p.31-32</w:t>
            </w:r>
          </w:p>
        </w:tc>
      </w:tr>
      <w:tr w:rsidR="00D01CFC" w:rsidRPr="00596137" w14:paraId="6543D2CE" w14:textId="77777777" w:rsidTr="001E54EB">
        <w:tc>
          <w:tcPr>
            <w:tcW w:w="5070" w:type="dxa"/>
          </w:tcPr>
          <w:p w14:paraId="5D4E32DC" w14:textId="35A8C61B" w:rsidR="00D01CFC" w:rsidRPr="00596137" w:rsidRDefault="00D01CFC" w:rsidP="00B226EF">
            <w:pPr>
              <w:rPr>
                <w:sz w:val="24"/>
                <w:szCs w:val="24"/>
              </w:rPr>
            </w:pPr>
          </w:p>
        </w:tc>
        <w:tc>
          <w:tcPr>
            <w:tcW w:w="3402" w:type="dxa"/>
          </w:tcPr>
          <w:p w14:paraId="1C02153D" w14:textId="77777777" w:rsidR="00D01CFC" w:rsidRDefault="00D01CFC" w:rsidP="00B226EF">
            <w:pPr>
              <w:rPr>
                <w:sz w:val="24"/>
                <w:szCs w:val="24"/>
              </w:rPr>
            </w:pPr>
            <w:r>
              <w:rPr>
                <w:sz w:val="24"/>
                <w:szCs w:val="24"/>
              </w:rPr>
              <w:t>Teacher redundancy for non-EBac subjects</w:t>
            </w:r>
          </w:p>
        </w:tc>
        <w:tc>
          <w:tcPr>
            <w:tcW w:w="5670" w:type="dxa"/>
          </w:tcPr>
          <w:p w14:paraId="15D2BE9C" w14:textId="52424626" w:rsidR="001E1255" w:rsidRDefault="001E1255" w:rsidP="001E1255">
            <w:pPr>
              <w:rPr>
                <w:sz w:val="24"/>
                <w:szCs w:val="24"/>
              </w:rPr>
            </w:pPr>
            <w:r>
              <w:rPr>
                <w:sz w:val="24"/>
                <w:szCs w:val="24"/>
              </w:rPr>
              <w:t>4.3.3 Yellowfield p.110</w:t>
            </w:r>
          </w:p>
          <w:p w14:paraId="50E72563" w14:textId="77777777" w:rsidR="001E1255" w:rsidRDefault="001E1255" w:rsidP="001E1255">
            <w:pPr>
              <w:rPr>
                <w:sz w:val="24"/>
                <w:szCs w:val="24"/>
              </w:rPr>
            </w:pPr>
            <w:r>
              <w:rPr>
                <w:sz w:val="24"/>
                <w:szCs w:val="24"/>
              </w:rPr>
              <w:t>4.3.4 Purplefield p.112</w:t>
            </w:r>
          </w:p>
          <w:p w14:paraId="4516EBFF" w14:textId="77777777" w:rsidR="00D01CFC" w:rsidRDefault="001E1255" w:rsidP="001E1255">
            <w:pPr>
              <w:rPr>
                <w:sz w:val="24"/>
                <w:szCs w:val="24"/>
              </w:rPr>
            </w:pPr>
            <w:r>
              <w:rPr>
                <w:sz w:val="24"/>
                <w:szCs w:val="24"/>
              </w:rPr>
              <w:t>4.3.5 Redfield p.114</w:t>
            </w:r>
          </w:p>
          <w:p w14:paraId="16F58D8B" w14:textId="6C7753A2" w:rsidR="001E1255" w:rsidRDefault="001E1255" w:rsidP="001E1255">
            <w:pPr>
              <w:rPr>
                <w:sz w:val="24"/>
                <w:szCs w:val="24"/>
              </w:rPr>
            </w:pPr>
            <w:r>
              <w:rPr>
                <w:sz w:val="24"/>
                <w:szCs w:val="24"/>
              </w:rPr>
              <w:t>4.4.2 Differentiation and hierarchy p.121</w:t>
            </w:r>
          </w:p>
        </w:tc>
      </w:tr>
      <w:tr w:rsidR="00D01CFC" w:rsidRPr="00596137" w14:paraId="2C7422AD" w14:textId="77777777" w:rsidTr="001E54EB">
        <w:tc>
          <w:tcPr>
            <w:tcW w:w="5070" w:type="dxa"/>
          </w:tcPr>
          <w:p w14:paraId="75FB0359" w14:textId="77777777" w:rsidR="00D01CFC" w:rsidRPr="00596137" w:rsidRDefault="00D01CFC" w:rsidP="00B226EF">
            <w:pPr>
              <w:rPr>
                <w:sz w:val="24"/>
                <w:szCs w:val="24"/>
              </w:rPr>
            </w:pPr>
          </w:p>
        </w:tc>
        <w:tc>
          <w:tcPr>
            <w:tcW w:w="3402" w:type="dxa"/>
          </w:tcPr>
          <w:p w14:paraId="39BC575B" w14:textId="77777777" w:rsidR="00D01CFC" w:rsidRDefault="00D01CFC" w:rsidP="00B226EF">
            <w:pPr>
              <w:rPr>
                <w:sz w:val="24"/>
                <w:szCs w:val="24"/>
              </w:rPr>
            </w:pPr>
            <w:r>
              <w:rPr>
                <w:sz w:val="24"/>
                <w:szCs w:val="24"/>
              </w:rPr>
              <w:t xml:space="preserve">Increased divide between schools with academic </w:t>
            </w:r>
            <w:r>
              <w:rPr>
                <w:sz w:val="24"/>
                <w:szCs w:val="24"/>
              </w:rPr>
              <w:lastRenderedPageBreak/>
              <w:t>curriculum (selective/ Grammar schools) and those with non-selective or high disadvantaged intake</w:t>
            </w:r>
          </w:p>
        </w:tc>
        <w:tc>
          <w:tcPr>
            <w:tcW w:w="5670" w:type="dxa"/>
          </w:tcPr>
          <w:p w14:paraId="64BF3742" w14:textId="37942F06" w:rsidR="001D673B" w:rsidRDefault="001E1255" w:rsidP="00B226EF">
            <w:pPr>
              <w:rPr>
                <w:sz w:val="24"/>
                <w:szCs w:val="24"/>
              </w:rPr>
            </w:pPr>
            <w:r>
              <w:rPr>
                <w:sz w:val="24"/>
                <w:szCs w:val="24"/>
              </w:rPr>
              <w:lastRenderedPageBreak/>
              <w:t>4.4.2 Differentiation and hierarchy p.120</w:t>
            </w:r>
          </w:p>
          <w:p w14:paraId="097018CD" w14:textId="77777777" w:rsidR="001D673B" w:rsidRDefault="001D673B" w:rsidP="00B226EF">
            <w:pPr>
              <w:rPr>
                <w:sz w:val="24"/>
                <w:szCs w:val="24"/>
              </w:rPr>
            </w:pPr>
          </w:p>
        </w:tc>
      </w:tr>
    </w:tbl>
    <w:p w14:paraId="4E317400" w14:textId="77777777" w:rsidR="001F5668" w:rsidRDefault="001F5668" w:rsidP="00857506"/>
    <w:p w14:paraId="41385491" w14:textId="77777777" w:rsidR="003C227D" w:rsidRDefault="003C227D" w:rsidP="00857506"/>
    <w:p w14:paraId="29ADB48F" w14:textId="3B57869C" w:rsidR="00D01CFC" w:rsidRPr="00531995" w:rsidRDefault="00D14D4B" w:rsidP="00531995">
      <w:pPr>
        <w:pStyle w:val="Caption"/>
        <w:rPr>
          <w:b/>
          <w:i w:val="0"/>
          <w:iCs w:val="0"/>
          <w:color w:val="auto"/>
          <w:sz w:val="24"/>
          <w:szCs w:val="24"/>
        </w:rPr>
      </w:pPr>
      <w:bookmarkStart w:id="168" w:name="_Toc450170434"/>
      <w:r w:rsidRPr="00531995">
        <w:rPr>
          <w:b/>
          <w:color w:val="000000" w:themeColor="text1"/>
          <w:sz w:val="24"/>
          <w:szCs w:val="24"/>
        </w:rPr>
        <w:t xml:space="preserve">Table </w:t>
      </w:r>
      <w:r w:rsidRPr="00531995">
        <w:rPr>
          <w:b/>
          <w:color w:val="000000" w:themeColor="text1"/>
          <w:sz w:val="24"/>
          <w:szCs w:val="24"/>
        </w:rPr>
        <w:fldChar w:fldCharType="begin"/>
      </w:r>
      <w:r w:rsidRPr="00531995">
        <w:rPr>
          <w:b/>
          <w:color w:val="000000" w:themeColor="text1"/>
          <w:sz w:val="24"/>
          <w:szCs w:val="24"/>
        </w:rPr>
        <w:instrText xml:space="preserve"> SEQ Table \* ARABIC </w:instrText>
      </w:r>
      <w:r w:rsidRPr="00531995">
        <w:rPr>
          <w:b/>
          <w:color w:val="000000" w:themeColor="text1"/>
          <w:sz w:val="24"/>
          <w:szCs w:val="24"/>
        </w:rPr>
        <w:fldChar w:fldCharType="separate"/>
      </w:r>
      <w:r w:rsidR="00ED3AF0">
        <w:rPr>
          <w:b/>
          <w:noProof/>
          <w:color w:val="000000" w:themeColor="text1"/>
          <w:sz w:val="24"/>
          <w:szCs w:val="24"/>
        </w:rPr>
        <w:t>6</w:t>
      </w:r>
      <w:r w:rsidRPr="00531995">
        <w:rPr>
          <w:b/>
          <w:color w:val="000000" w:themeColor="text1"/>
          <w:sz w:val="24"/>
          <w:szCs w:val="24"/>
        </w:rPr>
        <w:fldChar w:fldCharType="end"/>
      </w:r>
      <w:r w:rsidRPr="00531995">
        <w:rPr>
          <w:b/>
          <w:color w:val="000000" w:themeColor="text1"/>
          <w:sz w:val="24"/>
          <w:szCs w:val="24"/>
        </w:rPr>
        <w:t xml:space="preserve"> - Scheurich's Arena 4</w:t>
      </w:r>
      <w:bookmarkEnd w:id="168"/>
    </w:p>
    <w:tbl>
      <w:tblPr>
        <w:tblStyle w:val="TableGrid"/>
        <w:tblW w:w="0" w:type="auto"/>
        <w:tblLook w:val="04A0" w:firstRow="1" w:lastRow="0" w:firstColumn="1" w:lastColumn="0" w:noHBand="0" w:noVBand="1"/>
      </w:tblPr>
      <w:tblGrid>
        <w:gridCol w:w="5070"/>
        <w:gridCol w:w="3402"/>
        <w:gridCol w:w="5670"/>
      </w:tblGrid>
      <w:tr w:rsidR="00D01CFC" w14:paraId="0B1DE64C" w14:textId="77777777" w:rsidTr="001E54EB">
        <w:tc>
          <w:tcPr>
            <w:tcW w:w="5070" w:type="dxa"/>
          </w:tcPr>
          <w:p w14:paraId="69E0EB54" w14:textId="77777777" w:rsidR="00D01CFC" w:rsidRPr="004D62B2" w:rsidRDefault="00D01CFC" w:rsidP="00B226EF">
            <w:pPr>
              <w:rPr>
                <w:b/>
                <w:sz w:val="24"/>
                <w:szCs w:val="24"/>
              </w:rPr>
            </w:pPr>
            <w:r w:rsidRPr="004D62B2">
              <w:rPr>
                <w:b/>
                <w:sz w:val="24"/>
                <w:szCs w:val="24"/>
              </w:rPr>
              <w:t>Arena 4</w:t>
            </w:r>
          </w:p>
        </w:tc>
        <w:tc>
          <w:tcPr>
            <w:tcW w:w="3402" w:type="dxa"/>
          </w:tcPr>
          <w:p w14:paraId="74B0D904" w14:textId="77777777" w:rsidR="00D01CFC" w:rsidRPr="004D62B2" w:rsidRDefault="00D01CFC" w:rsidP="00B226EF">
            <w:pPr>
              <w:rPr>
                <w:b/>
                <w:sz w:val="24"/>
                <w:szCs w:val="24"/>
              </w:rPr>
            </w:pPr>
            <w:r w:rsidRPr="004D62B2">
              <w:rPr>
                <w:b/>
                <w:sz w:val="24"/>
                <w:szCs w:val="24"/>
              </w:rPr>
              <w:t xml:space="preserve">Function of </w:t>
            </w:r>
            <w:r>
              <w:rPr>
                <w:b/>
                <w:sz w:val="24"/>
                <w:szCs w:val="24"/>
              </w:rPr>
              <w:t xml:space="preserve">critical </w:t>
            </w:r>
            <w:r w:rsidRPr="004D62B2">
              <w:rPr>
                <w:b/>
                <w:sz w:val="24"/>
                <w:szCs w:val="24"/>
              </w:rPr>
              <w:t xml:space="preserve">policy </w:t>
            </w:r>
            <w:r>
              <w:rPr>
                <w:b/>
                <w:sz w:val="24"/>
                <w:szCs w:val="24"/>
              </w:rPr>
              <w:t>analysis</w:t>
            </w:r>
          </w:p>
        </w:tc>
        <w:tc>
          <w:tcPr>
            <w:tcW w:w="5670" w:type="dxa"/>
          </w:tcPr>
          <w:p w14:paraId="3F82770C" w14:textId="77777777" w:rsidR="00D01CFC" w:rsidRPr="004D62B2" w:rsidRDefault="00D01CFC" w:rsidP="00B226EF">
            <w:pPr>
              <w:rPr>
                <w:b/>
                <w:sz w:val="24"/>
                <w:szCs w:val="24"/>
              </w:rPr>
            </w:pPr>
            <w:r>
              <w:rPr>
                <w:b/>
                <w:sz w:val="24"/>
                <w:szCs w:val="24"/>
              </w:rPr>
              <w:t>Source and page</w:t>
            </w:r>
          </w:p>
        </w:tc>
      </w:tr>
      <w:tr w:rsidR="00D01CFC" w14:paraId="03EDE36E" w14:textId="77777777" w:rsidTr="001E54EB">
        <w:tc>
          <w:tcPr>
            <w:tcW w:w="5070" w:type="dxa"/>
            <w:vMerge w:val="restart"/>
          </w:tcPr>
          <w:p w14:paraId="1518AA68" w14:textId="1E253439" w:rsidR="00D01CFC" w:rsidRPr="004D62B2" w:rsidRDefault="00D01CFC" w:rsidP="009910EE">
            <w:pPr>
              <w:rPr>
                <w:sz w:val="24"/>
                <w:szCs w:val="24"/>
              </w:rPr>
            </w:pPr>
            <w:r>
              <w:rPr>
                <w:sz w:val="24"/>
                <w:szCs w:val="24"/>
              </w:rPr>
              <w:t xml:space="preserve">Critical policy analysis of EBac </w:t>
            </w:r>
          </w:p>
        </w:tc>
        <w:tc>
          <w:tcPr>
            <w:tcW w:w="3402" w:type="dxa"/>
          </w:tcPr>
          <w:p w14:paraId="6E4E257B" w14:textId="77777777" w:rsidR="00D01CFC" w:rsidRPr="004D62B2" w:rsidRDefault="00D01CFC" w:rsidP="00B226EF">
            <w:pPr>
              <w:rPr>
                <w:sz w:val="24"/>
                <w:szCs w:val="24"/>
              </w:rPr>
            </w:pPr>
            <w:r>
              <w:rPr>
                <w:sz w:val="24"/>
                <w:szCs w:val="24"/>
              </w:rPr>
              <w:t>Research premises of initial policy problem and stated solutions</w:t>
            </w:r>
          </w:p>
        </w:tc>
        <w:tc>
          <w:tcPr>
            <w:tcW w:w="5670" w:type="dxa"/>
          </w:tcPr>
          <w:p w14:paraId="0240EAA5" w14:textId="77777777" w:rsidR="00D01CFC" w:rsidRDefault="00104E2B" w:rsidP="00B226EF">
            <w:pPr>
              <w:rPr>
                <w:sz w:val="24"/>
                <w:szCs w:val="24"/>
              </w:rPr>
            </w:pPr>
            <w:r>
              <w:rPr>
                <w:sz w:val="24"/>
                <w:szCs w:val="24"/>
              </w:rPr>
              <w:t>1.3 Focus of study p.14</w:t>
            </w:r>
          </w:p>
          <w:p w14:paraId="4700C762" w14:textId="765DECFC" w:rsidR="00104E2B" w:rsidRDefault="00104E2B" w:rsidP="00B226EF">
            <w:pPr>
              <w:rPr>
                <w:sz w:val="24"/>
                <w:szCs w:val="24"/>
              </w:rPr>
            </w:pPr>
            <w:r>
              <w:rPr>
                <w:sz w:val="24"/>
                <w:szCs w:val="24"/>
              </w:rPr>
              <w:t>1.4 Research aims and questions p.14</w:t>
            </w:r>
          </w:p>
        </w:tc>
      </w:tr>
      <w:tr w:rsidR="00D01CFC" w14:paraId="124077C1" w14:textId="77777777" w:rsidTr="001E54EB">
        <w:tc>
          <w:tcPr>
            <w:tcW w:w="5070" w:type="dxa"/>
            <w:vMerge/>
          </w:tcPr>
          <w:p w14:paraId="583AAADB" w14:textId="77777777" w:rsidR="00D01CFC" w:rsidRPr="004D62B2" w:rsidRDefault="00D01CFC" w:rsidP="00B226EF">
            <w:pPr>
              <w:rPr>
                <w:sz w:val="24"/>
                <w:szCs w:val="24"/>
              </w:rPr>
            </w:pPr>
          </w:p>
        </w:tc>
        <w:tc>
          <w:tcPr>
            <w:tcW w:w="3402" w:type="dxa"/>
          </w:tcPr>
          <w:p w14:paraId="5DB980BA" w14:textId="77777777" w:rsidR="00D01CFC" w:rsidRDefault="00D01CFC" w:rsidP="00B226EF">
            <w:pPr>
              <w:rPr>
                <w:sz w:val="24"/>
                <w:szCs w:val="24"/>
              </w:rPr>
            </w:pPr>
            <w:r>
              <w:rPr>
                <w:sz w:val="24"/>
                <w:szCs w:val="24"/>
              </w:rPr>
              <w:t>Research implementation at school level</w:t>
            </w:r>
          </w:p>
        </w:tc>
        <w:tc>
          <w:tcPr>
            <w:tcW w:w="5670" w:type="dxa"/>
          </w:tcPr>
          <w:p w14:paraId="0D762666" w14:textId="3DC5772D" w:rsidR="00D01CFC" w:rsidRDefault="00104E2B" w:rsidP="00B226EF">
            <w:pPr>
              <w:rPr>
                <w:sz w:val="24"/>
                <w:szCs w:val="24"/>
              </w:rPr>
            </w:pPr>
            <w:r>
              <w:rPr>
                <w:sz w:val="24"/>
                <w:szCs w:val="24"/>
              </w:rPr>
              <w:t xml:space="preserve">4.2 Policy </w:t>
            </w:r>
            <w:r w:rsidR="00FC1620">
              <w:rPr>
                <w:sz w:val="24"/>
                <w:szCs w:val="24"/>
              </w:rPr>
              <w:t>analysis</w:t>
            </w:r>
            <w:r>
              <w:rPr>
                <w:sz w:val="24"/>
                <w:szCs w:val="24"/>
              </w:rPr>
              <w:t xml:space="preserve"> p.90-106</w:t>
            </w:r>
          </w:p>
          <w:p w14:paraId="308C525D" w14:textId="399CA0DE" w:rsidR="00104E2B" w:rsidRDefault="00104E2B" w:rsidP="00B226EF">
            <w:pPr>
              <w:rPr>
                <w:sz w:val="24"/>
                <w:szCs w:val="24"/>
              </w:rPr>
            </w:pPr>
            <w:r>
              <w:rPr>
                <w:sz w:val="24"/>
                <w:szCs w:val="24"/>
              </w:rPr>
              <w:t>4.3 Semi-structured interviews p.106-113</w:t>
            </w:r>
          </w:p>
        </w:tc>
      </w:tr>
      <w:tr w:rsidR="00D01CFC" w14:paraId="24B93F0F" w14:textId="77777777" w:rsidTr="001E54EB">
        <w:tc>
          <w:tcPr>
            <w:tcW w:w="5070" w:type="dxa"/>
            <w:vMerge/>
          </w:tcPr>
          <w:p w14:paraId="4E3EE2E8" w14:textId="77777777" w:rsidR="00D01CFC" w:rsidRPr="004D62B2" w:rsidRDefault="00D01CFC" w:rsidP="00B226EF">
            <w:pPr>
              <w:rPr>
                <w:sz w:val="24"/>
                <w:szCs w:val="24"/>
              </w:rPr>
            </w:pPr>
          </w:p>
        </w:tc>
        <w:tc>
          <w:tcPr>
            <w:tcW w:w="3402" w:type="dxa"/>
          </w:tcPr>
          <w:p w14:paraId="5D93B62C" w14:textId="19E5F93C" w:rsidR="00D01CFC" w:rsidRDefault="00104E2B" w:rsidP="00B226EF">
            <w:pPr>
              <w:rPr>
                <w:sz w:val="24"/>
                <w:szCs w:val="24"/>
              </w:rPr>
            </w:pPr>
            <w:r>
              <w:rPr>
                <w:sz w:val="24"/>
                <w:szCs w:val="24"/>
              </w:rPr>
              <w:t>A</w:t>
            </w:r>
            <w:r w:rsidR="00D01CFC">
              <w:rPr>
                <w:sz w:val="24"/>
                <w:szCs w:val="24"/>
              </w:rPr>
              <w:t>reas of educational inequality</w:t>
            </w:r>
          </w:p>
        </w:tc>
        <w:tc>
          <w:tcPr>
            <w:tcW w:w="5670" w:type="dxa"/>
          </w:tcPr>
          <w:p w14:paraId="06C0924D" w14:textId="3FCB5718" w:rsidR="00D01CFC" w:rsidRDefault="00FC1620" w:rsidP="00B226EF">
            <w:pPr>
              <w:rPr>
                <w:sz w:val="24"/>
                <w:szCs w:val="24"/>
              </w:rPr>
            </w:pPr>
            <w:r>
              <w:rPr>
                <w:sz w:val="24"/>
                <w:szCs w:val="24"/>
              </w:rPr>
              <w:t>4.4 Thematic analysis p.115-131</w:t>
            </w:r>
          </w:p>
        </w:tc>
      </w:tr>
      <w:tr w:rsidR="00D01CFC" w14:paraId="30DB8F21" w14:textId="77777777" w:rsidTr="001E54EB">
        <w:tc>
          <w:tcPr>
            <w:tcW w:w="5070" w:type="dxa"/>
            <w:vMerge/>
          </w:tcPr>
          <w:p w14:paraId="71B4E6EE" w14:textId="77777777" w:rsidR="00D01CFC" w:rsidRPr="004D62B2" w:rsidRDefault="00D01CFC" w:rsidP="00B226EF">
            <w:pPr>
              <w:rPr>
                <w:sz w:val="24"/>
                <w:szCs w:val="24"/>
              </w:rPr>
            </w:pPr>
          </w:p>
        </w:tc>
        <w:tc>
          <w:tcPr>
            <w:tcW w:w="3402" w:type="dxa"/>
          </w:tcPr>
          <w:p w14:paraId="440C396A" w14:textId="11A21F06" w:rsidR="00D01CFC" w:rsidRPr="004D62B2" w:rsidRDefault="00104E2B" w:rsidP="00B226EF">
            <w:pPr>
              <w:rPr>
                <w:sz w:val="24"/>
                <w:szCs w:val="24"/>
              </w:rPr>
            </w:pPr>
            <w:r>
              <w:rPr>
                <w:sz w:val="24"/>
                <w:szCs w:val="24"/>
              </w:rPr>
              <w:t>Evaluation of</w:t>
            </w:r>
            <w:r w:rsidR="00D01CFC">
              <w:rPr>
                <w:sz w:val="24"/>
                <w:szCs w:val="24"/>
              </w:rPr>
              <w:t xml:space="preserve"> outcomes of policy</w:t>
            </w:r>
          </w:p>
        </w:tc>
        <w:tc>
          <w:tcPr>
            <w:tcW w:w="5670" w:type="dxa"/>
          </w:tcPr>
          <w:p w14:paraId="24036237" w14:textId="40938572" w:rsidR="00D01CFC" w:rsidRDefault="00FC1620" w:rsidP="00B226EF">
            <w:pPr>
              <w:rPr>
                <w:sz w:val="24"/>
                <w:szCs w:val="24"/>
              </w:rPr>
            </w:pPr>
            <w:r>
              <w:rPr>
                <w:sz w:val="24"/>
                <w:szCs w:val="24"/>
              </w:rPr>
              <w:t>6.2 Addressing the research questions p.140-143</w:t>
            </w:r>
          </w:p>
        </w:tc>
      </w:tr>
      <w:tr w:rsidR="00D01CFC" w14:paraId="3E9C350A" w14:textId="77777777" w:rsidTr="001E54EB">
        <w:tc>
          <w:tcPr>
            <w:tcW w:w="5070" w:type="dxa"/>
            <w:vMerge/>
          </w:tcPr>
          <w:p w14:paraId="720EB2D6" w14:textId="77777777" w:rsidR="00D01CFC" w:rsidRPr="004D62B2" w:rsidRDefault="00D01CFC" w:rsidP="00B226EF">
            <w:pPr>
              <w:rPr>
                <w:sz w:val="24"/>
                <w:szCs w:val="24"/>
              </w:rPr>
            </w:pPr>
          </w:p>
        </w:tc>
        <w:tc>
          <w:tcPr>
            <w:tcW w:w="3402" w:type="dxa"/>
          </w:tcPr>
          <w:p w14:paraId="38EFB161" w14:textId="138CE2F4" w:rsidR="00D01CFC" w:rsidRPr="004D62B2" w:rsidRDefault="00D01CFC" w:rsidP="00B226EF">
            <w:pPr>
              <w:rPr>
                <w:sz w:val="24"/>
                <w:szCs w:val="24"/>
              </w:rPr>
            </w:pPr>
            <w:r>
              <w:rPr>
                <w:sz w:val="24"/>
                <w:szCs w:val="24"/>
              </w:rPr>
              <w:t>Suggest</w:t>
            </w:r>
            <w:r w:rsidR="00104E2B">
              <w:rPr>
                <w:sz w:val="24"/>
                <w:szCs w:val="24"/>
              </w:rPr>
              <w:t>ed</w:t>
            </w:r>
            <w:r>
              <w:rPr>
                <w:sz w:val="24"/>
                <w:szCs w:val="24"/>
              </w:rPr>
              <w:t xml:space="preserve"> amendments to EBac policy for more socially just outcomes</w:t>
            </w:r>
          </w:p>
        </w:tc>
        <w:tc>
          <w:tcPr>
            <w:tcW w:w="5670" w:type="dxa"/>
          </w:tcPr>
          <w:p w14:paraId="5E74B6F8" w14:textId="11629057" w:rsidR="00D01CFC" w:rsidRDefault="00FC1620" w:rsidP="00B226EF">
            <w:pPr>
              <w:rPr>
                <w:sz w:val="24"/>
                <w:szCs w:val="24"/>
              </w:rPr>
            </w:pPr>
            <w:r>
              <w:rPr>
                <w:sz w:val="24"/>
                <w:szCs w:val="24"/>
              </w:rPr>
              <w:t>6.3 Recommendations for policy and practice p.144-146</w:t>
            </w:r>
          </w:p>
        </w:tc>
      </w:tr>
    </w:tbl>
    <w:p w14:paraId="666363DF" w14:textId="261419AC" w:rsidR="001E54EB" w:rsidRDefault="001E54EB" w:rsidP="001E54EB">
      <w:pPr>
        <w:spacing w:after="0" w:line="240" w:lineRule="auto"/>
        <w:sectPr w:rsidR="001E54EB" w:rsidSect="001E54EB">
          <w:pgSz w:w="16838" w:h="11906" w:orient="landscape"/>
          <w:pgMar w:top="1440" w:right="1440" w:bottom="1440" w:left="1440" w:header="709" w:footer="709" w:gutter="0"/>
          <w:cols w:space="708"/>
          <w:docGrid w:linePitch="360"/>
        </w:sectPr>
      </w:pPr>
    </w:p>
    <w:p w14:paraId="19924B22" w14:textId="27EA664D" w:rsidR="00D27BF7" w:rsidRPr="00667323" w:rsidRDefault="00D27BF7" w:rsidP="00531995">
      <w:pPr>
        <w:pStyle w:val="Heading1"/>
        <w:jc w:val="center"/>
      </w:pPr>
      <w:bookmarkStart w:id="169" w:name="_Toc452316428"/>
      <w:r w:rsidRPr="00667323">
        <w:lastRenderedPageBreak/>
        <w:t>References</w:t>
      </w:r>
      <w:bookmarkEnd w:id="169"/>
    </w:p>
    <w:p w14:paraId="1C590A4E" w14:textId="6DEE2B4F" w:rsidR="00D27BF7" w:rsidRDefault="00D27BF7" w:rsidP="00D27BF7">
      <w:pPr>
        <w:ind w:right="379"/>
        <w:rPr>
          <w:rFonts w:cs="Calibri"/>
          <w:sz w:val="24"/>
          <w:szCs w:val="24"/>
        </w:rPr>
      </w:pPr>
      <w:r>
        <w:rPr>
          <w:rFonts w:cs="Calibri"/>
          <w:sz w:val="24"/>
          <w:szCs w:val="24"/>
        </w:rPr>
        <w:t xml:space="preserve">Adams, J. (2013). The English Baccalaureate: A New Philistinism? </w:t>
      </w:r>
      <w:r w:rsidRPr="00347549">
        <w:rPr>
          <w:rFonts w:cs="Calibri"/>
          <w:i/>
          <w:sz w:val="24"/>
          <w:szCs w:val="24"/>
        </w:rPr>
        <w:t>International Journal of Art &amp; Design Education.</w:t>
      </w:r>
      <w:r w:rsidR="001A3AAD">
        <w:rPr>
          <w:rFonts w:cs="Calibri"/>
          <w:sz w:val="24"/>
          <w:szCs w:val="24"/>
        </w:rPr>
        <w:t xml:space="preserve"> 32 (1), </w:t>
      </w:r>
      <w:r>
        <w:rPr>
          <w:rFonts w:cs="Calibri"/>
          <w:sz w:val="24"/>
          <w:szCs w:val="24"/>
        </w:rPr>
        <w:t>2-5.</w:t>
      </w:r>
    </w:p>
    <w:p w14:paraId="1EED1998" w14:textId="594883AC" w:rsidR="00D27BF7" w:rsidRPr="00667323" w:rsidRDefault="00D27BF7" w:rsidP="00D27BF7">
      <w:pPr>
        <w:ind w:right="379"/>
        <w:rPr>
          <w:rFonts w:cs="Calibri"/>
          <w:i/>
          <w:sz w:val="24"/>
          <w:szCs w:val="24"/>
        </w:rPr>
      </w:pPr>
      <w:r>
        <w:rPr>
          <w:rFonts w:cs="Calibri"/>
          <w:sz w:val="24"/>
          <w:szCs w:val="24"/>
        </w:rPr>
        <w:t xml:space="preserve">Angus, L. (2012). Teaching within and against the circle of privilege: reforming teachers, reforming schools. </w:t>
      </w:r>
      <w:r w:rsidRPr="00147D31">
        <w:rPr>
          <w:rFonts w:cs="Calibri"/>
          <w:i/>
          <w:sz w:val="24"/>
          <w:szCs w:val="24"/>
        </w:rPr>
        <w:t>Journal of Education Policy.</w:t>
      </w:r>
      <w:r w:rsidR="001A3AAD">
        <w:rPr>
          <w:rFonts w:cs="Calibri"/>
          <w:sz w:val="24"/>
          <w:szCs w:val="24"/>
        </w:rPr>
        <w:t xml:space="preserve"> 27 (2), </w:t>
      </w:r>
      <w:r>
        <w:rPr>
          <w:rFonts w:cs="Calibri"/>
          <w:sz w:val="24"/>
          <w:szCs w:val="24"/>
        </w:rPr>
        <w:t>231-251</w:t>
      </w:r>
      <w:r w:rsidR="005A2FE4">
        <w:rPr>
          <w:rFonts w:cs="Calibri"/>
          <w:sz w:val="24"/>
          <w:szCs w:val="24"/>
        </w:rPr>
        <w:t>.</w:t>
      </w:r>
    </w:p>
    <w:p w14:paraId="08FBAC19" w14:textId="56F4F39A" w:rsidR="00D27BF7" w:rsidRDefault="00D27BF7" w:rsidP="00D27BF7">
      <w:pPr>
        <w:spacing w:line="360" w:lineRule="auto"/>
        <w:rPr>
          <w:sz w:val="24"/>
          <w:szCs w:val="24"/>
        </w:rPr>
      </w:pPr>
      <w:r w:rsidRPr="00C0071F">
        <w:rPr>
          <w:sz w:val="24"/>
          <w:szCs w:val="24"/>
        </w:rPr>
        <w:t xml:space="preserve">Apple, M.W. </w:t>
      </w:r>
      <w:r w:rsidR="00DB41A7">
        <w:rPr>
          <w:sz w:val="24"/>
          <w:szCs w:val="24"/>
        </w:rPr>
        <w:t>(E</w:t>
      </w:r>
      <w:r w:rsidR="001A3AAD">
        <w:rPr>
          <w:sz w:val="24"/>
          <w:szCs w:val="24"/>
        </w:rPr>
        <w:t xml:space="preserve">d) </w:t>
      </w:r>
      <w:r w:rsidRPr="00C0071F">
        <w:rPr>
          <w:sz w:val="24"/>
          <w:szCs w:val="24"/>
        </w:rPr>
        <w:t xml:space="preserve">(1982). </w:t>
      </w:r>
      <w:r w:rsidR="00DB4A8A">
        <w:rPr>
          <w:sz w:val="24"/>
          <w:szCs w:val="24"/>
        </w:rPr>
        <w:t xml:space="preserve"> </w:t>
      </w:r>
      <w:r w:rsidRPr="00C0071F">
        <w:rPr>
          <w:i/>
          <w:sz w:val="24"/>
          <w:szCs w:val="24"/>
        </w:rPr>
        <w:t>Cultural and Economic Reproduction in Education.</w:t>
      </w:r>
      <w:r w:rsidRPr="00C0071F">
        <w:rPr>
          <w:sz w:val="24"/>
          <w:szCs w:val="24"/>
        </w:rPr>
        <w:t xml:space="preserve"> London: Routledge and Kegan Paul Ltd.</w:t>
      </w:r>
      <w:r w:rsidR="005A2FE4">
        <w:rPr>
          <w:sz w:val="24"/>
          <w:szCs w:val="24"/>
        </w:rPr>
        <w:t xml:space="preserve"> </w:t>
      </w:r>
    </w:p>
    <w:p w14:paraId="3A05E052" w14:textId="7E4131B8" w:rsidR="00D27BF7" w:rsidRDefault="00D27BF7" w:rsidP="00D27BF7">
      <w:pPr>
        <w:spacing w:line="360" w:lineRule="auto"/>
        <w:rPr>
          <w:sz w:val="24"/>
          <w:szCs w:val="24"/>
        </w:rPr>
      </w:pPr>
      <w:r>
        <w:rPr>
          <w:sz w:val="24"/>
          <w:szCs w:val="24"/>
        </w:rPr>
        <w:t xml:space="preserve">Apple, M.W. (1990). </w:t>
      </w:r>
      <w:r w:rsidRPr="00B5093F">
        <w:rPr>
          <w:i/>
          <w:sz w:val="24"/>
          <w:szCs w:val="24"/>
        </w:rPr>
        <w:t>Ideology and Curriculum</w:t>
      </w:r>
      <w:r w:rsidR="0032663B">
        <w:rPr>
          <w:i/>
          <w:sz w:val="24"/>
          <w:szCs w:val="24"/>
        </w:rPr>
        <w:t>.</w:t>
      </w:r>
      <w:r w:rsidRPr="00B5093F">
        <w:rPr>
          <w:i/>
          <w:sz w:val="24"/>
          <w:szCs w:val="24"/>
        </w:rPr>
        <w:t xml:space="preserve"> </w:t>
      </w:r>
      <w:r w:rsidR="0032663B" w:rsidRPr="00A957EC">
        <w:rPr>
          <w:sz w:val="24"/>
          <w:szCs w:val="24"/>
        </w:rPr>
        <w:t xml:space="preserve">3rd </w:t>
      </w:r>
      <w:r w:rsidRPr="00A957EC">
        <w:rPr>
          <w:i/>
          <w:sz w:val="24"/>
        </w:rPr>
        <w:t>edition.</w:t>
      </w:r>
      <w:r>
        <w:rPr>
          <w:sz w:val="24"/>
          <w:szCs w:val="24"/>
        </w:rPr>
        <w:t xml:space="preserve"> London: Routledge, Chapman and Hall, Inc.</w:t>
      </w:r>
    </w:p>
    <w:p w14:paraId="0E7B8E32" w14:textId="77777777" w:rsidR="00D27BF7" w:rsidRPr="00DF5318" w:rsidRDefault="00D27BF7" w:rsidP="00D27BF7">
      <w:pPr>
        <w:spacing w:line="360" w:lineRule="auto"/>
        <w:rPr>
          <w:sz w:val="24"/>
          <w:szCs w:val="24"/>
        </w:rPr>
      </w:pPr>
      <w:r>
        <w:rPr>
          <w:sz w:val="24"/>
          <w:szCs w:val="24"/>
        </w:rPr>
        <w:t xml:space="preserve">Apple, M.W. (1996). </w:t>
      </w:r>
      <w:r w:rsidRPr="00DF5318">
        <w:rPr>
          <w:i/>
          <w:sz w:val="24"/>
          <w:szCs w:val="24"/>
        </w:rPr>
        <w:t>Cultural Politics and Education.</w:t>
      </w:r>
      <w:r>
        <w:rPr>
          <w:sz w:val="24"/>
          <w:szCs w:val="24"/>
        </w:rPr>
        <w:t xml:space="preserve"> Buckingham: Open University Press.</w:t>
      </w:r>
    </w:p>
    <w:p w14:paraId="350AD6ED" w14:textId="77777777" w:rsidR="00D27BF7" w:rsidRPr="00194BA9" w:rsidRDefault="00D27BF7" w:rsidP="00D27BF7">
      <w:pPr>
        <w:spacing w:line="360" w:lineRule="auto"/>
        <w:rPr>
          <w:sz w:val="24"/>
          <w:szCs w:val="24"/>
        </w:rPr>
      </w:pPr>
      <w:r w:rsidRPr="00194BA9">
        <w:rPr>
          <w:sz w:val="24"/>
          <w:szCs w:val="24"/>
        </w:rPr>
        <w:t xml:space="preserve">Ball, S.J. (1990). </w:t>
      </w:r>
      <w:r w:rsidRPr="00194BA9">
        <w:rPr>
          <w:i/>
          <w:sz w:val="24"/>
          <w:szCs w:val="24"/>
        </w:rPr>
        <w:t>Politics and Policy Making in Education: Explorations in Policy Sociology</w:t>
      </w:r>
      <w:r w:rsidRPr="00194BA9">
        <w:rPr>
          <w:sz w:val="24"/>
          <w:szCs w:val="24"/>
        </w:rPr>
        <w:t>. London: Routledge</w:t>
      </w:r>
      <w:r w:rsidR="005A2FE4">
        <w:rPr>
          <w:sz w:val="24"/>
          <w:szCs w:val="24"/>
        </w:rPr>
        <w:t>.</w:t>
      </w:r>
    </w:p>
    <w:p w14:paraId="7BE415DD" w14:textId="77777777" w:rsidR="00D27BF7" w:rsidRDefault="00D27BF7" w:rsidP="00D27BF7">
      <w:pPr>
        <w:spacing w:line="360" w:lineRule="auto"/>
        <w:rPr>
          <w:sz w:val="24"/>
          <w:szCs w:val="24"/>
        </w:rPr>
      </w:pPr>
      <w:r w:rsidRPr="00194BA9">
        <w:rPr>
          <w:sz w:val="24"/>
          <w:szCs w:val="24"/>
        </w:rPr>
        <w:t xml:space="preserve">Ball, S.J. (1994). </w:t>
      </w:r>
      <w:r w:rsidRPr="00194BA9">
        <w:rPr>
          <w:i/>
          <w:sz w:val="24"/>
          <w:szCs w:val="24"/>
        </w:rPr>
        <w:t>Education Reform: A critical and post-structural approach</w:t>
      </w:r>
      <w:r w:rsidRPr="00194BA9">
        <w:rPr>
          <w:sz w:val="24"/>
          <w:szCs w:val="24"/>
        </w:rPr>
        <w:t>. Suffolk: Open University Press.</w:t>
      </w:r>
    </w:p>
    <w:p w14:paraId="7827C255" w14:textId="77777777" w:rsidR="00D27BF7" w:rsidRPr="00194BA9" w:rsidRDefault="00D27BF7" w:rsidP="00D27BF7">
      <w:pPr>
        <w:spacing w:line="360" w:lineRule="auto"/>
        <w:rPr>
          <w:sz w:val="24"/>
          <w:szCs w:val="24"/>
        </w:rPr>
      </w:pPr>
      <w:r>
        <w:rPr>
          <w:sz w:val="24"/>
          <w:szCs w:val="24"/>
        </w:rPr>
        <w:t xml:space="preserve">Ball, S.J. (2006). </w:t>
      </w:r>
      <w:r w:rsidRPr="000536C7">
        <w:rPr>
          <w:i/>
          <w:sz w:val="24"/>
          <w:szCs w:val="24"/>
        </w:rPr>
        <w:t xml:space="preserve">Education Policy </w:t>
      </w:r>
      <w:r>
        <w:rPr>
          <w:i/>
          <w:sz w:val="24"/>
          <w:szCs w:val="24"/>
        </w:rPr>
        <w:t>and Social Class: The selected works of Stephen J. Ball.</w:t>
      </w:r>
      <w:r>
        <w:rPr>
          <w:sz w:val="24"/>
          <w:szCs w:val="24"/>
        </w:rPr>
        <w:t xml:space="preserve"> Abingdon: Routledge.</w:t>
      </w:r>
    </w:p>
    <w:p w14:paraId="28572B3F" w14:textId="4E51113F" w:rsidR="00D27BF7" w:rsidRDefault="00D27BF7" w:rsidP="00D27BF7">
      <w:pPr>
        <w:spacing w:line="360" w:lineRule="auto"/>
        <w:rPr>
          <w:sz w:val="24"/>
          <w:szCs w:val="24"/>
        </w:rPr>
      </w:pPr>
      <w:r w:rsidRPr="00194BA9">
        <w:rPr>
          <w:sz w:val="24"/>
          <w:szCs w:val="24"/>
        </w:rPr>
        <w:t xml:space="preserve">Ball, S.J. (2008). </w:t>
      </w:r>
      <w:r w:rsidRPr="00194BA9">
        <w:rPr>
          <w:i/>
          <w:sz w:val="24"/>
          <w:szCs w:val="24"/>
        </w:rPr>
        <w:t>The education debate</w:t>
      </w:r>
      <w:r w:rsidRPr="00194BA9">
        <w:rPr>
          <w:sz w:val="24"/>
          <w:szCs w:val="24"/>
        </w:rPr>
        <w:t>. Bristol: The Policy Press</w:t>
      </w:r>
      <w:r>
        <w:rPr>
          <w:sz w:val="24"/>
          <w:szCs w:val="24"/>
        </w:rPr>
        <w:t>.</w:t>
      </w:r>
    </w:p>
    <w:p w14:paraId="028FE686" w14:textId="77777777" w:rsidR="0032663B" w:rsidRDefault="0032663B" w:rsidP="0032663B">
      <w:pPr>
        <w:spacing w:line="360" w:lineRule="auto"/>
        <w:rPr>
          <w:sz w:val="24"/>
          <w:szCs w:val="24"/>
        </w:rPr>
      </w:pPr>
      <w:r>
        <w:rPr>
          <w:sz w:val="24"/>
          <w:szCs w:val="24"/>
        </w:rPr>
        <w:t xml:space="preserve">Ball, S.J. (2013). </w:t>
      </w:r>
      <w:r w:rsidRPr="000536C7">
        <w:rPr>
          <w:i/>
          <w:sz w:val="24"/>
          <w:szCs w:val="24"/>
        </w:rPr>
        <w:t>Foucault, Power, and Education.</w:t>
      </w:r>
      <w:r>
        <w:rPr>
          <w:sz w:val="24"/>
          <w:szCs w:val="24"/>
        </w:rPr>
        <w:t xml:space="preserve"> Abingdon: Routledge.</w:t>
      </w:r>
    </w:p>
    <w:p w14:paraId="3322C6CF" w14:textId="5AB0B0FA" w:rsidR="00D27BF7" w:rsidRPr="00D20B60" w:rsidRDefault="00D27BF7" w:rsidP="00D27BF7">
      <w:pPr>
        <w:tabs>
          <w:tab w:val="left" w:pos="1485"/>
        </w:tabs>
        <w:spacing w:line="360" w:lineRule="auto"/>
        <w:rPr>
          <w:rFonts w:cs="Calibri"/>
          <w:sz w:val="24"/>
          <w:szCs w:val="24"/>
        </w:rPr>
      </w:pPr>
      <w:r>
        <w:rPr>
          <w:rFonts w:cs="Calibri"/>
          <w:sz w:val="24"/>
          <w:szCs w:val="24"/>
        </w:rPr>
        <w:t>Ball, S., Maguire</w:t>
      </w:r>
      <w:r w:rsidR="008F2830">
        <w:rPr>
          <w:rFonts w:cs="Calibri"/>
          <w:sz w:val="24"/>
          <w:szCs w:val="24"/>
        </w:rPr>
        <w:t>, M., Braun, A., Perryman, J., and</w:t>
      </w:r>
      <w:r>
        <w:rPr>
          <w:rFonts w:cs="Calibri"/>
          <w:sz w:val="24"/>
          <w:szCs w:val="24"/>
        </w:rPr>
        <w:t xml:space="preserve"> Hoskins, K. (2012). Assessment technologies in schools: ‘deliverology’ and the ‘play of dominations’. </w:t>
      </w:r>
      <w:r w:rsidRPr="00147D31">
        <w:rPr>
          <w:rFonts w:cs="Calibri"/>
          <w:i/>
          <w:sz w:val="24"/>
          <w:szCs w:val="24"/>
        </w:rPr>
        <w:t>Research Papers in Education.</w:t>
      </w:r>
      <w:r w:rsidR="00DB41A7">
        <w:rPr>
          <w:rFonts w:cs="Calibri"/>
          <w:sz w:val="24"/>
          <w:szCs w:val="24"/>
        </w:rPr>
        <w:t xml:space="preserve"> 27 (5), </w:t>
      </w:r>
      <w:r>
        <w:rPr>
          <w:rFonts w:cs="Calibri"/>
          <w:sz w:val="24"/>
          <w:szCs w:val="24"/>
        </w:rPr>
        <w:t>513-533.</w:t>
      </w:r>
    </w:p>
    <w:p w14:paraId="0A65A0DE" w14:textId="6E66FD7D" w:rsidR="00D27BF7" w:rsidRDefault="008F2830" w:rsidP="00D27BF7">
      <w:pPr>
        <w:spacing w:line="360" w:lineRule="auto"/>
        <w:rPr>
          <w:sz w:val="24"/>
          <w:szCs w:val="24"/>
        </w:rPr>
      </w:pPr>
      <w:r>
        <w:rPr>
          <w:sz w:val="24"/>
          <w:szCs w:val="24"/>
        </w:rPr>
        <w:t>Bartlett, S. and</w:t>
      </w:r>
      <w:r w:rsidR="00D27BF7">
        <w:rPr>
          <w:sz w:val="24"/>
          <w:szCs w:val="24"/>
        </w:rPr>
        <w:t xml:space="preserve"> Burton, D. (2007). </w:t>
      </w:r>
      <w:r w:rsidR="00D27BF7" w:rsidRPr="001270C8">
        <w:rPr>
          <w:i/>
          <w:sz w:val="24"/>
          <w:szCs w:val="24"/>
        </w:rPr>
        <w:t>Introduction to Education Studies</w:t>
      </w:r>
      <w:r w:rsidR="0032663B">
        <w:rPr>
          <w:i/>
          <w:sz w:val="24"/>
          <w:szCs w:val="24"/>
        </w:rPr>
        <w:t>.</w:t>
      </w:r>
      <w:r w:rsidR="00D27BF7">
        <w:rPr>
          <w:sz w:val="24"/>
          <w:szCs w:val="24"/>
        </w:rPr>
        <w:t xml:space="preserve"> </w:t>
      </w:r>
      <w:r w:rsidR="0032663B">
        <w:rPr>
          <w:sz w:val="24"/>
          <w:szCs w:val="24"/>
        </w:rPr>
        <w:t>2</w:t>
      </w:r>
      <w:r w:rsidR="00D27BF7">
        <w:rPr>
          <w:sz w:val="24"/>
          <w:szCs w:val="24"/>
        </w:rPr>
        <w:t>nd edition. London: Sage.</w:t>
      </w:r>
    </w:p>
    <w:p w14:paraId="77D91DBE" w14:textId="7F5C0201" w:rsidR="00D27BF7" w:rsidRDefault="00D27BF7" w:rsidP="00D27BF7">
      <w:pPr>
        <w:tabs>
          <w:tab w:val="left" w:pos="1485"/>
        </w:tabs>
        <w:rPr>
          <w:rStyle w:val="Hyperlink"/>
          <w:rFonts w:cs="Calibri"/>
          <w:sz w:val="24"/>
          <w:szCs w:val="24"/>
        </w:rPr>
      </w:pPr>
      <w:r w:rsidRPr="00E85ABD">
        <w:rPr>
          <w:rFonts w:cs="Calibri"/>
          <w:sz w:val="24"/>
          <w:szCs w:val="24"/>
        </w:rPr>
        <w:t xml:space="preserve">Bassey, M. (1998). </w:t>
      </w:r>
      <w:r w:rsidRPr="00E85ABD">
        <w:rPr>
          <w:rFonts w:cs="Calibri"/>
          <w:i/>
          <w:sz w:val="24"/>
          <w:szCs w:val="24"/>
        </w:rPr>
        <w:t>Fuzzy Generalisation: an approach to building educational theory.</w:t>
      </w:r>
      <w:r w:rsidRPr="00A957EC">
        <w:rPr>
          <w:sz w:val="24"/>
        </w:rPr>
        <w:t xml:space="preserve"> </w:t>
      </w:r>
      <w:r w:rsidR="00A45A51">
        <w:rPr>
          <w:rFonts w:cs="Calibri"/>
          <w:sz w:val="24"/>
          <w:szCs w:val="24"/>
        </w:rPr>
        <w:t>[Online]</w:t>
      </w:r>
      <w:r w:rsidRPr="00E85ABD">
        <w:rPr>
          <w:rFonts w:cs="Calibri"/>
          <w:sz w:val="24"/>
          <w:szCs w:val="24"/>
        </w:rPr>
        <w:t xml:space="preserve"> </w:t>
      </w:r>
      <w:r w:rsidR="00A45A51">
        <w:rPr>
          <w:rFonts w:cs="Calibri"/>
          <w:sz w:val="24"/>
          <w:szCs w:val="24"/>
        </w:rPr>
        <w:t>Available from</w:t>
      </w:r>
      <w:r w:rsidR="00DB41A7">
        <w:rPr>
          <w:rFonts w:cs="Calibri"/>
          <w:sz w:val="24"/>
          <w:szCs w:val="24"/>
        </w:rPr>
        <w:t>:</w:t>
      </w:r>
      <w:r w:rsidR="00A45A51">
        <w:rPr>
          <w:rFonts w:cs="Calibri"/>
          <w:sz w:val="24"/>
          <w:szCs w:val="24"/>
        </w:rPr>
        <w:t xml:space="preserve"> </w:t>
      </w:r>
      <w:hyperlink r:id="rId16" w:history="1">
        <w:r w:rsidRPr="00E85ABD">
          <w:rPr>
            <w:rStyle w:val="Hyperlink"/>
            <w:rFonts w:cs="Calibri"/>
            <w:sz w:val="24"/>
            <w:szCs w:val="24"/>
          </w:rPr>
          <w:t>http://www.leeds.ac.uk/educol/documents/000000801.htm</w:t>
        </w:r>
      </w:hyperlink>
      <w:r w:rsidR="00A45A51">
        <w:rPr>
          <w:rStyle w:val="Hyperlink"/>
          <w:rFonts w:cs="Calibri"/>
          <w:sz w:val="24"/>
          <w:szCs w:val="24"/>
        </w:rPr>
        <w:t xml:space="preserve"> </w:t>
      </w:r>
      <w:r w:rsidR="00A45A51">
        <w:rPr>
          <w:rFonts w:cs="Calibri"/>
          <w:sz w:val="24"/>
          <w:szCs w:val="24"/>
        </w:rPr>
        <w:t xml:space="preserve">[Accessed </w:t>
      </w:r>
      <w:r w:rsidR="00A45A51" w:rsidRPr="00E85ABD">
        <w:rPr>
          <w:rFonts w:cs="Calibri"/>
          <w:sz w:val="24"/>
          <w:szCs w:val="24"/>
        </w:rPr>
        <w:t>1.1.12</w:t>
      </w:r>
      <w:r w:rsidR="00A45A51">
        <w:rPr>
          <w:rFonts w:cs="Calibri"/>
          <w:sz w:val="24"/>
          <w:szCs w:val="24"/>
        </w:rPr>
        <w:t>]</w:t>
      </w:r>
      <w:r w:rsidR="008F4759">
        <w:rPr>
          <w:rFonts w:cs="Calibri"/>
          <w:sz w:val="24"/>
          <w:szCs w:val="24"/>
        </w:rPr>
        <w:t>.</w:t>
      </w:r>
    </w:p>
    <w:p w14:paraId="5F56EB99" w14:textId="77777777" w:rsidR="00D27BF7" w:rsidRDefault="00D27BF7" w:rsidP="00D27BF7">
      <w:pPr>
        <w:tabs>
          <w:tab w:val="left" w:pos="1485"/>
        </w:tabs>
        <w:rPr>
          <w:rStyle w:val="Hyperlink"/>
          <w:rFonts w:cs="Calibri"/>
          <w:sz w:val="24"/>
          <w:szCs w:val="24"/>
        </w:rPr>
      </w:pPr>
      <w:r>
        <w:rPr>
          <w:rFonts w:cs="Calibri"/>
          <w:sz w:val="24"/>
          <w:szCs w:val="24"/>
        </w:rPr>
        <w:lastRenderedPageBreak/>
        <w:t xml:space="preserve">Bassey, M. (1999). </w:t>
      </w:r>
      <w:r w:rsidRPr="00347549">
        <w:rPr>
          <w:rFonts w:cs="Calibri"/>
          <w:i/>
          <w:sz w:val="24"/>
          <w:szCs w:val="24"/>
        </w:rPr>
        <w:t>Case Study Research in Educational Settings (Doing Qualitative Research in Educational Settings).</w:t>
      </w:r>
      <w:r>
        <w:rPr>
          <w:rFonts w:cs="Calibri"/>
          <w:sz w:val="24"/>
          <w:szCs w:val="24"/>
        </w:rPr>
        <w:t xml:space="preserve"> Buckingham: Open University Press.</w:t>
      </w:r>
    </w:p>
    <w:p w14:paraId="249923E0" w14:textId="1C1A011D" w:rsidR="00D27BF7" w:rsidRDefault="00D27BF7" w:rsidP="00D27BF7">
      <w:pPr>
        <w:spacing w:line="240" w:lineRule="auto"/>
        <w:rPr>
          <w:sz w:val="24"/>
          <w:szCs w:val="24"/>
        </w:rPr>
      </w:pPr>
      <w:r w:rsidRPr="0095630C">
        <w:rPr>
          <w:rStyle w:val="Hyperlink"/>
          <w:rFonts w:cs="Calibri"/>
          <w:color w:val="auto"/>
          <w:sz w:val="24"/>
          <w:szCs w:val="24"/>
          <w:u w:val="none"/>
        </w:rPr>
        <w:t>Bathmaker, A. (2004). Using NUD.IST</w:t>
      </w:r>
      <w:r w:rsidR="0032663B">
        <w:rPr>
          <w:rStyle w:val="Hyperlink"/>
          <w:rFonts w:cs="Calibri"/>
          <w:color w:val="auto"/>
          <w:sz w:val="24"/>
          <w:szCs w:val="24"/>
          <w:u w:val="none"/>
        </w:rPr>
        <w:t>.</w:t>
      </w:r>
      <w:r w:rsidRPr="00A14AC9">
        <w:rPr>
          <w:rStyle w:val="Hyperlink"/>
          <w:color w:val="auto"/>
          <w:sz w:val="24"/>
          <w:u w:val="none"/>
        </w:rPr>
        <w:t xml:space="preserve"> </w:t>
      </w:r>
      <w:r w:rsidR="0032663B">
        <w:rPr>
          <w:sz w:val="24"/>
          <w:szCs w:val="24"/>
        </w:rPr>
        <w:t>I</w:t>
      </w:r>
      <w:r w:rsidRPr="00331363">
        <w:rPr>
          <w:sz w:val="24"/>
          <w:szCs w:val="24"/>
        </w:rPr>
        <w:t xml:space="preserve">n </w:t>
      </w:r>
      <w:r w:rsidR="00DB41A7">
        <w:rPr>
          <w:sz w:val="24"/>
          <w:szCs w:val="24"/>
        </w:rPr>
        <w:t>C. Opie (Ed</w:t>
      </w:r>
      <w:r w:rsidRPr="00BE6B7D">
        <w:rPr>
          <w:sz w:val="24"/>
          <w:szCs w:val="24"/>
        </w:rPr>
        <w:t xml:space="preserve">) </w:t>
      </w:r>
      <w:r w:rsidRPr="00BE6B7D">
        <w:rPr>
          <w:i/>
          <w:sz w:val="24"/>
          <w:szCs w:val="24"/>
        </w:rPr>
        <w:t>Doing Educational Research</w:t>
      </w:r>
      <w:r w:rsidR="0032663B">
        <w:rPr>
          <w:i/>
          <w:sz w:val="24"/>
          <w:szCs w:val="24"/>
        </w:rPr>
        <w:t>.</w:t>
      </w:r>
      <w:r w:rsidRPr="00BE6B7D">
        <w:rPr>
          <w:sz w:val="24"/>
          <w:szCs w:val="24"/>
        </w:rPr>
        <w:t xml:space="preserve"> London: Sage.</w:t>
      </w:r>
      <w:r w:rsidR="00C5422D">
        <w:rPr>
          <w:sz w:val="24"/>
          <w:szCs w:val="24"/>
        </w:rPr>
        <w:t xml:space="preserve"> </w:t>
      </w:r>
      <w:r w:rsidR="00DB4A8A">
        <w:rPr>
          <w:sz w:val="24"/>
          <w:szCs w:val="24"/>
        </w:rPr>
        <w:t>p.</w:t>
      </w:r>
      <w:r w:rsidR="006F063B">
        <w:rPr>
          <w:sz w:val="24"/>
          <w:szCs w:val="24"/>
        </w:rPr>
        <w:t xml:space="preserve"> </w:t>
      </w:r>
      <w:r w:rsidR="00DB4A8A">
        <w:rPr>
          <w:sz w:val="24"/>
          <w:szCs w:val="24"/>
        </w:rPr>
        <w:t>162-178.</w:t>
      </w:r>
    </w:p>
    <w:p w14:paraId="2202134E" w14:textId="77777777" w:rsidR="00D27BF7" w:rsidRDefault="00D27BF7" w:rsidP="00D27BF7">
      <w:pPr>
        <w:spacing w:line="240" w:lineRule="auto"/>
        <w:rPr>
          <w:sz w:val="24"/>
          <w:szCs w:val="24"/>
        </w:rPr>
      </w:pPr>
      <w:r>
        <w:rPr>
          <w:sz w:val="24"/>
          <w:szCs w:val="24"/>
        </w:rPr>
        <w:t xml:space="preserve">Billington, T. (2000). </w:t>
      </w:r>
      <w:r w:rsidRPr="00542485">
        <w:rPr>
          <w:i/>
          <w:sz w:val="24"/>
          <w:szCs w:val="24"/>
        </w:rPr>
        <w:t>Separating, Losing and Excluding Children.</w:t>
      </w:r>
      <w:r>
        <w:rPr>
          <w:sz w:val="24"/>
          <w:szCs w:val="24"/>
        </w:rPr>
        <w:t xml:space="preserve"> London: Routledge Falmer.</w:t>
      </w:r>
    </w:p>
    <w:p w14:paraId="44AB6363" w14:textId="07C5CC44" w:rsidR="00D27BF7" w:rsidRDefault="00A957EC" w:rsidP="00D27BF7">
      <w:pPr>
        <w:tabs>
          <w:tab w:val="left" w:pos="1485"/>
        </w:tabs>
        <w:rPr>
          <w:sz w:val="24"/>
          <w:szCs w:val="24"/>
        </w:rPr>
      </w:pPr>
      <w:r>
        <w:rPr>
          <w:sz w:val="24"/>
          <w:szCs w:val="24"/>
        </w:rPr>
        <w:t>British Educational Research Association (</w:t>
      </w:r>
      <w:r w:rsidR="00D27BF7">
        <w:rPr>
          <w:sz w:val="24"/>
          <w:szCs w:val="24"/>
        </w:rPr>
        <w:t>BERA</w:t>
      </w:r>
      <w:r>
        <w:rPr>
          <w:sz w:val="24"/>
          <w:szCs w:val="24"/>
        </w:rPr>
        <w:t>)</w:t>
      </w:r>
      <w:r w:rsidR="00D27BF7">
        <w:rPr>
          <w:sz w:val="24"/>
          <w:szCs w:val="24"/>
        </w:rPr>
        <w:t xml:space="preserve">. (2011). </w:t>
      </w:r>
      <w:r w:rsidR="00D27BF7" w:rsidRPr="00DB41A7">
        <w:rPr>
          <w:i/>
          <w:sz w:val="24"/>
          <w:szCs w:val="24"/>
        </w:rPr>
        <w:t>Ethical Guidelines for Educational Research</w:t>
      </w:r>
      <w:r w:rsidR="00D27BF7">
        <w:rPr>
          <w:sz w:val="24"/>
          <w:szCs w:val="24"/>
        </w:rPr>
        <w:t xml:space="preserve">. </w:t>
      </w:r>
      <w:r w:rsidR="00A45A51">
        <w:rPr>
          <w:sz w:val="24"/>
          <w:szCs w:val="24"/>
        </w:rPr>
        <w:t>[Online] Available from</w:t>
      </w:r>
      <w:r w:rsidR="00D27BF7">
        <w:rPr>
          <w:sz w:val="24"/>
          <w:szCs w:val="24"/>
        </w:rPr>
        <w:t xml:space="preserve"> </w:t>
      </w:r>
      <w:hyperlink r:id="rId17" w:history="1">
        <w:r w:rsidR="00D27BF7" w:rsidRPr="006E00C3">
          <w:rPr>
            <w:rStyle w:val="Hyperlink"/>
            <w:sz w:val="24"/>
            <w:szCs w:val="24"/>
          </w:rPr>
          <w:t>https://www.bera.ac.uk/wp-content/uploads/2014/02/BERA-Ethical-Guidelines-2011.pdf</w:t>
        </w:r>
      </w:hyperlink>
      <w:r w:rsidR="00A45A51">
        <w:rPr>
          <w:rStyle w:val="Hyperlink"/>
          <w:sz w:val="24"/>
          <w:szCs w:val="24"/>
        </w:rPr>
        <w:t xml:space="preserve">  </w:t>
      </w:r>
      <w:r w:rsidR="00A45A51" w:rsidRPr="008F4759">
        <w:rPr>
          <w:rStyle w:val="Hyperlink"/>
          <w:color w:val="auto"/>
          <w:sz w:val="24"/>
          <w:szCs w:val="24"/>
          <w:u w:val="none"/>
        </w:rPr>
        <w:t xml:space="preserve">[Accessed </w:t>
      </w:r>
      <w:r w:rsidR="00A45A51" w:rsidRPr="008F4759">
        <w:rPr>
          <w:sz w:val="24"/>
          <w:szCs w:val="24"/>
        </w:rPr>
        <w:t>22.10.14]</w:t>
      </w:r>
      <w:r w:rsidR="008F4759" w:rsidRPr="008F4759">
        <w:rPr>
          <w:sz w:val="24"/>
          <w:szCs w:val="24"/>
        </w:rPr>
        <w:t>.</w:t>
      </w:r>
    </w:p>
    <w:p w14:paraId="7E10B4D0" w14:textId="2CA96FE8" w:rsidR="00D27BF7" w:rsidRPr="00B1015D" w:rsidRDefault="00D27BF7" w:rsidP="00D27BF7">
      <w:pPr>
        <w:tabs>
          <w:tab w:val="left" w:pos="1485"/>
        </w:tabs>
        <w:rPr>
          <w:rFonts w:cs="Calibri"/>
          <w:sz w:val="24"/>
          <w:szCs w:val="24"/>
        </w:rPr>
      </w:pPr>
      <w:r>
        <w:rPr>
          <w:sz w:val="24"/>
          <w:szCs w:val="24"/>
        </w:rPr>
        <w:t xml:space="preserve">Bernstein, B. (1971). On the classification and framing of educational knowledge. In </w:t>
      </w:r>
      <w:r w:rsidR="0032663B">
        <w:rPr>
          <w:rFonts w:cs="Calibri"/>
          <w:sz w:val="24"/>
          <w:szCs w:val="24"/>
        </w:rPr>
        <w:t>M.F.D.</w:t>
      </w:r>
      <w:r>
        <w:rPr>
          <w:sz w:val="24"/>
          <w:szCs w:val="24"/>
        </w:rPr>
        <w:t xml:space="preserve"> </w:t>
      </w:r>
      <w:r w:rsidR="00DB41A7">
        <w:rPr>
          <w:rFonts w:cs="Calibri"/>
          <w:sz w:val="24"/>
          <w:szCs w:val="24"/>
        </w:rPr>
        <w:t>Young (Ed)</w:t>
      </w:r>
      <w:r>
        <w:rPr>
          <w:rFonts w:cs="Calibri"/>
          <w:sz w:val="24"/>
          <w:szCs w:val="24"/>
        </w:rPr>
        <w:t xml:space="preserve"> </w:t>
      </w:r>
      <w:r w:rsidRPr="000536C7">
        <w:rPr>
          <w:rFonts w:cs="Calibri"/>
          <w:i/>
          <w:sz w:val="24"/>
          <w:szCs w:val="24"/>
        </w:rPr>
        <w:t>Knowledge and Control: New Directions for the Sociology of Education.</w:t>
      </w:r>
      <w:r>
        <w:rPr>
          <w:rFonts w:cs="Calibri"/>
          <w:sz w:val="24"/>
          <w:szCs w:val="24"/>
        </w:rPr>
        <w:t xml:space="preserve"> London: Collier-Macmillan.</w:t>
      </w:r>
      <w:r w:rsidR="0032663B" w:rsidRPr="0032663B">
        <w:rPr>
          <w:sz w:val="24"/>
          <w:szCs w:val="24"/>
        </w:rPr>
        <w:t xml:space="preserve"> </w:t>
      </w:r>
      <w:r w:rsidR="0032663B">
        <w:rPr>
          <w:sz w:val="24"/>
          <w:szCs w:val="24"/>
        </w:rPr>
        <w:t>p.</w:t>
      </w:r>
      <w:r w:rsidR="006F063B">
        <w:rPr>
          <w:sz w:val="24"/>
          <w:szCs w:val="24"/>
        </w:rPr>
        <w:t xml:space="preserve"> </w:t>
      </w:r>
      <w:r w:rsidR="0032663B">
        <w:rPr>
          <w:sz w:val="24"/>
          <w:szCs w:val="24"/>
        </w:rPr>
        <w:t>47-69.</w:t>
      </w:r>
    </w:p>
    <w:p w14:paraId="61F58652" w14:textId="6E2F46E0" w:rsidR="00D27BF7" w:rsidRDefault="00D27BF7" w:rsidP="00D27BF7">
      <w:pPr>
        <w:spacing w:line="360" w:lineRule="auto"/>
        <w:rPr>
          <w:sz w:val="24"/>
          <w:szCs w:val="24"/>
        </w:rPr>
      </w:pPr>
      <w:r>
        <w:rPr>
          <w:sz w:val="24"/>
          <w:szCs w:val="24"/>
        </w:rPr>
        <w:t xml:space="preserve">Bernstein, B. (1999). Vertical and Horizontal Discourse: an essay. </w:t>
      </w:r>
      <w:r w:rsidRPr="00347549">
        <w:rPr>
          <w:i/>
          <w:sz w:val="24"/>
          <w:szCs w:val="24"/>
        </w:rPr>
        <w:t>British Journal of Sociology of Education</w:t>
      </w:r>
      <w:r w:rsidR="00A45A51">
        <w:rPr>
          <w:i/>
          <w:sz w:val="24"/>
          <w:szCs w:val="24"/>
        </w:rPr>
        <w:t>.</w:t>
      </w:r>
      <w:r w:rsidR="00DB41A7">
        <w:rPr>
          <w:sz w:val="24"/>
          <w:szCs w:val="24"/>
        </w:rPr>
        <w:t xml:space="preserve"> 20 (2), </w:t>
      </w:r>
      <w:r>
        <w:rPr>
          <w:sz w:val="24"/>
          <w:szCs w:val="24"/>
        </w:rPr>
        <w:t>157-173.</w:t>
      </w:r>
    </w:p>
    <w:p w14:paraId="232EF43F" w14:textId="26BF6506" w:rsidR="00D27BF7" w:rsidRDefault="008F2830" w:rsidP="00D27BF7">
      <w:pPr>
        <w:spacing w:line="360" w:lineRule="auto"/>
        <w:rPr>
          <w:sz w:val="24"/>
          <w:szCs w:val="24"/>
        </w:rPr>
      </w:pPr>
      <w:r>
        <w:rPr>
          <w:sz w:val="24"/>
          <w:szCs w:val="24"/>
        </w:rPr>
        <w:t>Bloor, M., and</w:t>
      </w:r>
      <w:r w:rsidR="00D27BF7">
        <w:rPr>
          <w:sz w:val="24"/>
          <w:szCs w:val="24"/>
        </w:rPr>
        <w:t xml:space="preserve"> Bloor, T. (2007). </w:t>
      </w:r>
      <w:r w:rsidR="00D27BF7" w:rsidRPr="000B5FAE">
        <w:rPr>
          <w:i/>
          <w:sz w:val="24"/>
          <w:szCs w:val="24"/>
        </w:rPr>
        <w:t>The Practice of Critical Discourse Analysis: An Introduction.</w:t>
      </w:r>
      <w:r w:rsidR="00D27BF7">
        <w:rPr>
          <w:sz w:val="24"/>
          <w:szCs w:val="24"/>
        </w:rPr>
        <w:t xml:space="preserve"> London: Hodder Education.</w:t>
      </w:r>
    </w:p>
    <w:p w14:paraId="68670CE4" w14:textId="4A39EF65" w:rsidR="00F47A05" w:rsidRDefault="00F47A05" w:rsidP="00D27BF7">
      <w:pPr>
        <w:spacing w:line="360" w:lineRule="auto"/>
        <w:rPr>
          <w:sz w:val="24"/>
          <w:szCs w:val="24"/>
        </w:rPr>
      </w:pPr>
      <w:r>
        <w:rPr>
          <w:sz w:val="24"/>
          <w:szCs w:val="24"/>
        </w:rPr>
        <w:t xml:space="preserve">Blow, D. (2014). Making sense of all the data. ASCL. [Online] Available from </w:t>
      </w:r>
      <w:hyperlink r:id="rId18" w:history="1">
        <w:r w:rsidRPr="0092774B">
          <w:rPr>
            <w:rStyle w:val="Hyperlink"/>
            <w:sz w:val="24"/>
            <w:szCs w:val="24"/>
          </w:rPr>
          <w:t>file:///C:/Users/MRS%20KATHRYN/Downloads/david_blow_keynote_bolton_16sep14_final_-_for_use.pdf</w:t>
        </w:r>
      </w:hyperlink>
      <w:r>
        <w:rPr>
          <w:sz w:val="24"/>
          <w:szCs w:val="24"/>
        </w:rPr>
        <w:t xml:space="preserve"> [Accessed 17.04.16]</w:t>
      </w:r>
      <w:r w:rsidR="008F4759">
        <w:rPr>
          <w:sz w:val="24"/>
          <w:szCs w:val="24"/>
        </w:rPr>
        <w:t>.</w:t>
      </w:r>
    </w:p>
    <w:p w14:paraId="677FAF31" w14:textId="7B36DDDC" w:rsidR="007F4FBF" w:rsidRDefault="00D27BF7" w:rsidP="007F4FBF">
      <w:pPr>
        <w:spacing w:line="360" w:lineRule="auto"/>
        <w:rPr>
          <w:sz w:val="24"/>
          <w:szCs w:val="24"/>
        </w:rPr>
      </w:pPr>
      <w:r w:rsidRPr="00194BA9">
        <w:rPr>
          <w:sz w:val="24"/>
          <w:szCs w:val="24"/>
        </w:rPr>
        <w:t>Bourdieu, P</w:t>
      </w:r>
      <w:r w:rsidR="007F4FBF" w:rsidRPr="007628DA">
        <w:rPr>
          <w:sz w:val="24"/>
          <w:szCs w:val="24"/>
        </w:rPr>
        <w:t>. (1986)</w:t>
      </w:r>
      <w:r w:rsidR="00DB41A7">
        <w:rPr>
          <w:sz w:val="24"/>
          <w:szCs w:val="24"/>
        </w:rPr>
        <w:t>.</w:t>
      </w:r>
      <w:r w:rsidR="007F4FBF" w:rsidRPr="007628DA">
        <w:rPr>
          <w:sz w:val="24"/>
          <w:szCs w:val="24"/>
        </w:rPr>
        <w:t xml:space="preserve"> The forms of capital. In J. Richardson (Ed</w:t>
      </w:r>
      <w:r w:rsidR="007F4FBF" w:rsidRPr="007628DA">
        <w:rPr>
          <w:i/>
          <w:sz w:val="24"/>
          <w:szCs w:val="24"/>
        </w:rPr>
        <w:t>.</w:t>
      </w:r>
      <w:r w:rsidR="007F4FBF" w:rsidRPr="007B3B32">
        <w:rPr>
          <w:sz w:val="24"/>
          <w:szCs w:val="24"/>
        </w:rPr>
        <w:t>)</w:t>
      </w:r>
      <w:r w:rsidR="007F4FBF" w:rsidRPr="007628DA">
        <w:rPr>
          <w:i/>
          <w:sz w:val="24"/>
          <w:szCs w:val="24"/>
        </w:rPr>
        <w:t xml:space="preserve"> Handbook of Theory and Research for the Sociology of Education</w:t>
      </w:r>
      <w:r w:rsidR="007F4FBF">
        <w:rPr>
          <w:i/>
          <w:sz w:val="24"/>
          <w:szCs w:val="24"/>
        </w:rPr>
        <w:t>.</w:t>
      </w:r>
      <w:r w:rsidR="007F4FBF" w:rsidRPr="007628DA">
        <w:rPr>
          <w:sz w:val="24"/>
          <w:szCs w:val="24"/>
        </w:rPr>
        <w:t xml:space="preserve"> New York, Greenwood</w:t>
      </w:r>
      <w:r w:rsidR="007F4FBF">
        <w:rPr>
          <w:sz w:val="24"/>
          <w:szCs w:val="24"/>
        </w:rPr>
        <w:t>.</w:t>
      </w:r>
      <w:r w:rsidR="007F4FBF" w:rsidRPr="007628DA">
        <w:rPr>
          <w:sz w:val="24"/>
          <w:szCs w:val="24"/>
        </w:rPr>
        <w:t xml:space="preserve"> </w:t>
      </w:r>
      <w:r w:rsidR="007F4FBF">
        <w:rPr>
          <w:sz w:val="24"/>
          <w:szCs w:val="24"/>
        </w:rPr>
        <w:t>p.</w:t>
      </w:r>
      <w:r w:rsidR="006F063B">
        <w:rPr>
          <w:sz w:val="24"/>
          <w:szCs w:val="24"/>
        </w:rPr>
        <w:t xml:space="preserve"> </w:t>
      </w:r>
      <w:r w:rsidR="007F4FBF" w:rsidRPr="007628DA">
        <w:rPr>
          <w:sz w:val="24"/>
          <w:szCs w:val="24"/>
        </w:rPr>
        <w:t xml:space="preserve">241-258. </w:t>
      </w:r>
      <w:r w:rsidR="007F4FBF">
        <w:rPr>
          <w:sz w:val="24"/>
          <w:szCs w:val="24"/>
        </w:rPr>
        <w:t xml:space="preserve">[Online] Available from </w:t>
      </w:r>
      <w:hyperlink r:id="rId19" w:history="1">
        <w:r w:rsidR="007F4FBF" w:rsidRPr="00F01817">
          <w:rPr>
            <w:rStyle w:val="Hyperlink"/>
            <w:sz w:val="24"/>
            <w:szCs w:val="24"/>
          </w:rPr>
          <w:t>http://www.marxists.org/reference/subject/philosophy/works/fr/bourdieu-forms-capital.htm</w:t>
        </w:r>
      </w:hyperlink>
      <w:r w:rsidR="007F4FBF">
        <w:rPr>
          <w:rStyle w:val="Hyperlink"/>
          <w:sz w:val="24"/>
          <w:szCs w:val="24"/>
        </w:rPr>
        <w:t>.</w:t>
      </w:r>
      <w:r w:rsidR="007F4FBF" w:rsidRPr="00A45A51">
        <w:rPr>
          <w:sz w:val="24"/>
          <w:szCs w:val="24"/>
        </w:rPr>
        <w:t xml:space="preserve"> </w:t>
      </w:r>
      <w:r w:rsidR="007F4FBF">
        <w:rPr>
          <w:sz w:val="24"/>
          <w:szCs w:val="24"/>
        </w:rPr>
        <w:t>[Accessed</w:t>
      </w:r>
      <w:r w:rsidR="007F4FBF" w:rsidRPr="007628DA">
        <w:rPr>
          <w:sz w:val="24"/>
          <w:szCs w:val="24"/>
        </w:rPr>
        <w:t xml:space="preserve"> 17.6.12</w:t>
      </w:r>
      <w:r w:rsidR="007F4FBF">
        <w:rPr>
          <w:sz w:val="24"/>
          <w:szCs w:val="24"/>
        </w:rPr>
        <w:t>]</w:t>
      </w:r>
      <w:r w:rsidR="008F4759">
        <w:rPr>
          <w:sz w:val="24"/>
          <w:szCs w:val="24"/>
        </w:rPr>
        <w:t>.</w:t>
      </w:r>
    </w:p>
    <w:p w14:paraId="5B5CE369" w14:textId="0CCE5E5D" w:rsidR="00D27BF7" w:rsidRDefault="00D27BF7" w:rsidP="00D27BF7">
      <w:pPr>
        <w:spacing w:line="360" w:lineRule="auto"/>
        <w:rPr>
          <w:sz w:val="24"/>
          <w:szCs w:val="24"/>
        </w:rPr>
      </w:pPr>
      <w:r w:rsidRPr="00194BA9">
        <w:rPr>
          <w:sz w:val="24"/>
          <w:szCs w:val="24"/>
        </w:rPr>
        <w:t xml:space="preserve">Bourdieu, P., </w:t>
      </w:r>
      <w:r w:rsidR="008F2830">
        <w:rPr>
          <w:sz w:val="24"/>
          <w:szCs w:val="24"/>
        </w:rPr>
        <w:t>and</w:t>
      </w:r>
      <w:r w:rsidRPr="00194BA9">
        <w:rPr>
          <w:sz w:val="24"/>
          <w:szCs w:val="24"/>
        </w:rPr>
        <w:t xml:space="preserve"> Passeron, J. (1977). </w:t>
      </w:r>
      <w:r w:rsidRPr="00194BA9">
        <w:rPr>
          <w:i/>
          <w:sz w:val="24"/>
          <w:szCs w:val="24"/>
        </w:rPr>
        <w:t>Reproduction in Education, Society and Culture.</w:t>
      </w:r>
      <w:r w:rsidRPr="00194BA9">
        <w:rPr>
          <w:sz w:val="24"/>
          <w:szCs w:val="24"/>
        </w:rPr>
        <w:t xml:space="preserve"> London: Sage Publications</w:t>
      </w:r>
      <w:r>
        <w:rPr>
          <w:sz w:val="24"/>
          <w:szCs w:val="24"/>
        </w:rPr>
        <w:t>.</w:t>
      </w:r>
    </w:p>
    <w:p w14:paraId="6148D96C" w14:textId="239DAA4D" w:rsidR="00D27BF7" w:rsidRDefault="008F2830" w:rsidP="00D27BF7">
      <w:pPr>
        <w:spacing w:line="360" w:lineRule="auto"/>
        <w:jc w:val="both"/>
        <w:rPr>
          <w:sz w:val="24"/>
          <w:szCs w:val="24"/>
        </w:rPr>
      </w:pPr>
      <w:r>
        <w:rPr>
          <w:sz w:val="24"/>
          <w:szCs w:val="24"/>
        </w:rPr>
        <w:t>Bowles, S. and</w:t>
      </w:r>
      <w:r w:rsidR="00D27BF7">
        <w:rPr>
          <w:sz w:val="24"/>
          <w:szCs w:val="24"/>
        </w:rPr>
        <w:t xml:space="preserve"> Gintis, H. (1976). </w:t>
      </w:r>
      <w:r w:rsidR="00D27BF7" w:rsidRPr="00A957EC">
        <w:rPr>
          <w:i/>
          <w:sz w:val="24"/>
        </w:rPr>
        <w:t>Schooling in Capitalist America.</w:t>
      </w:r>
      <w:r w:rsidR="00D27BF7">
        <w:rPr>
          <w:sz w:val="24"/>
          <w:szCs w:val="24"/>
        </w:rPr>
        <w:t xml:space="preserve"> London: Routledge </w:t>
      </w:r>
      <w:r w:rsidR="00DF14CD">
        <w:rPr>
          <w:sz w:val="24"/>
          <w:szCs w:val="24"/>
        </w:rPr>
        <w:t>and</w:t>
      </w:r>
      <w:r w:rsidR="00D27BF7">
        <w:rPr>
          <w:sz w:val="24"/>
          <w:szCs w:val="24"/>
        </w:rPr>
        <w:t xml:space="preserve"> Kegan Paul Ltd.</w:t>
      </w:r>
    </w:p>
    <w:p w14:paraId="42C9E69E" w14:textId="644785FB" w:rsidR="00D27BF7" w:rsidRDefault="008F2830" w:rsidP="00D27BF7">
      <w:pPr>
        <w:spacing w:line="360" w:lineRule="auto"/>
        <w:jc w:val="both"/>
        <w:rPr>
          <w:sz w:val="24"/>
          <w:szCs w:val="24"/>
        </w:rPr>
      </w:pPr>
      <w:r>
        <w:rPr>
          <w:sz w:val="24"/>
          <w:szCs w:val="24"/>
        </w:rPr>
        <w:t>Braun, V. and</w:t>
      </w:r>
      <w:r w:rsidR="00D27BF7">
        <w:rPr>
          <w:sz w:val="24"/>
          <w:szCs w:val="24"/>
        </w:rPr>
        <w:t xml:space="preserve"> Clarke, V. (2006). Using thematic analysis in psychology. </w:t>
      </w:r>
      <w:r w:rsidR="00D27BF7" w:rsidRPr="00D45EF4">
        <w:rPr>
          <w:i/>
          <w:sz w:val="24"/>
          <w:szCs w:val="24"/>
        </w:rPr>
        <w:t>Qualitative Research in Psychology</w:t>
      </w:r>
      <w:r w:rsidR="00D27BF7">
        <w:rPr>
          <w:i/>
          <w:sz w:val="24"/>
          <w:szCs w:val="24"/>
        </w:rPr>
        <w:t>.</w:t>
      </w:r>
      <w:r w:rsidR="00DB41A7">
        <w:rPr>
          <w:sz w:val="24"/>
          <w:szCs w:val="24"/>
        </w:rPr>
        <w:t xml:space="preserve"> 3 (2), </w:t>
      </w:r>
      <w:r w:rsidR="00D27BF7">
        <w:rPr>
          <w:sz w:val="24"/>
          <w:szCs w:val="24"/>
        </w:rPr>
        <w:t>77-101.</w:t>
      </w:r>
    </w:p>
    <w:p w14:paraId="77E1487B" w14:textId="418A3BA4" w:rsidR="00D51DD3" w:rsidRDefault="008F2830" w:rsidP="00D27BF7">
      <w:pPr>
        <w:spacing w:line="360" w:lineRule="auto"/>
        <w:jc w:val="both"/>
        <w:rPr>
          <w:sz w:val="24"/>
          <w:szCs w:val="24"/>
        </w:rPr>
      </w:pPr>
      <w:r>
        <w:rPr>
          <w:sz w:val="24"/>
          <w:szCs w:val="24"/>
        </w:rPr>
        <w:lastRenderedPageBreak/>
        <w:t>Buchmann, C., DiPrete, T.A. and</w:t>
      </w:r>
      <w:r w:rsidR="00D51DD3">
        <w:rPr>
          <w:sz w:val="24"/>
          <w:szCs w:val="24"/>
        </w:rPr>
        <w:t xml:space="preserve"> McDaniel, A. (2008).  Gender Inequalities in Education. </w:t>
      </w:r>
      <w:r w:rsidR="00D51DD3" w:rsidRPr="00D51DD3">
        <w:rPr>
          <w:i/>
          <w:sz w:val="24"/>
          <w:szCs w:val="24"/>
        </w:rPr>
        <w:t>Annual Review of Sociology</w:t>
      </w:r>
      <w:r w:rsidR="00DB41A7">
        <w:rPr>
          <w:sz w:val="24"/>
          <w:szCs w:val="24"/>
        </w:rPr>
        <w:t xml:space="preserve">, 34, </w:t>
      </w:r>
      <w:r w:rsidR="00D51DD3">
        <w:rPr>
          <w:sz w:val="24"/>
          <w:szCs w:val="24"/>
        </w:rPr>
        <w:t>319-337.</w:t>
      </w:r>
    </w:p>
    <w:p w14:paraId="56A101D4" w14:textId="59B6198D" w:rsidR="00D27BF7" w:rsidRDefault="00D27BF7" w:rsidP="00D27BF7">
      <w:pPr>
        <w:tabs>
          <w:tab w:val="left" w:pos="1485"/>
        </w:tabs>
        <w:rPr>
          <w:rFonts w:cs="Calibri"/>
          <w:sz w:val="24"/>
          <w:szCs w:val="24"/>
        </w:rPr>
      </w:pPr>
      <w:r>
        <w:rPr>
          <w:rFonts w:cs="Calibri"/>
          <w:sz w:val="24"/>
          <w:szCs w:val="24"/>
        </w:rPr>
        <w:t>Burchell, G., Gordon,</w:t>
      </w:r>
      <w:r w:rsidR="008F2830">
        <w:rPr>
          <w:rFonts w:cs="Calibri"/>
          <w:sz w:val="24"/>
          <w:szCs w:val="24"/>
        </w:rPr>
        <w:t xml:space="preserve"> C., and</w:t>
      </w:r>
      <w:r w:rsidR="003B77F3">
        <w:rPr>
          <w:rFonts w:cs="Calibri"/>
          <w:sz w:val="24"/>
          <w:szCs w:val="24"/>
        </w:rPr>
        <w:t xml:space="preserve"> Miller, P. (E</w:t>
      </w:r>
      <w:r w:rsidR="00DB41A7">
        <w:rPr>
          <w:rFonts w:cs="Calibri"/>
          <w:sz w:val="24"/>
          <w:szCs w:val="24"/>
        </w:rPr>
        <w:t xml:space="preserve">ds) (1991). </w:t>
      </w:r>
      <w:r w:rsidRPr="00347549">
        <w:rPr>
          <w:rFonts w:cs="Calibri"/>
          <w:i/>
          <w:sz w:val="24"/>
          <w:szCs w:val="24"/>
        </w:rPr>
        <w:t>The Fouc</w:t>
      </w:r>
      <w:r w:rsidR="007F4FBF">
        <w:rPr>
          <w:rFonts w:cs="Calibri"/>
          <w:i/>
          <w:sz w:val="24"/>
          <w:szCs w:val="24"/>
        </w:rPr>
        <w:t>a</w:t>
      </w:r>
      <w:r w:rsidRPr="00347549">
        <w:rPr>
          <w:rFonts w:cs="Calibri"/>
          <w:i/>
          <w:sz w:val="24"/>
          <w:szCs w:val="24"/>
        </w:rPr>
        <w:t xml:space="preserve">ult Effect: Studies in </w:t>
      </w:r>
      <w:r>
        <w:rPr>
          <w:rFonts w:cs="Calibri"/>
          <w:i/>
          <w:sz w:val="24"/>
          <w:szCs w:val="24"/>
        </w:rPr>
        <w:t>g</w:t>
      </w:r>
      <w:r w:rsidR="007F4FBF">
        <w:rPr>
          <w:rFonts w:cs="Calibri"/>
          <w:i/>
          <w:sz w:val="24"/>
          <w:szCs w:val="24"/>
        </w:rPr>
        <w:t>over</w:t>
      </w:r>
      <w:r w:rsidRPr="00347549">
        <w:rPr>
          <w:rFonts w:cs="Calibri"/>
          <w:i/>
          <w:sz w:val="24"/>
          <w:szCs w:val="24"/>
        </w:rPr>
        <w:t xml:space="preserve">nmentality. </w:t>
      </w:r>
      <w:r>
        <w:rPr>
          <w:rFonts w:cs="Calibri"/>
          <w:sz w:val="24"/>
          <w:szCs w:val="24"/>
        </w:rPr>
        <w:t>Chicago: The University of Chicago Press.</w:t>
      </w:r>
    </w:p>
    <w:p w14:paraId="79D01853" w14:textId="3675B85D" w:rsidR="00D27BF7" w:rsidRPr="00E85ABD" w:rsidRDefault="008F2830" w:rsidP="00D27BF7">
      <w:pPr>
        <w:tabs>
          <w:tab w:val="left" w:pos="1485"/>
        </w:tabs>
        <w:rPr>
          <w:rFonts w:cs="Calibri"/>
          <w:sz w:val="24"/>
          <w:szCs w:val="24"/>
        </w:rPr>
      </w:pPr>
      <w:r>
        <w:rPr>
          <w:rFonts w:cs="Calibri"/>
          <w:sz w:val="24"/>
          <w:szCs w:val="24"/>
        </w:rPr>
        <w:t>Burgess, H., Sieminski, S. and</w:t>
      </w:r>
      <w:r w:rsidR="00D27BF7">
        <w:rPr>
          <w:rFonts w:cs="Calibri"/>
          <w:sz w:val="24"/>
          <w:szCs w:val="24"/>
        </w:rPr>
        <w:t xml:space="preserve"> Arthur, L. (2006). </w:t>
      </w:r>
      <w:r w:rsidR="00D27BF7" w:rsidRPr="00347549">
        <w:rPr>
          <w:rFonts w:cs="Calibri"/>
          <w:i/>
          <w:sz w:val="24"/>
          <w:szCs w:val="24"/>
        </w:rPr>
        <w:t>Achieving your Doctorate in Education.</w:t>
      </w:r>
      <w:r w:rsidR="00D27BF7">
        <w:rPr>
          <w:rFonts w:cs="Calibri"/>
          <w:sz w:val="24"/>
          <w:szCs w:val="24"/>
        </w:rPr>
        <w:t xml:space="preserve"> London: Sage.</w:t>
      </w:r>
    </w:p>
    <w:p w14:paraId="3F422116" w14:textId="02EA452D" w:rsidR="00D27BF7" w:rsidRDefault="00D27BF7" w:rsidP="00D27BF7">
      <w:pPr>
        <w:spacing w:line="360" w:lineRule="auto"/>
        <w:rPr>
          <w:sz w:val="24"/>
          <w:szCs w:val="24"/>
        </w:rPr>
      </w:pPr>
      <w:r>
        <w:rPr>
          <w:sz w:val="24"/>
          <w:szCs w:val="24"/>
        </w:rPr>
        <w:t xml:space="preserve">Carlson, D. (2006). Are we making progress? Ideology and curriculum in the age of no child left behind. In Weis, L., McCarthy, C., and Dimitriadis, G. </w:t>
      </w:r>
      <w:r w:rsidRPr="00B5093F">
        <w:rPr>
          <w:i/>
          <w:sz w:val="24"/>
          <w:szCs w:val="24"/>
        </w:rPr>
        <w:t xml:space="preserve">Ideology, Curriculum, and the New Sociology of Education: Revisiting the Work of Michael Apple. </w:t>
      </w:r>
      <w:r>
        <w:rPr>
          <w:sz w:val="24"/>
          <w:szCs w:val="24"/>
        </w:rPr>
        <w:t>(Ed). Abingdon: Routledge.</w:t>
      </w:r>
      <w:r w:rsidR="00C5422D">
        <w:rPr>
          <w:sz w:val="24"/>
          <w:szCs w:val="24"/>
        </w:rPr>
        <w:t xml:space="preserve"> </w:t>
      </w:r>
      <w:r w:rsidR="00DB4A8A">
        <w:rPr>
          <w:sz w:val="24"/>
          <w:szCs w:val="24"/>
        </w:rPr>
        <w:t>p.</w:t>
      </w:r>
      <w:r w:rsidR="006F063B">
        <w:rPr>
          <w:sz w:val="24"/>
          <w:szCs w:val="24"/>
        </w:rPr>
        <w:t xml:space="preserve"> </w:t>
      </w:r>
      <w:r w:rsidR="00DB4A8A">
        <w:rPr>
          <w:sz w:val="24"/>
          <w:szCs w:val="24"/>
        </w:rPr>
        <w:t>91-114.</w:t>
      </w:r>
    </w:p>
    <w:p w14:paraId="66FC296C" w14:textId="72F8EE8F" w:rsidR="00D27BF7" w:rsidRPr="00194BA9" w:rsidRDefault="00D27BF7" w:rsidP="00D27BF7">
      <w:pPr>
        <w:spacing w:line="360" w:lineRule="auto"/>
        <w:rPr>
          <w:sz w:val="24"/>
          <w:szCs w:val="24"/>
        </w:rPr>
      </w:pPr>
      <w:r>
        <w:rPr>
          <w:sz w:val="24"/>
          <w:szCs w:val="24"/>
        </w:rPr>
        <w:t xml:space="preserve">Carr, W. (1991). </w:t>
      </w:r>
      <w:r w:rsidRPr="00194BA9">
        <w:rPr>
          <w:sz w:val="24"/>
          <w:szCs w:val="24"/>
        </w:rPr>
        <w:t>Education for Democracy? A Philosophical Anal</w:t>
      </w:r>
      <w:r>
        <w:rPr>
          <w:sz w:val="24"/>
          <w:szCs w:val="24"/>
        </w:rPr>
        <w:t>ysis of the National Curriculum</w:t>
      </w:r>
      <w:r w:rsidRPr="00194BA9">
        <w:rPr>
          <w:sz w:val="24"/>
          <w:szCs w:val="24"/>
        </w:rPr>
        <w:t xml:space="preserve">, </w:t>
      </w:r>
      <w:r w:rsidRPr="00194BA9">
        <w:rPr>
          <w:i/>
          <w:sz w:val="24"/>
          <w:szCs w:val="24"/>
        </w:rPr>
        <w:t>Journal of Philosophy of Education</w:t>
      </w:r>
      <w:r w:rsidR="00DB41A7">
        <w:rPr>
          <w:sz w:val="24"/>
          <w:szCs w:val="24"/>
        </w:rPr>
        <w:t xml:space="preserve">, 25 (2), </w:t>
      </w:r>
      <w:r w:rsidRPr="00194BA9">
        <w:rPr>
          <w:sz w:val="24"/>
          <w:szCs w:val="24"/>
        </w:rPr>
        <w:t>183-191.</w:t>
      </w:r>
    </w:p>
    <w:p w14:paraId="72CE0BAB" w14:textId="6026925E" w:rsidR="00D27BF7" w:rsidRPr="00194BA9" w:rsidRDefault="008F2830" w:rsidP="00D27BF7">
      <w:pPr>
        <w:spacing w:line="360" w:lineRule="auto"/>
        <w:rPr>
          <w:sz w:val="24"/>
          <w:szCs w:val="24"/>
        </w:rPr>
      </w:pPr>
      <w:r>
        <w:rPr>
          <w:sz w:val="24"/>
          <w:szCs w:val="24"/>
        </w:rPr>
        <w:t>Carr, W. and</w:t>
      </w:r>
      <w:r w:rsidR="00D27BF7" w:rsidRPr="00194BA9">
        <w:rPr>
          <w:sz w:val="24"/>
          <w:szCs w:val="24"/>
        </w:rPr>
        <w:t xml:space="preserve"> Hartnett, A. (1996). </w:t>
      </w:r>
      <w:r w:rsidR="00D27BF7" w:rsidRPr="00194BA9">
        <w:rPr>
          <w:i/>
          <w:sz w:val="24"/>
          <w:szCs w:val="24"/>
        </w:rPr>
        <w:t xml:space="preserve">Education and the struggle for Democracy: the politics of educational ideas. </w:t>
      </w:r>
      <w:r w:rsidR="00D27BF7" w:rsidRPr="00194BA9">
        <w:rPr>
          <w:sz w:val="24"/>
          <w:szCs w:val="24"/>
        </w:rPr>
        <w:t>Bucks, England: Open University Press.</w:t>
      </w:r>
    </w:p>
    <w:p w14:paraId="65A28D7D" w14:textId="77777777" w:rsidR="00D27BF7" w:rsidRDefault="00D27BF7" w:rsidP="00D27BF7">
      <w:pPr>
        <w:spacing w:line="360" w:lineRule="auto"/>
        <w:rPr>
          <w:sz w:val="24"/>
          <w:szCs w:val="24"/>
        </w:rPr>
      </w:pPr>
      <w:r w:rsidRPr="00703CBE">
        <w:rPr>
          <w:sz w:val="24"/>
          <w:szCs w:val="24"/>
        </w:rPr>
        <w:t xml:space="preserve">Carr, W. (1996). Thinking about the Curriculum Unit 3 </w:t>
      </w:r>
      <w:r w:rsidRPr="00703CBE">
        <w:rPr>
          <w:i/>
          <w:sz w:val="24"/>
          <w:szCs w:val="24"/>
        </w:rPr>
        <w:t>The Foundation Module</w:t>
      </w:r>
      <w:r w:rsidRPr="00703CBE">
        <w:rPr>
          <w:sz w:val="24"/>
          <w:szCs w:val="24"/>
        </w:rPr>
        <w:t>. Division of Education, University of Sheffield Med course, Educational Studies. Sheffield, England:</w:t>
      </w:r>
      <w:r>
        <w:rPr>
          <w:sz w:val="24"/>
          <w:szCs w:val="24"/>
        </w:rPr>
        <w:t xml:space="preserve"> University of Sheffield.</w:t>
      </w:r>
    </w:p>
    <w:p w14:paraId="281AE3AE" w14:textId="32251433" w:rsidR="00D27BF7" w:rsidRPr="00DB41A7" w:rsidRDefault="00D27BF7" w:rsidP="00D27BF7">
      <w:pPr>
        <w:rPr>
          <w:sz w:val="24"/>
          <w:szCs w:val="24"/>
        </w:rPr>
      </w:pPr>
      <w:r>
        <w:rPr>
          <w:sz w:val="24"/>
          <w:szCs w:val="24"/>
        </w:rPr>
        <w:t xml:space="preserve">Clarke, R. (1988). Information technology </w:t>
      </w:r>
      <w:r w:rsidR="00DF14CD">
        <w:rPr>
          <w:sz w:val="24"/>
          <w:szCs w:val="24"/>
        </w:rPr>
        <w:t>and</w:t>
      </w:r>
      <w:r>
        <w:rPr>
          <w:sz w:val="24"/>
          <w:szCs w:val="24"/>
        </w:rPr>
        <w:t xml:space="preserve"> dataveillance. </w:t>
      </w:r>
      <w:r w:rsidRPr="000B0938">
        <w:rPr>
          <w:i/>
          <w:sz w:val="24"/>
          <w:szCs w:val="24"/>
        </w:rPr>
        <w:t>Commun. ACM.</w:t>
      </w:r>
      <w:r>
        <w:rPr>
          <w:sz w:val="24"/>
          <w:szCs w:val="24"/>
        </w:rPr>
        <w:t xml:space="preserve"> 31,5 p.498-512. </w:t>
      </w:r>
      <w:r w:rsidR="00DB41A7">
        <w:rPr>
          <w:rFonts w:cs="Calibri"/>
          <w:sz w:val="24"/>
          <w:szCs w:val="24"/>
        </w:rPr>
        <w:t>[Online]</w:t>
      </w:r>
      <w:r w:rsidR="00DB41A7" w:rsidRPr="00E85ABD">
        <w:rPr>
          <w:rFonts w:cs="Calibri"/>
          <w:sz w:val="24"/>
          <w:szCs w:val="24"/>
        </w:rPr>
        <w:t xml:space="preserve"> </w:t>
      </w:r>
      <w:r w:rsidR="00DB41A7">
        <w:rPr>
          <w:rFonts w:cs="Calibri"/>
          <w:sz w:val="24"/>
          <w:szCs w:val="24"/>
        </w:rPr>
        <w:t xml:space="preserve">Available from: </w:t>
      </w:r>
      <w:hyperlink r:id="rId20" w:history="1">
        <w:r w:rsidRPr="001C4EF7">
          <w:rPr>
            <w:rStyle w:val="Hyperlink"/>
            <w:sz w:val="24"/>
            <w:szCs w:val="24"/>
          </w:rPr>
          <w:t>http://www.rogerclarke.com/DV/CACM88.html</w:t>
        </w:r>
      </w:hyperlink>
      <w:r w:rsidR="00DB41A7">
        <w:rPr>
          <w:rStyle w:val="Hyperlink"/>
          <w:sz w:val="24"/>
          <w:szCs w:val="24"/>
        </w:rPr>
        <w:t xml:space="preserve"> </w:t>
      </w:r>
      <w:r w:rsidR="00DB41A7">
        <w:rPr>
          <w:rFonts w:cs="Calibri"/>
          <w:sz w:val="24"/>
          <w:szCs w:val="24"/>
        </w:rPr>
        <w:t xml:space="preserve">[Accessed </w:t>
      </w:r>
      <w:r w:rsidR="00DB41A7">
        <w:rPr>
          <w:sz w:val="24"/>
          <w:szCs w:val="24"/>
        </w:rPr>
        <w:t>13.3.16]</w:t>
      </w:r>
      <w:r w:rsidR="008F4759">
        <w:rPr>
          <w:sz w:val="24"/>
          <w:szCs w:val="24"/>
        </w:rPr>
        <w:t>.</w:t>
      </w:r>
    </w:p>
    <w:p w14:paraId="2A9D59F0" w14:textId="77777777" w:rsidR="00D27BF7" w:rsidRPr="00707A08" w:rsidRDefault="00D27BF7" w:rsidP="00D27BF7">
      <w:pPr>
        <w:rPr>
          <w:rFonts w:ascii="TUOS Blake" w:hAnsi="TUOS Blake"/>
          <w:sz w:val="24"/>
          <w:szCs w:val="24"/>
        </w:rPr>
      </w:pPr>
      <w:r w:rsidRPr="00BE6B7D">
        <w:rPr>
          <w:sz w:val="24"/>
          <w:szCs w:val="24"/>
        </w:rPr>
        <w:t>Clough, P. and Nutbrown, C. (2002)</w:t>
      </w:r>
      <w:r>
        <w:rPr>
          <w:sz w:val="24"/>
          <w:szCs w:val="24"/>
        </w:rPr>
        <w:t>.</w:t>
      </w:r>
      <w:r w:rsidRPr="00BE6B7D">
        <w:rPr>
          <w:sz w:val="24"/>
          <w:szCs w:val="24"/>
        </w:rPr>
        <w:t xml:space="preserve"> </w:t>
      </w:r>
      <w:r w:rsidRPr="00BE6B7D">
        <w:rPr>
          <w:i/>
          <w:sz w:val="24"/>
          <w:szCs w:val="24"/>
        </w:rPr>
        <w:t>A Student’s Guide to Methodology</w:t>
      </w:r>
      <w:r w:rsidRPr="00BE6B7D">
        <w:rPr>
          <w:sz w:val="24"/>
          <w:szCs w:val="24"/>
        </w:rPr>
        <w:t>. London: Sage.</w:t>
      </w:r>
    </w:p>
    <w:p w14:paraId="719009DA" w14:textId="77777777" w:rsidR="00D27BF7" w:rsidRDefault="00D27BF7" w:rsidP="00D27BF7">
      <w:pPr>
        <w:spacing w:line="360" w:lineRule="auto"/>
        <w:outlineLvl w:val="0"/>
        <w:rPr>
          <w:sz w:val="24"/>
          <w:szCs w:val="24"/>
        </w:rPr>
      </w:pPr>
      <w:bookmarkStart w:id="170" w:name="_Toc450170273"/>
      <w:bookmarkStart w:id="171" w:name="_Toc451866235"/>
      <w:bookmarkStart w:id="172" w:name="_Toc452316429"/>
      <w:r>
        <w:rPr>
          <w:sz w:val="24"/>
          <w:szCs w:val="24"/>
        </w:rPr>
        <w:t xml:space="preserve">Cousin, G. (2009). </w:t>
      </w:r>
      <w:r w:rsidRPr="00027484">
        <w:rPr>
          <w:i/>
          <w:sz w:val="24"/>
          <w:szCs w:val="24"/>
        </w:rPr>
        <w:t>Researching Learning in Higher Education. An introduction to contemporary Methods and approaches.</w:t>
      </w:r>
      <w:r>
        <w:rPr>
          <w:sz w:val="24"/>
          <w:szCs w:val="24"/>
        </w:rPr>
        <w:t xml:space="preserve"> Oxon: Routledge.</w:t>
      </w:r>
      <w:bookmarkEnd w:id="170"/>
      <w:bookmarkEnd w:id="171"/>
      <w:bookmarkEnd w:id="172"/>
    </w:p>
    <w:p w14:paraId="3DD6DCD8" w14:textId="0496FF15" w:rsidR="00D27BF7" w:rsidRDefault="00D27BF7" w:rsidP="00D27BF7">
      <w:pPr>
        <w:spacing w:line="360" w:lineRule="auto"/>
        <w:outlineLvl w:val="0"/>
        <w:rPr>
          <w:sz w:val="24"/>
          <w:szCs w:val="24"/>
        </w:rPr>
      </w:pPr>
      <w:bookmarkStart w:id="173" w:name="_Toc450170274"/>
      <w:bookmarkStart w:id="174" w:name="_Toc451866236"/>
      <w:bookmarkStart w:id="175" w:name="_Toc452316430"/>
      <w:r>
        <w:rPr>
          <w:sz w:val="24"/>
          <w:szCs w:val="24"/>
        </w:rPr>
        <w:t xml:space="preserve">Dale, T. (2001). Critical policy sociology: historiography, archaeology and genealogy as methods of policy analysis. </w:t>
      </w:r>
      <w:r w:rsidRPr="00D45EF4">
        <w:rPr>
          <w:i/>
          <w:sz w:val="24"/>
          <w:szCs w:val="24"/>
        </w:rPr>
        <w:t>Journal of Education Policy.</w:t>
      </w:r>
      <w:r w:rsidR="008F4759">
        <w:rPr>
          <w:sz w:val="24"/>
          <w:szCs w:val="24"/>
        </w:rPr>
        <w:t xml:space="preserve"> 16 (5), </w:t>
      </w:r>
      <w:r>
        <w:rPr>
          <w:sz w:val="24"/>
          <w:szCs w:val="24"/>
        </w:rPr>
        <w:t>379-393.</w:t>
      </w:r>
      <w:bookmarkEnd w:id="173"/>
      <w:bookmarkEnd w:id="174"/>
      <w:bookmarkEnd w:id="175"/>
    </w:p>
    <w:p w14:paraId="76E30CA1" w14:textId="77777777" w:rsidR="00D27BF7" w:rsidRDefault="00D27BF7" w:rsidP="00D27BF7">
      <w:pPr>
        <w:rPr>
          <w:sz w:val="24"/>
          <w:szCs w:val="24"/>
        </w:rPr>
      </w:pPr>
      <w:r w:rsidRPr="00347549">
        <w:rPr>
          <w:sz w:val="24"/>
          <w:szCs w:val="24"/>
        </w:rPr>
        <w:t xml:space="preserve">DES. (1985). </w:t>
      </w:r>
      <w:r w:rsidRPr="00347549">
        <w:rPr>
          <w:i/>
          <w:sz w:val="24"/>
          <w:szCs w:val="24"/>
        </w:rPr>
        <w:t>The Curriculum from 5 to 16: Curriculum Matters 2</w:t>
      </w:r>
      <w:r w:rsidRPr="00347549">
        <w:rPr>
          <w:sz w:val="24"/>
          <w:szCs w:val="24"/>
        </w:rPr>
        <w:t>. London: HMSO.</w:t>
      </w:r>
    </w:p>
    <w:p w14:paraId="7F68653C" w14:textId="4D158C07" w:rsidR="00D27BF7" w:rsidRPr="007534FE" w:rsidRDefault="00D27BF7" w:rsidP="00D27BF7">
      <w:pPr>
        <w:rPr>
          <w:rFonts w:ascii="Segoe UI" w:hAnsi="Segoe UI" w:cs="Segoe UI"/>
          <w:color w:val="000000"/>
          <w:sz w:val="20"/>
          <w:szCs w:val="20"/>
          <w:lang w:eastAsia="en-GB"/>
        </w:rPr>
      </w:pPr>
      <w:r>
        <w:rPr>
          <w:sz w:val="24"/>
          <w:szCs w:val="24"/>
        </w:rPr>
        <w:t>DfE. (1999</w:t>
      </w:r>
      <w:r w:rsidRPr="00E933F3">
        <w:rPr>
          <w:sz w:val="24"/>
          <w:szCs w:val="24"/>
        </w:rPr>
        <w:t xml:space="preserve">). School Performance Tables. </w:t>
      </w:r>
      <w:r>
        <w:rPr>
          <w:sz w:val="24"/>
          <w:szCs w:val="24"/>
        </w:rPr>
        <w:t xml:space="preserve">DfE (archive). </w:t>
      </w:r>
      <w:r w:rsidR="008F4759">
        <w:rPr>
          <w:rFonts w:cs="Calibri"/>
          <w:sz w:val="24"/>
          <w:szCs w:val="24"/>
        </w:rPr>
        <w:t>[Online]</w:t>
      </w:r>
      <w:r w:rsidR="008F4759" w:rsidRPr="00E85ABD">
        <w:rPr>
          <w:rFonts w:cs="Calibri"/>
          <w:sz w:val="24"/>
          <w:szCs w:val="24"/>
        </w:rPr>
        <w:t xml:space="preserve"> </w:t>
      </w:r>
      <w:r w:rsidR="008F4759">
        <w:rPr>
          <w:rFonts w:cs="Calibri"/>
          <w:sz w:val="24"/>
          <w:szCs w:val="24"/>
        </w:rPr>
        <w:t xml:space="preserve">Available from: </w:t>
      </w:r>
      <w:hyperlink r:id="rId21" w:history="1">
        <w:r w:rsidRPr="007534FE">
          <w:rPr>
            <w:rStyle w:val="Hyperlink"/>
            <w:rFonts w:asciiTheme="minorHAnsi" w:hAnsiTheme="minorHAnsi" w:cs="Segoe UI"/>
            <w:sz w:val="24"/>
            <w:szCs w:val="24"/>
            <w:lang w:eastAsia="en-GB"/>
          </w:rPr>
          <w:t>http://www.education.gov.uk/schools/performance/archive/schools_99/sec1.shtml</w:t>
        </w:r>
      </w:hyperlink>
      <w:r w:rsidR="008F4759">
        <w:rPr>
          <w:rStyle w:val="Hyperlink"/>
          <w:rFonts w:asciiTheme="minorHAnsi" w:hAnsiTheme="minorHAnsi" w:cs="Segoe UI"/>
          <w:sz w:val="24"/>
          <w:szCs w:val="24"/>
          <w:lang w:eastAsia="en-GB"/>
        </w:rPr>
        <w:t xml:space="preserve"> </w:t>
      </w:r>
      <w:r w:rsidR="008F4759" w:rsidRPr="008F4759">
        <w:rPr>
          <w:rStyle w:val="Hyperlink"/>
          <w:rFonts w:asciiTheme="minorHAnsi" w:hAnsiTheme="minorHAnsi" w:cs="Segoe UI"/>
          <w:color w:val="auto"/>
          <w:sz w:val="24"/>
          <w:szCs w:val="24"/>
          <w:u w:val="none"/>
          <w:lang w:eastAsia="en-GB"/>
        </w:rPr>
        <w:t>[Accessed</w:t>
      </w:r>
      <w:r w:rsidR="008F4759" w:rsidRPr="008F4759">
        <w:rPr>
          <w:sz w:val="24"/>
          <w:szCs w:val="24"/>
        </w:rPr>
        <w:t xml:space="preserve"> 24.5.14].</w:t>
      </w:r>
    </w:p>
    <w:p w14:paraId="6300AC9A" w14:textId="313B1CE3" w:rsidR="00D27BF7" w:rsidRPr="008F4759" w:rsidRDefault="00D27BF7" w:rsidP="00D27BF7">
      <w:r w:rsidRPr="00E933F3">
        <w:rPr>
          <w:sz w:val="24"/>
          <w:szCs w:val="24"/>
        </w:rPr>
        <w:lastRenderedPageBreak/>
        <w:t>DfE. (2004). School Performance Tables</w:t>
      </w:r>
      <w:r>
        <w:rPr>
          <w:sz w:val="24"/>
          <w:szCs w:val="24"/>
        </w:rPr>
        <w:t xml:space="preserve"> (archive)</w:t>
      </w:r>
      <w:r w:rsidRPr="00E933F3">
        <w:rPr>
          <w:sz w:val="24"/>
          <w:szCs w:val="24"/>
        </w:rPr>
        <w:t xml:space="preserve">. </w:t>
      </w:r>
      <w:r w:rsidR="008F4759">
        <w:rPr>
          <w:sz w:val="24"/>
          <w:szCs w:val="24"/>
        </w:rPr>
        <w:t xml:space="preserve">DfE. </w:t>
      </w:r>
      <w:r w:rsidR="008F4759">
        <w:rPr>
          <w:rFonts w:cs="Calibri"/>
          <w:sz w:val="24"/>
          <w:szCs w:val="24"/>
        </w:rPr>
        <w:t>[Online]</w:t>
      </w:r>
      <w:r w:rsidR="008F4759" w:rsidRPr="00E85ABD">
        <w:rPr>
          <w:rFonts w:cs="Calibri"/>
          <w:sz w:val="24"/>
          <w:szCs w:val="24"/>
        </w:rPr>
        <w:t xml:space="preserve"> </w:t>
      </w:r>
      <w:r w:rsidR="008F4759">
        <w:rPr>
          <w:rFonts w:cs="Calibri"/>
          <w:sz w:val="24"/>
          <w:szCs w:val="24"/>
        </w:rPr>
        <w:t xml:space="preserve">Available from: </w:t>
      </w:r>
      <w:hyperlink r:id="rId22" w:history="1">
        <w:r w:rsidRPr="00412A18">
          <w:rPr>
            <w:rStyle w:val="Hyperlink"/>
          </w:rPr>
          <w:t>http://www.education.gov.uk/schools/performance/archive/schools_04/sec3a.shtml</w:t>
        </w:r>
      </w:hyperlink>
      <w:r w:rsidR="008F4759">
        <w:rPr>
          <w:rStyle w:val="Hyperlink"/>
        </w:rPr>
        <w:t xml:space="preserve"> </w:t>
      </w:r>
      <w:r w:rsidR="008F4759" w:rsidRPr="008F4759">
        <w:rPr>
          <w:rStyle w:val="Hyperlink"/>
          <w:color w:val="auto"/>
          <w:u w:val="none"/>
        </w:rPr>
        <w:t xml:space="preserve">[Accessed </w:t>
      </w:r>
      <w:r w:rsidR="008F4759" w:rsidRPr="008F4759">
        <w:rPr>
          <w:sz w:val="24"/>
          <w:szCs w:val="24"/>
        </w:rPr>
        <w:t>24.5.14]</w:t>
      </w:r>
    </w:p>
    <w:p w14:paraId="2BEA68E3" w14:textId="77777777" w:rsidR="00D27BF7" w:rsidRDefault="00D27BF7" w:rsidP="00D27BF7">
      <w:pPr>
        <w:spacing w:line="360" w:lineRule="auto"/>
        <w:outlineLvl w:val="0"/>
        <w:rPr>
          <w:sz w:val="24"/>
          <w:szCs w:val="24"/>
        </w:rPr>
      </w:pPr>
      <w:bookmarkStart w:id="176" w:name="_Toc450170275"/>
      <w:bookmarkStart w:id="177" w:name="_Toc451866237"/>
      <w:bookmarkStart w:id="178" w:name="_Toc452316431"/>
      <w:r w:rsidRPr="00194BA9">
        <w:rPr>
          <w:sz w:val="24"/>
          <w:szCs w:val="24"/>
        </w:rPr>
        <w:t>DfE</w:t>
      </w:r>
      <w:r>
        <w:rPr>
          <w:sz w:val="24"/>
          <w:szCs w:val="24"/>
        </w:rPr>
        <w:t>.</w:t>
      </w:r>
      <w:r w:rsidRPr="00194BA9">
        <w:rPr>
          <w:sz w:val="24"/>
          <w:szCs w:val="24"/>
        </w:rPr>
        <w:t xml:space="preserve"> (Nov 2010</w:t>
      </w:r>
      <w:r>
        <w:rPr>
          <w:sz w:val="24"/>
          <w:szCs w:val="24"/>
        </w:rPr>
        <w:t>a</w:t>
      </w:r>
      <w:r w:rsidRPr="00194BA9">
        <w:rPr>
          <w:sz w:val="24"/>
          <w:szCs w:val="24"/>
        </w:rPr>
        <w:t xml:space="preserve">). </w:t>
      </w:r>
      <w:r w:rsidRPr="00907554">
        <w:rPr>
          <w:i/>
          <w:sz w:val="24"/>
          <w:szCs w:val="24"/>
        </w:rPr>
        <w:t xml:space="preserve">The </w:t>
      </w:r>
      <w:r w:rsidRPr="0022701D">
        <w:rPr>
          <w:i/>
          <w:sz w:val="24"/>
          <w:szCs w:val="24"/>
        </w:rPr>
        <w:t>Importance of Teaching White Paper.</w:t>
      </w:r>
      <w:r w:rsidRPr="00194BA9">
        <w:rPr>
          <w:sz w:val="24"/>
          <w:szCs w:val="24"/>
        </w:rPr>
        <w:t xml:space="preserve"> London: DfE.</w:t>
      </w:r>
      <w:bookmarkEnd w:id="176"/>
      <w:bookmarkEnd w:id="177"/>
      <w:bookmarkEnd w:id="178"/>
    </w:p>
    <w:p w14:paraId="5AC6973E" w14:textId="77777777" w:rsidR="00D27BF7" w:rsidRDefault="00D27BF7" w:rsidP="00D27BF7">
      <w:pPr>
        <w:spacing w:line="360" w:lineRule="auto"/>
        <w:outlineLvl w:val="0"/>
        <w:rPr>
          <w:sz w:val="24"/>
          <w:szCs w:val="24"/>
        </w:rPr>
      </w:pPr>
      <w:bookmarkStart w:id="179" w:name="_Toc450170276"/>
      <w:bookmarkStart w:id="180" w:name="_Toc451866238"/>
      <w:bookmarkStart w:id="181" w:name="_Toc452316432"/>
      <w:r>
        <w:rPr>
          <w:sz w:val="24"/>
          <w:szCs w:val="24"/>
        </w:rPr>
        <w:t xml:space="preserve">DfE. (Nov 2010b). </w:t>
      </w:r>
      <w:r w:rsidRPr="00907554">
        <w:rPr>
          <w:i/>
          <w:sz w:val="24"/>
          <w:szCs w:val="24"/>
        </w:rPr>
        <w:t xml:space="preserve">The </w:t>
      </w:r>
      <w:r w:rsidRPr="0022701D">
        <w:rPr>
          <w:i/>
          <w:sz w:val="24"/>
          <w:szCs w:val="24"/>
        </w:rPr>
        <w:t>Importance of Teaching White Paper</w:t>
      </w:r>
      <w:r>
        <w:rPr>
          <w:i/>
          <w:sz w:val="24"/>
          <w:szCs w:val="24"/>
        </w:rPr>
        <w:t>: Impact Assessment</w:t>
      </w:r>
      <w:r w:rsidRPr="0022701D">
        <w:rPr>
          <w:i/>
          <w:sz w:val="24"/>
          <w:szCs w:val="24"/>
        </w:rPr>
        <w:t>.</w:t>
      </w:r>
      <w:r w:rsidRPr="00194BA9">
        <w:rPr>
          <w:sz w:val="24"/>
          <w:szCs w:val="24"/>
        </w:rPr>
        <w:t xml:space="preserve"> London: DfE.</w:t>
      </w:r>
      <w:bookmarkEnd w:id="179"/>
      <w:bookmarkEnd w:id="180"/>
      <w:bookmarkEnd w:id="181"/>
    </w:p>
    <w:p w14:paraId="0FA50A01" w14:textId="77777777" w:rsidR="00D27BF7" w:rsidRPr="00194BA9" w:rsidRDefault="00D27BF7" w:rsidP="00D27BF7">
      <w:pPr>
        <w:spacing w:line="360" w:lineRule="auto"/>
        <w:rPr>
          <w:sz w:val="24"/>
          <w:szCs w:val="24"/>
        </w:rPr>
      </w:pPr>
      <w:r>
        <w:rPr>
          <w:sz w:val="24"/>
          <w:szCs w:val="24"/>
        </w:rPr>
        <w:t xml:space="preserve">DfE. (2010c). </w:t>
      </w:r>
      <w:r w:rsidRPr="0022701D">
        <w:rPr>
          <w:i/>
          <w:sz w:val="24"/>
          <w:szCs w:val="24"/>
        </w:rPr>
        <w:t>The Importance of Teaching White Paper Equalities Impact Assessment.</w:t>
      </w:r>
      <w:r>
        <w:rPr>
          <w:sz w:val="24"/>
          <w:szCs w:val="24"/>
        </w:rPr>
        <w:t xml:space="preserve"> London, DfE.</w:t>
      </w:r>
    </w:p>
    <w:p w14:paraId="497D9218" w14:textId="77777777" w:rsidR="00D27BF7" w:rsidRDefault="00D27BF7" w:rsidP="00D27BF7">
      <w:pPr>
        <w:spacing w:line="360" w:lineRule="auto"/>
        <w:rPr>
          <w:sz w:val="24"/>
          <w:szCs w:val="24"/>
        </w:rPr>
      </w:pPr>
      <w:r w:rsidRPr="00194BA9">
        <w:rPr>
          <w:sz w:val="24"/>
          <w:szCs w:val="24"/>
        </w:rPr>
        <w:t>DfE</w:t>
      </w:r>
      <w:r>
        <w:rPr>
          <w:sz w:val="24"/>
          <w:szCs w:val="24"/>
        </w:rPr>
        <w:t>.</w:t>
      </w:r>
      <w:r w:rsidRPr="00194BA9">
        <w:rPr>
          <w:sz w:val="24"/>
          <w:szCs w:val="24"/>
        </w:rPr>
        <w:t xml:space="preserve"> (Dec 2010</w:t>
      </w:r>
      <w:r>
        <w:rPr>
          <w:sz w:val="24"/>
          <w:szCs w:val="24"/>
        </w:rPr>
        <w:t>d</w:t>
      </w:r>
      <w:r w:rsidRPr="00194BA9">
        <w:rPr>
          <w:sz w:val="24"/>
          <w:szCs w:val="24"/>
        </w:rPr>
        <w:t xml:space="preserve">). </w:t>
      </w:r>
      <w:r w:rsidRPr="0022701D">
        <w:rPr>
          <w:i/>
          <w:sz w:val="24"/>
          <w:szCs w:val="24"/>
        </w:rPr>
        <w:t>Schools White Paper Statement of intent 2010 addendum</w:t>
      </w:r>
      <w:r>
        <w:rPr>
          <w:sz w:val="24"/>
          <w:szCs w:val="24"/>
        </w:rPr>
        <w:t>. London, DfE.</w:t>
      </w:r>
    </w:p>
    <w:p w14:paraId="715A725D" w14:textId="4A2EA07E" w:rsidR="00D27BF7" w:rsidRDefault="00D27BF7" w:rsidP="00D27BF7">
      <w:pPr>
        <w:spacing w:line="360" w:lineRule="auto"/>
        <w:rPr>
          <w:rStyle w:val="Hyperlink"/>
          <w:rFonts w:asciiTheme="minorHAnsi" w:hAnsiTheme="minorHAnsi" w:cs="Segoe UI"/>
          <w:color w:val="auto"/>
          <w:sz w:val="24"/>
          <w:szCs w:val="24"/>
          <w:u w:val="none"/>
          <w:lang w:eastAsia="en-GB"/>
        </w:rPr>
      </w:pPr>
      <w:r>
        <w:rPr>
          <w:sz w:val="24"/>
          <w:szCs w:val="24"/>
        </w:rPr>
        <w:t xml:space="preserve">DfE. (2010e). </w:t>
      </w:r>
      <w:r w:rsidRPr="00F42E72">
        <w:rPr>
          <w:i/>
          <w:sz w:val="24"/>
          <w:szCs w:val="24"/>
        </w:rPr>
        <w:t>Performance Tables 2010: User guide and resources: Pupils and qualifications reported.</w:t>
      </w:r>
      <w:r>
        <w:rPr>
          <w:sz w:val="24"/>
          <w:szCs w:val="24"/>
        </w:rPr>
        <w:t xml:space="preserve"> London: DfE</w:t>
      </w:r>
      <w:r w:rsidRPr="008F4759">
        <w:rPr>
          <w:rFonts w:asciiTheme="minorHAnsi" w:hAnsiTheme="minorHAnsi"/>
          <w:sz w:val="24"/>
          <w:szCs w:val="24"/>
        </w:rPr>
        <w:t xml:space="preserve">. </w:t>
      </w:r>
      <w:r w:rsidR="008F4759" w:rsidRPr="008F4759">
        <w:rPr>
          <w:rFonts w:asciiTheme="minorHAnsi" w:hAnsiTheme="minorHAnsi" w:cs="Calibri"/>
          <w:sz w:val="24"/>
          <w:szCs w:val="24"/>
        </w:rPr>
        <w:t xml:space="preserve">[Online] Available from: </w:t>
      </w:r>
      <w:hyperlink r:id="rId23" w:history="1">
        <w:r w:rsidRPr="008F4759">
          <w:rPr>
            <w:rStyle w:val="Hyperlink"/>
            <w:rFonts w:asciiTheme="minorHAnsi" w:hAnsiTheme="minorHAnsi" w:cs="Segoe UI"/>
            <w:sz w:val="24"/>
            <w:szCs w:val="24"/>
            <w:lang w:eastAsia="en-GB"/>
          </w:rPr>
          <w:t>http://www.education.gov.uk/schools/performance/archive/schools_10/s4.shtml</w:t>
        </w:r>
      </w:hyperlink>
      <w:r w:rsidR="008F4759">
        <w:rPr>
          <w:rStyle w:val="Hyperlink"/>
          <w:rFonts w:ascii="Segoe UI" w:hAnsi="Segoe UI" w:cs="Segoe UI"/>
          <w:sz w:val="20"/>
          <w:szCs w:val="20"/>
          <w:lang w:eastAsia="en-GB"/>
        </w:rPr>
        <w:t xml:space="preserve"> </w:t>
      </w:r>
      <w:r w:rsidR="008F4759" w:rsidRPr="008F4759">
        <w:rPr>
          <w:rStyle w:val="Hyperlink"/>
          <w:rFonts w:asciiTheme="minorHAnsi" w:hAnsiTheme="minorHAnsi" w:cs="Segoe UI"/>
          <w:color w:val="auto"/>
          <w:sz w:val="24"/>
          <w:szCs w:val="24"/>
          <w:u w:val="none"/>
          <w:lang w:eastAsia="en-GB"/>
        </w:rPr>
        <w:t>[Accessed 20.3.16]</w:t>
      </w:r>
    </w:p>
    <w:p w14:paraId="4886C753" w14:textId="2BB4E0BD" w:rsidR="00BE350B" w:rsidRPr="0095630C" w:rsidRDefault="00BE350B" w:rsidP="00D27BF7">
      <w:pPr>
        <w:spacing w:line="360" w:lineRule="auto"/>
        <w:rPr>
          <w:rFonts w:ascii="Segoe UI" w:hAnsi="Segoe UI" w:cs="Segoe UI"/>
          <w:color w:val="000000"/>
          <w:sz w:val="20"/>
          <w:szCs w:val="20"/>
          <w:lang w:eastAsia="en-GB"/>
        </w:rPr>
      </w:pPr>
      <w:r>
        <w:rPr>
          <w:rStyle w:val="Hyperlink"/>
          <w:rFonts w:asciiTheme="minorHAnsi" w:hAnsiTheme="minorHAnsi" w:cs="Segoe UI"/>
          <w:color w:val="auto"/>
          <w:sz w:val="24"/>
          <w:szCs w:val="24"/>
          <w:u w:val="none"/>
          <w:lang w:eastAsia="en-GB"/>
        </w:rPr>
        <w:t xml:space="preserve">DfE. (2011). </w:t>
      </w:r>
      <w:r w:rsidRPr="00347549">
        <w:rPr>
          <w:i/>
          <w:sz w:val="24"/>
          <w:szCs w:val="24"/>
        </w:rPr>
        <w:t>Statistical First Release</w:t>
      </w:r>
      <w:r>
        <w:rPr>
          <w:i/>
          <w:sz w:val="24"/>
          <w:szCs w:val="24"/>
        </w:rPr>
        <w:t>: Revised</w:t>
      </w:r>
      <w:r w:rsidRPr="00347549">
        <w:rPr>
          <w:i/>
          <w:sz w:val="24"/>
          <w:szCs w:val="24"/>
        </w:rPr>
        <w:t xml:space="preserve"> GCSE and equivalent results in England </w:t>
      </w:r>
      <w:r>
        <w:rPr>
          <w:i/>
          <w:sz w:val="24"/>
          <w:szCs w:val="24"/>
        </w:rPr>
        <w:t>2009</w:t>
      </w:r>
      <w:r w:rsidRPr="00347549">
        <w:rPr>
          <w:i/>
          <w:sz w:val="24"/>
          <w:szCs w:val="24"/>
        </w:rPr>
        <w:t>/201</w:t>
      </w:r>
      <w:r>
        <w:rPr>
          <w:i/>
          <w:sz w:val="24"/>
          <w:szCs w:val="24"/>
        </w:rPr>
        <w:t>0 (Revised)</w:t>
      </w:r>
      <w:r w:rsidRPr="00347549">
        <w:rPr>
          <w:i/>
          <w:sz w:val="24"/>
          <w:szCs w:val="24"/>
        </w:rPr>
        <w:t xml:space="preserve">. </w:t>
      </w:r>
      <w:r>
        <w:rPr>
          <w:sz w:val="24"/>
          <w:szCs w:val="24"/>
        </w:rPr>
        <w:t>London: DfE.</w:t>
      </w:r>
    </w:p>
    <w:p w14:paraId="35E25D36" w14:textId="0B1B9490" w:rsidR="00D27BF7" w:rsidRDefault="00D27BF7" w:rsidP="00D27BF7">
      <w:pPr>
        <w:spacing w:line="360" w:lineRule="auto"/>
        <w:rPr>
          <w:sz w:val="24"/>
          <w:szCs w:val="24"/>
        </w:rPr>
      </w:pPr>
      <w:r>
        <w:rPr>
          <w:sz w:val="24"/>
          <w:szCs w:val="24"/>
        </w:rPr>
        <w:t xml:space="preserve">DfE. (Jan 2013). </w:t>
      </w:r>
      <w:r w:rsidRPr="00347549">
        <w:rPr>
          <w:i/>
          <w:sz w:val="24"/>
          <w:szCs w:val="24"/>
        </w:rPr>
        <w:t>Statistical First Release</w:t>
      </w:r>
      <w:r>
        <w:rPr>
          <w:i/>
          <w:sz w:val="24"/>
          <w:szCs w:val="24"/>
        </w:rPr>
        <w:t>: Revised</w:t>
      </w:r>
      <w:r w:rsidRPr="00347549">
        <w:rPr>
          <w:i/>
          <w:sz w:val="24"/>
          <w:szCs w:val="24"/>
        </w:rPr>
        <w:t xml:space="preserve"> GCSE and e</w:t>
      </w:r>
      <w:r w:rsidR="00BE350B">
        <w:rPr>
          <w:i/>
          <w:sz w:val="24"/>
          <w:szCs w:val="24"/>
        </w:rPr>
        <w:t xml:space="preserve">quivalent results in England </w:t>
      </w:r>
      <w:r w:rsidR="00BE350B" w:rsidRPr="00347549">
        <w:rPr>
          <w:i/>
          <w:sz w:val="24"/>
          <w:szCs w:val="24"/>
        </w:rPr>
        <w:t>201</w:t>
      </w:r>
      <w:r w:rsidR="00BE350B">
        <w:rPr>
          <w:i/>
          <w:sz w:val="24"/>
          <w:szCs w:val="24"/>
        </w:rPr>
        <w:t>1</w:t>
      </w:r>
      <w:r w:rsidR="00BE350B" w:rsidRPr="00347549">
        <w:rPr>
          <w:i/>
          <w:sz w:val="24"/>
          <w:szCs w:val="24"/>
        </w:rPr>
        <w:t>/201</w:t>
      </w:r>
      <w:r w:rsidR="00BE350B">
        <w:rPr>
          <w:i/>
          <w:sz w:val="24"/>
          <w:szCs w:val="24"/>
        </w:rPr>
        <w:t>2</w:t>
      </w:r>
      <w:r w:rsidR="00BE350B" w:rsidRPr="00347549">
        <w:rPr>
          <w:i/>
          <w:sz w:val="24"/>
          <w:szCs w:val="24"/>
        </w:rPr>
        <w:t xml:space="preserve">. </w:t>
      </w:r>
      <w:r>
        <w:rPr>
          <w:sz w:val="24"/>
          <w:szCs w:val="24"/>
        </w:rPr>
        <w:t>London: DfE.</w:t>
      </w:r>
    </w:p>
    <w:p w14:paraId="481EAB2C" w14:textId="77777777" w:rsidR="00D27BF7" w:rsidRPr="00CC1008" w:rsidRDefault="00D27BF7" w:rsidP="00D27BF7">
      <w:pPr>
        <w:spacing w:line="360" w:lineRule="auto"/>
        <w:rPr>
          <w:sz w:val="24"/>
          <w:szCs w:val="24"/>
        </w:rPr>
      </w:pPr>
      <w:r w:rsidRPr="00CC1008">
        <w:rPr>
          <w:sz w:val="24"/>
          <w:szCs w:val="24"/>
        </w:rPr>
        <w:t xml:space="preserve">DfE. (Jan 2014a). GCSE and equivalent attainment by pupil characteristics in England, 202/2013. London: DfE. </w:t>
      </w:r>
    </w:p>
    <w:p w14:paraId="5B99868F" w14:textId="688409C5" w:rsidR="00D27BF7" w:rsidRDefault="00D27BF7" w:rsidP="00D27BF7">
      <w:pPr>
        <w:spacing w:line="360" w:lineRule="auto"/>
        <w:rPr>
          <w:sz w:val="24"/>
          <w:szCs w:val="24"/>
        </w:rPr>
      </w:pPr>
      <w:r>
        <w:rPr>
          <w:sz w:val="24"/>
          <w:szCs w:val="24"/>
        </w:rPr>
        <w:t xml:space="preserve">DfE. (July 2014b). </w:t>
      </w:r>
      <w:r w:rsidRPr="004B0AD4">
        <w:rPr>
          <w:i/>
          <w:sz w:val="24"/>
          <w:szCs w:val="24"/>
        </w:rPr>
        <w:t>2014 School and College Performance Tables – Statement of Intent.</w:t>
      </w:r>
      <w:r>
        <w:rPr>
          <w:sz w:val="24"/>
          <w:szCs w:val="24"/>
        </w:rPr>
        <w:t xml:space="preserve"> London; DfE. </w:t>
      </w:r>
    </w:p>
    <w:p w14:paraId="66E524A6" w14:textId="349C903D" w:rsidR="00CD2F36" w:rsidRDefault="00CD2F36" w:rsidP="00D27BF7">
      <w:pPr>
        <w:spacing w:line="360" w:lineRule="auto"/>
        <w:rPr>
          <w:sz w:val="24"/>
          <w:szCs w:val="24"/>
        </w:rPr>
      </w:pPr>
      <w:r>
        <w:rPr>
          <w:sz w:val="24"/>
          <w:szCs w:val="24"/>
        </w:rPr>
        <w:t xml:space="preserve">DfE. (July 2014c). </w:t>
      </w:r>
      <w:r w:rsidRPr="00CD2F36">
        <w:rPr>
          <w:i/>
          <w:sz w:val="24"/>
          <w:szCs w:val="24"/>
        </w:rPr>
        <w:t>Fairer schools funding arrangements for 2015 to 2016.</w:t>
      </w:r>
      <w:r>
        <w:rPr>
          <w:sz w:val="24"/>
          <w:szCs w:val="24"/>
        </w:rPr>
        <w:t xml:space="preserve"> London: DfE.</w:t>
      </w:r>
    </w:p>
    <w:p w14:paraId="2BCBF20B" w14:textId="2C77AFB9" w:rsidR="00D27BF7" w:rsidRDefault="00D27BF7" w:rsidP="00D27BF7">
      <w:pPr>
        <w:spacing w:line="360" w:lineRule="auto"/>
        <w:rPr>
          <w:sz w:val="24"/>
          <w:szCs w:val="24"/>
        </w:rPr>
      </w:pPr>
      <w:r>
        <w:rPr>
          <w:sz w:val="24"/>
          <w:szCs w:val="24"/>
        </w:rPr>
        <w:t>DfE. (Oct 2014</w:t>
      </w:r>
      <w:r w:rsidR="00CD2F36">
        <w:rPr>
          <w:sz w:val="24"/>
          <w:szCs w:val="24"/>
        </w:rPr>
        <w:t>d</w:t>
      </w:r>
      <w:r>
        <w:rPr>
          <w:sz w:val="24"/>
          <w:szCs w:val="24"/>
        </w:rPr>
        <w:t xml:space="preserve">). </w:t>
      </w:r>
      <w:r w:rsidRPr="00347549">
        <w:rPr>
          <w:i/>
          <w:sz w:val="24"/>
          <w:szCs w:val="24"/>
        </w:rPr>
        <w:t>Statistical First Release</w:t>
      </w:r>
      <w:r>
        <w:rPr>
          <w:i/>
          <w:sz w:val="24"/>
          <w:szCs w:val="24"/>
        </w:rPr>
        <w:t>: Provisional</w:t>
      </w:r>
      <w:r w:rsidRPr="00347549">
        <w:rPr>
          <w:i/>
          <w:sz w:val="24"/>
          <w:szCs w:val="24"/>
        </w:rPr>
        <w:t xml:space="preserve"> GCSE and equivalent results in England 201</w:t>
      </w:r>
      <w:r>
        <w:rPr>
          <w:i/>
          <w:sz w:val="24"/>
          <w:szCs w:val="24"/>
        </w:rPr>
        <w:t>3</w:t>
      </w:r>
      <w:r w:rsidRPr="00347549">
        <w:rPr>
          <w:i/>
          <w:sz w:val="24"/>
          <w:szCs w:val="24"/>
        </w:rPr>
        <w:t>/201</w:t>
      </w:r>
      <w:r>
        <w:rPr>
          <w:i/>
          <w:sz w:val="24"/>
          <w:szCs w:val="24"/>
        </w:rPr>
        <w:t>4</w:t>
      </w:r>
      <w:r w:rsidRPr="00347549">
        <w:rPr>
          <w:i/>
          <w:sz w:val="24"/>
          <w:szCs w:val="24"/>
        </w:rPr>
        <w:t xml:space="preserve">. </w:t>
      </w:r>
      <w:r>
        <w:rPr>
          <w:sz w:val="24"/>
          <w:szCs w:val="24"/>
        </w:rPr>
        <w:t>London: DfE.</w:t>
      </w:r>
    </w:p>
    <w:p w14:paraId="4A115E85" w14:textId="77777777" w:rsidR="00D27BF7" w:rsidRDefault="00D27BF7" w:rsidP="00D27BF7">
      <w:pPr>
        <w:spacing w:line="360" w:lineRule="auto"/>
        <w:rPr>
          <w:sz w:val="24"/>
          <w:szCs w:val="24"/>
        </w:rPr>
      </w:pPr>
      <w:r>
        <w:rPr>
          <w:sz w:val="24"/>
          <w:szCs w:val="24"/>
        </w:rPr>
        <w:t xml:space="preserve">DfE. (Jan 2015a). </w:t>
      </w:r>
      <w:r w:rsidRPr="00AB5FAF">
        <w:rPr>
          <w:i/>
          <w:sz w:val="24"/>
          <w:szCs w:val="24"/>
        </w:rPr>
        <w:t>Statistical First Release: GCSE and equivalent attainment by pupil characteristics, 2013 to 2014 (Revised).</w:t>
      </w:r>
      <w:r>
        <w:rPr>
          <w:sz w:val="24"/>
          <w:szCs w:val="24"/>
        </w:rPr>
        <w:t xml:space="preserve"> London: DfE.</w:t>
      </w:r>
    </w:p>
    <w:p w14:paraId="1763FBF2" w14:textId="77777777" w:rsidR="00D27BF7" w:rsidRDefault="00D27BF7" w:rsidP="00D27BF7">
      <w:pPr>
        <w:spacing w:line="360" w:lineRule="auto"/>
        <w:rPr>
          <w:sz w:val="24"/>
          <w:szCs w:val="24"/>
        </w:rPr>
      </w:pPr>
      <w:r>
        <w:rPr>
          <w:sz w:val="24"/>
          <w:szCs w:val="24"/>
        </w:rPr>
        <w:lastRenderedPageBreak/>
        <w:t xml:space="preserve">DfE. (Nov 2015b). </w:t>
      </w:r>
      <w:r w:rsidRPr="004B0AD4">
        <w:rPr>
          <w:i/>
          <w:sz w:val="24"/>
          <w:szCs w:val="24"/>
        </w:rPr>
        <w:t>Consultation on Implementing the English Baccalaureate</w:t>
      </w:r>
      <w:r>
        <w:rPr>
          <w:sz w:val="24"/>
          <w:szCs w:val="24"/>
        </w:rPr>
        <w:t>. London: DfE.</w:t>
      </w:r>
    </w:p>
    <w:p w14:paraId="71C52E68" w14:textId="77777777" w:rsidR="00D27BF7" w:rsidRDefault="00D27BF7" w:rsidP="00D27BF7">
      <w:pPr>
        <w:spacing w:line="360" w:lineRule="auto"/>
        <w:rPr>
          <w:sz w:val="24"/>
          <w:szCs w:val="24"/>
        </w:rPr>
      </w:pPr>
      <w:r>
        <w:rPr>
          <w:sz w:val="24"/>
          <w:szCs w:val="24"/>
        </w:rPr>
        <w:t xml:space="preserve">DfE. (Jan 2016). </w:t>
      </w:r>
      <w:r w:rsidRPr="00347549">
        <w:rPr>
          <w:i/>
          <w:sz w:val="24"/>
          <w:szCs w:val="24"/>
        </w:rPr>
        <w:t>Statistical First Release</w:t>
      </w:r>
      <w:r>
        <w:rPr>
          <w:i/>
          <w:sz w:val="24"/>
          <w:szCs w:val="24"/>
        </w:rPr>
        <w:t>: Revised</w:t>
      </w:r>
      <w:r w:rsidRPr="00347549">
        <w:rPr>
          <w:i/>
          <w:sz w:val="24"/>
          <w:szCs w:val="24"/>
        </w:rPr>
        <w:t xml:space="preserve"> GCSE and equivalent results in England 201</w:t>
      </w:r>
      <w:r>
        <w:rPr>
          <w:i/>
          <w:sz w:val="24"/>
          <w:szCs w:val="24"/>
        </w:rPr>
        <w:t>4</w:t>
      </w:r>
      <w:r w:rsidRPr="00347549">
        <w:rPr>
          <w:i/>
          <w:sz w:val="24"/>
          <w:szCs w:val="24"/>
        </w:rPr>
        <w:t>/201</w:t>
      </w:r>
      <w:r>
        <w:rPr>
          <w:i/>
          <w:sz w:val="24"/>
          <w:szCs w:val="24"/>
        </w:rPr>
        <w:t>5</w:t>
      </w:r>
      <w:r w:rsidRPr="00347549">
        <w:rPr>
          <w:i/>
          <w:sz w:val="24"/>
          <w:szCs w:val="24"/>
        </w:rPr>
        <w:t xml:space="preserve">. </w:t>
      </w:r>
      <w:r>
        <w:rPr>
          <w:sz w:val="24"/>
          <w:szCs w:val="24"/>
        </w:rPr>
        <w:t>London: DfE.</w:t>
      </w:r>
    </w:p>
    <w:p w14:paraId="34922E2A" w14:textId="77777777" w:rsidR="00D27BF7" w:rsidRDefault="00D27BF7" w:rsidP="00D27BF7">
      <w:pPr>
        <w:spacing w:line="360" w:lineRule="auto"/>
        <w:rPr>
          <w:sz w:val="24"/>
          <w:szCs w:val="24"/>
        </w:rPr>
      </w:pPr>
      <w:r>
        <w:rPr>
          <w:sz w:val="24"/>
          <w:szCs w:val="24"/>
        </w:rPr>
        <w:t xml:space="preserve">DfEE. (2000). </w:t>
      </w:r>
      <w:r w:rsidRPr="009F6FFE">
        <w:rPr>
          <w:i/>
          <w:sz w:val="24"/>
          <w:szCs w:val="24"/>
        </w:rPr>
        <w:t>Learning and Skill Act.</w:t>
      </w:r>
      <w:r>
        <w:rPr>
          <w:sz w:val="24"/>
          <w:szCs w:val="24"/>
        </w:rPr>
        <w:t xml:space="preserve"> London: DfEE.</w:t>
      </w:r>
    </w:p>
    <w:p w14:paraId="6701C7C3" w14:textId="77777777" w:rsidR="00D27BF7" w:rsidRDefault="00D27BF7" w:rsidP="00D27BF7">
      <w:pPr>
        <w:spacing w:line="360" w:lineRule="auto"/>
        <w:rPr>
          <w:sz w:val="24"/>
          <w:szCs w:val="24"/>
        </w:rPr>
      </w:pPr>
      <w:r>
        <w:rPr>
          <w:sz w:val="24"/>
          <w:szCs w:val="24"/>
        </w:rPr>
        <w:t xml:space="preserve">DfES. (2001) </w:t>
      </w:r>
      <w:r w:rsidRPr="009F6FFE">
        <w:rPr>
          <w:i/>
          <w:sz w:val="24"/>
          <w:szCs w:val="24"/>
        </w:rPr>
        <w:t>School – achieving success</w:t>
      </w:r>
      <w:r>
        <w:rPr>
          <w:sz w:val="24"/>
          <w:szCs w:val="24"/>
        </w:rPr>
        <w:t xml:space="preserve"> </w:t>
      </w:r>
      <w:r w:rsidRPr="009F6FFE">
        <w:rPr>
          <w:i/>
          <w:sz w:val="24"/>
          <w:szCs w:val="24"/>
        </w:rPr>
        <w:t>White Paper</w:t>
      </w:r>
      <w:r>
        <w:rPr>
          <w:sz w:val="24"/>
          <w:szCs w:val="24"/>
        </w:rPr>
        <w:t>. London: DfES.</w:t>
      </w:r>
    </w:p>
    <w:p w14:paraId="4A59811F" w14:textId="77777777" w:rsidR="00D27BF7" w:rsidRDefault="00D27BF7" w:rsidP="00D27BF7">
      <w:pPr>
        <w:spacing w:line="360" w:lineRule="auto"/>
        <w:rPr>
          <w:sz w:val="24"/>
          <w:szCs w:val="24"/>
        </w:rPr>
      </w:pPr>
      <w:r>
        <w:rPr>
          <w:sz w:val="24"/>
          <w:szCs w:val="24"/>
        </w:rPr>
        <w:t xml:space="preserve">DfES. (2002). </w:t>
      </w:r>
      <w:r w:rsidRPr="00347549">
        <w:rPr>
          <w:i/>
          <w:sz w:val="24"/>
          <w:szCs w:val="24"/>
        </w:rPr>
        <w:t>14-19: extending opportunities, raising standards summary.</w:t>
      </w:r>
      <w:r>
        <w:rPr>
          <w:sz w:val="24"/>
          <w:szCs w:val="24"/>
        </w:rPr>
        <w:t xml:space="preserve"> Nottinghamshire, DfES publications.</w:t>
      </w:r>
    </w:p>
    <w:p w14:paraId="66BB50B6" w14:textId="77777777" w:rsidR="00D27BF7" w:rsidRDefault="00D27BF7" w:rsidP="00D27BF7">
      <w:pPr>
        <w:spacing w:line="360" w:lineRule="auto"/>
        <w:rPr>
          <w:sz w:val="24"/>
          <w:szCs w:val="24"/>
        </w:rPr>
      </w:pPr>
      <w:r>
        <w:rPr>
          <w:sz w:val="24"/>
          <w:szCs w:val="24"/>
        </w:rPr>
        <w:t xml:space="preserve">DfES. (2003). </w:t>
      </w:r>
      <w:r w:rsidRPr="00347549">
        <w:rPr>
          <w:i/>
          <w:sz w:val="24"/>
          <w:szCs w:val="24"/>
        </w:rPr>
        <w:t>Building schools for the future.</w:t>
      </w:r>
      <w:r>
        <w:rPr>
          <w:sz w:val="24"/>
          <w:szCs w:val="24"/>
        </w:rPr>
        <w:t xml:space="preserve"> Nottinghamshire, DfES publications.</w:t>
      </w:r>
    </w:p>
    <w:p w14:paraId="3B1436C6" w14:textId="77777777" w:rsidR="00D27BF7" w:rsidRDefault="00D27BF7" w:rsidP="00D27BF7">
      <w:pPr>
        <w:spacing w:line="360" w:lineRule="auto"/>
        <w:rPr>
          <w:sz w:val="24"/>
          <w:szCs w:val="24"/>
        </w:rPr>
      </w:pPr>
      <w:r>
        <w:rPr>
          <w:sz w:val="24"/>
          <w:szCs w:val="24"/>
        </w:rPr>
        <w:t xml:space="preserve">DfES. (Jan 2004). </w:t>
      </w:r>
      <w:r w:rsidRPr="00877C90">
        <w:rPr>
          <w:i/>
          <w:sz w:val="24"/>
          <w:szCs w:val="24"/>
        </w:rPr>
        <w:t>Personalised Learning: Building a New Relationship with Schools</w:t>
      </w:r>
      <w:r>
        <w:rPr>
          <w:sz w:val="24"/>
          <w:szCs w:val="24"/>
        </w:rPr>
        <w:t>. London, DfES.</w:t>
      </w:r>
    </w:p>
    <w:p w14:paraId="11862FE9" w14:textId="77777777" w:rsidR="00D27BF7" w:rsidRDefault="00D27BF7" w:rsidP="00D27BF7">
      <w:pPr>
        <w:spacing w:line="360" w:lineRule="auto"/>
        <w:rPr>
          <w:sz w:val="24"/>
          <w:szCs w:val="24"/>
        </w:rPr>
      </w:pPr>
      <w:r>
        <w:rPr>
          <w:sz w:val="24"/>
          <w:szCs w:val="24"/>
        </w:rPr>
        <w:t xml:space="preserve">Doll, W.E. Jr. (1993). </w:t>
      </w:r>
      <w:r w:rsidRPr="00D45EF4">
        <w:rPr>
          <w:i/>
          <w:sz w:val="24"/>
          <w:szCs w:val="24"/>
        </w:rPr>
        <w:t>A Post-Modern Perspective on Curriculum.</w:t>
      </w:r>
      <w:r>
        <w:rPr>
          <w:sz w:val="24"/>
          <w:szCs w:val="24"/>
        </w:rPr>
        <w:t xml:space="preserve"> New York: Teachers College Press</w:t>
      </w:r>
    </w:p>
    <w:p w14:paraId="63E8B949" w14:textId="77777777" w:rsidR="00D27BF7" w:rsidRDefault="00D27BF7" w:rsidP="00D27BF7">
      <w:pPr>
        <w:spacing w:line="360" w:lineRule="auto"/>
        <w:rPr>
          <w:sz w:val="24"/>
          <w:szCs w:val="24"/>
        </w:rPr>
      </w:pPr>
      <w:r>
        <w:rPr>
          <w:sz w:val="24"/>
          <w:szCs w:val="24"/>
        </w:rPr>
        <w:t xml:space="preserve">Doll, W.E. Jr. (2002). </w:t>
      </w:r>
      <w:r w:rsidRPr="00D45EF4">
        <w:rPr>
          <w:i/>
          <w:sz w:val="24"/>
          <w:szCs w:val="24"/>
        </w:rPr>
        <w:t>Curriculum Visions.</w:t>
      </w:r>
      <w:r>
        <w:rPr>
          <w:sz w:val="24"/>
          <w:szCs w:val="24"/>
        </w:rPr>
        <w:t xml:space="preserve"> New York: Peter Lang Publishing.</w:t>
      </w:r>
    </w:p>
    <w:p w14:paraId="721915D6" w14:textId="0E960D47" w:rsidR="00D27BF7" w:rsidRPr="00D20B60" w:rsidRDefault="00D27BF7" w:rsidP="00D27BF7">
      <w:pPr>
        <w:tabs>
          <w:tab w:val="left" w:pos="1485"/>
        </w:tabs>
        <w:rPr>
          <w:rFonts w:cs="Calibri"/>
          <w:sz w:val="24"/>
          <w:szCs w:val="24"/>
        </w:rPr>
      </w:pPr>
      <w:r>
        <w:rPr>
          <w:sz w:val="24"/>
          <w:szCs w:val="24"/>
        </w:rPr>
        <w:t xml:space="preserve">Dunan, A. (2010). </w:t>
      </w:r>
      <w:r w:rsidRPr="00667323">
        <w:rPr>
          <w:rFonts w:cs="Calibri"/>
          <w:bCs/>
          <w:i/>
          <w:kern w:val="36"/>
          <w:sz w:val="24"/>
          <w:szCs w:val="24"/>
          <w:lang w:val="en"/>
        </w:rPr>
        <w:t>The Vision of Education Reform in the United States</w:t>
      </w:r>
      <w:r w:rsidRPr="00667323">
        <w:rPr>
          <w:rFonts w:cs="Calibri"/>
          <w:bCs/>
          <w:kern w:val="36"/>
          <w:sz w:val="24"/>
          <w:szCs w:val="24"/>
          <w:lang w:val="en"/>
        </w:rPr>
        <w:t xml:space="preserve">: Secretary Arne Duncan's Remarks to United Nations Educational, Scientific and Cultural Organization (UNESCO), Paris, France. </w:t>
      </w:r>
      <w:r w:rsidR="008F4759">
        <w:rPr>
          <w:rFonts w:cs="Calibri"/>
          <w:sz w:val="24"/>
          <w:szCs w:val="24"/>
        </w:rPr>
        <w:t>[Online]</w:t>
      </w:r>
      <w:r w:rsidR="008F4759" w:rsidRPr="00E85ABD">
        <w:rPr>
          <w:rFonts w:cs="Calibri"/>
          <w:sz w:val="24"/>
          <w:szCs w:val="24"/>
        </w:rPr>
        <w:t xml:space="preserve"> </w:t>
      </w:r>
      <w:r w:rsidR="008F4759">
        <w:rPr>
          <w:rFonts w:cs="Calibri"/>
          <w:sz w:val="24"/>
          <w:szCs w:val="24"/>
        </w:rPr>
        <w:t xml:space="preserve">Available from: </w:t>
      </w:r>
      <w:hyperlink r:id="rId24" w:history="1">
        <w:r w:rsidRPr="00F22FC7">
          <w:rPr>
            <w:rStyle w:val="Hyperlink"/>
            <w:rFonts w:cs="Calibri"/>
            <w:sz w:val="24"/>
            <w:szCs w:val="24"/>
          </w:rPr>
          <w:t>http://www.ed.gov/news/speeches/vision-education-reform-united-states-secretary-arne-duncans-remarks-united-nations-ed</w:t>
        </w:r>
      </w:hyperlink>
      <w:r w:rsidRPr="00F22FC7">
        <w:rPr>
          <w:rFonts w:cs="Calibri"/>
          <w:sz w:val="24"/>
          <w:szCs w:val="24"/>
        </w:rPr>
        <w:t xml:space="preserve"> </w:t>
      </w:r>
      <w:r w:rsidR="008F4759">
        <w:rPr>
          <w:rFonts w:cs="Calibri"/>
          <w:sz w:val="24"/>
          <w:szCs w:val="24"/>
        </w:rPr>
        <w:t>[Accessed 30.10.12].</w:t>
      </w:r>
    </w:p>
    <w:p w14:paraId="4767974C" w14:textId="77777777" w:rsidR="00D27BF7" w:rsidRDefault="00D27BF7" w:rsidP="00D27BF7">
      <w:pPr>
        <w:spacing w:line="240" w:lineRule="auto"/>
        <w:rPr>
          <w:sz w:val="24"/>
          <w:szCs w:val="24"/>
        </w:rPr>
      </w:pPr>
      <w:r>
        <w:rPr>
          <w:sz w:val="24"/>
          <w:szCs w:val="24"/>
        </w:rPr>
        <w:t xml:space="preserve">Dye, T. (1992). </w:t>
      </w:r>
      <w:r w:rsidRPr="001270C8">
        <w:rPr>
          <w:i/>
          <w:sz w:val="24"/>
          <w:szCs w:val="24"/>
        </w:rPr>
        <w:t>Understanding Public Policy.</w:t>
      </w:r>
      <w:r>
        <w:rPr>
          <w:sz w:val="24"/>
          <w:szCs w:val="24"/>
        </w:rPr>
        <w:t xml:space="preserve"> New York: John Wiley.</w:t>
      </w:r>
    </w:p>
    <w:p w14:paraId="6C240F74" w14:textId="763574E5" w:rsidR="00D27BF7" w:rsidRDefault="00D27BF7" w:rsidP="00D27BF7">
      <w:pPr>
        <w:spacing w:line="240" w:lineRule="auto"/>
        <w:rPr>
          <w:rStyle w:val="Hyperlink"/>
          <w:rFonts w:cs="Tahoma"/>
          <w:sz w:val="24"/>
          <w:szCs w:val="24"/>
        </w:rPr>
      </w:pPr>
      <w:r>
        <w:rPr>
          <w:sz w:val="24"/>
          <w:szCs w:val="24"/>
        </w:rPr>
        <w:t xml:space="preserve">Education </w:t>
      </w:r>
      <w:r>
        <w:rPr>
          <w:rFonts w:cs="Tahoma"/>
          <w:sz w:val="24"/>
          <w:szCs w:val="24"/>
        </w:rPr>
        <w:t xml:space="preserve">Committee. (2011a). Education Committee – </w:t>
      </w:r>
      <w:r w:rsidRPr="008F2830">
        <w:rPr>
          <w:rFonts w:cs="Tahoma"/>
          <w:i/>
          <w:sz w:val="24"/>
          <w:szCs w:val="24"/>
        </w:rPr>
        <w:t>Fifth Report, The English Baccalaureate</w:t>
      </w:r>
      <w:r>
        <w:rPr>
          <w:rFonts w:cs="Tahoma"/>
          <w:sz w:val="24"/>
          <w:szCs w:val="24"/>
        </w:rPr>
        <w:t xml:space="preserve"> (19.7.11) The Stationary Office. </w:t>
      </w:r>
      <w:r w:rsidR="008F4759">
        <w:rPr>
          <w:rFonts w:cs="Calibri"/>
          <w:sz w:val="24"/>
          <w:szCs w:val="24"/>
        </w:rPr>
        <w:t>[Online]</w:t>
      </w:r>
      <w:r w:rsidR="008F4759" w:rsidRPr="00E85ABD">
        <w:rPr>
          <w:rFonts w:cs="Calibri"/>
          <w:sz w:val="24"/>
          <w:szCs w:val="24"/>
        </w:rPr>
        <w:t xml:space="preserve"> </w:t>
      </w:r>
      <w:r w:rsidR="008F4759">
        <w:rPr>
          <w:rFonts w:cs="Calibri"/>
          <w:sz w:val="24"/>
          <w:szCs w:val="24"/>
        </w:rPr>
        <w:t xml:space="preserve">Available from: </w:t>
      </w:r>
      <w:hyperlink r:id="rId25" w:history="1">
        <w:r w:rsidRPr="003413FC">
          <w:rPr>
            <w:rStyle w:val="Hyperlink"/>
            <w:rFonts w:cs="Tahoma"/>
            <w:sz w:val="24"/>
            <w:szCs w:val="24"/>
          </w:rPr>
          <w:t>http://www.publications.parliament.uk/pa/cm201012/cmselect/cmeduc/851/85102.htm</w:t>
        </w:r>
      </w:hyperlink>
      <w:r w:rsidR="008F4759">
        <w:rPr>
          <w:rStyle w:val="Hyperlink"/>
          <w:rFonts w:cs="Tahoma"/>
          <w:sz w:val="24"/>
          <w:szCs w:val="24"/>
        </w:rPr>
        <w:t xml:space="preserve"> </w:t>
      </w:r>
      <w:r w:rsidR="008F4759" w:rsidRPr="008F4759">
        <w:rPr>
          <w:rStyle w:val="Hyperlink"/>
          <w:rFonts w:cs="Tahoma"/>
          <w:color w:val="auto"/>
          <w:sz w:val="24"/>
          <w:szCs w:val="24"/>
          <w:u w:val="none"/>
        </w:rPr>
        <w:t>[Accessed 9.6.12]</w:t>
      </w:r>
    </w:p>
    <w:p w14:paraId="3E71D4F8" w14:textId="1FBCBE85" w:rsidR="00D27BF7" w:rsidRDefault="00D27BF7" w:rsidP="00D27BF7">
      <w:pPr>
        <w:spacing w:line="240" w:lineRule="auto"/>
        <w:rPr>
          <w:rFonts w:cs="Tahoma"/>
          <w:sz w:val="24"/>
          <w:szCs w:val="24"/>
        </w:rPr>
      </w:pPr>
      <w:r w:rsidRPr="008F2830">
        <w:rPr>
          <w:rStyle w:val="Hyperlink"/>
          <w:rFonts w:cs="Tahoma"/>
          <w:color w:val="auto"/>
          <w:sz w:val="24"/>
          <w:szCs w:val="24"/>
          <w:u w:val="none"/>
        </w:rPr>
        <w:t xml:space="preserve">Education Committee. (Oct 2011b). Education Committee – </w:t>
      </w:r>
      <w:r w:rsidRPr="008F2830">
        <w:rPr>
          <w:rStyle w:val="Hyperlink"/>
          <w:rFonts w:cs="Tahoma"/>
          <w:i/>
          <w:color w:val="auto"/>
          <w:sz w:val="24"/>
          <w:szCs w:val="24"/>
          <w:u w:val="none"/>
        </w:rPr>
        <w:t>The English Baccalaureate: Government Response to the Committee’s Fifth Report</w:t>
      </w:r>
      <w:r w:rsidRPr="008F2830">
        <w:rPr>
          <w:rStyle w:val="Hyperlink"/>
          <w:rFonts w:cs="Tahoma"/>
          <w:color w:val="auto"/>
          <w:sz w:val="24"/>
          <w:szCs w:val="24"/>
          <w:u w:val="none"/>
        </w:rPr>
        <w:t xml:space="preserve"> (26.10.11) </w:t>
      </w:r>
      <w:r w:rsidRPr="008F2830">
        <w:rPr>
          <w:rFonts w:cs="Tahoma"/>
          <w:sz w:val="24"/>
          <w:szCs w:val="24"/>
        </w:rPr>
        <w:t xml:space="preserve">The </w:t>
      </w:r>
      <w:r>
        <w:rPr>
          <w:rFonts w:cs="Tahoma"/>
          <w:sz w:val="24"/>
          <w:szCs w:val="24"/>
        </w:rPr>
        <w:t xml:space="preserve">Stationary Office. </w:t>
      </w:r>
      <w:r w:rsidR="008F4759">
        <w:rPr>
          <w:rFonts w:cs="Calibri"/>
          <w:sz w:val="24"/>
          <w:szCs w:val="24"/>
        </w:rPr>
        <w:t>[Online]</w:t>
      </w:r>
      <w:r w:rsidR="008F4759" w:rsidRPr="00E85ABD">
        <w:rPr>
          <w:rFonts w:cs="Calibri"/>
          <w:sz w:val="24"/>
          <w:szCs w:val="24"/>
        </w:rPr>
        <w:t xml:space="preserve"> </w:t>
      </w:r>
      <w:r w:rsidR="008F4759">
        <w:rPr>
          <w:rFonts w:cs="Calibri"/>
          <w:sz w:val="24"/>
          <w:szCs w:val="24"/>
        </w:rPr>
        <w:t xml:space="preserve">Available from: </w:t>
      </w:r>
      <w:hyperlink r:id="rId26" w:history="1">
        <w:r w:rsidRPr="000B5CE7">
          <w:rPr>
            <w:rStyle w:val="Hyperlink"/>
            <w:rFonts w:cs="Tahoma"/>
            <w:sz w:val="24"/>
            <w:szCs w:val="24"/>
          </w:rPr>
          <w:t>http://www.publications.parliament.uk/pa/cm201012/cmselect/cmeduc/1577/157702.htm</w:t>
        </w:r>
      </w:hyperlink>
      <w:r w:rsidR="008F4759">
        <w:rPr>
          <w:rStyle w:val="Hyperlink"/>
          <w:rFonts w:cs="Tahoma"/>
          <w:sz w:val="24"/>
          <w:szCs w:val="24"/>
        </w:rPr>
        <w:t xml:space="preserve"> </w:t>
      </w:r>
      <w:r w:rsidR="008F4759" w:rsidRPr="008F4759">
        <w:rPr>
          <w:rStyle w:val="Hyperlink"/>
          <w:rFonts w:cs="Tahoma"/>
          <w:color w:val="auto"/>
          <w:sz w:val="24"/>
          <w:szCs w:val="24"/>
          <w:u w:val="none"/>
        </w:rPr>
        <w:t>[Accessed 20.10.14].</w:t>
      </w:r>
    </w:p>
    <w:p w14:paraId="30040370" w14:textId="77777777" w:rsidR="00D27BF7" w:rsidRDefault="00D27BF7" w:rsidP="00D27BF7">
      <w:pPr>
        <w:spacing w:line="360" w:lineRule="auto"/>
        <w:rPr>
          <w:sz w:val="24"/>
          <w:szCs w:val="24"/>
        </w:rPr>
      </w:pPr>
      <w:r>
        <w:rPr>
          <w:sz w:val="24"/>
          <w:szCs w:val="24"/>
        </w:rPr>
        <w:t xml:space="preserve">Fairclough, N. (1989). </w:t>
      </w:r>
      <w:r w:rsidRPr="00EE3A8C">
        <w:rPr>
          <w:i/>
          <w:sz w:val="24"/>
          <w:szCs w:val="24"/>
        </w:rPr>
        <w:t>Language and Power</w:t>
      </w:r>
      <w:r>
        <w:rPr>
          <w:sz w:val="24"/>
          <w:szCs w:val="24"/>
        </w:rPr>
        <w:t>. New York: Longman.</w:t>
      </w:r>
    </w:p>
    <w:p w14:paraId="2504B542" w14:textId="77777777" w:rsidR="00D27BF7" w:rsidRDefault="00D27BF7" w:rsidP="00D27BF7">
      <w:pPr>
        <w:spacing w:line="360" w:lineRule="auto"/>
        <w:rPr>
          <w:sz w:val="24"/>
          <w:szCs w:val="24"/>
        </w:rPr>
      </w:pPr>
      <w:r>
        <w:rPr>
          <w:sz w:val="24"/>
          <w:szCs w:val="24"/>
        </w:rPr>
        <w:lastRenderedPageBreak/>
        <w:t xml:space="preserve">Fairclough, N. (2003). </w:t>
      </w:r>
      <w:r w:rsidRPr="00981556">
        <w:rPr>
          <w:i/>
          <w:sz w:val="24"/>
          <w:szCs w:val="24"/>
        </w:rPr>
        <w:t>Analysing Discourse: Textual analysis for social research</w:t>
      </w:r>
      <w:r>
        <w:rPr>
          <w:sz w:val="24"/>
          <w:szCs w:val="24"/>
        </w:rPr>
        <w:t>. London: Routledge.</w:t>
      </w:r>
    </w:p>
    <w:p w14:paraId="40AA6916" w14:textId="77777777" w:rsidR="00D27BF7" w:rsidRDefault="00D27BF7" w:rsidP="00D27BF7">
      <w:pPr>
        <w:spacing w:line="360" w:lineRule="auto"/>
        <w:rPr>
          <w:sz w:val="24"/>
          <w:szCs w:val="24"/>
        </w:rPr>
      </w:pPr>
      <w:r w:rsidRPr="00703CBE">
        <w:rPr>
          <w:sz w:val="24"/>
          <w:szCs w:val="24"/>
        </w:rPr>
        <w:t xml:space="preserve">Feinberg, W. (1983). </w:t>
      </w:r>
      <w:r w:rsidRPr="00703CBE">
        <w:rPr>
          <w:i/>
          <w:sz w:val="24"/>
          <w:szCs w:val="24"/>
        </w:rPr>
        <w:t xml:space="preserve">Understanding Education: Toward a Reconstruction of Educational Inquiry. </w:t>
      </w:r>
      <w:r w:rsidRPr="00703CBE">
        <w:rPr>
          <w:sz w:val="24"/>
          <w:szCs w:val="24"/>
        </w:rPr>
        <w:t>New Yo</w:t>
      </w:r>
      <w:r>
        <w:rPr>
          <w:sz w:val="24"/>
          <w:szCs w:val="24"/>
        </w:rPr>
        <w:t>rk: Cambridge University Press.</w:t>
      </w:r>
    </w:p>
    <w:p w14:paraId="648E4F1A" w14:textId="706C7363" w:rsidR="00D27BF7" w:rsidRDefault="00D27BF7" w:rsidP="00D27BF7">
      <w:pPr>
        <w:spacing w:line="360" w:lineRule="auto"/>
        <w:rPr>
          <w:rStyle w:val="Hyperlink"/>
          <w:sz w:val="24"/>
          <w:szCs w:val="24"/>
        </w:rPr>
      </w:pPr>
      <w:r>
        <w:rPr>
          <w:sz w:val="24"/>
          <w:szCs w:val="24"/>
        </w:rPr>
        <w:t>Feinberg, W. (1999). On the Limits of the Transmittal View of Education and the Influence of E.D.</w:t>
      </w:r>
      <w:r w:rsidR="006F063B">
        <w:rPr>
          <w:sz w:val="24"/>
          <w:szCs w:val="24"/>
        </w:rPr>
        <w:t xml:space="preserve"> </w:t>
      </w:r>
      <w:r>
        <w:rPr>
          <w:sz w:val="24"/>
          <w:szCs w:val="24"/>
        </w:rPr>
        <w:t xml:space="preserve">Hirsch. Rethinking Schools, Spring. </w:t>
      </w:r>
      <w:r w:rsidR="008F4759">
        <w:rPr>
          <w:rFonts w:cs="Calibri"/>
          <w:sz w:val="24"/>
          <w:szCs w:val="24"/>
        </w:rPr>
        <w:t>[Online]</w:t>
      </w:r>
      <w:r w:rsidR="008F4759" w:rsidRPr="00E85ABD">
        <w:rPr>
          <w:rFonts w:cs="Calibri"/>
          <w:sz w:val="24"/>
          <w:szCs w:val="24"/>
        </w:rPr>
        <w:t xml:space="preserve"> </w:t>
      </w:r>
      <w:r w:rsidR="008F4759">
        <w:rPr>
          <w:rFonts w:cs="Calibri"/>
          <w:sz w:val="24"/>
          <w:szCs w:val="24"/>
        </w:rPr>
        <w:t xml:space="preserve">Available from: </w:t>
      </w:r>
      <w:hyperlink r:id="rId27" w:history="1">
        <w:r w:rsidRPr="00F01817">
          <w:rPr>
            <w:rStyle w:val="Hyperlink"/>
            <w:sz w:val="24"/>
            <w:szCs w:val="24"/>
          </w:rPr>
          <w:t>http://faculty.ed.uiuc.edu/wfeinber/Hirsch.html</w:t>
        </w:r>
      </w:hyperlink>
      <w:r w:rsidR="008F4759">
        <w:rPr>
          <w:rStyle w:val="Hyperlink"/>
          <w:sz w:val="24"/>
          <w:szCs w:val="24"/>
        </w:rPr>
        <w:t xml:space="preserve"> </w:t>
      </w:r>
      <w:r w:rsidR="008F4759" w:rsidRPr="008F4759">
        <w:rPr>
          <w:rStyle w:val="Hyperlink"/>
          <w:color w:val="auto"/>
          <w:sz w:val="24"/>
          <w:szCs w:val="24"/>
          <w:u w:val="none"/>
        </w:rPr>
        <w:t>[Accessed 17.6.12].</w:t>
      </w:r>
    </w:p>
    <w:p w14:paraId="427D77AE" w14:textId="1AD57F55" w:rsidR="00D27BF7" w:rsidRDefault="00D27BF7" w:rsidP="00D27BF7">
      <w:pPr>
        <w:tabs>
          <w:tab w:val="left" w:pos="1485"/>
        </w:tabs>
        <w:rPr>
          <w:rFonts w:cs="Calibri"/>
          <w:sz w:val="24"/>
          <w:szCs w:val="24"/>
        </w:rPr>
      </w:pPr>
      <w:r w:rsidRPr="00E85ABD">
        <w:rPr>
          <w:rFonts w:cs="Calibri"/>
          <w:sz w:val="24"/>
          <w:szCs w:val="24"/>
        </w:rPr>
        <w:t xml:space="preserve">Gale, T. (2001). Critical policy Sociology: historiography, archaeology and genealogy as methods of policy analysis, </w:t>
      </w:r>
      <w:r w:rsidRPr="00E85ABD">
        <w:rPr>
          <w:rFonts w:cs="Calibri"/>
          <w:i/>
          <w:sz w:val="24"/>
          <w:szCs w:val="24"/>
        </w:rPr>
        <w:t>Journal of Education Policy</w:t>
      </w:r>
      <w:r w:rsidRPr="00E85ABD">
        <w:rPr>
          <w:rFonts w:cs="Calibri"/>
          <w:sz w:val="24"/>
          <w:szCs w:val="24"/>
        </w:rPr>
        <w:t>, 16</w:t>
      </w:r>
      <w:r>
        <w:rPr>
          <w:rFonts w:cs="Calibri"/>
          <w:sz w:val="24"/>
          <w:szCs w:val="24"/>
        </w:rPr>
        <w:t xml:space="preserve"> (</w:t>
      </w:r>
      <w:r w:rsidRPr="00E85ABD">
        <w:rPr>
          <w:rFonts w:cs="Calibri"/>
          <w:sz w:val="24"/>
          <w:szCs w:val="24"/>
        </w:rPr>
        <w:t>5</w:t>
      </w:r>
      <w:r>
        <w:rPr>
          <w:rFonts w:cs="Calibri"/>
          <w:sz w:val="24"/>
          <w:szCs w:val="24"/>
        </w:rPr>
        <w:t>)</w:t>
      </w:r>
      <w:r w:rsidR="008F4759">
        <w:rPr>
          <w:rFonts w:cs="Calibri"/>
          <w:sz w:val="24"/>
          <w:szCs w:val="24"/>
        </w:rPr>
        <w:t xml:space="preserve">, </w:t>
      </w:r>
      <w:r w:rsidRPr="00E85ABD">
        <w:rPr>
          <w:rFonts w:cs="Calibri"/>
          <w:sz w:val="24"/>
          <w:szCs w:val="24"/>
        </w:rPr>
        <w:t>279-393.</w:t>
      </w:r>
    </w:p>
    <w:p w14:paraId="2BBD9756" w14:textId="69E9B0C9" w:rsidR="008F4759" w:rsidRPr="00E85ABD" w:rsidRDefault="00D27BF7" w:rsidP="00D27BF7">
      <w:pPr>
        <w:tabs>
          <w:tab w:val="left" w:pos="1485"/>
        </w:tabs>
        <w:rPr>
          <w:rFonts w:cs="Calibri"/>
          <w:sz w:val="24"/>
          <w:szCs w:val="24"/>
        </w:rPr>
      </w:pPr>
      <w:r>
        <w:rPr>
          <w:rFonts w:cs="Calibri"/>
          <w:sz w:val="24"/>
          <w:szCs w:val="24"/>
        </w:rPr>
        <w:t xml:space="preserve">Gillborn, D. and Kirton, A. (2000). </w:t>
      </w:r>
      <w:r w:rsidRPr="00844066">
        <w:rPr>
          <w:rFonts w:cs="Calibri"/>
          <w:i/>
          <w:sz w:val="24"/>
          <w:szCs w:val="24"/>
        </w:rPr>
        <w:t>White Heat: racism, underachievement and white working class boys.</w:t>
      </w:r>
      <w:r>
        <w:rPr>
          <w:rFonts w:cs="Calibri"/>
          <w:sz w:val="24"/>
          <w:szCs w:val="24"/>
        </w:rPr>
        <w:t xml:space="preserve"> IOE eprints. </w:t>
      </w:r>
      <w:r w:rsidR="008F4759">
        <w:rPr>
          <w:rFonts w:cs="Calibri"/>
          <w:sz w:val="24"/>
          <w:szCs w:val="24"/>
        </w:rPr>
        <w:t>[Online]</w:t>
      </w:r>
      <w:r w:rsidR="008F4759" w:rsidRPr="00E85ABD">
        <w:rPr>
          <w:rFonts w:cs="Calibri"/>
          <w:sz w:val="24"/>
          <w:szCs w:val="24"/>
        </w:rPr>
        <w:t xml:space="preserve"> </w:t>
      </w:r>
      <w:r w:rsidR="008F4759">
        <w:rPr>
          <w:rFonts w:cs="Calibri"/>
          <w:sz w:val="24"/>
          <w:szCs w:val="24"/>
        </w:rPr>
        <w:t xml:space="preserve">Available from: </w:t>
      </w:r>
      <w:hyperlink r:id="rId28" w:history="1">
        <w:r w:rsidR="008F4759" w:rsidRPr="00633AFC">
          <w:rPr>
            <w:rStyle w:val="Hyperlink"/>
            <w:rFonts w:cs="Calibri"/>
            <w:sz w:val="24"/>
            <w:szCs w:val="24"/>
          </w:rPr>
          <w:t>http://eprints.ioe.ac.uk/1703/1/gillborn2000white271text.pdf</w:t>
        </w:r>
      </w:hyperlink>
      <w:r w:rsidR="008F4759">
        <w:rPr>
          <w:rFonts w:cs="Calibri"/>
          <w:sz w:val="24"/>
          <w:szCs w:val="24"/>
        </w:rPr>
        <w:t xml:space="preserve"> [Accessed 2.1.15].</w:t>
      </w:r>
    </w:p>
    <w:p w14:paraId="5CF7F551" w14:textId="77777777" w:rsidR="00D27BF7" w:rsidRDefault="00D27BF7" w:rsidP="00D27BF7">
      <w:pPr>
        <w:spacing w:line="360" w:lineRule="auto"/>
        <w:rPr>
          <w:sz w:val="24"/>
          <w:szCs w:val="24"/>
        </w:rPr>
      </w:pPr>
      <w:r>
        <w:rPr>
          <w:sz w:val="24"/>
          <w:szCs w:val="24"/>
        </w:rPr>
        <w:t xml:space="preserve">Gillborn, D., and Safia Mirza, H. (2000). </w:t>
      </w:r>
      <w:r w:rsidRPr="005C7A13">
        <w:rPr>
          <w:i/>
          <w:sz w:val="24"/>
          <w:szCs w:val="24"/>
        </w:rPr>
        <w:t>Educational inequality: mapping race, class and gender a synthesis of research</w:t>
      </w:r>
      <w:r>
        <w:rPr>
          <w:sz w:val="24"/>
          <w:szCs w:val="24"/>
        </w:rPr>
        <w:t>. Crown copyright: Ofsted.</w:t>
      </w:r>
    </w:p>
    <w:p w14:paraId="2F8B0DA0" w14:textId="5D944899" w:rsidR="00D27BF7" w:rsidRDefault="00D27BF7" w:rsidP="00D27BF7">
      <w:pPr>
        <w:spacing w:line="360" w:lineRule="auto"/>
        <w:rPr>
          <w:sz w:val="24"/>
          <w:szCs w:val="24"/>
        </w:rPr>
      </w:pPr>
      <w:r>
        <w:rPr>
          <w:sz w:val="24"/>
          <w:szCs w:val="24"/>
        </w:rPr>
        <w:t xml:space="preserve">Gillborn, D. (2006). </w:t>
      </w:r>
      <w:r w:rsidRPr="00057022">
        <w:rPr>
          <w:i/>
          <w:sz w:val="24"/>
          <w:szCs w:val="24"/>
        </w:rPr>
        <w:t>Citizenship Education as Placebo: ‘Standards’, Institutional Racism and Education Policy.</w:t>
      </w:r>
      <w:r>
        <w:rPr>
          <w:sz w:val="24"/>
          <w:szCs w:val="24"/>
        </w:rPr>
        <w:t xml:space="preserve"> Institute of Education: University of London. </w:t>
      </w:r>
      <w:r w:rsidR="008F4759">
        <w:rPr>
          <w:rFonts w:cs="Calibri"/>
          <w:sz w:val="24"/>
          <w:szCs w:val="24"/>
        </w:rPr>
        <w:t>[Online]</w:t>
      </w:r>
      <w:r w:rsidR="008F4759" w:rsidRPr="00E85ABD">
        <w:rPr>
          <w:rFonts w:cs="Calibri"/>
          <w:sz w:val="24"/>
          <w:szCs w:val="24"/>
        </w:rPr>
        <w:t xml:space="preserve"> </w:t>
      </w:r>
      <w:r w:rsidR="008F4759">
        <w:rPr>
          <w:rFonts w:cs="Calibri"/>
          <w:sz w:val="24"/>
          <w:szCs w:val="24"/>
        </w:rPr>
        <w:t xml:space="preserve">Available from: </w:t>
      </w:r>
      <w:hyperlink r:id="rId29" w:history="1">
        <w:r w:rsidRPr="000A022B">
          <w:rPr>
            <w:rStyle w:val="Hyperlink"/>
            <w:sz w:val="24"/>
            <w:szCs w:val="24"/>
          </w:rPr>
          <w:t>http://eprints.ioe.ac.uk/22070/1/gillborn2006Citizenship83text.pdf</w:t>
        </w:r>
      </w:hyperlink>
      <w:r w:rsidR="008F4759">
        <w:rPr>
          <w:rStyle w:val="Hyperlink"/>
          <w:sz w:val="24"/>
          <w:szCs w:val="24"/>
        </w:rPr>
        <w:t xml:space="preserve"> </w:t>
      </w:r>
      <w:r w:rsidR="008F4759" w:rsidRPr="008F4759">
        <w:rPr>
          <w:rStyle w:val="Hyperlink"/>
          <w:color w:val="auto"/>
          <w:sz w:val="24"/>
          <w:szCs w:val="24"/>
          <w:u w:val="none"/>
        </w:rPr>
        <w:t>[Accessed 21.2.16]</w:t>
      </w:r>
    </w:p>
    <w:p w14:paraId="04968DDE" w14:textId="319D1F21" w:rsidR="00D27BF7" w:rsidRDefault="00D27BF7" w:rsidP="00D27BF7">
      <w:pPr>
        <w:spacing w:line="360" w:lineRule="auto"/>
        <w:rPr>
          <w:rStyle w:val="Hyperlink"/>
          <w:sz w:val="24"/>
          <w:szCs w:val="24"/>
        </w:rPr>
      </w:pPr>
      <w:r>
        <w:rPr>
          <w:sz w:val="24"/>
          <w:szCs w:val="24"/>
        </w:rPr>
        <w:t>Gillborn, D. (2011). There’s</w:t>
      </w:r>
      <w:r w:rsidR="008F4759">
        <w:rPr>
          <w:sz w:val="24"/>
          <w:szCs w:val="24"/>
        </w:rPr>
        <w:t xml:space="preserve"> no black in the baccalaureate,</w:t>
      </w:r>
      <w:r w:rsidRPr="008F4759">
        <w:rPr>
          <w:i/>
          <w:sz w:val="24"/>
          <w:szCs w:val="24"/>
        </w:rPr>
        <w:t xml:space="preserve"> Guardian.</w:t>
      </w:r>
      <w:r>
        <w:rPr>
          <w:sz w:val="24"/>
          <w:szCs w:val="24"/>
        </w:rPr>
        <w:t xml:space="preserve"> 12 June 2011. </w:t>
      </w:r>
      <w:r w:rsidR="008F2830">
        <w:rPr>
          <w:rFonts w:cs="Calibri"/>
          <w:sz w:val="24"/>
          <w:szCs w:val="24"/>
        </w:rPr>
        <w:t>[Online]</w:t>
      </w:r>
      <w:r w:rsidR="008F2830" w:rsidRPr="00E85ABD">
        <w:rPr>
          <w:rFonts w:cs="Calibri"/>
          <w:sz w:val="24"/>
          <w:szCs w:val="24"/>
        </w:rPr>
        <w:t xml:space="preserve"> </w:t>
      </w:r>
      <w:r w:rsidR="008F2830">
        <w:rPr>
          <w:rFonts w:cs="Calibri"/>
          <w:sz w:val="24"/>
          <w:szCs w:val="24"/>
        </w:rPr>
        <w:t xml:space="preserve">Available from: </w:t>
      </w:r>
      <w:r>
        <w:rPr>
          <w:sz w:val="24"/>
          <w:szCs w:val="24"/>
        </w:rPr>
        <w:t xml:space="preserve">on 9.6.12 at </w:t>
      </w:r>
      <w:hyperlink r:id="rId30" w:history="1">
        <w:r w:rsidRPr="003413FC">
          <w:rPr>
            <w:rStyle w:val="Hyperlink"/>
            <w:sz w:val="24"/>
            <w:szCs w:val="24"/>
          </w:rPr>
          <w:t>http://www.guardian.co.uk/commentisfree/2011/jun/12/black-pupils-held-back-baccalaureate-race</w:t>
        </w:r>
      </w:hyperlink>
      <w:r w:rsidR="008F2830">
        <w:rPr>
          <w:rStyle w:val="Hyperlink"/>
          <w:sz w:val="24"/>
          <w:szCs w:val="24"/>
        </w:rPr>
        <w:t xml:space="preserve"> </w:t>
      </w:r>
      <w:r w:rsidR="008F2830" w:rsidRPr="008F2830">
        <w:rPr>
          <w:rStyle w:val="Hyperlink"/>
          <w:color w:val="auto"/>
          <w:sz w:val="24"/>
          <w:szCs w:val="24"/>
          <w:u w:val="none"/>
        </w:rPr>
        <w:t>[Accessed 9.6.12].</w:t>
      </w:r>
    </w:p>
    <w:p w14:paraId="1ECD2FDA" w14:textId="26905486" w:rsidR="00D27BF7" w:rsidRPr="0095630C" w:rsidRDefault="00D27BF7" w:rsidP="00D27BF7">
      <w:pPr>
        <w:spacing w:line="360" w:lineRule="auto"/>
        <w:rPr>
          <w:rStyle w:val="Hyperlink"/>
          <w:color w:val="auto"/>
          <w:sz w:val="24"/>
          <w:szCs w:val="24"/>
          <w:u w:val="none"/>
        </w:rPr>
      </w:pPr>
      <w:r w:rsidRPr="0095630C">
        <w:rPr>
          <w:rStyle w:val="Hyperlink"/>
          <w:color w:val="auto"/>
          <w:sz w:val="24"/>
          <w:szCs w:val="24"/>
          <w:u w:val="none"/>
        </w:rPr>
        <w:t xml:space="preserve">Gillborn, D. (2011b). Fine words and foul deeds: why coalition education policy will make things worse for Black students and the White working class. </w:t>
      </w:r>
      <w:r w:rsidRPr="0095630C">
        <w:rPr>
          <w:rStyle w:val="Hyperlink"/>
          <w:i/>
          <w:color w:val="auto"/>
          <w:sz w:val="24"/>
          <w:szCs w:val="24"/>
          <w:u w:val="none"/>
        </w:rPr>
        <w:t>Race equality teaching.</w:t>
      </w:r>
      <w:r w:rsidR="008F2830">
        <w:rPr>
          <w:rStyle w:val="Hyperlink"/>
          <w:color w:val="auto"/>
          <w:sz w:val="24"/>
          <w:szCs w:val="24"/>
          <w:u w:val="none"/>
        </w:rPr>
        <w:t xml:space="preserve"> 29 (2), </w:t>
      </w:r>
      <w:r w:rsidRPr="0095630C">
        <w:rPr>
          <w:rStyle w:val="Hyperlink"/>
          <w:color w:val="auto"/>
          <w:sz w:val="24"/>
          <w:szCs w:val="24"/>
          <w:u w:val="none"/>
        </w:rPr>
        <w:t>9-14.</w:t>
      </w:r>
    </w:p>
    <w:p w14:paraId="40B18C7F" w14:textId="64B5807D" w:rsidR="00D27BF7" w:rsidRDefault="00D27BF7" w:rsidP="00D27BF7">
      <w:pPr>
        <w:spacing w:line="360" w:lineRule="auto"/>
        <w:rPr>
          <w:sz w:val="24"/>
          <w:szCs w:val="24"/>
        </w:rPr>
      </w:pPr>
      <w:r>
        <w:rPr>
          <w:sz w:val="24"/>
          <w:szCs w:val="24"/>
        </w:rPr>
        <w:t xml:space="preserve">Gove, M. (2009a). What is education for? Speech to the RSA, 30 June, 2009. </w:t>
      </w:r>
      <w:r w:rsidR="008F2830">
        <w:rPr>
          <w:rFonts w:cs="Calibri"/>
          <w:sz w:val="24"/>
          <w:szCs w:val="24"/>
        </w:rPr>
        <w:t>[Online]</w:t>
      </w:r>
      <w:r w:rsidR="008F2830" w:rsidRPr="00E85ABD">
        <w:rPr>
          <w:rFonts w:cs="Calibri"/>
          <w:sz w:val="24"/>
          <w:szCs w:val="24"/>
        </w:rPr>
        <w:t xml:space="preserve"> </w:t>
      </w:r>
      <w:r w:rsidR="008F2830">
        <w:rPr>
          <w:rFonts w:cs="Calibri"/>
          <w:sz w:val="24"/>
          <w:szCs w:val="24"/>
        </w:rPr>
        <w:t xml:space="preserve">Available from:  </w:t>
      </w:r>
      <w:hyperlink r:id="rId31" w:history="1">
        <w:r w:rsidRPr="00F01817">
          <w:rPr>
            <w:rStyle w:val="Hyperlink"/>
            <w:sz w:val="24"/>
            <w:szCs w:val="24"/>
          </w:rPr>
          <w:t>http://www.thersa.org/__data/assets/pdf_file/0009/213021/Gove-speech-to-RSA.pdf</w:t>
        </w:r>
      </w:hyperlink>
      <w:r w:rsidR="008F2830">
        <w:rPr>
          <w:rStyle w:val="Hyperlink"/>
          <w:sz w:val="24"/>
          <w:szCs w:val="24"/>
        </w:rPr>
        <w:t xml:space="preserve"> </w:t>
      </w:r>
      <w:r w:rsidR="008F2830" w:rsidRPr="008F2830">
        <w:rPr>
          <w:rStyle w:val="Hyperlink"/>
          <w:color w:val="auto"/>
          <w:sz w:val="24"/>
          <w:szCs w:val="24"/>
          <w:u w:val="none"/>
        </w:rPr>
        <w:t>[Accessed 17.6.12].</w:t>
      </w:r>
    </w:p>
    <w:p w14:paraId="7667B6DB" w14:textId="406FFE55" w:rsidR="00D27BF7" w:rsidRDefault="00D27BF7" w:rsidP="00D27BF7">
      <w:pPr>
        <w:spacing w:line="360" w:lineRule="auto"/>
        <w:rPr>
          <w:rStyle w:val="Hyperlink"/>
          <w:sz w:val="24"/>
          <w:szCs w:val="24"/>
        </w:rPr>
      </w:pPr>
      <w:r>
        <w:rPr>
          <w:sz w:val="24"/>
          <w:szCs w:val="24"/>
        </w:rPr>
        <w:t xml:space="preserve">Gove, M. (2009b). A comprehensive programme for state education. Speech at the Conservative Party conference, 6 November. </w:t>
      </w:r>
      <w:r w:rsidR="008F2830">
        <w:rPr>
          <w:rFonts w:cs="Calibri"/>
          <w:sz w:val="24"/>
          <w:szCs w:val="24"/>
        </w:rPr>
        <w:t>[Online]</w:t>
      </w:r>
      <w:r w:rsidR="008F2830" w:rsidRPr="00E85ABD">
        <w:rPr>
          <w:rFonts w:cs="Calibri"/>
          <w:sz w:val="24"/>
          <w:szCs w:val="24"/>
        </w:rPr>
        <w:t xml:space="preserve"> </w:t>
      </w:r>
      <w:r w:rsidR="008F2830">
        <w:rPr>
          <w:rFonts w:cs="Calibri"/>
          <w:sz w:val="24"/>
          <w:szCs w:val="24"/>
        </w:rPr>
        <w:t xml:space="preserve">Available from: </w:t>
      </w:r>
      <w:hyperlink r:id="rId32" w:history="1">
        <w:r w:rsidRPr="00F01817">
          <w:rPr>
            <w:rStyle w:val="Hyperlink"/>
            <w:sz w:val="24"/>
            <w:szCs w:val="24"/>
          </w:rPr>
          <w:t>http://www.conservatives.com/News/Speeches/2009/11/Michael_Gove_A_comprehensive_programme_for_state_education.aspx</w:t>
        </w:r>
      </w:hyperlink>
      <w:r>
        <w:rPr>
          <w:rStyle w:val="Hyperlink"/>
          <w:sz w:val="24"/>
          <w:szCs w:val="24"/>
        </w:rPr>
        <w:t xml:space="preserve"> </w:t>
      </w:r>
      <w:r w:rsidR="008F2830" w:rsidRPr="008F2830">
        <w:rPr>
          <w:rStyle w:val="Hyperlink"/>
          <w:color w:val="auto"/>
          <w:sz w:val="24"/>
          <w:szCs w:val="24"/>
          <w:u w:val="none"/>
        </w:rPr>
        <w:t>[Accessed 17.6.12].</w:t>
      </w:r>
    </w:p>
    <w:p w14:paraId="03DEDDC8" w14:textId="093EC636" w:rsidR="00D27BF7" w:rsidRPr="00E244C8" w:rsidRDefault="00D27BF7" w:rsidP="00D27BF7">
      <w:pPr>
        <w:spacing w:line="360" w:lineRule="auto"/>
        <w:rPr>
          <w:rStyle w:val="Hyperlink"/>
          <w:sz w:val="24"/>
          <w:szCs w:val="24"/>
        </w:rPr>
      </w:pPr>
      <w:r w:rsidRPr="008F2830">
        <w:rPr>
          <w:rStyle w:val="Hyperlink"/>
          <w:color w:val="auto"/>
          <w:sz w:val="24"/>
          <w:szCs w:val="24"/>
          <w:u w:val="none"/>
        </w:rPr>
        <w:t>Gove, M. (Nov 2010). Schools White Paper: Speech.</w:t>
      </w:r>
      <w:r w:rsidR="008F2830" w:rsidRPr="008F2830">
        <w:rPr>
          <w:rStyle w:val="Hyperlink"/>
          <w:color w:val="auto"/>
          <w:sz w:val="24"/>
          <w:szCs w:val="24"/>
          <w:u w:val="none"/>
        </w:rPr>
        <w:t xml:space="preserve"> </w:t>
      </w:r>
      <w:r w:rsidR="008F2830" w:rsidRPr="008F2830">
        <w:rPr>
          <w:rFonts w:cs="Calibri"/>
          <w:sz w:val="24"/>
          <w:szCs w:val="24"/>
        </w:rPr>
        <w:t>[Online</w:t>
      </w:r>
      <w:r w:rsidR="008F2830">
        <w:rPr>
          <w:rFonts w:cs="Calibri"/>
          <w:sz w:val="24"/>
          <w:szCs w:val="24"/>
        </w:rPr>
        <w:t>]</w:t>
      </w:r>
      <w:r w:rsidR="008F2830" w:rsidRPr="00E85ABD">
        <w:rPr>
          <w:rFonts w:cs="Calibri"/>
          <w:sz w:val="24"/>
          <w:szCs w:val="24"/>
        </w:rPr>
        <w:t xml:space="preserve"> </w:t>
      </w:r>
      <w:r w:rsidR="008F2830">
        <w:rPr>
          <w:rFonts w:cs="Calibri"/>
          <w:sz w:val="24"/>
          <w:szCs w:val="24"/>
        </w:rPr>
        <w:t xml:space="preserve">Available from: </w:t>
      </w:r>
      <w:hyperlink r:id="rId33" w:history="1">
        <w:r w:rsidRPr="006E00C3">
          <w:rPr>
            <w:rStyle w:val="Hyperlink"/>
            <w:sz w:val="24"/>
            <w:szCs w:val="24"/>
          </w:rPr>
          <w:t>http://michaelgove.com/content/schools_white_paper_speech</w:t>
        </w:r>
      </w:hyperlink>
      <w:r w:rsidR="008F2830">
        <w:rPr>
          <w:rStyle w:val="Hyperlink"/>
          <w:sz w:val="24"/>
          <w:szCs w:val="24"/>
        </w:rPr>
        <w:t xml:space="preserve"> </w:t>
      </w:r>
      <w:r w:rsidR="008F2830" w:rsidRPr="008F2830">
        <w:rPr>
          <w:rStyle w:val="Hyperlink"/>
          <w:color w:val="auto"/>
          <w:sz w:val="24"/>
          <w:szCs w:val="24"/>
          <w:u w:val="none"/>
        </w:rPr>
        <w:t>[Accessed 24.8.11].</w:t>
      </w:r>
    </w:p>
    <w:p w14:paraId="17EEFCA1" w14:textId="77777777" w:rsidR="00D27BF7" w:rsidRPr="00B02930" w:rsidRDefault="00D27BF7" w:rsidP="00D27BF7">
      <w:pPr>
        <w:spacing w:line="360" w:lineRule="auto"/>
        <w:rPr>
          <w:rStyle w:val="Hyperlink"/>
          <w:color w:val="auto"/>
          <w:sz w:val="24"/>
          <w:szCs w:val="24"/>
          <w:u w:val="none"/>
        </w:rPr>
      </w:pPr>
      <w:r w:rsidRPr="0095630C">
        <w:rPr>
          <w:rStyle w:val="Hyperlink"/>
          <w:color w:val="auto"/>
          <w:sz w:val="24"/>
          <w:szCs w:val="24"/>
          <w:u w:val="none"/>
        </w:rPr>
        <w:t>Greevy, H., Knox, A., Nunney, F., and Pye, J.</w:t>
      </w:r>
      <w:r w:rsidRPr="00640136">
        <w:rPr>
          <w:rStyle w:val="Hyperlink"/>
          <w:color w:val="auto"/>
          <w:sz w:val="24"/>
          <w:szCs w:val="24"/>
        </w:rPr>
        <w:t xml:space="preserve"> </w:t>
      </w:r>
      <w:r w:rsidRPr="00542485">
        <w:rPr>
          <w:sz w:val="24"/>
          <w:szCs w:val="24"/>
        </w:rPr>
        <w:t xml:space="preserve"> </w:t>
      </w:r>
      <w:r>
        <w:rPr>
          <w:sz w:val="24"/>
          <w:szCs w:val="24"/>
        </w:rPr>
        <w:t xml:space="preserve">(2012). </w:t>
      </w:r>
      <w:r w:rsidRPr="008631C6">
        <w:rPr>
          <w:i/>
          <w:sz w:val="24"/>
          <w:szCs w:val="24"/>
        </w:rPr>
        <w:t>The effects of the English Baccalaureate.</w:t>
      </w:r>
      <w:r>
        <w:rPr>
          <w:sz w:val="24"/>
          <w:szCs w:val="24"/>
        </w:rPr>
        <w:t xml:space="preserve"> DfE: Ipsos MORI.</w:t>
      </w:r>
    </w:p>
    <w:p w14:paraId="2D2E4E6D" w14:textId="2975A924" w:rsidR="00176CD4" w:rsidRPr="00176CD4" w:rsidRDefault="00176CD4" w:rsidP="00D27BF7">
      <w:pPr>
        <w:spacing w:line="360" w:lineRule="auto"/>
        <w:rPr>
          <w:color w:val="0000FF"/>
          <w:sz w:val="24"/>
          <w:szCs w:val="24"/>
          <w:u w:val="single"/>
        </w:rPr>
      </w:pPr>
      <w:r>
        <w:rPr>
          <w:sz w:val="24"/>
          <w:szCs w:val="24"/>
        </w:rPr>
        <w:t xml:space="preserve">Hillman, N. (Ed). (Oct 2015). </w:t>
      </w:r>
      <w:r w:rsidRPr="000B2F1D">
        <w:rPr>
          <w:i/>
          <w:sz w:val="24"/>
          <w:szCs w:val="24"/>
        </w:rPr>
        <w:t>“It’s the finance stupid! The decline of part-time higher education and what to do about it”</w:t>
      </w:r>
      <w:r>
        <w:rPr>
          <w:i/>
          <w:sz w:val="24"/>
          <w:szCs w:val="24"/>
        </w:rPr>
        <w:t xml:space="preserve">. </w:t>
      </w:r>
      <w:r>
        <w:rPr>
          <w:sz w:val="24"/>
          <w:szCs w:val="24"/>
        </w:rPr>
        <w:t xml:space="preserve">HEPI. </w:t>
      </w:r>
      <w:r w:rsidR="005260BE">
        <w:rPr>
          <w:rFonts w:cs="Calibri"/>
          <w:sz w:val="24"/>
          <w:szCs w:val="24"/>
        </w:rPr>
        <w:t>[Online]</w:t>
      </w:r>
      <w:r w:rsidR="005260BE" w:rsidRPr="00E85ABD">
        <w:rPr>
          <w:rFonts w:cs="Calibri"/>
          <w:sz w:val="24"/>
          <w:szCs w:val="24"/>
        </w:rPr>
        <w:t xml:space="preserve"> </w:t>
      </w:r>
      <w:r w:rsidR="005260BE">
        <w:rPr>
          <w:rFonts w:cs="Calibri"/>
          <w:sz w:val="24"/>
          <w:szCs w:val="24"/>
        </w:rPr>
        <w:t xml:space="preserve">Available from: </w:t>
      </w:r>
      <w:hyperlink r:id="rId34" w:history="1">
        <w:r w:rsidRPr="00B53F14">
          <w:rPr>
            <w:rStyle w:val="Hyperlink"/>
            <w:sz w:val="24"/>
            <w:szCs w:val="24"/>
          </w:rPr>
          <w:t>www.hepi.ac.uk/2015/10/29/</w:t>
        </w:r>
      </w:hyperlink>
      <w:r w:rsidR="005260BE">
        <w:rPr>
          <w:rStyle w:val="Hyperlink"/>
          <w:sz w:val="24"/>
          <w:szCs w:val="24"/>
        </w:rPr>
        <w:t xml:space="preserve">   </w:t>
      </w:r>
      <w:r w:rsidR="005260BE" w:rsidRPr="005260BE">
        <w:rPr>
          <w:rStyle w:val="Hyperlink"/>
          <w:color w:val="auto"/>
          <w:sz w:val="24"/>
          <w:szCs w:val="24"/>
          <w:u w:val="none"/>
        </w:rPr>
        <w:t>[Accessed</w:t>
      </w:r>
      <w:r w:rsidR="005260BE" w:rsidRPr="005260BE">
        <w:rPr>
          <w:sz w:val="24"/>
          <w:szCs w:val="24"/>
        </w:rPr>
        <w:t xml:space="preserve"> 29.10.15].</w:t>
      </w:r>
    </w:p>
    <w:p w14:paraId="6A2FE98A" w14:textId="77777777" w:rsidR="00D27BF7" w:rsidRDefault="00D27BF7" w:rsidP="00D27BF7">
      <w:pPr>
        <w:spacing w:line="360" w:lineRule="auto"/>
        <w:rPr>
          <w:sz w:val="24"/>
          <w:szCs w:val="24"/>
        </w:rPr>
      </w:pPr>
      <w:r>
        <w:rPr>
          <w:sz w:val="24"/>
          <w:szCs w:val="24"/>
        </w:rPr>
        <w:t xml:space="preserve">Hirsch, E.D. (1996). </w:t>
      </w:r>
      <w:r w:rsidRPr="002A214C">
        <w:rPr>
          <w:i/>
          <w:sz w:val="24"/>
          <w:szCs w:val="24"/>
        </w:rPr>
        <w:t>The schools we need and why we don’t have them</w:t>
      </w:r>
      <w:r>
        <w:rPr>
          <w:sz w:val="24"/>
          <w:szCs w:val="24"/>
        </w:rPr>
        <w:t>. USA: Anchor Books.</w:t>
      </w:r>
    </w:p>
    <w:p w14:paraId="4B1F3E5B" w14:textId="64211A2B" w:rsidR="00D27BF7" w:rsidRDefault="00D27BF7" w:rsidP="00D27BF7">
      <w:pPr>
        <w:spacing w:line="360" w:lineRule="auto"/>
        <w:rPr>
          <w:sz w:val="24"/>
          <w:szCs w:val="24"/>
        </w:rPr>
      </w:pPr>
      <w:r>
        <w:rPr>
          <w:sz w:val="24"/>
          <w:szCs w:val="24"/>
        </w:rPr>
        <w:t xml:space="preserve">Hirsch, E.D., </w:t>
      </w:r>
      <w:r w:rsidR="003B77F3">
        <w:rPr>
          <w:sz w:val="24"/>
          <w:szCs w:val="24"/>
        </w:rPr>
        <w:t>Ketch</w:t>
      </w:r>
      <w:r>
        <w:rPr>
          <w:sz w:val="24"/>
          <w:szCs w:val="24"/>
        </w:rPr>
        <w:t xml:space="preserve">, J.F. and Trefil, J. (2002). </w:t>
      </w:r>
      <w:r w:rsidRPr="00C921E2">
        <w:rPr>
          <w:i/>
          <w:sz w:val="24"/>
          <w:szCs w:val="24"/>
        </w:rPr>
        <w:t>The New Dictionary of Cultural Literacy: What Every American Needs to Know.</w:t>
      </w:r>
      <w:r>
        <w:rPr>
          <w:sz w:val="24"/>
          <w:szCs w:val="24"/>
        </w:rPr>
        <w:t xml:space="preserve"> New York: Houghton Mifflin.</w:t>
      </w:r>
    </w:p>
    <w:p w14:paraId="08A80021" w14:textId="77777777" w:rsidR="00D27BF7" w:rsidRDefault="00D27BF7" w:rsidP="00D27BF7">
      <w:pPr>
        <w:spacing w:line="360" w:lineRule="auto"/>
        <w:rPr>
          <w:sz w:val="24"/>
          <w:szCs w:val="24"/>
        </w:rPr>
      </w:pPr>
      <w:r>
        <w:rPr>
          <w:sz w:val="24"/>
          <w:szCs w:val="24"/>
        </w:rPr>
        <w:t xml:space="preserve">HMSO. (2002). </w:t>
      </w:r>
      <w:r w:rsidRPr="00347549">
        <w:rPr>
          <w:i/>
          <w:sz w:val="24"/>
          <w:szCs w:val="24"/>
        </w:rPr>
        <w:t>Education Act.</w:t>
      </w:r>
      <w:r>
        <w:rPr>
          <w:sz w:val="24"/>
          <w:szCs w:val="24"/>
        </w:rPr>
        <w:t xml:space="preserve"> London: HMSO.</w:t>
      </w:r>
    </w:p>
    <w:p w14:paraId="3019A803" w14:textId="6D69BF0D" w:rsidR="00D27BF7" w:rsidRPr="00C5422D" w:rsidRDefault="008F2830" w:rsidP="00D27BF7">
      <w:pPr>
        <w:rPr>
          <w:rFonts w:cs="Tahoma"/>
          <w:sz w:val="24"/>
          <w:szCs w:val="24"/>
        </w:rPr>
      </w:pPr>
      <w:r w:rsidRPr="00C5422D">
        <w:rPr>
          <w:rFonts w:cs="Tahoma"/>
          <w:sz w:val="24"/>
          <w:szCs w:val="24"/>
        </w:rPr>
        <w:t>Hodgson, A. and</w:t>
      </w:r>
      <w:r w:rsidR="00D27BF7" w:rsidRPr="00C5422D">
        <w:rPr>
          <w:rFonts w:cs="Tahoma"/>
          <w:sz w:val="24"/>
          <w:szCs w:val="24"/>
        </w:rPr>
        <w:t xml:space="preserve"> Spours, K. (2008). </w:t>
      </w:r>
      <w:r w:rsidR="00D27BF7" w:rsidRPr="00C5422D">
        <w:rPr>
          <w:rFonts w:cs="Tahoma"/>
          <w:i/>
          <w:sz w:val="24"/>
          <w:szCs w:val="24"/>
        </w:rPr>
        <w:t xml:space="preserve">Education and Training 14-19 Curriculum, Qualifications and Organization. </w:t>
      </w:r>
      <w:r w:rsidR="00D27BF7" w:rsidRPr="00C5422D">
        <w:rPr>
          <w:rFonts w:cs="Tahoma"/>
          <w:sz w:val="24"/>
          <w:szCs w:val="24"/>
        </w:rPr>
        <w:t xml:space="preserve"> Los Angeles: Sage.</w:t>
      </w:r>
    </w:p>
    <w:p w14:paraId="634F5381" w14:textId="5BE222F5" w:rsidR="00D27BF7" w:rsidRDefault="008F2830" w:rsidP="00D27BF7">
      <w:pPr>
        <w:rPr>
          <w:rFonts w:cs="Tahoma"/>
          <w:sz w:val="24"/>
          <w:szCs w:val="24"/>
        </w:rPr>
      </w:pPr>
      <w:r w:rsidRPr="00C5422D">
        <w:rPr>
          <w:rFonts w:cs="Tahoma"/>
          <w:sz w:val="24"/>
          <w:szCs w:val="24"/>
        </w:rPr>
        <w:t>Hodgson, A. and</w:t>
      </w:r>
      <w:r w:rsidR="00D27BF7" w:rsidRPr="00C5422D">
        <w:rPr>
          <w:rFonts w:cs="Tahoma"/>
          <w:sz w:val="24"/>
          <w:szCs w:val="24"/>
        </w:rPr>
        <w:t xml:space="preserve"> Spours, K. (2012). </w:t>
      </w:r>
      <w:r w:rsidR="00C5422D" w:rsidRPr="00C5422D">
        <w:rPr>
          <w:rFonts w:cs="Tahoma"/>
          <w:sz w:val="24"/>
          <w:szCs w:val="24"/>
        </w:rPr>
        <w:t xml:space="preserve">All change for 14-19 Education and Training. In: Learning Plus UK (Eds) </w:t>
      </w:r>
      <w:r w:rsidR="00C5422D" w:rsidRPr="00C5422D">
        <w:rPr>
          <w:rFonts w:cs="Tahoma"/>
          <w:i/>
          <w:sz w:val="24"/>
          <w:szCs w:val="24"/>
        </w:rPr>
        <w:t>Promoting Excellence in Leadership 14-19, Final Research</w:t>
      </w:r>
      <w:r w:rsidR="00C5422D" w:rsidRPr="00C5422D">
        <w:rPr>
          <w:rFonts w:cs="Tahoma"/>
          <w:sz w:val="24"/>
          <w:szCs w:val="24"/>
        </w:rPr>
        <w:t xml:space="preserve">. p. 3-5. </w:t>
      </w:r>
      <w:r w:rsidR="00C5422D" w:rsidRPr="00C5422D">
        <w:rPr>
          <w:rFonts w:cs="Calibri"/>
          <w:sz w:val="24"/>
          <w:szCs w:val="24"/>
        </w:rPr>
        <w:t>[Online] Available from:</w:t>
      </w:r>
      <w:r w:rsidR="00C5422D">
        <w:rPr>
          <w:rFonts w:cs="Calibri"/>
          <w:sz w:val="24"/>
          <w:szCs w:val="24"/>
        </w:rPr>
        <w:t xml:space="preserve"> </w:t>
      </w:r>
      <w:hyperlink r:id="rId35" w:history="1">
        <w:r w:rsidR="00C5422D" w:rsidRPr="00633AFC">
          <w:rPr>
            <w:rStyle w:val="Hyperlink"/>
            <w:rFonts w:cs="Tahoma"/>
            <w:sz w:val="24"/>
            <w:szCs w:val="24"/>
          </w:rPr>
          <w:t>http://www.learningplusuk.org/files/learningplus/Final_research_publication_2012.pdf</w:t>
        </w:r>
      </w:hyperlink>
    </w:p>
    <w:p w14:paraId="47A90CA6" w14:textId="01AB2B61" w:rsidR="00C5422D" w:rsidRDefault="00C5422D" w:rsidP="00D27BF7">
      <w:pPr>
        <w:rPr>
          <w:rFonts w:cs="Tahoma"/>
          <w:sz w:val="24"/>
          <w:szCs w:val="24"/>
        </w:rPr>
      </w:pPr>
      <w:r>
        <w:rPr>
          <w:rFonts w:cs="Tahoma"/>
          <w:sz w:val="24"/>
          <w:szCs w:val="24"/>
        </w:rPr>
        <w:t>[Accessed 25.5.16].</w:t>
      </w:r>
    </w:p>
    <w:p w14:paraId="7E19573C" w14:textId="543D9993" w:rsidR="0055663F" w:rsidRPr="0055663F" w:rsidRDefault="0055663F" w:rsidP="0055663F">
      <w:pPr>
        <w:spacing w:line="360" w:lineRule="auto"/>
        <w:rPr>
          <w:sz w:val="24"/>
          <w:szCs w:val="24"/>
        </w:rPr>
      </w:pPr>
      <w:r>
        <w:rPr>
          <w:sz w:val="24"/>
          <w:szCs w:val="24"/>
        </w:rPr>
        <w:t xml:space="preserve">Hope, A. (2013). Foucault, panopticism and school surveillance research. In Murphy, M. (Eds) </w:t>
      </w:r>
      <w:r w:rsidRPr="00347549">
        <w:rPr>
          <w:i/>
          <w:sz w:val="24"/>
          <w:szCs w:val="24"/>
        </w:rPr>
        <w:t>Social Theory and Education Research Understanding Foucault, Habermas, Bourdieu and Derrida.</w:t>
      </w:r>
      <w:r>
        <w:rPr>
          <w:sz w:val="24"/>
          <w:szCs w:val="24"/>
        </w:rPr>
        <w:t xml:space="preserve"> Oxon: Routledge. p. 35-51.</w:t>
      </w:r>
    </w:p>
    <w:p w14:paraId="75436296" w14:textId="729B16E6" w:rsidR="00D27BF7" w:rsidRDefault="00D27BF7" w:rsidP="00D27BF7">
      <w:pPr>
        <w:spacing w:line="360" w:lineRule="auto"/>
        <w:rPr>
          <w:sz w:val="24"/>
          <w:szCs w:val="24"/>
        </w:rPr>
      </w:pPr>
      <w:r>
        <w:rPr>
          <w:sz w:val="24"/>
          <w:szCs w:val="24"/>
        </w:rPr>
        <w:t xml:space="preserve">Hyatt, D. (2005). A Critical Literacy Frame for UK secondary education contexts. </w:t>
      </w:r>
      <w:r w:rsidRPr="008F4A4A">
        <w:rPr>
          <w:i/>
          <w:sz w:val="24"/>
          <w:szCs w:val="24"/>
        </w:rPr>
        <w:t>English in Education,</w:t>
      </w:r>
      <w:r>
        <w:rPr>
          <w:sz w:val="24"/>
          <w:szCs w:val="24"/>
        </w:rPr>
        <w:t xml:space="preserve"> 39/1, p</w:t>
      </w:r>
      <w:r w:rsidR="00C5422D">
        <w:rPr>
          <w:sz w:val="24"/>
          <w:szCs w:val="24"/>
        </w:rPr>
        <w:t>p</w:t>
      </w:r>
      <w:r>
        <w:rPr>
          <w:sz w:val="24"/>
          <w:szCs w:val="24"/>
        </w:rPr>
        <w:t>.43-59</w:t>
      </w:r>
      <w:r w:rsidR="00C5422D">
        <w:rPr>
          <w:sz w:val="24"/>
          <w:szCs w:val="24"/>
        </w:rPr>
        <w:t>.</w:t>
      </w:r>
    </w:p>
    <w:p w14:paraId="352A15D2" w14:textId="7BAA7383" w:rsidR="00D27BF7" w:rsidRDefault="00D27BF7" w:rsidP="00D27BF7">
      <w:pPr>
        <w:spacing w:line="360" w:lineRule="auto"/>
        <w:rPr>
          <w:sz w:val="24"/>
          <w:szCs w:val="24"/>
        </w:rPr>
      </w:pPr>
      <w:r>
        <w:rPr>
          <w:sz w:val="24"/>
          <w:szCs w:val="24"/>
        </w:rPr>
        <w:lastRenderedPageBreak/>
        <w:t xml:space="preserve">Hyatt, D. (2010). </w:t>
      </w:r>
      <w:r w:rsidRPr="00EA584C">
        <w:rPr>
          <w:i/>
          <w:sz w:val="24"/>
          <w:szCs w:val="24"/>
        </w:rPr>
        <w:t>Critical Discourse Analysis: a framework for educational research.</w:t>
      </w:r>
      <w:r>
        <w:rPr>
          <w:sz w:val="24"/>
          <w:szCs w:val="24"/>
        </w:rPr>
        <w:t xml:space="preserve"> British Educational Research Association (BERA) Resources. </w:t>
      </w:r>
      <w:r w:rsidR="00C5422D" w:rsidRPr="008F2830">
        <w:rPr>
          <w:rFonts w:cs="Calibri"/>
          <w:sz w:val="24"/>
          <w:szCs w:val="24"/>
        </w:rPr>
        <w:t>[Online</w:t>
      </w:r>
      <w:r w:rsidR="00C5422D">
        <w:rPr>
          <w:rFonts w:cs="Calibri"/>
          <w:sz w:val="24"/>
          <w:szCs w:val="24"/>
        </w:rPr>
        <w:t>]</w:t>
      </w:r>
      <w:r w:rsidR="00C5422D" w:rsidRPr="00E85ABD">
        <w:rPr>
          <w:rFonts w:cs="Calibri"/>
          <w:sz w:val="24"/>
          <w:szCs w:val="24"/>
        </w:rPr>
        <w:t xml:space="preserve"> </w:t>
      </w:r>
      <w:r w:rsidR="00C5422D">
        <w:rPr>
          <w:rFonts w:cs="Calibri"/>
          <w:sz w:val="24"/>
          <w:szCs w:val="24"/>
        </w:rPr>
        <w:t xml:space="preserve">Available from: </w:t>
      </w:r>
      <w:hyperlink r:id="rId36" w:history="1">
        <w:r w:rsidRPr="008A3DC8">
          <w:rPr>
            <w:rStyle w:val="Hyperlink"/>
            <w:sz w:val="24"/>
            <w:szCs w:val="24"/>
          </w:rPr>
          <w:t>http://www.bera.ac.uk/critical-discourse-analysis/</w:t>
        </w:r>
      </w:hyperlink>
      <w:r>
        <w:rPr>
          <w:sz w:val="24"/>
          <w:szCs w:val="24"/>
        </w:rPr>
        <w:t xml:space="preserve"> </w:t>
      </w:r>
      <w:r w:rsidR="00C5422D">
        <w:rPr>
          <w:sz w:val="24"/>
          <w:szCs w:val="24"/>
        </w:rPr>
        <w:t>[Accessed 22.11.10].</w:t>
      </w:r>
    </w:p>
    <w:p w14:paraId="2A93E08C" w14:textId="0700DAFE" w:rsidR="00D27BF7" w:rsidRDefault="00D27BF7" w:rsidP="00D27BF7">
      <w:pPr>
        <w:spacing w:line="360" w:lineRule="auto"/>
        <w:rPr>
          <w:sz w:val="24"/>
          <w:szCs w:val="24"/>
        </w:rPr>
      </w:pPr>
      <w:r>
        <w:rPr>
          <w:sz w:val="24"/>
          <w:szCs w:val="24"/>
        </w:rPr>
        <w:t xml:space="preserve">Hyatt, D. (2013). The critical policy discourse analysis frame: helping doctoral students engage with the educational policy analysis. </w:t>
      </w:r>
      <w:r w:rsidRPr="00D45EF4">
        <w:rPr>
          <w:i/>
          <w:sz w:val="24"/>
          <w:szCs w:val="24"/>
        </w:rPr>
        <w:t>Teaching in Higher Education.</w:t>
      </w:r>
      <w:r w:rsidR="00C5422D">
        <w:rPr>
          <w:sz w:val="24"/>
          <w:szCs w:val="24"/>
        </w:rPr>
        <w:t xml:space="preserve"> 18 (8), </w:t>
      </w:r>
      <w:r>
        <w:rPr>
          <w:sz w:val="24"/>
          <w:szCs w:val="24"/>
        </w:rPr>
        <w:t>833-845.</w:t>
      </w:r>
    </w:p>
    <w:p w14:paraId="061A2ABD" w14:textId="77777777" w:rsidR="00D27BF7" w:rsidRDefault="00D27BF7" w:rsidP="00D27BF7">
      <w:pPr>
        <w:spacing w:line="360" w:lineRule="auto"/>
        <w:outlineLvl w:val="0"/>
        <w:rPr>
          <w:sz w:val="24"/>
          <w:szCs w:val="24"/>
        </w:rPr>
      </w:pPr>
      <w:bookmarkStart w:id="182" w:name="_Toc450170277"/>
      <w:bookmarkStart w:id="183" w:name="_Toc451866239"/>
      <w:bookmarkStart w:id="184" w:name="_Toc452316433"/>
      <w:r w:rsidRPr="00C510FC">
        <w:rPr>
          <w:sz w:val="24"/>
          <w:szCs w:val="24"/>
        </w:rPr>
        <w:t xml:space="preserve">Illich, I. (1971).  </w:t>
      </w:r>
      <w:r w:rsidRPr="00C510FC">
        <w:rPr>
          <w:i/>
          <w:sz w:val="24"/>
          <w:szCs w:val="24"/>
        </w:rPr>
        <w:t>Deschooling society</w:t>
      </w:r>
      <w:r w:rsidRPr="00C510FC">
        <w:rPr>
          <w:sz w:val="24"/>
          <w:szCs w:val="24"/>
        </w:rPr>
        <w:t>. Middlesex: England.</w:t>
      </w:r>
      <w:bookmarkEnd w:id="182"/>
      <w:bookmarkEnd w:id="183"/>
      <w:bookmarkEnd w:id="184"/>
    </w:p>
    <w:p w14:paraId="34E639E7" w14:textId="77777777" w:rsidR="00D27BF7" w:rsidRDefault="00D27BF7" w:rsidP="00D27BF7">
      <w:pPr>
        <w:tabs>
          <w:tab w:val="left" w:pos="1485"/>
        </w:tabs>
        <w:spacing w:line="360" w:lineRule="auto"/>
        <w:rPr>
          <w:sz w:val="24"/>
          <w:szCs w:val="24"/>
        </w:rPr>
      </w:pPr>
      <w:r>
        <w:rPr>
          <w:sz w:val="24"/>
          <w:szCs w:val="24"/>
        </w:rPr>
        <w:t xml:space="preserve">Kelly, A.V. (1995). </w:t>
      </w:r>
      <w:r w:rsidRPr="004F7706">
        <w:rPr>
          <w:i/>
          <w:sz w:val="24"/>
          <w:szCs w:val="24"/>
        </w:rPr>
        <w:t>Education and democracy: Principles and Practices</w:t>
      </w:r>
      <w:r>
        <w:rPr>
          <w:sz w:val="24"/>
          <w:szCs w:val="24"/>
        </w:rPr>
        <w:t>. London: Paul Chapman Publishing.</w:t>
      </w:r>
    </w:p>
    <w:p w14:paraId="7F4810F4" w14:textId="77777777" w:rsidR="00D27BF7" w:rsidRDefault="00D27BF7" w:rsidP="00D27BF7">
      <w:pPr>
        <w:tabs>
          <w:tab w:val="left" w:pos="1485"/>
        </w:tabs>
        <w:spacing w:line="360" w:lineRule="auto"/>
        <w:rPr>
          <w:sz w:val="24"/>
          <w:szCs w:val="24"/>
        </w:rPr>
      </w:pPr>
      <w:r>
        <w:rPr>
          <w:sz w:val="24"/>
          <w:szCs w:val="24"/>
        </w:rPr>
        <w:t xml:space="preserve">Kelly, A.V. (2009). </w:t>
      </w:r>
      <w:r w:rsidRPr="004F7706">
        <w:rPr>
          <w:i/>
          <w:sz w:val="24"/>
          <w:szCs w:val="24"/>
        </w:rPr>
        <w:t>The Curriculum theory and practice 6</w:t>
      </w:r>
      <w:r w:rsidRPr="004F7706">
        <w:rPr>
          <w:i/>
          <w:sz w:val="24"/>
          <w:szCs w:val="24"/>
          <w:vertAlign w:val="superscript"/>
        </w:rPr>
        <w:t>th</w:t>
      </w:r>
      <w:r w:rsidRPr="004F7706">
        <w:rPr>
          <w:i/>
          <w:sz w:val="24"/>
          <w:szCs w:val="24"/>
        </w:rPr>
        <w:t xml:space="preserve"> edition</w:t>
      </w:r>
      <w:r>
        <w:rPr>
          <w:sz w:val="24"/>
          <w:szCs w:val="24"/>
        </w:rPr>
        <w:t>. London: Sage.</w:t>
      </w:r>
    </w:p>
    <w:p w14:paraId="0ABF7022" w14:textId="2337F65E" w:rsidR="00D27BF7" w:rsidRDefault="003410B4" w:rsidP="00A957EC">
      <w:pPr>
        <w:tabs>
          <w:tab w:val="left" w:pos="1485"/>
        </w:tabs>
        <w:spacing w:line="360" w:lineRule="auto"/>
        <w:outlineLvl w:val="0"/>
        <w:rPr>
          <w:sz w:val="24"/>
          <w:szCs w:val="24"/>
        </w:rPr>
      </w:pPr>
      <w:bookmarkStart w:id="185" w:name="_Toc450170278"/>
      <w:bookmarkStart w:id="186" w:name="_Toc451866240"/>
      <w:bookmarkStart w:id="187" w:name="_Toc452316434"/>
      <w:r>
        <w:rPr>
          <w:sz w:val="24"/>
          <w:szCs w:val="24"/>
        </w:rPr>
        <w:t>Lincoln, S. and</w:t>
      </w:r>
      <w:r w:rsidR="00D27BF7">
        <w:rPr>
          <w:sz w:val="24"/>
          <w:szCs w:val="24"/>
        </w:rPr>
        <w:t xml:space="preserve"> Guba, E. (1985). </w:t>
      </w:r>
      <w:r w:rsidR="00D27BF7" w:rsidRPr="00347549">
        <w:rPr>
          <w:i/>
          <w:sz w:val="24"/>
          <w:szCs w:val="24"/>
        </w:rPr>
        <w:t>Naturalistic Inquiry.</w:t>
      </w:r>
      <w:r w:rsidR="00D27BF7">
        <w:rPr>
          <w:sz w:val="24"/>
          <w:szCs w:val="24"/>
        </w:rPr>
        <w:t xml:space="preserve"> London: Sage</w:t>
      </w:r>
      <w:bookmarkEnd w:id="185"/>
      <w:bookmarkEnd w:id="186"/>
      <w:bookmarkEnd w:id="187"/>
    </w:p>
    <w:p w14:paraId="6D3D75D5" w14:textId="46DBD6B7" w:rsidR="00D27BF7" w:rsidRDefault="00D27BF7" w:rsidP="00D27BF7">
      <w:pPr>
        <w:tabs>
          <w:tab w:val="left" w:pos="1485"/>
        </w:tabs>
        <w:spacing w:line="360" w:lineRule="auto"/>
        <w:rPr>
          <w:sz w:val="24"/>
          <w:szCs w:val="24"/>
        </w:rPr>
      </w:pPr>
      <w:r>
        <w:rPr>
          <w:sz w:val="24"/>
          <w:szCs w:val="24"/>
        </w:rPr>
        <w:t xml:space="preserve">Lingard, B. (2000). “It is and it isn’t: vernacular globalization, educational policy and restructuring” in Burbules, N.C., </w:t>
      </w:r>
      <w:r w:rsidR="003410B4">
        <w:rPr>
          <w:sz w:val="24"/>
          <w:szCs w:val="24"/>
        </w:rPr>
        <w:t>and</w:t>
      </w:r>
      <w:r w:rsidR="003B77F3">
        <w:rPr>
          <w:sz w:val="24"/>
          <w:szCs w:val="24"/>
        </w:rPr>
        <w:t xml:space="preserve"> </w:t>
      </w:r>
      <w:r>
        <w:rPr>
          <w:sz w:val="24"/>
          <w:szCs w:val="24"/>
        </w:rPr>
        <w:t xml:space="preserve">Torres, C.A (Ed), </w:t>
      </w:r>
      <w:r w:rsidRPr="00F42BC6">
        <w:rPr>
          <w:i/>
          <w:sz w:val="24"/>
          <w:szCs w:val="24"/>
        </w:rPr>
        <w:t>Globalization and Education.</w:t>
      </w:r>
      <w:r>
        <w:rPr>
          <w:sz w:val="24"/>
          <w:szCs w:val="24"/>
        </w:rPr>
        <w:t xml:space="preserve"> New York: Routledge.</w:t>
      </w:r>
    </w:p>
    <w:p w14:paraId="69DE5008" w14:textId="3560ED25" w:rsidR="00D27BF7" w:rsidRDefault="00D27BF7" w:rsidP="00D27BF7">
      <w:pPr>
        <w:tabs>
          <w:tab w:val="left" w:pos="1485"/>
          <w:tab w:val="left" w:pos="8364"/>
        </w:tabs>
        <w:spacing w:line="360" w:lineRule="auto"/>
        <w:rPr>
          <w:rFonts w:cs="Calibri"/>
          <w:sz w:val="24"/>
          <w:szCs w:val="24"/>
        </w:rPr>
      </w:pPr>
      <w:r>
        <w:rPr>
          <w:sz w:val="24"/>
          <w:szCs w:val="24"/>
        </w:rPr>
        <w:t xml:space="preserve">Lingard, B. (2010). The impact of research on educational policy: The relevance for doctoral researchers in </w:t>
      </w:r>
      <w:r w:rsidRPr="00E85ABD">
        <w:rPr>
          <w:rFonts w:cs="Calibri"/>
          <w:sz w:val="24"/>
          <w:szCs w:val="24"/>
        </w:rPr>
        <w:t xml:space="preserve">Thomson, P., </w:t>
      </w:r>
      <w:r w:rsidR="003410B4">
        <w:rPr>
          <w:rFonts w:cs="Calibri"/>
          <w:sz w:val="24"/>
          <w:szCs w:val="24"/>
        </w:rPr>
        <w:t xml:space="preserve">and </w:t>
      </w:r>
      <w:r w:rsidRPr="00E85ABD">
        <w:rPr>
          <w:rFonts w:cs="Calibri"/>
          <w:sz w:val="24"/>
          <w:szCs w:val="24"/>
        </w:rPr>
        <w:t xml:space="preserve">Walker, M. (Ed). </w:t>
      </w:r>
      <w:r w:rsidRPr="00E85ABD">
        <w:rPr>
          <w:rFonts w:cs="Calibri"/>
          <w:i/>
          <w:sz w:val="24"/>
          <w:szCs w:val="24"/>
        </w:rPr>
        <w:t xml:space="preserve">The Routledge Doctoral Student’s Companion: Getting to grips with research in Education and the Social </w:t>
      </w:r>
      <w:r>
        <w:rPr>
          <w:rFonts w:cs="Calibri"/>
          <w:i/>
          <w:sz w:val="24"/>
          <w:szCs w:val="24"/>
        </w:rPr>
        <w:t>Science</w:t>
      </w:r>
      <w:r w:rsidRPr="00E85ABD">
        <w:rPr>
          <w:rFonts w:cs="Calibri"/>
          <w:i/>
          <w:sz w:val="24"/>
          <w:szCs w:val="24"/>
        </w:rPr>
        <w:t>s.</w:t>
      </w:r>
      <w:r w:rsidRPr="00E85ABD">
        <w:rPr>
          <w:rFonts w:cs="Calibri"/>
          <w:sz w:val="24"/>
          <w:szCs w:val="24"/>
        </w:rPr>
        <w:t xml:space="preserve"> Oxon: Routledge.</w:t>
      </w:r>
      <w:r w:rsidR="005A76CD">
        <w:rPr>
          <w:rFonts w:cs="Calibri"/>
          <w:sz w:val="24"/>
          <w:szCs w:val="24"/>
        </w:rPr>
        <w:t xml:space="preserve"> </w:t>
      </w:r>
      <w:r w:rsidR="00C5422D">
        <w:rPr>
          <w:rFonts w:cs="Calibri"/>
          <w:sz w:val="24"/>
          <w:szCs w:val="24"/>
        </w:rPr>
        <w:t>p</w:t>
      </w:r>
      <w:r w:rsidR="00C03ABE">
        <w:rPr>
          <w:rFonts w:cs="Calibri"/>
          <w:sz w:val="24"/>
          <w:szCs w:val="24"/>
        </w:rPr>
        <w:t>.</w:t>
      </w:r>
      <w:r w:rsidR="006F063B">
        <w:rPr>
          <w:rFonts w:cs="Calibri"/>
          <w:sz w:val="24"/>
          <w:szCs w:val="24"/>
        </w:rPr>
        <w:t xml:space="preserve"> </w:t>
      </w:r>
      <w:r w:rsidR="00C03ABE">
        <w:rPr>
          <w:rFonts w:cs="Calibri"/>
          <w:sz w:val="24"/>
          <w:szCs w:val="24"/>
        </w:rPr>
        <w:t>377-389.</w:t>
      </w:r>
    </w:p>
    <w:p w14:paraId="10B1333A" w14:textId="1433E5F1" w:rsidR="00D27BF7" w:rsidRDefault="00D27BF7" w:rsidP="00D27BF7">
      <w:pPr>
        <w:tabs>
          <w:tab w:val="left" w:pos="1485"/>
          <w:tab w:val="left" w:pos="8364"/>
        </w:tabs>
        <w:spacing w:line="360" w:lineRule="auto"/>
        <w:rPr>
          <w:rFonts w:cs="Calibri"/>
          <w:sz w:val="24"/>
          <w:szCs w:val="24"/>
        </w:rPr>
      </w:pPr>
      <w:r>
        <w:rPr>
          <w:rFonts w:cs="Calibri"/>
          <w:sz w:val="24"/>
          <w:szCs w:val="24"/>
        </w:rPr>
        <w:t xml:space="preserve">Lingard, B., Martino, W. </w:t>
      </w:r>
      <w:r w:rsidR="003410B4">
        <w:rPr>
          <w:rFonts w:cs="Calibri"/>
          <w:sz w:val="24"/>
          <w:szCs w:val="24"/>
        </w:rPr>
        <w:t xml:space="preserve">and </w:t>
      </w:r>
      <w:r w:rsidR="00176CD4">
        <w:rPr>
          <w:rFonts w:cs="Calibri"/>
          <w:sz w:val="24"/>
          <w:szCs w:val="24"/>
        </w:rPr>
        <w:t>Rezai-Rashti, G. (2013</w:t>
      </w:r>
      <w:r>
        <w:rPr>
          <w:rFonts w:cs="Calibri"/>
          <w:sz w:val="24"/>
          <w:szCs w:val="24"/>
        </w:rPr>
        <w:t xml:space="preserve">). Testing regimes, accountabilities and education policy: commensurate global and national developments. </w:t>
      </w:r>
      <w:r w:rsidRPr="004F6044">
        <w:rPr>
          <w:rFonts w:cs="Calibri"/>
          <w:i/>
          <w:sz w:val="24"/>
          <w:szCs w:val="24"/>
        </w:rPr>
        <w:t>Journal of Education Policy.</w:t>
      </w:r>
      <w:r w:rsidR="00C5422D">
        <w:rPr>
          <w:rFonts w:cs="Calibri"/>
          <w:sz w:val="24"/>
          <w:szCs w:val="24"/>
        </w:rPr>
        <w:t xml:space="preserve"> 28 (5), </w:t>
      </w:r>
      <w:r>
        <w:rPr>
          <w:rFonts w:cs="Calibri"/>
          <w:sz w:val="24"/>
          <w:szCs w:val="24"/>
        </w:rPr>
        <w:t>539-556.</w:t>
      </w:r>
    </w:p>
    <w:p w14:paraId="7906F642" w14:textId="5AF3091C" w:rsidR="00D27BF7" w:rsidRDefault="00D27BF7" w:rsidP="00D27BF7">
      <w:pPr>
        <w:tabs>
          <w:tab w:val="left" w:pos="1485"/>
          <w:tab w:val="left" w:pos="8364"/>
        </w:tabs>
        <w:spacing w:line="360" w:lineRule="auto"/>
        <w:rPr>
          <w:rFonts w:cs="Calibri"/>
          <w:sz w:val="24"/>
          <w:szCs w:val="24"/>
        </w:rPr>
      </w:pPr>
      <w:r>
        <w:rPr>
          <w:rFonts w:cs="Calibri"/>
          <w:sz w:val="24"/>
          <w:szCs w:val="24"/>
        </w:rPr>
        <w:t xml:space="preserve">Lingard, B. </w:t>
      </w:r>
      <w:r w:rsidR="003410B4">
        <w:rPr>
          <w:rFonts w:cs="Calibri"/>
          <w:sz w:val="24"/>
          <w:szCs w:val="24"/>
        </w:rPr>
        <w:t xml:space="preserve">and </w:t>
      </w:r>
      <w:r w:rsidR="00176CD4">
        <w:rPr>
          <w:rFonts w:cs="Calibri"/>
          <w:sz w:val="24"/>
          <w:szCs w:val="24"/>
        </w:rPr>
        <w:t>Sellar, S. (2013</w:t>
      </w:r>
      <w:r>
        <w:rPr>
          <w:rFonts w:cs="Calibri"/>
          <w:sz w:val="24"/>
          <w:szCs w:val="24"/>
        </w:rPr>
        <w:t xml:space="preserve">). ‘Catalyst data’: perverse systemic effects of audit and accountability in Australian schooling. </w:t>
      </w:r>
      <w:r w:rsidRPr="00147D31">
        <w:rPr>
          <w:rFonts w:cs="Calibri"/>
          <w:i/>
          <w:sz w:val="24"/>
          <w:szCs w:val="24"/>
        </w:rPr>
        <w:t>Journal of Education Policy.</w:t>
      </w:r>
      <w:r>
        <w:rPr>
          <w:rFonts w:cs="Calibri"/>
          <w:sz w:val="24"/>
          <w:szCs w:val="24"/>
        </w:rPr>
        <w:t xml:space="preserve"> 28</w:t>
      </w:r>
      <w:r w:rsidR="005A76CD">
        <w:rPr>
          <w:rFonts w:cs="Calibri"/>
          <w:sz w:val="24"/>
          <w:szCs w:val="24"/>
        </w:rPr>
        <w:t xml:space="preserve"> (5), </w:t>
      </w:r>
      <w:r>
        <w:rPr>
          <w:rFonts w:cs="Calibri"/>
          <w:sz w:val="24"/>
          <w:szCs w:val="24"/>
        </w:rPr>
        <w:t>634-656.</w:t>
      </w:r>
    </w:p>
    <w:p w14:paraId="1B22390A" w14:textId="076F7248" w:rsidR="00D27BF7" w:rsidRDefault="00D27BF7" w:rsidP="00D27BF7">
      <w:pPr>
        <w:tabs>
          <w:tab w:val="left" w:pos="1485"/>
          <w:tab w:val="left" w:pos="8364"/>
        </w:tabs>
        <w:spacing w:line="360" w:lineRule="auto"/>
        <w:rPr>
          <w:rFonts w:cs="Calibri"/>
          <w:sz w:val="24"/>
          <w:szCs w:val="24"/>
        </w:rPr>
      </w:pPr>
      <w:r>
        <w:rPr>
          <w:rFonts w:cs="Calibri"/>
          <w:sz w:val="24"/>
          <w:szCs w:val="24"/>
        </w:rPr>
        <w:t xml:space="preserve">Lingard, B., Sellar, S., </w:t>
      </w:r>
      <w:r w:rsidR="003410B4">
        <w:rPr>
          <w:rFonts w:cs="Calibri"/>
          <w:sz w:val="24"/>
          <w:szCs w:val="24"/>
        </w:rPr>
        <w:t xml:space="preserve">and </w:t>
      </w:r>
      <w:r>
        <w:rPr>
          <w:rFonts w:cs="Calibri"/>
          <w:sz w:val="24"/>
          <w:szCs w:val="24"/>
        </w:rPr>
        <w:t xml:space="preserve">Savage, S.C. (2014). Re-articulating social justice as equity in schooling policy: the effects of testing and data infrastructures. </w:t>
      </w:r>
      <w:r w:rsidRPr="00D570D3">
        <w:rPr>
          <w:rFonts w:cs="Calibri"/>
          <w:i/>
          <w:sz w:val="24"/>
          <w:szCs w:val="24"/>
        </w:rPr>
        <w:t>British Journal of Sociology of Educatio</w:t>
      </w:r>
      <w:r w:rsidR="005A76CD">
        <w:rPr>
          <w:rFonts w:cs="Calibri"/>
          <w:sz w:val="24"/>
          <w:szCs w:val="24"/>
        </w:rPr>
        <w:t xml:space="preserve">n. 35 (5), </w:t>
      </w:r>
      <w:r>
        <w:rPr>
          <w:rFonts w:cs="Calibri"/>
          <w:sz w:val="24"/>
          <w:szCs w:val="24"/>
        </w:rPr>
        <w:t>710-730.</w:t>
      </w:r>
    </w:p>
    <w:p w14:paraId="0AF3003D" w14:textId="1B72DD30" w:rsidR="00D27BF7" w:rsidRDefault="00D27BF7" w:rsidP="00D27BF7">
      <w:pPr>
        <w:spacing w:line="360" w:lineRule="auto"/>
        <w:rPr>
          <w:sz w:val="24"/>
          <w:szCs w:val="24"/>
        </w:rPr>
      </w:pPr>
      <w:r>
        <w:rPr>
          <w:sz w:val="24"/>
          <w:szCs w:val="24"/>
        </w:rPr>
        <w:lastRenderedPageBreak/>
        <w:t xml:space="preserve">Maguire, M. </w:t>
      </w:r>
      <w:r w:rsidR="003410B4">
        <w:rPr>
          <w:sz w:val="24"/>
          <w:szCs w:val="24"/>
        </w:rPr>
        <w:t xml:space="preserve">and </w:t>
      </w:r>
      <w:r>
        <w:rPr>
          <w:sz w:val="24"/>
          <w:szCs w:val="24"/>
        </w:rPr>
        <w:t xml:space="preserve">Ball, S. (1994). “Researching politics and the politics of research: recent qualitative studies in the UK”, </w:t>
      </w:r>
      <w:r w:rsidRPr="00171A25">
        <w:rPr>
          <w:i/>
          <w:sz w:val="24"/>
          <w:szCs w:val="24"/>
        </w:rPr>
        <w:t>International Journal of Qualitative Studies in Education,</w:t>
      </w:r>
      <w:r w:rsidR="005A76CD">
        <w:rPr>
          <w:sz w:val="24"/>
          <w:szCs w:val="24"/>
        </w:rPr>
        <w:t xml:space="preserve"> 7 (3), </w:t>
      </w:r>
      <w:r>
        <w:rPr>
          <w:sz w:val="24"/>
          <w:szCs w:val="24"/>
        </w:rPr>
        <w:t>269-85.</w:t>
      </w:r>
    </w:p>
    <w:p w14:paraId="275CE234" w14:textId="26C4ABB4" w:rsidR="00D27BF7" w:rsidRPr="00E244C8" w:rsidRDefault="00D27BF7" w:rsidP="00D27BF7">
      <w:pPr>
        <w:spacing w:line="360" w:lineRule="auto"/>
        <w:rPr>
          <w:sz w:val="24"/>
          <w:szCs w:val="24"/>
        </w:rPr>
      </w:pPr>
      <w:r>
        <w:rPr>
          <w:sz w:val="24"/>
          <w:szCs w:val="24"/>
        </w:rPr>
        <w:t xml:space="preserve">Maykut, P. </w:t>
      </w:r>
      <w:r w:rsidR="003410B4">
        <w:rPr>
          <w:sz w:val="24"/>
          <w:szCs w:val="24"/>
        </w:rPr>
        <w:t xml:space="preserve">and </w:t>
      </w:r>
      <w:r>
        <w:rPr>
          <w:sz w:val="24"/>
          <w:szCs w:val="24"/>
        </w:rPr>
        <w:t xml:space="preserve">Morehouse, R. (1994). </w:t>
      </w:r>
      <w:r w:rsidRPr="004648AA">
        <w:rPr>
          <w:i/>
          <w:sz w:val="24"/>
          <w:szCs w:val="24"/>
        </w:rPr>
        <w:t>Beginning qualitative research: a philosophic and practical guide</w:t>
      </w:r>
      <w:r>
        <w:rPr>
          <w:sz w:val="24"/>
          <w:szCs w:val="24"/>
        </w:rPr>
        <w:t>. London: The Falmer Press.</w:t>
      </w:r>
    </w:p>
    <w:p w14:paraId="315EA7A7" w14:textId="77777777" w:rsidR="00D27BF7" w:rsidRDefault="00D27BF7" w:rsidP="00D27BF7">
      <w:pPr>
        <w:tabs>
          <w:tab w:val="left" w:pos="1485"/>
        </w:tabs>
        <w:spacing w:line="360" w:lineRule="auto"/>
        <w:rPr>
          <w:rFonts w:cs="Calibri"/>
          <w:sz w:val="24"/>
          <w:szCs w:val="24"/>
        </w:rPr>
      </w:pPr>
      <w:r>
        <w:rPr>
          <w:rFonts w:cs="Calibri"/>
          <w:sz w:val="24"/>
          <w:szCs w:val="24"/>
        </w:rPr>
        <w:t>Miles, M.B. and Huberman, A.M. (1994). Qualitative Data Analysis: an expanded source book (2</w:t>
      </w:r>
      <w:r w:rsidRPr="00DF00AC">
        <w:rPr>
          <w:rFonts w:cs="Calibri"/>
          <w:sz w:val="24"/>
          <w:szCs w:val="24"/>
          <w:vertAlign w:val="superscript"/>
        </w:rPr>
        <w:t>nd</w:t>
      </w:r>
      <w:r>
        <w:rPr>
          <w:rFonts w:cs="Calibri"/>
          <w:sz w:val="24"/>
          <w:szCs w:val="24"/>
        </w:rPr>
        <w:t xml:space="preserve"> Edition). London: Sage.</w:t>
      </w:r>
    </w:p>
    <w:p w14:paraId="17528571" w14:textId="78215EBC" w:rsidR="00D27BF7" w:rsidRPr="006F063B" w:rsidRDefault="00D27BF7" w:rsidP="00D27BF7">
      <w:pPr>
        <w:tabs>
          <w:tab w:val="left" w:pos="8505"/>
        </w:tabs>
        <w:spacing w:line="360" w:lineRule="auto"/>
        <w:rPr>
          <w:sz w:val="24"/>
          <w:szCs w:val="24"/>
        </w:rPr>
      </w:pPr>
      <w:r>
        <w:rPr>
          <w:rFonts w:cs="Calibri"/>
          <w:sz w:val="24"/>
          <w:szCs w:val="24"/>
        </w:rPr>
        <w:t xml:space="preserve">Miller, L., Whalley, J., </w:t>
      </w:r>
      <w:r w:rsidR="003410B4">
        <w:rPr>
          <w:rFonts w:cs="Calibri"/>
          <w:sz w:val="24"/>
          <w:szCs w:val="24"/>
        </w:rPr>
        <w:t xml:space="preserve">and </w:t>
      </w:r>
      <w:r>
        <w:rPr>
          <w:rFonts w:cs="Calibri"/>
          <w:sz w:val="24"/>
          <w:szCs w:val="24"/>
        </w:rPr>
        <w:t xml:space="preserve">Stonach, I. (2005). From Structuralism to Poststructuralism. In </w:t>
      </w:r>
      <w:r w:rsidR="005A76CD">
        <w:rPr>
          <w:sz w:val="24"/>
          <w:szCs w:val="24"/>
        </w:rPr>
        <w:t xml:space="preserve">Somekh, B. </w:t>
      </w:r>
      <w:r w:rsidR="003410B4">
        <w:rPr>
          <w:sz w:val="24"/>
          <w:szCs w:val="24"/>
        </w:rPr>
        <w:t xml:space="preserve">and </w:t>
      </w:r>
      <w:r w:rsidR="005A76CD">
        <w:rPr>
          <w:sz w:val="24"/>
          <w:szCs w:val="24"/>
        </w:rPr>
        <w:t>Lewin, C. (Eds)</w:t>
      </w:r>
      <w:r>
        <w:rPr>
          <w:sz w:val="24"/>
          <w:szCs w:val="24"/>
        </w:rPr>
        <w:t xml:space="preserve"> </w:t>
      </w:r>
      <w:r w:rsidRPr="00347549">
        <w:rPr>
          <w:i/>
          <w:sz w:val="24"/>
          <w:szCs w:val="24"/>
        </w:rPr>
        <w:t>Research Methods in the Social</w:t>
      </w:r>
      <w:r>
        <w:rPr>
          <w:i/>
          <w:sz w:val="24"/>
          <w:szCs w:val="24"/>
        </w:rPr>
        <w:t xml:space="preserve"> Science</w:t>
      </w:r>
      <w:r w:rsidRPr="00347549">
        <w:rPr>
          <w:i/>
          <w:sz w:val="24"/>
          <w:szCs w:val="24"/>
        </w:rPr>
        <w:t>s.</w:t>
      </w:r>
      <w:r>
        <w:rPr>
          <w:sz w:val="24"/>
          <w:szCs w:val="24"/>
        </w:rPr>
        <w:t xml:space="preserve"> London: Sage.</w:t>
      </w:r>
      <w:r w:rsidR="005A76CD">
        <w:rPr>
          <w:sz w:val="24"/>
          <w:szCs w:val="24"/>
        </w:rPr>
        <w:t xml:space="preserve"> </w:t>
      </w:r>
      <w:r w:rsidR="00DB4A8A">
        <w:rPr>
          <w:sz w:val="24"/>
          <w:szCs w:val="24"/>
        </w:rPr>
        <w:t>p.310-317.</w:t>
      </w:r>
    </w:p>
    <w:p w14:paraId="53D5F65F" w14:textId="77777777" w:rsidR="00D27BF7" w:rsidRDefault="00D27BF7" w:rsidP="00D27BF7">
      <w:pPr>
        <w:spacing w:line="360" w:lineRule="auto"/>
        <w:outlineLvl w:val="0"/>
        <w:rPr>
          <w:rFonts w:cs="Calibri"/>
          <w:sz w:val="24"/>
          <w:szCs w:val="24"/>
        </w:rPr>
      </w:pPr>
      <w:bookmarkStart w:id="188" w:name="_Toc450170279"/>
      <w:bookmarkStart w:id="189" w:name="_Toc451866241"/>
      <w:bookmarkStart w:id="190" w:name="_Toc452316435"/>
      <w:r>
        <w:rPr>
          <w:rFonts w:cs="Calibri"/>
          <w:sz w:val="24"/>
          <w:szCs w:val="24"/>
        </w:rPr>
        <w:t xml:space="preserve">Moore, R. and Young, M.D.F. (2001). Knowledge and the Curriculum in the Sociology of Education: towards a reconceptualisation. </w:t>
      </w:r>
      <w:r w:rsidRPr="00957744">
        <w:rPr>
          <w:rFonts w:cs="Calibri"/>
          <w:i/>
          <w:sz w:val="24"/>
          <w:szCs w:val="24"/>
        </w:rPr>
        <w:t>British Journal of Sociology of Education.</w:t>
      </w:r>
      <w:r>
        <w:rPr>
          <w:rFonts w:cs="Calibri"/>
          <w:sz w:val="24"/>
          <w:szCs w:val="24"/>
        </w:rPr>
        <w:t xml:space="preserve"> 22,4, 445-461.</w:t>
      </w:r>
      <w:bookmarkEnd w:id="188"/>
      <w:bookmarkEnd w:id="189"/>
      <w:bookmarkEnd w:id="190"/>
      <w:r>
        <w:rPr>
          <w:rFonts w:cs="Calibri"/>
          <w:sz w:val="24"/>
          <w:szCs w:val="24"/>
        </w:rPr>
        <w:t xml:space="preserve"> </w:t>
      </w:r>
    </w:p>
    <w:p w14:paraId="52598ECD" w14:textId="1D82D76A" w:rsidR="00D27BF7" w:rsidRDefault="00D27BF7" w:rsidP="00D27BF7">
      <w:pPr>
        <w:spacing w:line="360" w:lineRule="auto"/>
        <w:rPr>
          <w:rFonts w:asciiTheme="minorHAnsi" w:hAnsiTheme="minorHAnsi"/>
          <w:sz w:val="24"/>
          <w:szCs w:val="24"/>
        </w:rPr>
      </w:pPr>
      <w:r>
        <w:rPr>
          <w:rFonts w:asciiTheme="minorHAnsi" w:hAnsiTheme="minorHAnsi"/>
          <w:sz w:val="24"/>
          <w:szCs w:val="24"/>
        </w:rPr>
        <w:t xml:space="preserve">Office for National Statistics. (2010). </w:t>
      </w:r>
      <w:r w:rsidRPr="000D3594">
        <w:rPr>
          <w:rFonts w:asciiTheme="minorHAnsi" w:hAnsiTheme="minorHAnsi"/>
          <w:i/>
          <w:sz w:val="24"/>
          <w:szCs w:val="24"/>
        </w:rPr>
        <w:t>SOC2010 volume 1: structure and descriptions of unit groups</w:t>
      </w:r>
      <w:r>
        <w:rPr>
          <w:rFonts w:asciiTheme="minorHAnsi" w:hAnsiTheme="minorHAnsi"/>
          <w:sz w:val="24"/>
          <w:szCs w:val="24"/>
        </w:rPr>
        <w:t xml:space="preserve">. London: OfNS. </w:t>
      </w:r>
      <w:r w:rsidR="005A76CD" w:rsidRPr="008F2830">
        <w:rPr>
          <w:rFonts w:cs="Calibri"/>
          <w:sz w:val="24"/>
          <w:szCs w:val="24"/>
        </w:rPr>
        <w:t>[Online</w:t>
      </w:r>
      <w:r w:rsidR="005A76CD">
        <w:rPr>
          <w:rFonts w:cs="Calibri"/>
          <w:sz w:val="24"/>
          <w:szCs w:val="24"/>
        </w:rPr>
        <w:t>]</w:t>
      </w:r>
      <w:r w:rsidR="005A76CD" w:rsidRPr="00E85ABD">
        <w:rPr>
          <w:rFonts w:cs="Calibri"/>
          <w:sz w:val="24"/>
          <w:szCs w:val="24"/>
        </w:rPr>
        <w:t xml:space="preserve"> </w:t>
      </w:r>
      <w:r w:rsidR="005A76CD">
        <w:rPr>
          <w:rFonts w:cs="Calibri"/>
          <w:sz w:val="24"/>
          <w:szCs w:val="24"/>
        </w:rPr>
        <w:t xml:space="preserve">Available from: </w:t>
      </w:r>
      <w:r>
        <w:rPr>
          <w:rFonts w:asciiTheme="minorHAnsi" w:hAnsiTheme="minorHAnsi"/>
          <w:sz w:val="24"/>
          <w:szCs w:val="24"/>
        </w:rPr>
        <w:t xml:space="preserve"> </w:t>
      </w:r>
      <w:hyperlink r:id="rId37" w:history="1">
        <w:r w:rsidRPr="000A022B">
          <w:rPr>
            <w:rStyle w:val="Hyperlink"/>
            <w:rFonts w:asciiTheme="minorHAnsi" w:hAnsiTheme="minorHAnsi"/>
            <w:sz w:val="24"/>
            <w:szCs w:val="24"/>
          </w:rPr>
          <w:t>http://www.ons.gov.uk/ons/guide-method/classifications/current-standard-classifications/soc2010/soc2010-volume-1-structure-and-descriptions-of-unit-groups/index.html</w:t>
        </w:r>
      </w:hyperlink>
      <w:r w:rsidR="005A76CD">
        <w:rPr>
          <w:rStyle w:val="Hyperlink"/>
          <w:rFonts w:asciiTheme="minorHAnsi" w:hAnsiTheme="minorHAnsi"/>
          <w:sz w:val="24"/>
          <w:szCs w:val="24"/>
        </w:rPr>
        <w:t xml:space="preserve"> </w:t>
      </w:r>
      <w:r w:rsidR="005A76CD" w:rsidRPr="005A76CD">
        <w:rPr>
          <w:rStyle w:val="Hyperlink"/>
          <w:rFonts w:asciiTheme="minorHAnsi" w:hAnsiTheme="minorHAnsi"/>
          <w:color w:val="auto"/>
          <w:sz w:val="24"/>
          <w:szCs w:val="24"/>
          <w:u w:val="none"/>
        </w:rPr>
        <w:t>[Accessed 21.2.16].</w:t>
      </w:r>
    </w:p>
    <w:p w14:paraId="50C824B7" w14:textId="385C10FF" w:rsidR="00D27BF7" w:rsidRDefault="00D27BF7" w:rsidP="00D27BF7">
      <w:pPr>
        <w:spacing w:line="360" w:lineRule="auto"/>
        <w:rPr>
          <w:sz w:val="24"/>
          <w:szCs w:val="24"/>
        </w:rPr>
      </w:pPr>
      <w:r>
        <w:rPr>
          <w:sz w:val="24"/>
          <w:szCs w:val="24"/>
        </w:rPr>
        <w:t xml:space="preserve">Ofsted (2013) </w:t>
      </w:r>
      <w:r w:rsidRPr="00474933">
        <w:rPr>
          <w:i/>
          <w:sz w:val="24"/>
          <w:szCs w:val="24"/>
        </w:rPr>
        <w:t>Data Dashboard</w:t>
      </w:r>
      <w:r>
        <w:rPr>
          <w:sz w:val="24"/>
          <w:szCs w:val="24"/>
        </w:rPr>
        <w:t xml:space="preserve">. </w:t>
      </w:r>
      <w:r w:rsidR="005A76CD" w:rsidRPr="008F2830">
        <w:rPr>
          <w:rFonts w:cs="Calibri"/>
          <w:sz w:val="24"/>
          <w:szCs w:val="24"/>
        </w:rPr>
        <w:t>[Online</w:t>
      </w:r>
      <w:r w:rsidR="005A76CD">
        <w:rPr>
          <w:rFonts w:cs="Calibri"/>
          <w:sz w:val="24"/>
          <w:szCs w:val="24"/>
        </w:rPr>
        <w:t>]</w:t>
      </w:r>
      <w:r w:rsidR="005A76CD" w:rsidRPr="00E85ABD">
        <w:rPr>
          <w:rFonts w:cs="Calibri"/>
          <w:sz w:val="24"/>
          <w:szCs w:val="24"/>
        </w:rPr>
        <w:t xml:space="preserve"> </w:t>
      </w:r>
      <w:r w:rsidR="005A76CD">
        <w:rPr>
          <w:rFonts w:cs="Calibri"/>
          <w:sz w:val="24"/>
          <w:szCs w:val="24"/>
        </w:rPr>
        <w:t xml:space="preserve">Available from: </w:t>
      </w:r>
      <w:hyperlink r:id="rId38" w:history="1">
        <w:r w:rsidRPr="003F1E7C">
          <w:rPr>
            <w:rStyle w:val="Hyperlink"/>
            <w:sz w:val="24"/>
            <w:szCs w:val="24"/>
          </w:rPr>
          <w:t>www.dashboard.ofsted.gov.uk</w:t>
        </w:r>
      </w:hyperlink>
      <w:r w:rsidR="005A76CD">
        <w:rPr>
          <w:rStyle w:val="Hyperlink"/>
          <w:sz w:val="24"/>
          <w:szCs w:val="24"/>
        </w:rPr>
        <w:t xml:space="preserve"> </w:t>
      </w:r>
      <w:r w:rsidR="005A76CD" w:rsidRPr="005A76CD">
        <w:rPr>
          <w:rStyle w:val="Hyperlink"/>
          <w:color w:val="auto"/>
          <w:sz w:val="24"/>
          <w:szCs w:val="24"/>
          <w:u w:val="none"/>
        </w:rPr>
        <w:t>[Accessed 25.8.13].</w:t>
      </w:r>
      <w:r w:rsidR="005A76CD" w:rsidRPr="005A76CD">
        <w:rPr>
          <w:rStyle w:val="Hyperlink"/>
          <w:color w:val="auto"/>
          <w:sz w:val="24"/>
          <w:szCs w:val="24"/>
        </w:rPr>
        <w:t xml:space="preserve"> </w:t>
      </w:r>
    </w:p>
    <w:p w14:paraId="29355CF2" w14:textId="41938F94" w:rsidR="00D27BF7" w:rsidRPr="00E85ABD" w:rsidRDefault="00D27BF7" w:rsidP="00D27BF7">
      <w:pPr>
        <w:tabs>
          <w:tab w:val="left" w:pos="1485"/>
        </w:tabs>
        <w:rPr>
          <w:rFonts w:cs="Calibri"/>
          <w:sz w:val="24"/>
          <w:szCs w:val="24"/>
        </w:rPr>
      </w:pPr>
      <w:r w:rsidRPr="00E85ABD">
        <w:rPr>
          <w:rFonts w:cs="Calibri"/>
          <w:sz w:val="24"/>
          <w:szCs w:val="24"/>
        </w:rPr>
        <w:t xml:space="preserve">O’Leary, Z. (2005). </w:t>
      </w:r>
      <w:r w:rsidRPr="00E85ABD">
        <w:rPr>
          <w:rFonts w:cs="Calibri"/>
          <w:i/>
          <w:sz w:val="24"/>
          <w:szCs w:val="24"/>
        </w:rPr>
        <w:t>Researching Real World Problems</w:t>
      </w:r>
      <w:r w:rsidRPr="00E85ABD">
        <w:rPr>
          <w:rFonts w:cs="Calibri"/>
          <w:sz w:val="24"/>
          <w:szCs w:val="24"/>
        </w:rPr>
        <w:t>. London: Sage. p.</w:t>
      </w:r>
      <w:r w:rsidR="006F063B">
        <w:rPr>
          <w:rFonts w:cs="Calibri"/>
          <w:sz w:val="24"/>
          <w:szCs w:val="24"/>
        </w:rPr>
        <w:t xml:space="preserve"> </w:t>
      </w:r>
      <w:r w:rsidRPr="00E85ABD">
        <w:rPr>
          <w:rFonts w:cs="Calibri"/>
          <w:sz w:val="24"/>
          <w:szCs w:val="24"/>
        </w:rPr>
        <w:t>32-38.</w:t>
      </w:r>
    </w:p>
    <w:p w14:paraId="7F3B68EE" w14:textId="6FA2C212" w:rsidR="00D27BF7" w:rsidRDefault="00D27BF7" w:rsidP="00D27BF7">
      <w:pPr>
        <w:spacing w:line="240" w:lineRule="auto"/>
        <w:rPr>
          <w:sz w:val="24"/>
          <w:szCs w:val="24"/>
        </w:rPr>
      </w:pPr>
      <w:r>
        <w:rPr>
          <w:sz w:val="24"/>
          <w:szCs w:val="24"/>
        </w:rPr>
        <w:t xml:space="preserve">Olssen, M., Codd, J. </w:t>
      </w:r>
      <w:r w:rsidR="003410B4">
        <w:rPr>
          <w:sz w:val="24"/>
          <w:szCs w:val="24"/>
        </w:rPr>
        <w:t xml:space="preserve">and </w:t>
      </w:r>
      <w:r>
        <w:rPr>
          <w:sz w:val="24"/>
          <w:szCs w:val="24"/>
        </w:rPr>
        <w:t xml:space="preserve">O’Neill, A. (2004). </w:t>
      </w:r>
      <w:r w:rsidRPr="00347549">
        <w:rPr>
          <w:i/>
          <w:sz w:val="24"/>
          <w:szCs w:val="24"/>
        </w:rPr>
        <w:t>Education Policy: Globalization, Citizenship and Democracy.</w:t>
      </w:r>
      <w:r>
        <w:rPr>
          <w:sz w:val="24"/>
          <w:szCs w:val="24"/>
        </w:rPr>
        <w:t xml:space="preserve"> London: Sage Publications Ltd.</w:t>
      </w:r>
    </w:p>
    <w:p w14:paraId="25357B6F" w14:textId="356D04CD" w:rsidR="00D27BF7" w:rsidRDefault="00D27BF7" w:rsidP="00D27BF7">
      <w:pPr>
        <w:spacing w:line="240" w:lineRule="auto"/>
        <w:rPr>
          <w:sz w:val="24"/>
          <w:szCs w:val="24"/>
        </w:rPr>
      </w:pPr>
      <w:r w:rsidRPr="00BE6B7D">
        <w:rPr>
          <w:sz w:val="24"/>
          <w:szCs w:val="24"/>
        </w:rPr>
        <w:t>Opie</w:t>
      </w:r>
      <w:r>
        <w:rPr>
          <w:sz w:val="24"/>
          <w:szCs w:val="24"/>
        </w:rPr>
        <w:t>, C. (2004)</w:t>
      </w:r>
      <w:r w:rsidR="005A76CD">
        <w:rPr>
          <w:sz w:val="24"/>
          <w:szCs w:val="24"/>
        </w:rPr>
        <w:t xml:space="preserve"> (Ed</w:t>
      </w:r>
      <w:r w:rsidRPr="00BE6B7D">
        <w:rPr>
          <w:sz w:val="24"/>
          <w:szCs w:val="24"/>
        </w:rPr>
        <w:t xml:space="preserve">) </w:t>
      </w:r>
      <w:r w:rsidRPr="00BE6B7D">
        <w:rPr>
          <w:i/>
          <w:sz w:val="24"/>
          <w:szCs w:val="24"/>
        </w:rPr>
        <w:t>Doing Educational Research</w:t>
      </w:r>
      <w:r w:rsidRPr="00BE6B7D">
        <w:rPr>
          <w:sz w:val="24"/>
          <w:szCs w:val="24"/>
        </w:rPr>
        <w:t xml:space="preserve"> London: Sage.</w:t>
      </w:r>
    </w:p>
    <w:p w14:paraId="0FCD064D" w14:textId="77777777" w:rsidR="00D27BF7" w:rsidRPr="00BE6B7D" w:rsidRDefault="00D27BF7" w:rsidP="00D27BF7">
      <w:pPr>
        <w:spacing w:line="240" w:lineRule="auto"/>
        <w:rPr>
          <w:sz w:val="24"/>
          <w:szCs w:val="24"/>
        </w:rPr>
      </w:pPr>
      <w:r>
        <w:rPr>
          <w:sz w:val="24"/>
          <w:szCs w:val="24"/>
        </w:rPr>
        <w:t xml:space="preserve">Ozga, J. (2000). </w:t>
      </w:r>
      <w:r w:rsidRPr="00D63B8D">
        <w:rPr>
          <w:i/>
          <w:sz w:val="24"/>
          <w:szCs w:val="24"/>
        </w:rPr>
        <w:t>Policy research in education settings: contested terrain.</w:t>
      </w:r>
      <w:r>
        <w:rPr>
          <w:sz w:val="24"/>
          <w:szCs w:val="24"/>
        </w:rPr>
        <w:t xml:space="preserve"> Buckingham: Open University Press.</w:t>
      </w:r>
    </w:p>
    <w:p w14:paraId="47777B8F" w14:textId="77777777" w:rsidR="00D27BF7" w:rsidRPr="00D20B60" w:rsidRDefault="00D27BF7" w:rsidP="00D27BF7">
      <w:pPr>
        <w:spacing w:line="360" w:lineRule="auto"/>
        <w:rPr>
          <w:rFonts w:cs="Tahoma"/>
          <w:sz w:val="24"/>
          <w:szCs w:val="24"/>
        </w:rPr>
      </w:pPr>
      <w:r>
        <w:rPr>
          <w:rFonts w:cs="Tahoma"/>
          <w:sz w:val="24"/>
          <w:szCs w:val="24"/>
        </w:rPr>
        <w:t xml:space="preserve">Parkes, R.J. (2012). </w:t>
      </w:r>
      <w:r w:rsidRPr="00C63006">
        <w:rPr>
          <w:rFonts w:cs="Tahoma"/>
          <w:i/>
          <w:sz w:val="24"/>
          <w:szCs w:val="24"/>
        </w:rPr>
        <w:t>What is Poststructuralism?</w:t>
      </w:r>
      <w:r>
        <w:rPr>
          <w:rFonts w:cs="Tahoma"/>
          <w:sz w:val="24"/>
          <w:szCs w:val="24"/>
        </w:rPr>
        <w:t xml:space="preserve"> Mayfield NSW Australia: Academic Bytes</w:t>
      </w:r>
    </w:p>
    <w:p w14:paraId="4DCBF0A5" w14:textId="4FBDE442" w:rsidR="00D27BF7" w:rsidRDefault="00D27BF7" w:rsidP="00D27BF7">
      <w:pPr>
        <w:tabs>
          <w:tab w:val="left" w:pos="1485"/>
        </w:tabs>
        <w:rPr>
          <w:rStyle w:val="Hyperlink"/>
          <w:rFonts w:cs="Calibri"/>
          <w:sz w:val="24"/>
          <w:szCs w:val="24"/>
          <w:lang w:eastAsia="en-GB"/>
        </w:rPr>
      </w:pPr>
      <w:r>
        <w:rPr>
          <w:rFonts w:cs="Calibri"/>
          <w:sz w:val="24"/>
          <w:szCs w:val="24"/>
          <w:lang w:eastAsia="en-GB"/>
        </w:rPr>
        <w:t>Perry, E.</w:t>
      </w:r>
      <w:r w:rsidRPr="009D2C2F">
        <w:rPr>
          <w:rFonts w:cs="Calibri"/>
          <w:sz w:val="24"/>
          <w:szCs w:val="24"/>
          <w:lang w:eastAsia="en-GB"/>
        </w:rPr>
        <w:t xml:space="preserve"> </w:t>
      </w:r>
      <w:r w:rsidR="003410B4">
        <w:rPr>
          <w:rFonts w:cs="Calibri"/>
          <w:sz w:val="24"/>
          <w:szCs w:val="24"/>
          <w:lang w:eastAsia="en-GB"/>
        </w:rPr>
        <w:t xml:space="preserve">and </w:t>
      </w:r>
      <w:r w:rsidRPr="009D2C2F">
        <w:rPr>
          <w:rFonts w:cs="Calibri"/>
          <w:sz w:val="24"/>
          <w:szCs w:val="24"/>
          <w:lang w:eastAsia="en-GB"/>
        </w:rPr>
        <w:t xml:space="preserve">Francis, B. (2010). </w:t>
      </w:r>
      <w:r w:rsidRPr="009D2C2F">
        <w:rPr>
          <w:rFonts w:cs="Calibri"/>
          <w:bCs/>
          <w:color w:val="000000"/>
          <w:sz w:val="24"/>
          <w:szCs w:val="24"/>
          <w:lang w:eastAsia="en-GB"/>
        </w:rPr>
        <w:t>The social class gap for educational achievement:</w:t>
      </w:r>
      <w:r w:rsidRPr="009D2C2F">
        <w:rPr>
          <w:rFonts w:cs="Calibri"/>
          <w:b/>
          <w:bCs/>
          <w:color w:val="000000"/>
          <w:sz w:val="24"/>
          <w:szCs w:val="24"/>
          <w:lang w:eastAsia="en-GB"/>
        </w:rPr>
        <w:t xml:space="preserve"> </w:t>
      </w:r>
      <w:r w:rsidRPr="009D2C2F">
        <w:rPr>
          <w:rFonts w:cs="Calibri"/>
          <w:color w:val="000000"/>
          <w:sz w:val="24"/>
          <w:szCs w:val="24"/>
          <w:lang w:eastAsia="en-GB"/>
        </w:rPr>
        <w:t xml:space="preserve">a review of the literature. RSA projects. </w:t>
      </w:r>
      <w:r w:rsidR="005A76CD" w:rsidRPr="008F2830">
        <w:rPr>
          <w:rFonts w:cs="Calibri"/>
          <w:sz w:val="24"/>
          <w:szCs w:val="24"/>
        </w:rPr>
        <w:t>[Online</w:t>
      </w:r>
      <w:r w:rsidR="005A76CD">
        <w:rPr>
          <w:rFonts w:cs="Calibri"/>
          <w:sz w:val="24"/>
          <w:szCs w:val="24"/>
        </w:rPr>
        <w:t>]</w:t>
      </w:r>
      <w:r w:rsidR="005A76CD" w:rsidRPr="00E85ABD">
        <w:rPr>
          <w:rFonts w:cs="Calibri"/>
          <w:sz w:val="24"/>
          <w:szCs w:val="24"/>
        </w:rPr>
        <w:t xml:space="preserve"> </w:t>
      </w:r>
      <w:r w:rsidR="005A76CD">
        <w:rPr>
          <w:rFonts w:cs="Calibri"/>
          <w:sz w:val="24"/>
          <w:szCs w:val="24"/>
        </w:rPr>
        <w:t xml:space="preserve">Available from: </w:t>
      </w:r>
      <w:hyperlink r:id="rId39" w:history="1">
        <w:r w:rsidRPr="00AD4EC3">
          <w:rPr>
            <w:rStyle w:val="Hyperlink"/>
            <w:rFonts w:cs="Calibri"/>
            <w:sz w:val="24"/>
            <w:szCs w:val="24"/>
            <w:lang w:eastAsia="en-GB"/>
          </w:rPr>
          <w:t>http://www.thersa.org/__data/assets/pdf_file/0019/367003/RSA-Social-Justice-paper.pdf</w:t>
        </w:r>
      </w:hyperlink>
      <w:r w:rsidR="005A76CD">
        <w:rPr>
          <w:rStyle w:val="Hyperlink"/>
          <w:rFonts w:cs="Calibri"/>
          <w:sz w:val="24"/>
          <w:szCs w:val="24"/>
          <w:lang w:eastAsia="en-GB"/>
        </w:rPr>
        <w:t xml:space="preserve"> </w:t>
      </w:r>
      <w:r w:rsidR="005A76CD" w:rsidRPr="005A76CD">
        <w:rPr>
          <w:rStyle w:val="Hyperlink"/>
          <w:rFonts w:cs="Calibri"/>
          <w:color w:val="auto"/>
          <w:sz w:val="24"/>
          <w:szCs w:val="24"/>
          <w:u w:val="none"/>
          <w:lang w:eastAsia="en-GB"/>
        </w:rPr>
        <w:t>[Accessed 18.6.12].</w:t>
      </w:r>
    </w:p>
    <w:p w14:paraId="23DBBFA9" w14:textId="54F7E5B3" w:rsidR="00D27BF7" w:rsidRDefault="00D27BF7" w:rsidP="00D27BF7">
      <w:pPr>
        <w:tabs>
          <w:tab w:val="left" w:pos="1485"/>
        </w:tabs>
        <w:rPr>
          <w:rStyle w:val="Hyperlink"/>
          <w:rFonts w:cs="Calibri"/>
          <w:color w:val="auto"/>
          <w:sz w:val="24"/>
          <w:szCs w:val="24"/>
          <w:u w:val="none"/>
          <w:lang w:eastAsia="en-GB"/>
        </w:rPr>
      </w:pPr>
      <w:r w:rsidRPr="00D54DDD">
        <w:rPr>
          <w:rStyle w:val="Hyperlink"/>
          <w:rFonts w:cs="Calibri"/>
          <w:color w:val="auto"/>
          <w:sz w:val="24"/>
          <w:szCs w:val="24"/>
          <w:u w:val="none"/>
          <w:lang w:eastAsia="en-GB"/>
        </w:rPr>
        <w:t xml:space="preserve">Peters, M., </w:t>
      </w:r>
      <w:r w:rsidR="003410B4">
        <w:rPr>
          <w:rStyle w:val="Hyperlink"/>
          <w:rFonts w:cs="Calibri"/>
          <w:color w:val="auto"/>
          <w:sz w:val="24"/>
          <w:szCs w:val="24"/>
          <w:u w:val="none"/>
          <w:lang w:eastAsia="en-GB"/>
        </w:rPr>
        <w:t xml:space="preserve">and </w:t>
      </w:r>
      <w:r w:rsidRPr="00D54DDD">
        <w:rPr>
          <w:rStyle w:val="Hyperlink"/>
          <w:rFonts w:cs="Calibri"/>
          <w:color w:val="auto"/>
          <w:sz w:val="24"/>
          <w:szCs w:val="24"/>
          <w:u w:val="none"/>
          <w:lang w:eastAsia="en-GB"/>
        </w:rPr>
        <w:t>Wain, K. (2003). Postmodernism/ Post-structuralism in Blake, N., Smeyers, P</w:t>
      </w:r>
      <w:r w:rsidR="005A76CD">
        <w:rPr>
          <w:rStyle w:val="Hyperlink"/>
          <w:rFonts w:cs="Calibri"/>
          <w:color w:val="auto"/>
          <w:sz w:val="24"/>
          <w:szCs w:val="24"/>
          <w:u w:val="none"/>
          <w:lang w:eastAsia="en-GB"/>
        </w:rPr>
        <w:t xml:space="preserve">., Smith, R.D. </w:t>
      </w:r>
      <w:r w:rsidR="003410B4">
        <w:rPr>
          <w:rStyle w:val="Hyperlink"/>
          <w:rFonts w:cs="Calibri"/>
          <w:color w:val="auto"/>
          <w:sz w:val="24"/>
          <w:szCs w:val="24"/>
          <w:u w:val="none"/>
          <w:lang w:eastAsia="en-GB"/>
        </w:rPr>
        <w:t xml:space="preserve">and </w:t>
      </w:r>
      <w:r w:rsidR="005A76CD">
        <w:rPr>
          <w:rStyle w:val="Hyperlink"/>
          <w:rFonts w:cs="Calibri"/>
          <w:color w:val="auto"/>
          <w:sz w:val="24"/>
          <w:szCs w:val="24"/>
          <w:u w:val="none"/>
          <w:lang w:eastAsia="en-GB"/>
        </w:rPr>
        <w:t>Standish, P. (Eds)</w:t>
      </w:r>
      <w:r w:rsidRPr="00D54DDD">
        <w:rPr>
          <w:rStyle w:val="Hyperlink"/>
          <w:rFonts w:cs="Calibri"/>
          <w:color w:val="auto"/>
          <w:sz w:val="24"/>
          <w:szCs w:val="24"/>
          <w:u w:val="none"/>
          <w:lang w:eastAsia="en-GB"/>
        </w:rPr>
        <w:t xml:space="preserve"> </w:t>
      </w:r>
      <w:r w:rsidRPr="00D54DDD">
        <w:rPr>
          <w:rStyle w:val="Hyperlink"/>
          <w:rFonts w:cs="Calibri"/>
          <w:i/>
          <w:color w:val="auto"/>
          <w:sz w:val="24"/>
          <w:szCs w:val="24"/>
          <w:u w:val="none"/>
          <w:lang w:eastAsia="en-GB"/>
        </w:rPr>
        <w:t>The Blackwell Guide to the Philosophy of Education</w:t>
      </w:r>
      <w:r w:rsidRPr="00D54DDD">
        <w:rPr>
          <w:rStyle w:val="Hyperlink"/>
          <w:rFonts w:cs="Calibri"/>
          <w:color w:val="auto"/>
          <w:sz w:val="24"/>
          <w:szCs w:val="24"/>
          <w:u w:val="none"/>
          <w:lang w:eastAsia="en-GB"/>
        </w:rPr>
        <w:t>. Oxford: Blackwell Publishing.</w:t>
      </w:r>
      <w:r w:rsidR="005A76CD">
        <w:rPr>
          <w:rStyle w:val="Hyperlink"/>
          <w:rFonts w:cs="Calibri"/>
          <w:color w:val="auto"/>
          <w:sz w:val="24"/>
          <w:szCs w:val="24"/>
          <w:u w:val="none"/>
          <w:lang w:eastAsia="en-GB"/>
        </w:rPr>
        <w:t xml:space="preserve"> </w:t>
      </w:r>
      <w:r w:rsidR="00C03ABE">
        <w:rPr>
          <w:rStyle w:val="Hyperlink"/>
          <w:rFonts w:cs="Calibri"/>
          <w:color w:val="auto"/>
          <w:sz w:val="24"/>
          <w:szCs w:val="24"/>
          <w:u w:val="none"/>
          <w:lang w:eastAsia="en-GB"/>
        </w:rPr>
        <w:t>p.</w:t>
      </w:r>
      <w:r w:rsidR="006F063B">
        <w:rPr>
          <w:rStyle w:val="Hyperlink"/>
          <w:rFonts w:cs="Calibri"/>
          <w:color w:val="auto"/>
          <w:sz w:val="24"/>
          <w:szCs w:val="24"/>
          <w:u w:val="none"/>
          <w:lang w:eastAsia="en-GB"/>
        </w:rPr>
        <w:t xml:space="preserve"> </w:t>
      </w:r>
      <w:r w:rsidR="00C03ABE">
        <w:rPr>
          <w:rStyle w:val="Hyperlink"/>
          <w:rFonts w:cs="Calibri"/>
          <w:color w:val="auto"/>
          <w:sz w:val="24"/>
          <w:szCs w:val="24"/>
          <w:u w:val="none"/>
          <w:lang w:eastAsia="en-GB"/>
        </w:rPr>
        <w:t>57-72.</w:t>
      </w:r>
    </w:p>
    <w:p w14:paraId="40548871" w14:textId="0D96A697" w:rsidR="00D27BF7" w:rsidRPr="00707A08" w:rsidRDefault="00D27BF7" w:rsidP="00D27BF7">
      <w:pPr>
        <w:tabs>
          <w:tab w:val="left" w:pos="1485"/>
        </w:tabs>
        <w:rPr>
          <w:rStyle w:val="Hyperlink"/>
          <w:rFonts w:cs="Calibri"/>
          <w:color w:val="000000"/>
          <w:sz w:val="24"/>
          <w:szCs w:val="24"/>
          <w:u w:val="none"/>
          <w:lang w:eastAsia="en-GB"/>
        </w:rPr>
      </w:pPr>
      <w:r>
        <w:rPr>
          <w:rFonts w:cs="Calibri"/>
          <w:color w:val="000000"/>
          <w:sz w:val="24"/>
          <w:szCs w:val="24"/>
          <w:lang w:eastAsia="en-GB"/>
        </w:rPr>
        <w:t xml:space="preserve">Pillow, W.S. (2003). “Bodies are dangerous”: using feminist genealogy as policy studies methodology. </w:t>
      </w:r>
      <w:r w:rsidRPr="00D45EF4">
        <w:rPr>
          <w:rFonts w:cs="Calibri"/>
          <w:i/>
          <w:color w:val="000000"/>
          <w:sz w:val="24"/>
          <w:szCs w:val="24"/>
          <w:lang w:eastAsia="en-GB"/>
        </w:rPr>
        <w:t>Journal of Education Policy.</w:t>
      </w:r>
      <w:r w:rsidR="005A76CD">
        <w:rPr>
          <w:rFonts w:cs="Calibri"/>
          <w:color w:val="000000"/>
          <w:sz w:val="24"/>
          <w:szCs w:val="24"/>
          <w:lang w:eastAsia="en-GB"/>
        </w:rPr>
        <w:t xml:space="preserve"> 18 (2), </w:t>
      </w:r>
      <w:r>
        <w:rPr>
          <w:rFonts w:cs="Calibri"/>
          <w:color w:val="000000"/>
          <w:sz w:val="24"/>
          <w:szCs w:val="24"/>
          <w:lang w:eastAsia="en-GB"/>
        </w:rPr>
        <w:t>145-159.</w:t>
      </w:r>
    </w:p>
    <w:p w14:paraId="06032CEC" w14:textId="77777777" w:rsidR="00D27BF7" w:rsidRPr="00D54DDD" w:rsidRDefault="00D27BF7" w:rsidP="00D27BF7">
      <w:pPr>
        <w:tabs>
          <w:tab w:val="left" w:pos="1485"/>
        </w:tabs>
        <w:rPr>
          <w:rStyle w:val="Hyperlink"/>
          <w:rFonts w:cs="Calibri"/>
          <w:color w:val="auto"/>
          <w:sz w:val="24"/>
          <w:szCs w:val="24"/>
          <w:u w:val="none"/>
          <w:lang w:eastAsia="en-GB"/>
        </w:rPr>
      </w:pPr>
      <w:r w:rsidRPr="00D54DDD">
        <w:rPr>
          <w:rStyle w:val="Hyperlink"/>
          <w:rFonts w:cs="Calibri"/>
          <w:color w:val="auto"/>
          <w:sz w:val="24"/>
          <w:szCs w:val="24"/>
          <w:u w:val="none"/>
          <w:lang w:eastAsia="en-GB"/>
        </w:rPr>
        <w:t xml:space="preserve">Pillow, W. S. (2004). </w:t>
      </w:r>
      <w:r w:rsidRPr="00D54DDD">
        <w:rPr>
          <w:rStyle w:val="Hyperlink"/>
          <w:rFonts w:cs="Calibri"/>
          <w:i/>
          <w:color w:val="auto"/>
          <w:sz w:val="24"/>
          <w:szCs w:val="24"/>
          <w:u w:val="none"/>
          <w:lang w:eastAsia="en-GB"/>
        </w:rPr>
        <w:t>Unfit Subjects: Educational Policy and the Teen Mother.</w:t>
      </w:r>
      <w:r w:rsidRPr="00D54DDD">
        <w:rPr>
          <w:rStyle w:val="Hyperlink"/>
          <w:rFonts w:cs="Calibri"/>
          <w:color w:val="auto"/>
          <w:sz w:val="24"/>
          <w:szCs w:val="24"/>
          <w:u w:val="none"/>
          <w:lang w:eastAsia="en-GB"/>
        </w:rPr>
        <w:t xml:space="preserve"> London: Routledge</w:t>
      </w:r>
      <w:r>
        <w:rPr>
          <w:rStyle w:val="Hyperlink"/>
          <w:rFonts w:cs="Calibri"/>
          <w:color w:val="auto"/>
          <w:sz w:val="24"/>
          <w:szCs w:val="24"/>
          <w:u w:val="none"/>
          <w:lang w:eastAsia="en-GB"/>
        </w:rPr>
        <w:t xml:space="preserve"> </w:t>
      </w:r>
      <w:r w:rsidRPr="00D54DDD">
        <w:rPr>
          <w:rStyle w:val="Hyperlink"/>
          <w:rFonts w:cs="Calibri"/>
          <w:color w:val="auto"/>
          <w:sz w:val="24"/>
          <w:szCs w:val="24"/>
          <w:u w:val="none"/>
          <w:lang w:eastAsia="en-GB"/>
        </w:rPr>
        <w:t>Falmer.</w:t>
      </w:r>
    </w:p>
    <w:p w14:paraId="42DF135B" w14:textId="52A91532" w:rsidR="00D27BF7" w:rsidRDefault="00D27BF7" w:rsidP="00D27BF7">
      <w:pPr>
        <w:spacing w:line="360" w:lineRule="auto"/>
        <w:rPr>
          <w:rStyle w:val="Hyperlink"/>
          <w:sz w:val="24"/>
          <w:szCs w:val="24"/>
        </w:rPr>
      </w:pPr>
      <w:r>
        <w:rPr>
          <w:sz w:val="24"/>
          <w:szCs w:val="24"/>
        </w:rPr>
        <w:t xml:space="preserve">PISA, (2006). Science Competencies for tomorrow’s world. </w:t>
      </w:r>
      <w:r w:rsidR="005A76CD" w:rsidRPr="008F2830">
        <w:rPr>
          <w:rFonts w:cs="Calibri"/>
          <w:sz w:val="24"/>
          <w:szCs w:val="24"/>
        </w:rPr>
        <w:t>[Online</w:t>
      </w:r>
      <w:r w:rsidR="005A76CD">
        <w:rPr>
          <w:rFonts w:cs="Calibri"/>
          <w:sz w:val="24"/>
          <w:szCs w:val="24"/>
        </w:rPr>
        <w:t>]</w:t>
      </w:r>
      <w:r w:rsidR="005A76CD" w:rsidRPr="00E85ABD">
        <w:rPr>
          <w:rFonts w:cs="Calibri"/>
          <w:sz w:val="24"/>
          <w:szCs w:val="24"/>
        </w:rPr>
        <w:t xml:space="preserve"> </w:t>
      </w:r>
      <w:r w:rsidR="005A76CD">
        <w:rPr>
          <w:rFonts w:cs="Calibri"/>
          <w:sz w:val="24"/>
          <w:szCs w:val="24"/>
        </w:rPr>
        <w:t xml:space="preserve">Available from: </w:t>
      </w:r>
      <w:hyperlink r:id="rId40" w:history="1">
        <w:r w:rsidRPr="00052112">
          <w:rPr>
            <w:rStyle w:val="Hyperlink"/>
            <w:sz w:val="24"/>
            <w:szCs w:val="24"/>
          </w:rPr>
          <w:t>http://www.oecd.org/documents/2/0,3343,en_32252351_32236191_39718850_1_1_1_1,00.html</w:t>
        </w:r>
      </w:hyperlink>
      <w:r w:rsidR="005A76CD">
        <w:rPr>
          <w:rStyle w:val="Hyperlink"/>
          <w:sz w:val="24"/>
          <w:szCs w:val="24"/>
        </w:rPr>
        <w:t xml:space="preserve"> </w:t>
      </w:r>
      <w:r w:rsidR="005A76CD" w:rsidRPr="005A76CD">
        <w:rPr>
          <w:rStyle w:val="Hyperlink"/>
          <w:color w:val="auto"/>
          <w:sz w:val="24"/>
          <w:szCs w:val="24"/>
          <w:u w:val="none"/>
        </w:rPr>
        <w:t>[Accessed 25.8.11].</w:t>
      </w:r>
    </w:p>
    <w:p w14:paraId="02F657B0" w14:textId="7E9068BA" w:rsidR="00D27BF7" w:rsidRPr="00194BA9" w:rsidRDefault="00D27BF7" w:rsidP="00D27BF7">
      <w:pPr>
        <w:spacing w:line="240" w:lineRule="auto"/>
        <w:rPr>
          <w:sz w:val="24"/>
          <w:szCs w:val="24"/>
        </w:rPr>
      </w:pPr>
      <w:r w:rsidRPr="001F5668">
        <w:rPr>
          <w:rStyle w:val="Hyperlink"/>
          <w:rFonts w:cs="Calibri"/>
          <w:color w:val="auto"/>
          <w:sz w:val="24"/>
          <w:szCs w:val="24"/>
          <w:u w:val="none"/>
        </w:rPr>
        <w:t xml:space="preserve">Pomerantz. M. (2004). Using ATLAS.ti </w:t>
      </w:r>
      <w:r w:rsidRPr="001F5668">
        <w:rPr>
          <w:sz w:val="24"/>
          <w:szCs w:val="24"/>
        </w:rPr>
        <w:t>in</w:t>
      </w:r>
      <w:r w:rsidRPr="00331363">
        <w:rPr>
          <w:sz w:val="24"/>
          <w:szCs w:val="24"/>
        </w:rPr>
        <w:t xml:space="preserve"> </w:t>
      </w:r>
      <w:r w:rsidR="005A76CD">
        <w:rPr>
          <w:sz w:val="24"/>
          <w:szCs w:val="24"/>
        </w:rPr>
        <w:t>Opie, C. (Ed</w:t>
      </w:r>
      <w:r w:rsidRPr="00BE6B7D">
        <w:rPr>
          <w:sz w:val="24"/>
          <w:szCs w:val="24"/>
        </w:rPr>
        <w:t xml:space="preserve">) </w:t>
      </w:r>
      <w:r w:rsidRPr="00BE6B7D">
        <w:rPr>
          <w:i/>
          <w:sz w:val="24"/>
          <w:szCs w:val="24"/>
        </w:rPr>
        <w:t>Doing Educational Research</w:t>
      </w:r>
      <w:r w:rsidRPr="00BE6B7D">
        <w:rPr>
          <w:sz w:val="24"/>
          <w:szCs w:val="24"/>
        </w:rPr>
        <w:t xml:space="preserve"> London: Sage.</w:t>
      </w:r>
    </w:p>
    <w:p w14:paraId="3F8EB54F" w14:textId="11476E2C" w:rsidR="00D27BF7" w:rsidRDefault="00D27BF7" w:rsidP="00D27BF7">
      <w:pPr>
        <w:spacing w:line="360" w:lineRule="auto"/>
        <w:rPr>
          <w:rStyle w:val="Hyperlink"/>
          <w:rFonts w:cs="Tahoma"/>
          <w:sz w:val="24"/>
          <w:szCs w:val="24"/>
        </w:rPr>
      </w:pPr>
      <w:r w:rsidRPr="00B42AA7">
        <w:rPr>
          <w:rStyle w:val="HTMLCite"/>
          <w:rFonts w:cs="Tahoma"/>
          <w:color w:val="auto"/>
          <w:sz w:val="24"/>
          <w:szCs w:val="24"/>
        </w:rPr>
        <w:t xml:space="preserve">Powell, J. (2011). </w:t>
      </w:r>
      <w:r w:rsidRPr="00B42AA7">
        <w:rPr>
          <w:rStyle w:val="HTMLCite"/>
          <w:rFonts w:cs="Tahoma"/>
          <w:i/>
          <w:color w:val="auto"/>
          <w:sz w:val="24"/>
          <w:szCs w:val="24"/>
        </w:rPr>
        <w:t xml:space="preserve">Shift Learning Report: The impact of the introduction of the English Baccalaureate. </w:t>
      </w:r>
      <w:r w:rsidR="005A76CD" w:rsidRPr="008F2830">
        <w:rPr>
          <w:rFonts w:cs="Calibri"/>
          <w:sz w:val="24"/>
          <w:szCs w:val="24"/>
        </w:rPr>
        <w:t>[Online</w:t>
      </w:r>
      <w:r w:rsidR="005A76CD">
        <w:rPr>
          <w:rFonts w:cs="Calibri"/>
          <w:sz w:val="24"/>
          <w:szCs w:val="24"/>
        </w:rPr>
        <w:t>]</w:t>
      </w:r>
      <w:r w:rsidR="005A76CD" w:rsidRPr="00E85ABD">
        <w:rPr>
          <w:rFonts w:cs="Calibri"/>
          <w:sz w:val="24"/>
          <w:szCs w:val="24"/>
        </w:rPr>
        <w:t xml:space="preserve"> </w:t>
      </w:r>
      <w:r w:rsidR="005A76CD">
        <w:rPr>
          <w:rFonts w:cs="Calibri"/>
          <w:sz w:val="24"/>
          <w:szCs w:val="24"/>
        </w:rPr>
        <w:t xml:space="preserve">Available from: </w:t>
      </w:r>
      <w:hyperlink r:id="rId41" w:history="1">
        <w:r w:rsidRPr="00A90CF2">
          <w:rPr>
            <w:rStyle w:val="Hyperlink"/>
            <w:rFonts w:cs="Tahoma"/>
            <w:sz w:val="24"/>
            <w:szCs w:val="24"/>
          </w:rPr>
          <w:t>http://www.shift-learning.co.uk/research/syndicated-business-intelligence/196-the-impact-of-the-english-baccalaureate.html</w:t>
        </w:r>
      </w:hyperlink>
      <w:r w:rsidR="005A76CD">
        <w:rPr>
          <w:rStyle w:val="Hyperlink"/>
          <w:rFonts w:cs="Tahoma"/>
          <w:sz w:val="24"/>
          <w:szCs w:val="24"/>
        </w:rPr>
        <w:t xml:space="preserve"> </w:t>
      </w:r>
      <w:r w:rsidR="005A76CD" w:rsidRPr="005A76CD">
        <w:rPr>
          <w:rStyle w:val="Hyperlink"/>
          <w:rFonts w:cs="Tahoma"/>
          <w:color w:val="auto"/>
          <w:sz w:val="24"/>
          <w:szCs w:val="24"/>
          <w:u w:val="none"/>
        </w:rPr>
        <w:t>[Accessed 19.7.11]</w:t>
      </w:r>
      <w:r w:rsidR="005A76CD">
        <w:rPr>
          <w:rStyle w:val="Hyperlink"/>
          <w:rFonts w:cs="Tahoma"/>
          <w:color w:val="auto"/>
          <w:sz w:val="24"/>
          <w:szCs w:val="24"/>
          <w:u w:val="none"/>
        </w:rPr>
        <w:t>.</w:t>
      </w:r>
    </w:p>
    <w:p w14:paraId="60CE5E48" w14:textId="7C5A4C8C" w:rsidR="00D27BF7" w:rsidRPr="0097209F" w:rsidRDefault="00D27BF7" w:rsidP="00D27BF7">
      <w:pPr>
        <w:rPr>
          <w:rStyle w:val="Hyperlink"/>
          <w:rFonts w:ascii="TUOS Blake" w:hAnsi="TUOS Blake"/>
          <w:sz w:val="24"/>
          <w:szCs w:val="24"/>
        </w:rPr>
      </w:pPr>
      <w:r w:rsidRPr="00BE6B7D">
        <w:rPr>
          <w:sz w:val="24"/>
          <w:szCs w:val="24"/>
        </w:rPr>
        <w:t>Pring, R. (2000</w:t>
      </w:r>
      <w:r w:rsidR="005A76CD">
        <w:rPr>
          <w:sz w:val="24"/>
          <w:szCs w:val="24"/>
        </w:rPr>
        <w:t>.</w:t>
      </w:r>
      <w:r w:rsidRPr="00BE6B7D">
        <w:rPr>
          <w:sz w:val="24"/>
          <w:szCs w:val="24"/>
        </w:rPr>
        <w:t xml:space="preserve">) </w:t>
      </w:r>
      <w:r w:rsidRPr="00BE6B7D">
        <w:rPr>
          <w:i/>
          <w:sz w:val="24"/>
          <w:szCs w:val="24"/>
        </w:rPr>
        <w:t>Philosophy of Educational Research</w:t>
      </w:r>
      <w:r w:rsidRPr="00BE6B7D">
        <w:rPr>
          <w:sz w:val="24"/>
          <w:szCs w:val="24"/>
        </w:rPr>
        <w:t>. London: Continuum.</w:t>
      </w:r>
    </w:p>
    <w:p w14:paraId="6803E50B" w14:textId="00C5487F" w:rsidR="00D27BF7" w:rsidRDefault="00D27BF7" w:rsidP="00D27BF7">
      <w:pPr>
        <w:rPr>
          <w:rFonts w:cs="Tahoma"/>
          <w:sz w:val="24"/>
          <w:szCs w:val="24"/>
        </w:rPr>
      </w:pPr>
      <w:r w:rsidRPr="00250494">
        <w:rPr>
          <w:rFonts w:cs="Tahoma"/>
          <w:sz w:val="24"/>
          <w:szCs w:val="24"/>
        </w:rPr>
        <w:t xml:space="preserve">Pring, R., Hayward, G., Hodgson, A., Johnson, J., Keep, E., Oancea, </w:t>
      </w:r>
      <w:r w:rsidR="005A76CD">
        <w:rPr>
          <w:rFonts w:cs="Tahoma"/>
          <w:sz w:val="24"/>
          <w:szCs w:val="24"/>
        </w:rPr>
        <w:t>A., Rees, G., Spours, K. and</w:t>
      </w:r>
      <w:r w:rsidRPr="00250494">
        <w:rPr>
          <w:rFonts w:cs="Tahoma"/>
          <w:sz w:val="24"/>
          <w:szCs w:val="24"/>
        </w:rPr>
        <w:t xml:space="preserve"> Wilde, S. (2009). </w:t>
      </w:r>
      <w:r w:rsidRPr="00250494">
        <w:rPr>
          <w:rFonts w:cs="Tahoma"/>
          <w:i/>
          <w:sz w:val="24"/>
          <w:szCs w:val="24"/>
        </w:rPr>
        <w:t>Education for All, The future of Education and Training for 14-19 year olds</w:t>
      </w:r>
      <w:r w:rsidRPr="00250494">
        <w:rPr>
          <w:rFonts w:cs="Tahoma"/>
          <w:sz w:val="24"/>
          <w:szCs w:val="24"/>
        </w:rPr>
        <w:t>. London: Routledge.</w:t>
      </w:r>
    </w:p>
    <w:p w14:paraId="5684C11E" w14:textId="4E9F32F9" w:rsidR="00314EBA" w:rsidRDefault="005A76CD" w:rsidP="00D27BF7">
      <w:pPr>
        <w:rPr>
          <w:rFonts w:cs="Tahoma"/>
          <w:sz w:val="24"/>
          <w:szCs w:val="24"/>
        </w:rPr>
      </w:pPr>
      <w:r>
        <w:rPr>
          <w:rFonts w:cs="Tahoma"/>
          <w:sz w:val="24"/>
          <w:szCs w:val="24"/>
        </w:rPr>
        <w:t>Quinn, T., Bara, J., and</w:t>
      </w:r>
      <w:r w:rsidR="00314EBA">
        <w:rPr>
          <w:rFonts w:cs="Tahoma"/>
          <w:sz w:val="24"/>
          <w:szCs w:val="24"/>
        </w:rPr>
        <w:t xml:space="preserve"> Bartle, J. (2011). The UK Coalition agreement of 2010: who won? </w:t>
      </w:r>
      <w:r w:rsidR="00314EBA" w:rsidRPr="00314EBA">
        <w:rPr>
          <w:rFonts w:cs="Tahoma"/>
          <w:i/>
          <w:sz w:val="24"/>
          <w:szCs w:val="24"/>
        </w:rPr>
        <w:t>Journal of Elections, Public opinion and parties</w:t>
      </w:r>
      <w:r>
        <w:rPr>
          <w:rFonts w:cs="Tahoma"/>
          <w:sz w:val="24"/>
          <w:szCs w:val="24"/>
        </w:rPr>
        <w:t xml:space="preserve">, 21, (2), </w:t>
      </w:r>
      <w:r w:rsidR="00314EBA">
        <w:rPr>
          <w:rFonts w:cs="Tahoma"/>
          <w:sz w:val="24"/>
          <w:szCs w:val="24"/>
        </w:rPr>
        <w:t xml:space="preserve">295-312. </w:t>
      </w:r>
      <w:r w:rsidRPr="008F2830">
        <w:rPr>
          <w:rFonts w:cs="Calibri"/>
          <w:sz w:val="24"/>
          <w:szCs w:val="24"/>
        </w:rPr>
        <w:t>[Online</w:t>
      </w:r>
      <w:r>
        <w:rPr>
          <w:rFonts w:cs="Calibri"/>
          <w:sz w:val="24"/>
          <w:szCs w:val="24"/>
        </w:rPr>
        <w:t>]</w:t>
      </w:r>
      <w:r w:rsidRPr="00E85ABD">
        <w:rPr>
          <w:rFonts w:cs="Calibri"/>
          <w:sz w:val="24"/>
          <w:szCs w:val="24"/>
        </w:rPr>
        <w:t xml:space="preserve"> </w:t>
      </w:r>
      <w:r>
        <w:rPr>
          <w:rFonts w:cs="Calibri"/>
          <w:sz w:val="24"/>
          <w:szCs w:val="24"/>
        </w:rPr>
        <w:t xml:space="preserve">Available from: </w:t>
      </w:r>
      <w:hyperlink r:id="rId42" w:history="1">
        <w:r w:rsidR="00314EBA" w:rsidRPr="00F17682">
          <w:rPr>
            <w:rStyle w:val="Hyperlink"/>
            <w:rFonts w:cs="Tahoma"/>
            <w:sz w:val="24"/>
            <w:szCs w:val="24"/>
          </w:rPr>
          <w:t>http://privatewww.essex.ac.uk/~tquinn/Quinn_Coalition_Agreement_JEPOP_2011.pdf</w:t>
        </w:r>
      </w:hyperlink>
      <w:r>
        <w:rPr>
          <w:rStyle w:val="Hyperlink"/>
          <w:rFonts w:cs="Tahoma"/>
          <w:sz w:val="24"/>
          <w:szCs w:val="24"/>
        </w:rPr>
        <w:t xml:space="preserve"> </w:t>
      </w:r>
      <w:r w:rsidRPr="005A76CD">
        <w:rPr>
          <w:rStyle w:val="Hyperlink"/>
          <w:rFonts w:cs="Tahoma"/>
          <w:color w:val="auto"/>
          <w:sz w:val="24"/>
          <w:szCs w:val="24"/>
          <w:u w:val="none"/>
        </w:rPr>
        <w:t>[Accessed 20.4.16].</w:t>
      </w:r>
    </w:p>
    <w:p w14:paraId="7876BE9E" w14:textId="74DB500C" w:rsidR="00D27BF7" w:rsidRDefault="00D27BF7" w:rsidP="00D27BF7">
      <w:pPr>
        <w:spacing w:line="360" w:lineRule="auto"/>
        <w:outlineLvl w:val="0"/>
        <w:rPr>
          <w:sz w:val="24"/>
          <w:szCs w:val="24"/>
        </w:rPr>
      </w:pPr>
      <w:bookmarkStart w:id="191" w:name="_Toc450170280"/>
      <w:bookmarkStart w:id="192" w:name="_Toc451866242"/>
      <w:bookmarkStart w:id="193" w:name="_Toc452316436"/>
      <w:r w:rsidRPr="00B42AA7">
        <w:rPr>
          <w:rStyle w:val="HTMLCite"/>
          <w:rFonts w:cs="Tahoma"/>
          <w:color w:val="auto"/>
          <w:sz w:val="24"/>
          <w:szCs w:val="24"/>
        </w:rPr>
        <w:t>Rassool, N. (2009). Equity and social justice discourses in education. In</w:t>
      </w:r>
      <w:r>
        <w:rPr>
          <w:rStyle w:val="HTMLCite"/>
          <w:rFonts w:cs="Tahoma"/>
          <w:sz w:val="24"/>
          <w:szCs w:val="24"/>
        </w:rPr>
        <w:t xml:space="preserve"> </w:t>
      </w:r>
      <w:r>
        <w:rPr>
          <w:sz w:val="24"/>
          <w:szCs w:val="24"/>
        </w:rPr>
        <w:t xml:space="preserve">Daniels, H., Lauder, H., and Porter, J. </w:t>
      </w:r>
      <w:r w:rsidRPr="003A23C5">
        <w:rPr>
          <w:i/>
          <w:sz w:val="24"/>
          <w:szCs w:val="24"/>
        </w:rPr>
        <w:t>Knowledge, Values and Educational Policy: A Critical Perspective.</w:t>
      </w:r>
      <w:r>
        <w:rPr>
          <w:sz w:val="24"/>
          <w:szCs w:val="24"/>
        </w:rPr>
        <w:t xml:space="preserve"> Abingdon: Routledge.</w:t>
      </w:r>
      <w:bookmarkEnd w:id="191"/>
      <w:r w:rsidRPr="0053482B">
        <w:rPr>
          <w:sz w:val="24"/>
          <w:szCs w:val="24"/>
        </w:rPr>
        <w:t xml:space="preserve"> </w:t>
      </w:r>
      <w:r w:rsidR="005A76CD">
        <w:rPr>
          <w:sz w:val="24"/>
          <w:szCs w:val="24"/>
        </w:rPr>
        <w:t xml:space="preserve"> </w:t>
      </w:r>
      <w:r w:rsidR="00DB4A8A">
        <w:rPr>
          <w:sz w:val="24"/>
          <w:szCs w:val="24"/>
        </w:rPr>
        <w:t>p.</w:t>
      </w:r>
      <w:r w:rsidR="006F063B">
        <w:rPr>
          <w:sz w:val="24"/>
          <w:szCs w:val="24"/>
        </w:rPr>
        <w:t xml:space="preserve"> </w:t>
      </w:r>
      <w:r w:rsidR="00DB4A8A">
        <w:rPr>
          <w:sz w:val="24"/>
          <w:szCs w:val="24"/>
        </w:rPr>
        <w:t>126-137.</w:t>
      </w:r>
      <w:bookmarkEnd w:id="192"/>
      <w:bookmarkEnd w:id="193"/>
    </w:p>
    <w:p w14:paraId="7E7BBB9D" w14:textId="672F4067" w:rsidR="00D27BF7" w:rsidRPr="001F5668" w:rsidRDefault="005A76CD" w:rsidP="00D27BF7">
      <w:pPr>
        <w:rPr>
          <w:rStyle w:val="HTMLCite"/>
          <w:color w:val="auto"/>
          <w:sz w:val="24"/>
          <w:szCs w:val="24"/>
        </w:rPr>
      </w:pPr>
      <w:r>
        <w:rPr>
          <w:rStyle w:val="Hyperlink"/>
          <w:color w:val="auto"/>
          <w:sz w:val="24"/>
          <w:szCs w:val="24"/>
          <w:u w:val="none"/>
        </w:rPr>
        <w:t>Reay, D., David, M. and</w:t>
      </w:r>
      <w:r w:rsidR="00D27BF7" w:rsidRPr="001F5668">
        <w:rPr>
          <w:rStyle w:val="Hyperlink"/>
          <w:color w:val="auto"/>
          <w:sz w:val="24"/>
          <w:szCs w:val="24"/>
          <w:u w:val="none"/>
        </w:rPr>
        <w:t xml:space="preserve"> Ball, S. (2005). </w:t>
      </w:r>
      <w:r w:rsidR="00D27BF7" w:rsidRPr="001F5668">
        <w:rPr>
          <w:rStyle w:val="Hyperlink"/>
          <w:i/>
          <w:color w:val="auto"/>
          <w:sz w:val="24"/>
          <w:szCs w:val="24"/>
          <w:u w:val="none"/>
        </w:rPr>
        <w:t>Degrees of Choice: Class. Race, gender and higher education.</w:t>
      </w:r>
      <w:r w:rsidR="00D27BF7" w:rsidRPr="001F5668">
        <w:rPr>
          <w:rStyle w:val="Hyperlink"/>
          <w:color w:val="auto"/>
          <w:sz w:val="24"/>
          <w:szCs w:val="24"/>
          <w:u w:val="none"/>
        </w:rPr>
        <w:t xml:space="preserve"> Stoke on Trent: Trentham Books.</w:t>
      </w:r>
    </w:p>
    <w:p w14:paraId="6BD97EED" w14:textId="3F9629C3" w:rsidR="00D27BF7" w:rsidRPr="00B42AA7" w:rsidRDefault="00D27BF7" w:rsidP="00D27BF7">
      <w:pPr>
        <w:spacing w:line="360" w:lineRule="auto"/>
        <w:rPr>
          <w:rStyle w:val="HTMLCite"/>
          <w:rFonts w:cs="Tahoma"/>
          <w:color w:val="auto"/>
          <w:sz w:val="24"/>
          <w:szCs w:val="24"/>
        </w:rPr>
      </w:pPr>
      <w:r w:rsidRPr="00B42AA7">
        <w:rPr>
          <w:rStyle w:val="HTMLCite"/>
          <w:rFonts w:cs="Tahoma"/>
          <w:color w:val="auto"/>
          <w:sz w:val="24"/>
          <w:szCs w:val="24"/>
        </w:rPr>
        <w:lastRenderedPageBreak/>
        <w:t xml:space="preserve">Reay, D. (2006). The Zombie stalking English Schools: Social Class and Educational Inequality, </w:t>
      </w:r>
      <w:r w:rsidRPr="00B42AA7">
        <w:rPr>
          <w:rStyle w:val="HTMLCite"/>
          <w:rFonts w:cs="Tahoma"/>
          <w:i/>
          <w:color w:val="auto"/>
          <w:sz w:val="24"/>
          <w:szCs w:val="24"/>
        </w:rPr>
        <w:t>British journal of Educational Studies</w:t>
      </w:r>
      <w:r w:rsidR="005A76CD">
        <w:rPr>
          <w:rStyle w:val="HTMLCite"/>
          <w:rFonts w:cs="Tahoma"/>
          <w:color w:val="auto"/>
          <w:sz w:val="24"/>
          <w:szCs w:val="24"/>
        </w:rPr>
        <w:t xml:space="preserve">, 54 (3), </w:t>
      </w:r>
      <w:r w:rsidRPr="00B42AA7">
        <w:rPr>
          <w:rStyle w:val="HTMLCite"/>
          <w:rFonts w:cs="Tahoma"/>
          <w:color w:val="auto"/>
          <w:sz w:val="24"/>
          <w:szCs w:val="24"/>
        </w:rPr>
        <w:t>288-307.</w:t>
      </w:r>
    </w:p>
    <w:p w14:paraId="11E744E9" w14:textId="5FE17477" w:rsidR="00D27BF7" w:rsidRDefault="00D27BF7" w:rsidP="00D27BF7">
      <w:pPr>
        <w:spacing w:line="360" w:lineRule="auto"/>
        <w:rPr>
          <w:rStyle w:val="Hyperlink"/>
          <w:rFonts w:cs="Tahoma"/>
          <w:sz w:val="24"/>
          <w:szCs w:val="24"/>
        </w:rPr>
      </w:pPr>
      <w:r w:rsidRPr="00B42AA7">
        <w:rPr>
          <w:rStyle w:val="HTMLCite"/>
          <w:rFonts w:cs="Tahoma"/>
          <w:color w:val="auto"/>
          <w:sz w:val="24"/>
          <w:szCs w:val="24"/>
        </w:rPr>
        <w:t>Religious Education Council of England and Wales. (May 2011)</w:t>
      </w:r>
      <w:r w:rsidR="005A76CD">
        <w:rPr>
          <w:rStyle w:val="HTMLCite"/>
          <w:rFonts w:cs="Tahoma"/>
          <w:color w:val="auto"/>
          <w:sz w:val="24"/>
          <w:szCs w:val="24"/>
        </w:rPr>
        <w:t>.</w:t>
      </w:r>
      <w:r w:rsidRPr="00B42AA7">
        <w:rPr>
          <w:rStyle w:val="HTMLCite"/>
          <w:rFonts w:cs="Tahoma"/>
          <w:color w:val="auto"/>
          <w:sz w:val="24"/>
          <w:szCs w:val="24"/>
        </w:rPr>
        <w:t xml:space="preserve"> </w:t>
      </w:r>
      <w:r w:rsidRPr="00B42AA7">
        <w:rPr>
          <w:rStyle w:val="HTMLCite"/>
          <w:rFonts w:cs="Tahoma"/>
          <w:i/>
          <w:color w:val="auto"/>
          <w:sz w:val="24"/>
          <w:szCs w:val="24"/>
        </w:rPr>
        <w:t>Why animation regarding Religious Education in the EBACC is the tip of a dangerous iceberg</w:t>
      </w:r>
      <w:r w:rsidRPr="00B42AA7">
        <w:rPr>
          <w:rStyle w:val="HTMLCite"/>
          <w:rFonts w:cs="Tahoma"/>
          <w:color w:val="auto"/>
          <w:sz w:val="24"/>
          <w:szCs w:val="24"/>
        </w:rPr>
        <w:t xml:space="preserve">. </w:t>
      </w:r>
      <w:r w:rsidR="005A76CD" w:rsidRPr="008F2830">
        <w:rPr>
          <w:rFonts w:cs="Calibri"/>
          <w:sz w:val="24"/>
          <w:szCs w:val="24"/>
        </w:rPr>
        <w:t>[Online</w:t>
      </w:r>
      <w:r w:rsidR="005A76CD">
        <w:rPr>
          <w:rFonts w:cs="Calibri"/>
          <w:sz w:val="24"/>
          <w:szCs w:val="24"/>
        </w:rPr>
        <w:t>]</w:t>
      </w:r>
      <w:r w:rsidR="005A76CD" w:rsidRPr="00E85ABD">
        <w:rPr>
          <w:rFonts w:cs="Calibri"/>
          <w:sz w:val="24"/>
          <w:szCs w:val="24"/>
        </w:rPr>
        <w:t xml:space="preserve"> </w:t>
      </w:r>
      <w:r w:rsidR="005A76CD">
        <w:rPr>
          <w:rFonts w:cs="Calibri"/>
          <w:sz w:val="24"/>
          <w:szCs w:val="24"/>
        </w:rPr>
        <w:t xml:space="preserve">Available from: </w:t>
      </w:r>
      <w:hyperlink r:id="rId43" w:history="1">
        <w:r w:rsidRPr="00194BA9">
          <w:rPr>
            <w:rStyle w:val="Hyperlink"/>
            <w:rFonts w:cs="Tahoma"/>
            <w:sz w:val="24"/>
            <w:szCs w:val="24"/>
          </w:rPr>
          <w:t>http://www.nasacre.org.uk/downloads/REC_HW_May_11.pdf</w:t>
        </w:r>
      </w:hyperlink>
      <w:r w:rsidR="005A76CD">
        <w:rPr>
          <w:rStyle w:val="Hyperlink"/>
          <w:rFonts w:cs="Tahoma"/>
          <w:sz w:val="24"/>
          <w:szCs w:val="24"/>
        </w:rPr>
        <w:t xml:space="preserve"> </w:t>
      </w:r>
      <w:r w:rsidR="005A76CD" w:rsidRPr="005A76CD">
        <w:rPr>
          <w:rStyle w:val="Hyperlink"/>
          <w:rFonts w:cs="Tahoma"/>
          <w:color w:val="auto"/>
          <w:sz w:val="24"/>
          <w:szCs w:val="24"/>
          <w:u w:val="none"/>
        </w:rPr>
        <w:t>[Accessed 19.7.11].</w:t>
      </w:r>
    </w:p>
    <w:p w14:paraId="704B4707" w14:textId="77777777" w:rsidR="00D27BF7" w:rsidRDefault="00D27BF7" w:rsidP="00D27BF7">
      <w:pPr>
        <w:tabs>
          <w:tab w:val="left" w:pos="1485"/>
        </w:tabs>
        <w:spacing w:line="360" w:lineRule="auto"/>
        <w:rPr>
          <w:rFonts w:cs="Calibri"/>
          <w:sz w:val="24"/>
          <w:szCs w:val="24"/>
        </w:rPr>
      </w:pPr>
      <w:r>
        <w:rPr>
          <w:rFonts w:cs="Calibri"/>
          <w:sz w:val="24"/>
          <w:szCs w:val="24"/>
        </w:rPr>
        <w:t xml:space="preserve">Ridley, D. (2008). </w:t>
      </w:r>
      <w:r w:rsidRPr="008E4232">
        <w:rPr>
          <w:rFonts w:cs="Calibri"/>
          <w:i/>
          <w:sz w:val="24"/>
          <w:szCs w:val="24"/>
        </w:rPr>
        <w:t>The Literature Review: A step by step guide for students.</w:t>
      </w:r>
      <w:r>
        <w:rPr>
          <w:rFonts w:cs="Calibri"/>
          <w:sz w:val="24"/>
          <w:szCs w:val="24"/>
        </w:rPr>
        <w:t xml:space="preserve"> London: Sage.</w:t>
      </w:r>
    </w:p>
    <w:p w14:paraId="12F0D414" w14:textId="4EA573DC" w:rsidR="00D27BF7" w:rsidRDefault="005A76CD" w:rsidP="00D27BF7">
      <w:pPr>
        <w:rPr>
          <w:sz w:val="24"/>
          <w:szCs w:val="24"/>
        </w:rPr>
      </w:pPr>
      <w:r>
        <w:rPr>
          <w:sz w:val="24"/>
          <w:szCs w:val="24"/>
        </w:rPr>
        <w:t>Rizvi, F. and</w:t>
      </w:r>
      <w:r w:rsidR="00D27BF7" w:rsidRPr="00FD40DA">
        <w:rPr>
          <w:sz w:val="24"/>
          <w:szCs w:val="24"/>
        </w:rPr>
        <w:t xml:space="preserve"> Lingard, B. (2010) </w:t>
      </w:r>
      <w:r w:rsidR="00D27BF7" w:rsidRPr="00FD40DA">
        <w:rPr>
          <w:i/>
          <w:sz w:val="24"/>
          <w:szCs w:val="24"/>
        </w:rPr>
        <w:t>Globalizing Education Policy</w:t>
      </w:r>
      <w:r w:rsidR="00D27BF7">
        <w:rPr>
          <w:sz w:val="24"/>
          <w:szCs w:val="24"/>
        </w:rPr>
        <w:t xml:space="preserve">, London: </w:t>
      </w:r>
      <w:r w:rsidR="00D27BF7" w:rsidRPr="00FD40DA">
        <w:rPr>
          <w:sz w:val="24"/>
          <w:szCs w:val="24"/>
        </w:rPr>
        <w:t>Routledge</w:t>
      </w:r>
      <w:r w:rsidR="00D27BF7">
        <w:rPr>
          <w:sz w:val="24"/>
          <w:szCs w:val="24"/>
        </w:rPr>
        <w:t>.</w:t>
      </w:r>
    </w:p>
    <w:p w14:paraId="3C04B28C" w14:textId="77777777" w:rsidR="00D27BF7" w:rsidRDefault="00D27BF7" w:rsidP="00D27BF7">
      <w:pPr>
        <w:rPr>
          <w:sz w:val="24"/>
          <w:szCs w:val="24"/>
        </w:rPr>
      </w:pPr>
      <w:r>
        <w:rPr>
          <w:sz w:val="24"/>
          <w:szCs w:val="24"/>
        </w:rPr>
        <w:t xml:space="preserve">Rogers, R. (2011). </w:t>
      </w:r>
      <w:r w:rsidRPr="00897090">
        <w:rPr>
          <w:i/>
          <w:sz w:val="24"/>
          <w:szCs w:val="24"/>
        </w:rPr>
        <w:t>Critical Discourse Analysis in Education</w:t>
      </w:r>
      <w:r>
        <w:rPr>
          <w:sz w:val="24"/>
          <w:szCs w:val="24"/>
        </w:rPr>
        <w:t xml:space="preserve"> (second edition). </w:t>
      </w:r>
      <w:r>
        <w:rPr>
          <w:rFonts w:cs="Calibri"/>
          <w:sz w:val="24"/>
          <w:szCs w:val="24"/>
        </w:rPr>
        <w:t>Abingdon: Routledge.</w:t>
      </w:r>
    </w:p>
    <w:p w14:paraId="1B426FF1" w14:textId="77777777" w:rsidR="00D27BF7" w:rsidRDefault="00D27BF7" w:rsidP="00D27BF7">
      <w:pPr>
        <w:rPr>
          <w:rFonts w:cs="Calibri"/>
          <w:sz w:val="24"/>
          <w:szCs w:val="24"/>
        </w:rPr>
      </w:pPr>
      <w:r>
        <w:rPr>
          <w:sz w:val="24"/>
          <w:szCs w:val="24"/>
        </w:rPr>
        <w:t xml:space="preserve">Rose, N. (1999). </w:t>
      </w:r>
      <w:r w:rsidRPr="00347549">
        <w:rPr>
          <w:i/>
          <w:sz w:val="24"/>
          <w:szCs w:val="24"/>
        </w:rPr>
        <w:t>Governing the soul</w:t>
      </w:r>
      <w:r>
        <w:rPr>
          <w:sz w:val="24"/>
          <w:szCs w:val="24"/>
        </w:rPr>
        <w:t xml:space="preserve"> (second edition). London: Free Association Books.</w:t>
      </w:r>
    </w:p>
    <w:p w14:paraId="5ECD242D" w14:textId="77777777" w:rsidR="00D27BF7" w:rsidRDefault="00D27BF7" w:rsidP="00D27BF7">
      <w:pPr>
        <w:rPr>
          <w:rFonts w:cs="Calibri"/>
          <w:sz w:val="24"/>
          <w:szCs w:val="24"/>
        </w:rPr>
      </w:pPr>
      <w:r>
        <w:rPr>
          <w:rFonts w:cs="Calibri"/>
          <w:sz w:val="24"/>
          <w:szCs w:val="24"/>
        </w:rPr>
        <w:t xml:space="preserve">Ross, A. (2000). </w:t>
      </w:r>
      <w:r w:rsidRPr="00E13960">
        <w:rPr>
          <w:rFonts w:cs="Calibri"/>
          <w:i/>
          <w:sz w:val="24"/>
          <w:szCs w:val="24"/>
        </w:rPr>
        <w:t>Curriculum: Construction and Critique</w:t>
      </w:r>
      <w:r>
        <w:rPr>
          <w:rFonts w:cs="Calibri"/>
          <w:sz w:val="24"/>
          <w:szCs w:val="24"/>
        </w:rPr>
        <w:t>. Abingdon: Routledge.</w:t>
      </w:r>
    </w:p>
    <w:p w14:paraId="7EF1B1F4" w14:textId="1C9AD5AC" w:rsidR="00D27BF7" w:rsidRPr="00667323" w:rsidRDefault="00D27BF7" w:rsidP="00D27BF7">
      <w:pPr>
        <w:tabs>
          <w:tab w:val="left" w:pos="1485"/>
        </w:tabs>
        <w:spacing w:line="360" w:lineRule="auto"/>
        <w:rPr>
          <w:rFonts w:cs="Calibri"/>
          <w:sz w:val="24"/>
          <w:szCs w:val="24"/>
        </w:rPr>
      </w:pPr>
      <w:r w:rsidRPr="00E85ABD">
        <w:rPr>
          <w:rFonts w:cs="Calibri"/>
          <w:sz w:val="24"/>
          <w:szCs w:val="24"/>
        </w:rPr>
        <w:t xml:space="preserve">Rudestam, K.E. and Newton, R.R. (1992) </w:t>
      </w:r>
      <w:r w:rsidRPr="00E85ABD">
        <w:rPr>
          <w:rFonts w:cs="Calibri"/>
          <w:i/>
          <w:sz w:val="24"/>
          <w:szCs w:val="24"/>
        </w:rPr>
        <w:t>Surviving your Dissertation. A Comprehensive Guide to Content and Process,</w:t>
      </w:r>
      <w:r w:rsidR="005A76CD">
        <w:rPr>
          <w:rFonts w:cs="Calibri"/>
          <w:sz w:val="24"/>
          <w:szCs w:val="24"/>
        </w:rPr>
        <w:t xml:space="preserve"> London: Sage. p.</w:t>
      </w:r>
      <w:r w:rsidR="006F063B">
        <w:rPr>
          <w:rFonts w:cs="Calibri"/>
          <w:sz w:val="24"/>
          <w:szCs w:val="24"/>
        </w:rPr>
        <w:t xml:space="preserve"> </w:t>
      </w:r>
      <w:r w:rsidR="005A76CD">
        <w:rPr>
          <w:rFonts w:cs="Calibri"/>
          <w:sz w:val="24"/>
          <w:szCs w:val="24"/>
        </w:rPr>
        <w:t>9-19</w:t>
      </w:r>
      <w:r w:rsidRPr="00E85ABD">
        <w:rPr>
          <w:rFonts w:cs="Calibri"/>
          <w:sz w:val="24"/>
          <w:szCs w:val="24"/>
        </w:rPr>
        <w:t>.</w:t>
      </w:r>
    </w:p>
    <w:p w14:paraId="1944D527" w14:textId="3DA370CF" w:rsidR="00D27BF7" w:rsidRDefault="00D27BF7" w:rsidP="00D27BF7">
      <w:pPr>
        <w:spacing w:line="360" w:lineRule="auto"/>
        <w:rPr>
          <w:rFonts w:cs="Tahoma"/>
          <w:sz w:val="24"/>
          <w:szCs w:val="24"/>
        </w:rPr>
      </w:pPr>
      <w:r w:rsidRPr="00194BA9">
        <w:rPr>
          <w:rFonts w:cs="Tahoma"/>
          <w:sz w:val="24"/>
          <w:szCs w:val="24"/>
        </w:rPr>
        <w:t>Scheurich, J.J. (1994). Policy Archaeology: a new policy studies methodology</w:t>
      </w:r>
      <w:r w:rsidRPr="00194BA9">
        <w:rPr>
          <w:rFonts w:cs="Tahoma"/>
          <w:i/>
          <w:sz w:val="24"/>
          <w:szCs w:val="24"/>
        </w:rPr>
        <w:t xml:space="preserve"> Journal of Education Policy</w:t>
      </w:r>
      <w:r w:rsidR="005A76CD">
        <w:rPr>
          <w:rFonts w:cs="Tahoma"/>
          <w:sz w:val="24"/>
          <w:szCs w:val="24"/>
        </w:rPr>
        <w:t xml:space="preserve"> 9 (4), </w:t>
      </w:r>
      <w:r w:rsidRPr="00194BA9">
        <w:rPr>
          <w:rFonts w:cs="Tahoma"/>
          <w:sz w:val="24"/>
          <w:szCs w:val="24"/>
        </w:rPr>
        <w:t>297-316</w:t>
      </w:r>
      <w:r>
        <w:rPr>
          <w:rFonts w:cs="Tahoma"/>
          <w:sz w:val="24"/>
          <w:szCs w:val="24"/>
        </w:rPr>
        <w:t>.</w:t>
      </w:r>
    </w:p>
    <w:p w14:paraId="00B20839" w14:textId="71352C53" w:rsidR="00D27BF7" w:rsidRDefault="00D27BF7" w:rsidP="00D27BF7">
      <w:pPr>
        <w:spacing w:line="360" w:lineRule="auto"/>
        <w:rPr>
          <w:rFonts w:cs="Tahoma"/>
          <w:sz w:val="24"/>
          <w:szCs w:val="24"/>
        </w:rPr>
      </w:pPr>
      <w:r>
        <w:rPr>
          <w:rFonts w:cs="Tahoma"/>
          <w:sz w:val="24"/>
          <w:szCs w:val="24"/>
        </w:rPr>
        <w:t xml:space="preserve">Schwab, J.J. (1969). The Practical: a language for curriculum. </w:t>
      </w:r>
      <w:r w:rsidRPr="00C921E2">
        <w:rPr>
          <w:rFonts w:cs="Tahoma"/>
          <w:i/>
          <w:sz w:val="24"/>
          <w:szCs w:val="24"/>
        </w:rPr>
        <w:t>School Review</w:t>
      </w:r>
      <w:r w:rsidR="005A76CD">
        <w:rPr>
          <w:rFonts w:cs="Tahoma"/>
          <w:sz w:val="24"/>
          <w:szCs w:val="24"/>
        </w:rPr>
        <w:t xml:space="preserve">, 78, </w:t>
      </w:r>
      <w:r>
        <w:rPr>
          <w:rFonts w:cs="Tahoma"/>
          <w:sz w:val="24"/>
          <w:szCs w:val="24"/>
        </w:rPr>
        <w:t>1-23</w:t>
      </w:r>
      <w:r w:rsidR="005A76CD">
        <w:rPr>
          <w:rFonts w:cs="Tahoma"/>
          <w:sz w:val="24"/>
          <w:szCs w:val="24"/>
        </w:rPr>
        <w:t>.</w:t>
      </w:r>
    </w:p>
    <w:p w14:paraId="48F21805" w14:textId="77777777" w:rsidR="00D27BF7" w:rsidRDefault="00D27BF7" w:rsidP="00D27BF7">
      <w:pPr>
        <w:spacing w:after="0"/>
        <w:rPr>
          <w:bCs/>
          <w:sz w:val="24"/>
          <w:szCs w:val="24"/>
        </w:rPr>
      </w:pPr>
      <w:r w:rsidRPr="00BE6B7D">
        <w:rPr>
          <w:bCs/>
          <w:sz w:val="24"/>
          <w:szCs w:val="24"/>
        </w:rPr>
        <w:t xml:space="preserve">Scott, D. and Usher, R. (1999). </w:t>
      </w:r>
      <w:r w:rsidRPr="00BE6B7D">
        <w:rPr>
          <w:bCs/>
          <w:i/>
          <w:sz w:val="24"/>
          <w:szCs w:val="24"/>
        </w:rPr>
        <w:t>Researching Education: data, methods and theory in educational enquiry.</w:t>
      </w:r>
      <w:r w:rsidRPr="00BE6B7D">
        <w:rPr>
          <w:bCs/>
          <w:sz w:val="24"/>
          <w:szCs w:val="24"/>
        </w:rPr>
        <w:t xml:space="preserve"> London: Cassell.</w:t>
      </w:r>
    </w:p>
    <w:p w14:paraId="09DFFFAC" w14:textId="77777777" w:rsidR="0059777B" w:rsidRDefault="0059777B" w:rsidP="00D27BF7">
      <w:pPr>
        <w:spacing w:after="0"/>
        <w:rPr>
          <w:bCs/>
          <w:sz w:val="24"/>
          <w:szCs w:val="24"/>
        </w:rPr>
      </w:pPr>
    </w:p>
    <w:p w14:paraId="71601FA8" w14:textId="2F53D1EA" w:rsidR="0059777B" w:rsidRDefault="0059777B" w:rsidP="00D27BF7">
      <w:pPr>
        <w:spacing w:after="0"/>
        <w:rPr>
          <w:bCs/>
          <w:sz w:val="24"/>
          <w:szCs w:val="24"/>
        </w:rPr>
      </w:pPr>
      <w:r>
        <w:rPr>
          <w:bCs/>
          <w:sz w:val="24"/>
          <w:szCs w:val="24"/>
        </w:rPr>
        <w:t xml:space="preserve">Seligman, M.E.P. and Maier, S.T. (1967). Failure to escape traumatic shock, </w:t>
      </w:r>
      <w:r w:rsidRPr="005A76CD">
        <w:rPr>
          <w:bCs/>
          <w:i/>
          <w:sz w:val="24"/>
          <w:szCs w:val="24"/>
        </w:rPr>
        <w:t>Journal of Experimental Psychology</w:t>
      </w:r>
      <w:r>
        <w:rPr>
          <w:bCs/>
          <w:sz w:val="24"/>
          <w:szCs w:val="24"/>
        </w:rPr>
        <w:t>, 74 (1), 1-9</w:t>
      </w:r>
      <w:r w:rsidR="005A76CD">
        <w:rPr>
          <w:bCs/>
          <w:sz w:val="24"/>
          <w:szCs w:val="24"/>
        </w:rPr>
        <w:t>.</w:t>
      </w:r>
    </w:p>
    <w:p w14:paraId="0A906332" w14:textId="77777777" w:rsidR="00D27BF7" w:rsidRDefault="00D27BF7" w:rsidP="00D27BF7">
      <w:pPr>
        <w:spacing w:after="0"/>
        <w:rPr>
          <w:sz w:val="24"/>
          <w:szCs w:val="24"/>
        </w:rPr>
      </w:pPr>
    </w:p>
    <w:p w14:paraId="603A18E7" w14:textId="0F87A75D" w:rsidR="00D27BF7" w:rsidRPr="00BE6B7D" w:rsidRDefault="00D27BF7" w:rsidP="00D27BF7">
      <w:pPr>
        <w:spacing w:line="240" w:lineRule="auto"/>
        <w:rPr>
          <w:sz w:val="24"/>
          <w:szCs w:val="24"/>
        </w:rPr>
      </w:pPr>
      <w:r>
        <w:rPr>
          <w:sz w:val="24"/>
          <w:szCs w:val="24"/>
        </w:rPr>
        <w:t xml:space="preserve">Shenton, A. (2004). Strategies for ensuring trustworthiness in qualitative research projects. </w:t>
      </w:r>
      <w:r w:rsidRPr="00A52C21">
        <w:rPr>
          <w:i/>
          <w:sz w:val="24"/>
          <w:szCs w:val="24"/>
        </w:rPr>
        <w:t>Education for Information</w:t>
      </w:r>
      <w:r w:rsidR="005A76CD">
        <w:rPr>
          <w:sz w:val="24"/>
          <w:szCs w:val="24"/>
        </w:rPr>
        <w:t xml:space="preserve"> 22, </w:t>
      </w:r>
      <w:r>
        <w:rPr>
          <w:sz w:val="24"/>
          <w:szCs w:val="24"/>
        </w:rPr>
        <w:t>63-75.</w:t>
      </w:r>
    </w:p>
    <w:p w14:paraId="2FDA4869" w14:textId="7B03DDF4" w:rsidR="00D27BF7" w:rsidRDefault="00D27BF7" w:rsidP="00D27BF7">
      <w:pPr>
        <w:spacing w:line="240" w:lineRule="auto"/>
        <w:rPr>
          <w:sz w:val="24"/>
          <w:szCs w:val="24"/>
        </w:rPr>
      </w:pPr>
      <w:r w:rsidRPr="00BE6B7D">
        <w:rPr>
          <w:sz w:val="24"/>
          <w:szCs w:val="24"/>
        </w:rPr>
        <w:t xml:space="preserve">Sikes, (2004) Methodology, Procedures and </w:t>
      </w:r>
      <w:r w:rsidR="005A76CD">
        <w:rPr>
          <w:sz w:val="24"/>
          <w:szCs w:val="24"/>
        </w:rPr>
        <w:t>Ethical Concerns in Opie, C. (Ed</w:t>
      </w:r>
      <w:r w:rsidRPr="00BE6B7D">
        <w:rPr>
          <w:sz w:val="24"/>
          <w:szCs w:val="24"/>
        </w:rPr>
        <w:t xml:space="preserve">) </w:t>
      </w:r>
      <w:r w:rsidRPr="00BE6B7D">
        <w:rPr>
          <w:i/>
          <w:sz w:val="24"/>
          <w:szCs w:val="24"/>
        </w:rPr>
        <w:t>Doing Educational Research</w:t>
      </w:r>
      <w:r w:rsidRPr="00BE6B7D">
        <w:rPr>
          <w:sz w:val="24"/>
          <w:szCs w:val="24"/>
        </w:rPr>
        <w:t xml:space="preserve"> London: Sage.</w:t>
      </w:r>
      <w:r w:rsidR="005A76CD">
        <w:rPr>
          <w:sz w:val="24"/>
          <w:szCs w:val="24"/>
        </w:rPr>
        <w:t xml:space="preserve"> </w:t>
      </w:r>
      <w:r w:rsidR="00DB4A8A">
        <w:rPr>
          <w:sz w:val="24"/>
          <w:szCs w:val="24"/>
        </w:rPr>
        <w:t>p.</w:t>
      </w:r>
      <w:r w:rsidR="006F063B">
        <w:rPr>
          <w:sz w:val="24"/>
          <w:szCs w:val="24"/>
        </w:rPr>
        <w:t xml:space="preserve"> </w:t>
      </w:r>
      <w:r w:rsidR="00DB4A8A">
        <w:rPr>
          <w:sz w:val="24"/>
          <w:szCs w:val="24"/>
        </w:rPr>
        <w:t>15-33.</w:t>
      </w:r>
    </w:p>
    <w:p w14:paraId="6418AC99" w14:textId="4504FA42" w:rsidR="00D27BF7" w:rsidRDefault="005A76CD" w:rsidP="00D27BF7">
      <w:pPr>
        <w:spacing w:line="240" w:lineRule="auto"/>
        <w:rPr>
          <w:sz w:val="24"/>
          <w:szCs w:val="24"/>
        </w:rPr>
      </w:pPr>
      <w:r>
        <w:rPr>
          <w:sz w:val="24"/>
          <w:szCs w:val="24"/>
        </w:rPr>
        <w:t xml:space="preserve">Skrla, L. </w:t>
      </w:r>
      <w:r w:rsidR="006F063B">
        <w:rPr>
          <w:sz w:val="24"/>
          <w:szCs w:val="24"/>
        </w:rPr>
        <w:t>and Scheurich</w:t>
      </w:r>
      <w:r w:rsidR="00D27BF7">
        <w:rPr>
          <w:sz w:val="24"/>
          <w:szCs w:val="24"/>
        </w:rPr>
        <w:t xml:space="preserve">, J.J. (2004). </w:t>
      </w:r>
      <w:r w:rsidR="00D27BF7" w:rsidRPr="002C0887">
        <w:rPr>
          <w:i/>
          <w:sz w:val="24"/>
          <w:szCs w:val="24"/>
        </w:rPr>
        <w:t>Educational Equity and Accountability: Paradigms, Policies, and Politics.</w:t>
      </w:r>
      <w:r>
        <w:rPr>
          <w:sz w:val="24"/>
          <w:szCs w:val="24"/>
        </w:rPr>
        <w:t xml:space="preserve"> (Ed)</w:t>
      </w:r>
      <w:r w:rsidR="00D27BF7">
        <w:rPr>
          <w:sz w:val="24"/>
          <w:szCs w:val="24"/>
        </w:rPr>
        <w:t xml:space="preserve"> Abingdon, Oxon: Routledge.</w:t>
      </w:r>
    </w:p>
    <w:p w14:paraId="21A25C39" w14:textId="0931CF5D" w:rsidR="00D27BF7" w:rsidRDefault="005A76CD" w:rsidP="00D27BF7">
      <w:pPr>
        <w:spacing w:line="360" w:lineRule="auto"/>
        <w:rPr>
          <w:sz w:val="24"/>
          <w:szCs w:val="24"/>
        </w:rPr>
      </w:pPr>
      <w:r>
        <w:rPr>
          <w:sz w:val="24"/>
          <w:szCs w:val="24"/>
        </w:rPr>
        <w:t>Somekh, B. and</w:t>
      </w:r>
      <w:r w:rsidR="003B77F3">
        <w:rPr>
          <w:sz w:val="24"/>
          <w:szCs w:val="24"/>
        </w:rPr>
        <w:t xml:space="preserve"> Lewin, C. (E</w:t>
      </w:r>
      <w:r w:rsidR="00D27BF7">
        <w:rPr>
          <w:sz w:val="24"/>
          <w:szCs w:val="24"/>
        </w:rPr>
        <w:t xml:space="preserve">ds) (2005). </w:t>
      </w:r>
      <w:r w:rsidR="00D27BF7" w:rsidRPr="00347549">
        <w:rPr>
          <w:i/>
          <w:sz w:val="24"/>
          <w:szCs w:val="24"/>
        </w:rPr>
        <w:t xml:space="preserve">Research Methods in the Social </w:t>
      </w:r>
      <w:r w:rsidR="00D27BF7">
        <w:rPr>
          <w:i/>
          <w:sz w:val="24"/>
          <w:szCs w:val="24"/>
        </w:rPr>
        <w:t>Science</w:t>
      </w:r>
      <w:r w:rsidR="00D27BF7" w:rsidRPr="00347549">
        <w:rPr>
          <w:i/>
          <w:sz w:val="24"/>
          <w:szCs w:val="24"/>
        </w:rPr>
        <w:t>s.</w:t>
      </w:r>
      <w:r w:rsidR="00D27BF7">
        <w:rPr>
          <w:sz w:val="24"/>
          <w:szCs w:val="24"/>
        </w:rPr>
        <w:t xml:space="preserve"> London: Sage.</w:t>
      </w:r>
    </w:p>
    <w:p w14:paraId="6CB8CD19" w14:textId="2DC45E54" w:rsidR="00D27BF7" w:rsidRDefault="00D27BF7" w:rsidP="00D27BF7">
      <w:pPr>
        <w:spacing w:line="360" w:lineRule="auto"/>
        <w:rPr>
          <w:rStyle w:val="Hyperlink"/>
          <w:sz w:val="24"/>
          <w:szCs w:val="24"/>
        </w:rPr>
      </w:pPr>
      <w:r>
        <w:rPr>
          <w:sz w:val="24"/>
          <w:szCs w:val="24"/>
        </w:rPr>
        <w:lastRenderedPageBreak/>
        <w:t>Steer, R., Spours, K., Hodgson, A., Finlay,</w:t>
      </w:r>
      <w:r w:rsidR="006A1CF9">
        <w:rPr>
          <w:sz w:val="24"/>
          <w:szCs w:val="24"/>
        </w:rPr>
        <w:t xml:space="preserve"> I., Coffield, F., Edward, S., and</w:t>
      </w:r>
      <w:r>
        <w:rPr>
          <w:sz w:val="24"/>
          <w:szCs w:val="24"/>
        </w:rPr>
        <w:t xml:space="preserve"> Gregson, M. (2007). </w:t>
      </w:r>
      <w:r w:rsidRPr="006A1CF9">
        <w:rPr>
          <w:i/>
          <w:sz w:val="24"/>
          <w:szCs w:val="24"/>
        </w:rPr>
        <w:t>‘Modernisation’ and the Role of Policy Levers in the Learning and Skills Sector</w:t>
      </w:r>
      <w:r>
        <w:rPr>
          <w:sz w:val="24"/>
          <w:szCs w:val="24"/>
        </w:rPr>
        <w:t xml:space="preserve">. </w:t>
      </w:r>
      <w:r w:rsidR="006A1CF9" w:rsidRPr="008F2830">
        <w:rPr>
          <w:rFonts w:cs="Calibri"/>
          <w:sz w:val="24"/>
          <w:szCs w:val="24"/>
        </w:rPr>
        <w:t>[Online</w:t>
      </w:r>
      <w:r w:rsidR="006A1CF9">
        <w:rPr>
          <w:rFonts w:cs="Calibri"/>
          <w:sz w:val="24"/>
          <w:szCs w:val="24"/>
        </w:rPr>
        <w:t>]</w:t>
      </w:r>
      <w:r w:rsidR="006A1CF9" w:rsidRPr="00E85ABD">
        <w:rPr>
          <w:rFonts w:cs="Calibri"/>
          <w:sz w:val="24"/>
          <w:szCs w:val="24"/>
        </w:rPr>
        <w:t xml:space="preserve"> </w:t>
      </w:r>
      <w:r w:rsidR="006A1CF9">
        <w:rPr>
          <w:rFonts w:cs="Calibri"/>
          <w:sz w:val="24"/>
          <w:szCs w:val="24"/>
        </w:rPr>
        <w:t xml:space="preserve">Available from: </w:t>
      </w:r>
      <w:hyperlink r:id="rId44" w:history="1">
        <w:r w:rsidRPr="000A022B">
          <w:rPr>
            <w:rStyle w:val="Hyperlink"/>
            <w:sz w:val="24"/>
            <w:szCs w:val="24"/>
          </w:rPr>
          <w:t>http://eprints.ioe.ac.uk/1562/2/SteerSpoursHodgsonet_al.2007Modernisation175text.pdf</w:t>
        </w:r>
      </w:hyperlink>
      <w:r w:rsidR="006A1CF9">
        <w:rPr>
          <w:rStyle w:val="Hyperlink"/>
          <w:sz w:val="24"/>
          <w:szCs w:val="24"/>
        </w:rPr>
        <w:t xml:space="preserve"> </w:t>
      </w:r>
      <w:r w:rsidR="006A1CF9" w:rsidRPr="006A1CF9">
        <w:rPr>
          <w:rStyle w:val="Hyperlink"/>
          <w:color w:val="auto"/>
          <w:sz w:val="24"/>
          <w:szCs w:val="24"/>
          <w:u w:val="none"/>
        </w:rPr>
        <w:t>[Accessed 27.1.11].</w:t>
      </w:r>
    </w:p>
    <w:p w14:paraId="08A1227C" w14:textId="77777777" w:rsidR="00D27BF7" w:rsidRPr="005F2601" w:rsidRDefault="00D27BF7" w:rsidP="00D27BF7">
      <w:pPr>
        <w:spacing w:line="360" w:lineRule="auto"/>
        <w:rPr>
          <w:sz w:val="24"/>
          <w:szCs w:val="24"/>
        </w:rPr>
      </w:pPr>
      <w:r w:rsidRPr="005F2601">
        <w:rPr>
          <w:rStyle w:val="Hyperlink"/>
          <w:color w:val="auto"/>
          <w:sz w:val="24"/>
          <w:szCs w:val="24"/>
          <w:u w:val="none"/>
        </w:rPr>
        <w:t xml:space="preserve">Stenhouse, L. (1975). </w:t>
      </w:r>
      <w:r w:rsidRPr="005F2601">
        <w:rPr>
          <w:rStyle w:val="Hyperlink"/>
          <w:i/>
          <w:color w:val="auto"/>
          <w:sz w:val="24"/>
          <w:szCs w:val="24"/>
          <w:u w:val="none"/>
        </w:rPr>
        <w:t>An introduction to curriculum research and development.</w:t>
      </w:r>
      <w:r w:rsidRPr="005F2601">
        <w:rPr>
          <w:rStyle w:val="Hyperlink"/>
          <w:color w:val="auto"/>
          <w:sz w:val="24"/>
          <w:szCs w:val="24"/>
          <w:u w:val="none"/>
        </w:rPr>
        <w:t xml:space="preserve"> London: Heinemann Educational Books.</w:t>
      </w:r>
    </w:p>
    <w:p w14:paraId="28B49FD4" w14:textId="55B87A32" w:rsidR="00D27BF7" w:rsidRDefault="00D27BF7" w:rsidP="00D27BF7">
      <w:pPr>
        <w:spacing w:line="360" w:lineRule="auto"/>
        <w:rPr>
          <w:sz w:val="24"/>
          <w:szCs w:val="24"/>
        </w:rPr>
      </w:pPr>
      <w:r>
        <w:rPr>
          <w:sz w:val="24"/>
          <w:szCs w:val="24"/>
        </w:rPr>
        <w:t xml:space="preserve">Takacs, D. (2002). Positionality, epistemology and social justice in the classroom, </w:t>
      </w:r>
      <w:r w:rsidRPr="006A1CF9">
        <w:rPr>
          <w:i/>
          <w:sz w:val="24"/>
          <w:szCs w:val="24"/>
        </w:rPr>
        <w:t>Social Justice</w:t>
      </w:r>
      <w:r>
        <w:rPr>
          <w:sz w:val="24"/>
          <w:szCs w:val="24"/>
        </w:rPr>
        <w:t xml:space="preserve">, 29. </w:t>
      </w:r>
      <w:r w:rsidR="006A1CF9" w:rsidRPr="008F2830">
        <w:rPr>
          <w:rFonts w:cs="Calibri"/>
          <w:sz w:val="24"/>
          <w:szCs w:val="24"/>
        </w:rPr>
        <w:t>[Online</w:t>
      </w:r>
      <w:r w:rsidR="006A1CF9">
        <w:rPr>
          <w:rFonts w:cs="Calibri"/>
          <w:sz w:val="24"/>
          <w:szCs w:val="24"/>
        </w:rPr>
        <w:t>]</w:t>
      </w:r>
      <w:r w:rsidR="006A1CF9" w:rsidRPr="00E85ABD">
        <w:rPr>
          <w:rFonts w:cs="Calibri"/>
          <w:sz w:val="24"/>
          <w:szCs w:val="24"/>
        </w:rPr>
        <w:t xml:space="preserve"> </w:t>
      </w:r>
      <w:r w:rsidR="006A1CF9">
        <w:rPr>
          <w:rFonts w:cs="Calibri"/>
          <w:sz w:val="24"/>
          <w:szCs w:val="24"/>
        </w:rPr>
        <w:t xml:space="preserve">Available from: </w:t>
      </w:r>
      <w:hyperlink r:id="rId45" w:history="1">
        <w:r w:rsidRPr="003413FC">
          <w:rPr>
            <w:rStyle w:val="Hyperlink"/>
            <w:sz w:val="24"/>
            <w:szCs w:val="24"/>
          </w:rPr>
          <w:t>http://www.nea.org/assets/img/PubThoughtAndAction/TAA_03_04.pdf</w:t>
        </w:r>
      </w:hyperlink>
      <w:r w:rsidR="006A1CF9">
        <w:rPr>
          <w:rStyle w:val="Hyperlink"/>
          <w:sz w:val="24"/>
          <w:szCs w:val="24"/>
        </w:rPr>
        <w:t xml:space="preserve"> </w:t>
      </w:r>
      <w:r w:rsidR="006A1CF9" w:rsidRPr="006A1CF9">
        <w:rPr>
          <w:rStyle w:val="Hyperlink"/>
          <w:color w:val="auto"/>
          <w:sz w:val="24"/>
          <w:szCs w:val="24"/>
          <w:u w:val="none"/>
        </w:rPr>
        <w:t>[Accessed 9.6.12].</w:t>
      </w:r>
    </w:p>
    <w:p w14:paraId="34644502" w14:textId="6157A60B" w:rsidR="00D27BF7" w:rsidRDefault="00D27BF7" w:rsidP="00D27BF7">
      <w:pPr>
        <w:spacing w:line="360" w:lineRule="auto"/>
        <w:rPr>
          <w:sz w:val="24"/>
          <w:szCs w:val="24"/>
        </w:rPr>
      </w:pPr>
      <w:r>
        <w:rPr>
          <w:sz w:val="24"/>
          <w:szCs w:val="24"/>
        </w:rPr>
        <w:t xml:space="preserve">Taylor, J. (2011). </w:t>
      </w:r>
      <w:r w:rsidRPr="002B45EF">
        <w:rPr>
          <w:i/>
          <w:sz w:val="24"/>
          <w:szCs w:val="24"/>
        </w:rPr>
        <w:t>The English Baccalaureate: how not to measure school performance.</w:t>
      </w:r>
      <w:r>
        <w:rPr>
          <w:sz w:val="24"/>
          <w:szCs w:val="24"/>
        </w:rPr>
        <w:t xml:space="preserve"> LUMS. </w:t>
      </w:r>
      <w:r w:rsidR="006A1CF9" w:rsidRPr="008F2830">
        <w:rPr>
          <w:rFonts w:cs="Calibri"/>
          <w:sz w:val="24"/>
          <w:szCs w:val="24"/>
        </w:rPr>
        <w:t>[Online</w:t>
      </w:r>
      <w:r w:rsidR="006A1CF9">
        <w:rPr>
          <w:rFonts w:cs="Calibri"/>
          <w:sz w:val="24"/>
          <w:szCs w:val="24"/>
        </w:rPr>
        <w:t>]</w:t>
      </w:r>
      <w:r w:rsidR="006A1CF9" w:rsidRPr="00E85ABD">
        <w:rPr>
          <w:rFonts w:cs="Calibri"/>
          <w:sz w:val="24"/>
          <w:szCs w:val="24"/>
        </w:rPr>
        <w:t xml:space="preserve"> </w:t>
      </w:r>
      <w:r w:rsidR="006A1CF9">
        <w:rPr>
          <w:rFonts w:cs="Calibri"/>
          <w:sz w:val="24"/>
          <w:szCs w:val="24"/>
        </w:rPr>
        <w:t xml:space="preserve">Available from:  </w:t>
      </w:r>
      <w:hyperlink r:id="rId46" w:history="1">
        <w:r w:rsidRPr="000A022B">
          <w:rPr>
            <w:rStyle w:val="Hyperlink"/>
            <w:sz w:val="24"/>
            <w:szCs w:val="24"/>
          </w:rPr>
          <w:t>http://eprints.lancs.ac.uk/49044/4/EnglishBaccalaureate.pdf</w:t>
        </w:r>
      </w:hyperlink>
      <w:r w:rsidR="006A1CF9">
        <w:rPr>
          <w:rStyle w:val="Hyperlink"/>
          <w:sz w:val="24"/>
          <w:szCs w:val="24"/>
        </w:rPr>
        <w:t xml:space="preserve"> </w:t>
      </w:r>
      <w:r w:rsidR="006A1CF9" w:rsidRPr="006A1CF9">
        <w:rPr>
          <w:rStyle w:val="Hyperlink"/>
          <w:color w:val="auto"/>
          <w:sz w:val="24"/>
          <w:szCs w:val="24"/>
          <w:u w:val="none"/>
        </w:rPr>
        <w:t>[Accessed 9.6.12].</w:t>
      </w:r>
    </w:p>
    <w:p w14:paraId="05B83206" w14:textId="41E803C9" w:rsidR="00D27BF7" w:rsidRDefault="00D27BF7" w:rsidP="00D27BF7">
      <w:pPr>
        <w:spacing w:line="360" w:lineRule="auto"/>
        <w:rPr>
          <w:sz w:val="24"/>
          <w:szCs w:val="24"/>
        </w:rPr>
      </w:pPr>
      <w:r>
        <w:rPr>
          <w:sz w:val="24"/>
          <w:szCs w:val="24"/>
        </w:rPr>
        <w:t>Tayl</w:t>
      </w:r>
      <w:r w:rsidR="006A1CF9">
        <w:rPr>
          <w:sz w:val="24"/>
          <w:szCs w:val="24"/>
        </w:rPr>
        <w:t>or, S., Rizvi, F., Lingard, B. and</w:t>
      </w:r>
      <w:r>
        <w:rPr>
          <w:sz w:val="24"/>
          <w:szCs w:val="24"/>
        </w:rPr>
        <w:t xml:space="preserve"> Henry, M. (1997)</w:t>
      </w:r>
      <w:r w:rsidR="006A1CF9">
        <w:rPr>
          <w:sz w:val="24"/>
          <w:szCs w:val="24"/>
        </w:rPr>
        <w:t>.</w:t>
      </w:r>
      <w:r>
        <w:rPr>
          <w:sz w:val="24"/>
          <w:szCs w:val="24"/>
        </w:rPr>
        <w:t xml:space="preserve"> </w:t>
      </w:r>
      <w:r w:rsidRPr="00A70D38">
        <w:rPr>
          <w:i/>
          <w:sz w:val="24"/>
          <w:szCs w:val="24"/>
        </w:rPr>
        <w:t>Educational Policy and the politics of change.</w:t>
      </w:r>
      <w:r>
        <w:rPr>
          <w:sz w:val="24"/>
          <w:szCs w:val="24"/>
        </w:rPr>
        <w:t xml:space="preserve"> London: Routledge. </w:t>
      </w:r>
    </w:p>
    <w:p w14:paraId="0663D0EC" w14:textId="230F04AC" w:rsidR="00D27BF7" w:rsidRDefault="00D27BF7" w:rsidP="00D27BF7">
      <w:pPr>
        <w:spacing w:line="360" w:lineRule="auto"/>
        <w:rPr>
          <w:sz w:val="24"/>
          <w:szCs w:val="24"/>
        </w:rPr>
      </w:pPr>
      <w:r>
        <w:rPr>
          <w:sz w:val="24"/>
          <w:szCs w:val="24"/>
        </w:rPr>
        <w:t xml:space="preserve">Taylor, S. (2004). Researching educational policy and change in “new times”: using critical discourse analysis, </w:t>
      </w:r>
      <w:r w:rsidRPr="00A70D38">
        <w:rPr>
          <w:i/>
          <w:sz w:val="24"/>
          <w:szCs w:val="24"/>
        </w:rPr>
        <w:t>Journal of Education Policy</w:t>
      </w:r>
      <w:r w:rsidR="006A1CF9">
        <w:rPr>
          <w:sz w:val="24"/>
          <w:szCs w:val="24"/>
        </w:rPr>
        <w:t xml:space="preserve">, 19 (4), </w:t>
      </w:r>
      <w:r>
        <w:rPr>
          <w:sz w:val="24"/>
          <w:szCs w:val="24"/>
        </w:rPr>
        <w:t>433-451.</w:t>
      </w:r>
    </w:p>
    <w:p w14:paraId="3E529ED0" w14:textId="77777777" w:rsidR="00D27BF7" w:rsidRDefault="00D27BF7" w:rsidP="00D27BF7">
      <w:pPr>
        <w:spacing w:line="360" w:lineRule="auto"/>
        <w:rPr>
          <w:sz w:val="24"/>
          <w:szCs w:val="24"/>
        </w:rPr>
      </w:pPr>
      <w:r>
        <w:rPr>
          <w:sz w:val="24"/>
          <w:szCs w:val="24"/>
        </w:rPr>
        <w:t xml:space="preserve">Titscher, S., Meyer, M., Wodak, R., and Vetter, E. (2000). </w:t>
      </w:r>
      <w:r w:rsidRPr="00B7355F">
        <w:rPr>
          <w:i/>
          <w:sz w:val="24"/>
          <w:szCs w:val="24"/>
        </w:rPr>
        <w:t>Methods of Text and Discourse Analysis.</w:t>
      </w:r>
      <w:r>
        <w:rPr>
          <w:sz w:val="24"/>
          <w:szCs w:val="24"/>
        </w:rPr>
        <w:t xml:space="preserve"> London: Sage.</w:t>
      </w:r>
    </w:p>
    <w:p w14:paraId="02A36A6E" w14:textId="6B018613" w:rsidR="00D27BF7" w:rsidRDefault="00D27BF7" w:rsidP="00D27BF7">
      <w:pPr>
        <w:spacing w:line="360" w:lineRule="auto"/>
        <w:rPr>
          <w:sz w:val="24"/>
          <w:szCs w:val="24"/>
        </w:rPr>
      </w:pPr>
      <w:r>
        <w:rPr>
          <w:sz w:val="24"/>
          <w:szCs w:val="24"/>
        </w:rPr>
        <w:t xml:space="preserve">Troyna, B. (1994). Reforms, Research and Being Reflexive About Being Reflective in </w:t>
      </w:r>
      <w:r w:rsidR="006A1CF9">
        <w:rPr>
          <w:sz w:val="24"/>
          <w:szCs w:val="24"/>
        </w:rPr>
        <w:t>(Eds) Halpin, D., and</w:t>
      </w:r>
      <w:r>
        <w:rPr>
          <w:sz w:val="24"/>
          <w:szCs w:val="24"/>
        </w:rPr>
        <w:t xml:space="preserve"> Troyna, B. </w:t>
      </w:r>
      <w:r w:rsidRPr="00591ED7">
        <w:rPr>
          <w:i/>
          <w:sz w:val="24"/>
          <w:szCs w:val="24"/>
        </w:rPr>
        <w:t>Researching Education Policy: Ethical and Methodological issues.</w:t>
      </w:r>
      <w:r>
        <w:rPr>
          <w:sz w:val="24"/>
          <w:szCs w:val="24"/>
        </w:rPr>
        <w:t xml:space="preserve"> </w:t>
      </w:r>
      <w:r w:rsidRPr="006656A3">
        <w:rPr>
          <w:bCs/>
          <w:sz w:val="24"/>
          <w:szCs w:val="24"/>
        </w:rPr>
        <w:t xml:space="preserve">London: Falmer. </w:t>
      </w:r>
      <w:r w:rsidR="00DB4A8A">
        <w:rPr>
          <w:bCs/>
          <w:sz w:val="24"/>
          <w:szCs w:val="24"/>
        </w:rPr>
        <w:t>p.</w:t>
      </w:r>
      <w:r w:rsidR="006F063B">
        <w:rPr>
          <w:bCs/>
          <w:sz w:val="24"/>
          <w:szCs w:val="24"/>
        </w:rPr>
        <w:t xml:space="preserve"> </w:t>
      </w:r>
      <w:r w:rsidR="00DB4A8A">
        <w:rPr>
          <w:bCs/>
          <w:sz w:val="24"/>
          <w:szCs w:val="24"/>
        </w:rPr>
        <w:t>1-14.</w:t>
      </w:r>
    </w:p>
    <w:p w14:paraId="5236C1C5" w14:textId="77777777" w:rsidR="00D27BF7" w:rsidRDefault="00D27BF7" w:rsidP="00D27BF7">
      <w:pPr>
        <w:tabs>
          <w:tab w:val="left" w:pos="1485"/>
        </w:tabs>
        <w:rPr>
          <w:rFonts w:cs="Calibri"/>
          <w:sz w:val="24"/>
          <w:szCs w:val="24"/>
        </w:rPr>
      </w:pPr>
      <w:r>
        <w:rPr>
          <w:rFonts w:cs="Calibri"/>
          <w:sz w:val="24"/>
          <w:szCs w:val="24"/>
        </w:rPr>
        <w:t xml:space="preserve">Tyler, R. W. (1949). </w:t>
      </w:r>
      <w:r w:rsidRPr="00C921E2">
        <w:rPr>
          <w:rFonts w:cs="Calibri"/>
          <w:i/>
          <w:sz w:val="24"/>
          <w:szCs w:val="24"/>
        </w:rPr>
        <w:t>Basic Principles of Curriculum and Instruction</w:t>
      </w:r>
      <w:r>
        <w:rPr>
          <w:rFonts w:cs="Calibri"/>
          <w:sz w:val="24"/>
          <w:szCs w:val="24"/>
        </w:rPr>
        <w:t>. Chicago: University of Chicago Press.</w:t>
      </w:r>
    </w:p>
    <w:p w14:paraId="19B48B2C" w14:textId="0140C412" w:rsidR="00D27BF7" w:rsidRPr="006A1CF9" w:rsidRDefault="00D27BF7" w:rsidP="00D27BF7">
      <w:pPr>
        <w:tabs>
          <w:tab w:val="left" w:pos="1485"/>
        </w:tabs>
        <w:rPr>
          <w:rStyle w:val="Hyperlink"/>
          <w:rFonts w:asciiTheme="minorHAnsi" w:hAnsiTheme="minorHAnsi"/>
          <w:color w:val="auto"/>
          <w:sz w:val="24"/>
          <w:szCs w:val="24"/>
          <w:u w:val="none"/>
        </w:rPr>
      </w:pPr>
      <w:r w:rsidRPr="007D4F28">
        <w:rPr>
          <w:rFonts w:asciiTheme="minorHAnsi" w:hAnsiTheme="minorHAnsi" w:cs="Calibri"/>
          <w:sz w:val="24"/>
          <w:szCs w:val="24"/>
        </w:rPr>
        <w:t xml:space="preserve">UCAS. (2013). </w:t>
      </w:r>
      <w:hyperlink r:id="rId47" w:history="1">
        <w:r w:rsidRPr="006A1CF9">
          <w:rPr>
            <w:rStyle w:val="Hyperlink"/>
            <w:rFonts w:asciiTheme="minorHAnsi" w:hAnsiTheme="minorHAnsi" w:cs="Arial"/>
            <w:color w:val="auto"/>
            <w:sz w:val="24"/>
            <w:szCs w:val="24"/>
            <w:u w:val="none"/>
            <w:bdr w:val="none" w:sz="0" w:space="0" w:color="auto" w:frame="1"/>
            <w:shd w:val="clear" w:color="auto" w:fill="FFFFFF"/>
          </w:rPr>
          <w:t>Additional 2013 cycle applicant figures – June deadline</w:t>
        </w:r>
      </w:hyperlink>
      <w:r w:rsidRPr="006A1CF9">
        <w:rPr>
          <w:rFonts w:asciiTheme="minorHAnsi" w:hAnsiTheme="minorHAnsi"/>
          <w:sz w:val="24"/>
          <w:szCs w:val="24"/>
        </w:rPr>
        <w:t>.</w:t>
      </w:r>
      <w:r w:rsidRPr="007D4F28">
        <w:rPr>
          <w:rFonts w:asciiTheme="minorHAnsi" w:hAnsiTheme="minorHAnsi"/>
          <w:sz w:val="24"/>
          <w:szCs w:val="24"/>
        </w:rPr>
        <w:t xml:space="preserve"> </w:t>
      </w:r>
      <w:r w:rsidR="006A1CF9" w:rsidRPr="008F2830">
        <w:rPr>
          <w:rFonts w:cs="Calibri"/>
          <w:sz w:val="24"/>
          <w:szCs w:val="24"/>
        </w:rPr>
        <w:t>[Online</w:t>
      </w:r>
      <w:r w:rsidR="006A1CF9">
        <w:rPr>
          <w:rFonts w:cs="Calibri"/>
          <w:sz w:val="24"/>
          <w:szCs w:val="24"/>
        </w:rPr>
        <w:t>]</w:t>
      </w:r>
      <w:r w:rsidR="006A1CF9" w:rsidRPr="00E85ABD">
        <w:rPr>
          <w:rFonts w:cs="Calibri"/>
          <w:sz w:val="24"/>
          <w:szCs w:val="24"/>
        </w:rPr>
        <w:t xml:space="preserve"> </w:t>
      </w:r>
      <w:r w:rsidR="006A1CF9">
        <w:rPr>
          <w:rFonts w:cs="Calibri"/>
          <w:sz w:val="24"/>
          <w:szCs w:val="24"/>
        </w:rPr>
        <w:t xml:space="preserve">Available from: </w:t>
      </w:r>
      <w:r w:rsidRPr="007D4F28">
        <w:rPr>
          <w:rFonts w:asciiTheme="minorHAnsi" w:hAnsiTheme="minorHAnsi"/>
          <w:sz w:val="24"/>
          <w:szCs w:val="24"/>
        </w:rPr>
        <w:t xml:space="preserve">at </w:t>
      </w:r>
      <w:hyperlink r:id="rId48" w:history="1">
        <w:r w:rsidRPr="007D4F28">
          <w:rPr>
            <w:rStyle w:val="Hyperlink"/>
            <w:rFonts w:asciiTheme="minorHAnsi" w:hAnsiTheme="minorHAnsi"/>
            <w:sz w:val="24"/>
            <w:szCs w:val="24"/>
          </w:rPr>
          <w:t>https://www.ucas.com/corporate/news-and-key-documents/news/2013-cycle-applicant-figures-%E2%80%93-june-deadline</w:t>
        </w:r>
      </w:hyperlink>
      <w:r w:rsidR="006A1CF9">
        <w:rPr>
          <w:rStyle w:val="Hyperlink"/>
          <w:rFonts w:asciiTheme="minorHAnsi" w:hAnsiTheme="minorHAnsi"/>
          <w:sz w:val="24"/>
          <w:szCs w:val="24"/>
        </w:rPr>
        <w:t xml:space="preserve"> </w:t>
      </w:r>
      <w:r w:rsidR="006A1CF9" w:rsidRPr="006A1CF9">
        <w:rPr>
          <w:rStyle w:val="Hyperlink"/>
          <w:rFonts w:asciiTheme="minorHAnsi" w:hAnsiTheme="minorHAnsi"/>
          <w:color w:val="auto"/>
          <w:sz w:val="24"/>
          <w:szCs w:val="24"/>
          <w:u w:val="none"/>
        </w:rPr>
        <w:t xml:space="preserve">[Accessed 21.2.16]. </w:t>
      </w:r>
    </w:p>
    <w:p w14:paraId="6AF2C599" w14:textId="25EBE043" w:rsidR="00FA01D7" w:rsidRDefault="00FA01D7" w:rsidP="00D27BF7">
      <w:pPr>
        <w:tabs>
          <w:tab w:val="left" w:pos="1485"/>
        </w:tabs>
        <w:rPr>
          <w:rStyle w:val="Hyperlink"/>
          <w:rFonts w:asciiTheme="minorHAnsi" w:hAnsiTheme="minorHAnsi"/>
          <w:color w:val="auto"/>
          <w:sz w:val="24"/>
          <w:szCs w:val="24"/>
        </w:rPr>
      </w:pPr>
      <w:r>
        <w:rPr>
          <w:rFonts w:asciiTheme="minorHAnsi" w:hAnsiTheme="minorHAnsi"/>
          <w:sz w:val="24"/>
          <w:szCs w:val="24"/>
        </w:rPr>
        <w:lastRenderedPageBreak/>
        <w:t xml:space="preserve">UCAS. (2015). End of cycle report 2015. </w:t>
      </w:r>
      <w:r w:rsidR="006A1CF9" w:rsidRPr="008F2830">
        <w:rPr>
          <w:rFonts w:cs="Calibri"/>
          <w:sz w:val="24"/>
          <w:szCs w:val="24"/>
        </w:rPr>
        <w:t>[Online</w:t>
      </w:r>
      <w:r w:rsidR="006A1CF9">
        <w:rPr>
          <w:rFonts w:cs="Calibri"/>
          <w:sz w:val="24"/>
          <w:szCs w:val="24"/>
        </w:rPr>
        <w:t>]</w:t>
      </w:r>
      <w:r w:rsidR="006A1CF9" w:rsidRPr="00E85ABD">
        <w:rPr>
          <w:rFonts w:cs="Calibri"/>
          <w:sz w:val="24"/>
          <w:szCs w:val="24"/>
        </w:rPr>
        <w:t xml:space="preserve"> </w:t>
      </w:r>
      <w:r w:rsidR="006A1CF9">
        <w:rPr>
          <w:rFonts w:cs="Calibri"/>
          <w:sz w:val="24"/>
          <w:szCs w:val="24"/>
        </w:rPr>
        <w:t xml:space="preserve">Available from: </w:t>
      </w:r>
      <w:hyperlink r:id="rId49" w:history="1">
        <w:r w:rsidRPr="0092774B">
          <w:rPr>
            <w:rStyle w:val="Hyperlink"/>
            <w:rFonts w:asciiTheme="minorHAnsi" w:hAnsiTheme="minorHAnsi"/>
            <w:sz w:val="24"/>
            <w:szCs w:val="24"/>
          </w:rPr>
          <w:t>https://www.ucas.com/sites/default/files/eoc-report-2015-v2.pdf</w:t>
        </w:r>
      </w:hyperlink>
      <w:r w:rsidR="006A1CF9">
        <w:rPr>
          <w:rStyle w:val="Hyperlink"/>
          <w:rFonts w:asciiTheme="minorHAnsi" w:hAnsiTheme="minorHAnsi"/>
          <w:sz w:val="24"/>
          <w:szCs w:val="24"/>
        </w:rPr>
        <w:t xml:space="preserve"> </w:t>
      </w:r>
      <w:r w:rsidR="006A1CF9" w:rsidRPr="006A1CF9">
        <w:rPr>
          <w:rStyle w:val="Hyperlink"/>
          <w:rFonts w:asciiTheme="minorHAnsi" w:hAnsiTheme="minorHAnsi"/>
          <w:color w:val="auto"/>
          <w:sz w:val="24"/>
          <w:szCs w:val="24"/>
          <w:u w:val="none"/>
        </w:rPr>
        <w:t>[Accessed 17.4.16].</w:t>
      </w:r>
      <w:r w:rsidR="006A1CF9" w:rsidRPr="006A1CF9">
        <w:rPr>
          <w:rStyle w:val="Hyperlink"/>
          <w:rFonts w:asciiTheme="minorHAnsi" w:hAnsiTheme="minorHAnsi"/>
          <w:color w:val="auto"/>
          <w:sz w:val="24"/>
          <w:szCs w:val="24"/>
        </w:rPr>
        <w:t xml:space="preserve"> </w:t>
      </w:r>
    </w:p>
    <w:p w14:paraId="7C174931" w14:textId="6EEBC0D6" w:rsidR="0089230A" w:rsidRPr="0089230A" w:rsidRDefault="0089230A" w:rsidP="00D27BF7">
      <w:pPr>
        <w:tabs>
          <w:tab w:val="left" w:pos="1485"/>
        </w:tabs>
        <w:rPr>
          <w:rStyle w:val="Hyperlink"/>
          <w:rFonts w:asciiTheme="minorHAnsi" w:hAnsiTheme="minorHAnsi"/>
          <w:color w:val="auto"/>
          <w:sz w:val="24"/>
          <w:szCs w:val="24"/>
          <w:u w:val="none"/>
        </w:rPr>
      </w:pPr>
      <w:r w:rsidRPr="0089230A">
        <w:rPr>
          <w:rStyle w:val="Hyperlink"/>
          <w:rFonts w:asciiTheme="minorHAnsi" w:hAnsiTheme="minorHAnsi"/>
          <w:color w:val="auto"/>
          <w:sz w:val="24"/>
          <w:szCs w:val="24"/>
          <w:u w:val="none"/>
        </w:rPr>
        <w:t>U-REC (University Research Ethics Committee)</w:t>
      </w:r>
      <w:r>
        <w:rPr>
          <w:rStyle w:val="Hyperlink"/>
          <w:rFonts w:asciiTheme="minorHAnsi" w:hAnsiTheme="minorHAnsi"/>
          <w:color w:val="auto"/>
          <w:sz w:val="24"/>
          <w:szCs w:val="24"/>
          <w:u w:val="none"/>
        </w:rPr>
        <w:t xml:space="preserve">. (2007). </w:t>
      </w:r>
      <w:r>
        <w:rPr>
          <w:rStyle w:val="Hyperlink"/>
          <w:rFonts w:asciiTheme="minorHAnsi" w:hAnsiTheme="minorHAnsi"/>
          <w:i/>
          <w:color w:val="auto"/>
          <w:sz w:val="24"/>
          <w:szCs w:val="24"/>
          <w:u w:val="none"/>
        </w:rPr>
        <w:t>Advice on C</w:t>
      </w:r>
      <w:r w:rsidRPr="0089230A">
        <w:rPr>
          <w:rStyle w:val="Hyperlink"/>
          <w:rFonts w:asciiTheme="minorHAnsi" w:hAnsiTheme="minorHAnsi"/>
          <w:i/>
          <w:color w:val="auto"/>
          <w:sz w:val="24"/>
          <w:szCs w:val="24"/>
          <w:u w:val="none"/>
        </w:rPr>
        <w:t xml:space="preserve">ompleting the </w:t>
      </w:r>
      <w:r>
        <w:rPr>
          <w:rStyle w:val="Hyperlink"/>
          <w:rFonts w:asciiTheme="minorHAnsi" w:hAnsiTheme="minorHAnsi"/>
          <w:i/>
          <w:color w:val="auto"/>
          <w:sz w:val="24"/>
          <w:szCs w:val="24"/>
          <w:u w:val="none"/>
        </w:rPr>
        <w:t>University’s Ethics A</w:t>
      </w:r>
      <w:r w:rsidRPr="0089230A">
        <w:rPr>
          <w:rStyle w:val="Hyperlink"/>
          <w:rFonts w:asciiTheme="minorHAnsi" w:hAnsiTheme="minorHAnsi"/>
          <w:i/>
          <w:color w:val="auto"/>
          <w:sz w:val="24"/>
          <w:szCs w:val="24"/>
          <w:u w:val="none"/>
        </w:rPr>
        <w:t>pplication form.</w:t>
      </w:r>
      <w:r>
        <w:rPr>
          <w:rStyle w:val="Hyperlink"/>
          <w:rFonts w:asciiTheme="minorHAnsi" w:hAnsiTheme="minorHAnsi"/>
          <w:color w:val="auto"/>
          <w:sz w:val="24"/>
          <w:szCs w:val="24"/>
          <w:u w:val="none"/>
        </w:rPr>
        <w:t xml:space="preserve"> </w:t>
      </w:r>
      <w:r w:rsidRPr="0089230A">
        <w:rPr>
          <w:rStyle w:val="Hyperlink"/>
          <w:rFonts w:asciiTheme="minorHAnsi" w:hAnsiTheme="minorHAnsi"/>
          <w:color w:val="auto"/>
          <w:sz w:val="24"/>
          <w:szCs w:val="24"/>
          <w:u w:val="none"/>
        </w:rPr>
        <w:t xml:space="preserve"> </w:t>
      </w:r>
      <w:r w:rsidR="00DA4A3B">
        <w:rPr>
          <w:rStyle w:val="Hyperlink"/>
          <w:rFonts w:asciiTheme="minorHAnsi" w:hAnsiTheme="minorHAnsi"/>
          <w:color w:val="auto"/>
          <w:sz w:val="24"/>
          <w:szCs w:val="24"/>
          <w:u w:val="none"/>
        </w:rPr>
        <w:t xml:space="preserve">Sheffield University. </w:t>
      </w:r>
    </w:p>
    <w:p w14:paraId="3EC2A083" w14:textId="77F7E4F3" w:rsidR="00FE11D4" w:rsidRPr="00FE11D4" w:rsidRDefault="00FE11D4" w:rsidP="00D27BF7">
      <w:pPr>
        <w:tabs>
          <w:tab w:val="left" w:pos="1485"/>
        </w:tabs>
        <w:rPr>
          <w:rFonts w:asciiTheme="minorHAnsi" w:hAnsiTheme="minorHAnsi"/>
          <w:sz w:val="24"/>
          <w:szCs w:val="24"/>
        </w:rPr>
      </w:pPr>
      <w:r w:rsidRPr="00FE11D4">
        <w:rPr>
          <w:rStyle w:val="Hyperlink"/>
          <w:rFonts w:asciiTheme="minorHAnsi" w:hAnsiTheme="minorHAnsi"/>
          <w:color w:val="auto"/>
          <w:sz w:val="24"/>
          <w:szCs w:val="24"/>
          <w:u w:val="none"/>
        </w:rPr>
        <w:t xml:space="preserve">University of Sheffield. (2011). School of Education Ethical Review Policy. </w:t>
      </w:r>
      <w:r w:rsidR="0089230A">
        <w:rPr>
          <w:rStyle w:val="Hyperlink"/>
          <w:rFonts w:asciiTheme="minorHAnsi" w:hAnsiTheme="minorHAnsi"/>
          <w:color w:val="auto"/>
          <w:sz w:val="24"/>
          <w:szCs w:val="24"/>
          <w:u w:val="none"/>
        </w:rPr>
        <w:t xml:space="preserve"> </w:t>
      </w:r>
      <w:r w:rsidR="0089230A" w:rsidRPr="008F2830">
        <w:rPr>
          <w:rFonts w:cs="Calibri"/>
          <w:sz w:val="24"/>
          <w:szCs w:val="24"/>
        </w:rPr>
        <w:t>[Online</w:t>
      </w:r>
      <w:r w:rsidR="0089230A">
        <w:rPr>
          <w:rFonts w:cs="Calibri"/>
          <w:sz w:val="24"/>
          <w:szCs w:val="24"/>
        </w:rPr>
        <w:t>]</w:t>
      </w:r>
      <w:r w:rsidR="0089230A" w:rsidRPr="00E85ABD">
        <w:rPr>
          <w:rFonts w:cs="Calibri"/>
          <w:sz w:val="24"/>
          <w:szCs w:val="24"/>
        </w:rPr>
        <w:t xml:space="preserve"> </w:t>
      </w:r>
      <w:r w:rsidR="0089230A">
        <w:rPr>
          <w:rFonts w:cs="Calibri"/>
          <w:sz w:val="24"/>
          <w:szCs w:val="24"/>
        </w:rPr>
        <w:t xml:space="preserve">Available from: </w:t>
      </w:r>
      <w:hyperlink r:id="rId50" w:history="1">
        <w:r w:rsidR="0089230A" w:rsidRPr="00EF7AEC">
          <w:rPr>
            <w:rStyle w:val="Hyperlink"/>
            <w:rFonts w:asciiTheme="minorHAnsi" w:hAnsiTheme="minorHAnsi"/>
            <w:sz w:val="24"/>
            <w:szCs w:val="24"/>
          </w:rPr>
          <w:t>http://www.sheffield.ac.uk/education/research/ethics</w:t>
        </w:r>
      </w:hyperlink>
      <w:r w:rsidR="0089230A">
        <w:rPr>
          <w:rStyle w:val="Hyperlink"/>
          <w:rFonts w:asciiTheme="minorHAnsi" w:hAnsiTheme="minorHAnsi"/>
          <w:color w:val="auto"/>
          <w:sz w:val="24"/>
          <w:szCs w:val="24"/>
          <w:u w:val="none"/>
        </w:rPr>
        <w:t xml:space="preserve"> [Accessed 10.10.11</w:t>
      </w:r>
      <w:r w:rsidR="0089230A" w:rsidRPr="006A1CF9">
        <w:rPr>
          <w:rStyle w:val="Hyperlink"/>
          <w:rFonts w:asciiTheme="minorHAnsi" w:hAnsiTheme="minorHAnsi"/>
          <w:color w:val="auto"/>
          <w:sz w:val="24"/>
          <w:szCs w:val="24"/>
          <w:u w:val="none"/>
        </w:rPr>
        <w:t>].</w:t>
      </w:r>
    </w:p>
    <w:p w14:paraId="3E4BD0FB" w14:textId="77777777" w:rsidR="00D27BF7" w:rsidRDefault="00D27BF7" w:rsidP="00D27BF7">
      <w:pPr>
        <w:spacing w:after="0"/>
        <w:rPr>
          <w:bCs/>
          <w:sz w:val="24"/>
          <w:szCs w:val="24"/>
        </w:rPr>
      </w:pPr>
      <w:r w:rsidRPr="00BE6B7D">
        <w:rPr>
          <w:bCs/>
          <w:sz w:val="24"/>
          <w:szCs w:val="24"/>
        </w:rPr>
        <w:t xml:space="preserve">Verma, G. K. and Mallick, K. (1999) </w:t>
      </w:r>
      <w:r w:rsidRPr="00BE6B7D">
        <w:rPr>
          <w:bCs/>
          <w:i/>
          <w:sz w:val="24"/>
          <w:szCs w:val="24"/>
        </w:rPr>
        <w:t>Researching Education, Perspectives and Techniques</w:t>
      </w:r>
      <w:r w:rsidRPr="00BE6B7D">
        <w:rPr>
          <w:bCs/>
          <w:sz w:val="24"/>
          <w:szCs w:val="24"/>
        </w:rPr>
        <w:t>. London: Falmer Press.</w:t>
      </w:r>
    </w:p>
    <w:p w14:paraId="7D9CF749" w14:textId="77777777" w:rsidR="00D27BF7" w:rsidRPr="00BE6B7D" w:rsidRDefault="00D27BF7" w:rsidP="00D27BF7">
      <w:pPr>
        <w:spacing w:after="0"/>
        <w:rPr>
          <w:bCs/>
          <w:sz w:val="24"/>
          <w:szCs w:val="24"/>
        </w:rPr>
      </w:pPr>
    </w:p>
    <w:p w14:paraId="09C79E03" w14:textId="77777777" w:rsidR="00D27BF7" w:rsidRPr="00E85ABD" w:rsidRDefault="00D27BF7" w:rsidP="00D27BF7">
      <w:pPr>
        <w:tabs>
          <w:tab w:val="left" w:pos="1485"/>
        </w:tabs>
        <w:rPr>
          <w:rFonts w:cs="Calibri"/>
          <w:sz w:val="24"/>
          <w:szCs w:val="24"/>
        </w:rPr>
      </w:pPr>
      <w:r w:rsidRPr="00E85ABD">
        <w:rPr>
          <w:rFonts w:cs="Calibri"/>
          <w:sz w:val="24"/>
          <w:szCs w:val="24"/>
        </w:rPr>
        <w:t xml:space="preserve">Walton, G. (2010). The problem trap: implications of Policy Archaeology Methodology for anti bullying policies, </w:t>
      </w:r>
      <w:r w:rsidRPr="00E85ABD">
        <w:rPr>
          <w:rFonts w:cs="Calibri"/>
          <w:i/>
          <w:sz w:val="24"/>
          <w:szCs w:val="24"/>
        </w:rPr>
        <w:t>Journal of Education Policy</w:t>
      </w:r>
      <w:r w:rsidRPr="00E85ABD">
        <w:rPr>
          <w:rFonts w:cs="Calibri"/>
          <w:sz w:val="24"/>
          <w:szCs w:val="24"/>
        </w:rPr>
        <w:t>. 25,2, 135-150.</w:t>
      </w:r>
    </w:p>
    <w:p w14:paraId="4A05A18C" w14:textId="77777777" w:rsidR="00D27BF7" w:rsidRDefault="00D27BF7" w:rsidP="00D27BF7">
      <w:pPr>
        <w:spacing w:line="360" w:lineRule="auto"/>
        <w:rPr>
          <w:sz w:val="24"/>
          <w:szCs w:val="24"/>
        </w:rPr>
      </w:pPr>
      <w:r>
        <w:rPr>
          <w:sz w:val="24"/>
          <w:szCs w:val="24"/>
        </w:rPr>
        <w:t xml:space="preserve">Wellington, J. (2000). </w:t>
      </w:r>
      <w:r w:rsidRPr="00367C41">
        <w:rPr>
          <w:i/>
          <w:sz w:val="24"/>
          <w:szCs w:val="24"/>
        </w:rPr>
        <w:t>Educational Research: Contemporary Issues and Practical Approaches.</w:t>
      </w:r>
      <w:r>
        <w:rPr>
          <w:sz w:val="24"/>
          <w:szCs w:val="24"/>
        </w:rPr>
        <w:t xml:space="preserve"> London: Continuum.</w:t>
      </w:r>
    </w:p>
    <w:p w14:paraId="55134423" w14:textId="7AC8FB8D" w:rsidR="00D27BF7" w:rsidRPr="00E244C8" w:rsidRDefault="00D27BF7" w:rsidP="00D27BF7">
      <w:pPr>
        <w:tabs>
          <w:tab w:val="left" w:pos="1485"/>
        </w:tabs>
        <w:spacing w:line="360" w:lineRule="auto"/>
        <w:rPr>
          <w:rFonts w:cs="Calibri"/>
          <w:sz w:val="24"/>
          <w:szCs w:val="24"/>
        </w:rPr>
      </w:pPr>
      <w:r w:rsidRPr="00E85ABD">
        <w:rPr>
          <w:rFonts w:cs="Calibri"/>
          <w:sz w:val="24"/>
          <w:szCs w:val="24"/>
        </w:rPr>
        <w:t>Wellington, J., Bathmak</w:t>
      </w:r>
      <w:r w:rsidR="006A1CF9">
        <w:rPr>
          <w:rFonts w:cs="Calibri"/>
          <w:sz w:val="24"/>
          <w:szCs w:val="24"/>
        </w:rPr>
        <w:t>er, A., Hunt, C., McCulloch,</w:t>
      </w:r>
      <w:r w:rsidR="003B77F3">
        <w:rPr>
          <w:rFonts w:cs="Calibri"/>
          <w:sz w:val="24"/>
          <w:szCs w:val="24"/>
        </w:rPr>
        <w:t xml:space="preserve"> </w:t>
      </w:r>
      <w:r w:rsidR="006A1CF9">
        <w:rPr>
          <w:rFonts w:cs="Calibri"/>
          <w:sz w:val="24"/>
          <w:szCs w:val="24"/>
        </w:rPr>
        <w:t>G. and</w:t>
      </w:r>
      <w:r w:rsidRPr="00E85ABD">
        <w:rPr>
          <w:rFonts w:cs="Calibri"/>
          <w:sz w:val="24"/>
          <w:szCs w:val="24"/>
        </w:rPr>
        <w:t xml:space="preserve"> Sikes, P. (2005). </w:t>
      </w:r>
      <w:r w:rsidRPr="00E85ABD">
        <w:rPr>
          <w:rFonts w:cs="Calibri"/>
          <w:i/>
          <w:sz w:val="24"/>
          <w:szCs w:val="24"/>
        </w:rPr>
        <w:t>Succeeding with your Doctorate</w:t>
      </w:r>
      <w:r w:rsidRPr="00E85ABD">
        <w:rPr>
          <w:rFonts w:cs="Calibri"/>
          <w:sz w:val="24"/>
          <w:szCs w:val="24"/>
        </w:rPr>
        <w:t xml:space="preserve">. London: Sage. </w:t>
      </w:r>
    </w:p>
    <w:p w14:paraId="5F29C91B" w14:textId="22E0002F" w:rsidR="00D27BF7" w:rsidRDefault="00D27BF7" w:rsidP="00D27BF7">
      <w:pPr>
        <w:tabs>
          <w:tab w:val="left" w:pos="1485"/>
        </w:tabs>
        <w:spacing w:line="360" w:lineRule="auto"/>
        <w:rPr>
          <w:rFonts w:cs="Calibri"/>
          <w:sz w:val="24"/>
          <w:szCs w:val="24"/>
        </w:rPr>
      </w:pPr>
      <w:r w:rsidRPr="00E448F3">
        <w:rPr>
          <w:rFonts w:cs="Calibri"/>
          <w:sz w:val="24"/>
          <w:szCs w:val="24"/>
        </w:rPr>
        <w:t xml:space="preserve">Wheelahan, L. </w:t>
      </w:r>
      <w:r>
        <w:rPr>
          <w:rFonts w:cs="Calibri"/>
          <w:sz w:val="24"/>
          <w:szCs w:val="24"/>
        </w:rPr>
        <w:t xml:space="preserve">(2007). How competency- based training locks the working class out of powerful knowledge: a modified Bernsteinan analysis. </w:t>
      </w:r>
      <w:r w:rsidRPr="00E448F3">
        <w:rPr>
          <w:rFonts w:cs="Calibri"/>
          <w:i/>
          <w:sz w:val="24"/>
          <w:szCs w:val="24"/>
        </w:rPr>
        <w:t>British Jo</w:t>
      </w:r>
      <w:r w:rsidR="00DF14CD">
        <w:rPr>
          <w:rFonts w:cs="Calibri"/>
          <w:i/>
          <w:sz w:val="24"/>
          <w:szCs w:val="24"/>
        </w:rPr>
        <w:t>urnal of Sociology of Education</w:t>
      </w:r>
      <w:r w:rsidR="006A1CF9">
        <w:rPr>
          <w:rFonts w:cs="Calibri"/>
          <w:sz w:val="24"/>
          <w:szCs w:val="24"/>
        </w:rPr>
        <w:t xml:space="preserve">. 28 (5), </w:t>
      </w:r>
      <w:r>
        <w:rPr>
          <w:rFonts w:cs="Calibri"/>
          <w:sz w:val="24"/>
          <w:szCs w:val="24"/>
        </w:rPr>
        <w:t>637-651</w:t>
      </w:r>
      <w:r w:rsidR="006A1CF9">
        <w:rPr>
          <w:rFonts w:cs="Calibri"/>
          <w:sz w:val="24"/>
          <w:szCs w:val="24"/>
        </w:rPr>
        <w:t>.</w:t>
      </w:r>
    </w:p>
    <w:p w14:paraId="6114FB34" w14:textId="28E78361" w:rsidR="00D27BF7" w:rsidRDefault="00D27BF7" w:rsidP="00D27BF7">
      <w:pPr>
        <w:tabs>
          <w:tab w:val="left" w:pos="1485"/>
        </w:tabs>
        <w:spacing w:line="360" w:lineRule="auto"/>
        <w:rPr>
          <w:rFonts w:cs="Calibri"/>
          <w:sz w:val="24"/>
          <w:szCs w:val="24"/>
        </w:rPr>
      </w:pPr>
      <w:r>
        <w:rPr>
          <w:rFonts w:cs="Calibri"/>
          <w:sz w:val="24"/>
          <w:szCs w:val="24"/>
        </w:rPr>
        <w:t xml:space="preserve">Wildavsky, B. (2010). </w:t>
      </w:r>
      <w:r w:rsidRPr="005A398B">
        <w:rPr>
          <w:rFonts w:cs="Calibri"/>
          <w:i/>
          <w:sz w:val="24"/>
          <w:szCs w:val="24"/>
        </w:rPr>
        <w:t>The Great Brain Race: How Global Universities are Reshaping the World</w:t>
      </w:r>
      <w:r w:rsidR="00D034E0">
        <w:rPr>
          <w:rFonts w:cs="Calibri"/>
          <w:sz w:val="24"/>
          <w:szCs w:val="24"/>
        </w:rPr>
        <w:t>. Oxford</w:t>
      </w:r>
      <w:r>
        <w:rPr>
          <w:rFonts w:cs="Calibri"/>
          <w:sz w:val="24"/>
          <w:szCs w:val="24"/>
        </w:rPr>
        <w:t>: Princeton University Press.</w:t>
      </w:r>
    </w:p>
    <w:p w14:paraId="7CF5F764" w14:textId="1EFF2DE8" w:rsidR="00D27BF7" w:rsidRDefault="00D27BF7" w:rsidP="00D27BF7">
      <w:pPr>
        <w:tabs>
          <w:tab w:val="left" w:pos="1485"/>
        </w:tabs>
        <w:spacing w:line="360" w:lineRule="auto"/>
        <w:rPr>
          <w:rStyle w:val="apple-converted-space"/>
          <w:rFonts w:asciiTheme="minorHAnsi" w:hAnsiTheme="minorHAnsi" w:cs="Arial"/>
          <w:color w:val="222222"/>
          <w:sz w:val="24"/>
          <w:szCs w:val="24"/>
          <w:shd w:val="clear" w:color="auto" w:fill="FFFFFF"/>
        </w:rPr>
      </w:pPr>
      <w:r w:rsidRPr="00D13B42">
        <w:rPr>
          <w:rFonts w:asciiTheme="minorHAnsi" w:hAnsiTheme="minorHAnsi" w:cs="Arial"/>
          <w:color w:val="222222"/>
          <w:sz w:val="24"/>
          <w:szCs w:val="24"/>
          <w:shd w:val="clear" w:color="auto" w:fill="FFFFFF"/>
        </w:rPr>
        <w:t xml:space="preserve">Williams, J. </w:t>
      </w:r>
      <w:r>
        <w:rPr>
          <w:rFonts w:asciiTheme="minorHAnsi" w:hAnsiTheme="minorHAnsi" w:cs="Arial"/>
          <w:color w:val="222222"/>
          <w:sz w:val="24"/>
          <w:szCs w:val="24"/>
          <w:shd w:val="clear" w:color="auto" w:fill="FFFFFF"/>
        </w:rPr>
        <w:t>(</w:t>
      </w:r>
      <w:r w:rsidRPr="00D13B42">
        <w:rPr>
          <w:rFonts w:asciiTheme="minorHAnsi" w:hAnsiTheme="minorHAnsi" w:cs="Arial"/>
          <w:color w:val="222222"/>
          <w:sz w:val="24"/>
          <w:szCs w:val="24"/>
          <w:shd w:val="clear" w:color="auto" w:fill="FFFFFF"/>
        </w:rPr>
        <w:t>2005</w:t>
      </w:r>
      <w:r>
        <w:rPr>
          <w:rFonts w:asciiTheme="minorHAnsi" w:hAnsiTheme="minorHAnsi" w:cs="Arial"/>
          <w:color w:val="222222"/>
          <w:sz w:val="24"/>
          <w:szCs w:val="24"/>
          <w:shd w:val="clear" w:color="auto" w:fill="FFFFFF"/>
        </w:rPr>
        <w:t>)</w:t>
      </w:r>
      <w:r w:rsidR="006A1CF9">
        <w:rPr>
          <w:rFonts w:asciiTheme="minorHAnsi" w:hAnsiTheme="minorHAnsi" w:cs="Arial"/>
          <w:color w:val="222222"/>
          <w:sz w:val="24"/>
          <w:szCs w:val="24"/>
          <w:shd w:val="clear" w:color="auto" w:fill="FFFFFF"/>
        </w:rPr>
        <w:t>.</w:t>
      </w:r>
      <w:r w:rsidRPr="00D13B42">
        <w:rPr>
          <w:rFonts w:asciiTheme="minorHAnsi" w:hAnsiTheme="minorHAnsi" w:cs="Arial"/>
          <w:color w:val="222222"/>
          <w:sz w:val="24"/>
          <w:szCs w:val="24"/>
          <w:shd w:val="clear" w:color="auto" w:fill="FFFFFF"/>
        </w:rPr>
        <w:t xml:space="preserve"> </w:t>
      </w:r>
      <w:r>
        <w:rPr>
          <w:rFonts w:asciiTheme="minorHAnsi" w:hAnsiTheme="minorHAnsi" w:cs="Arial"/>
          <w:i/>
          <w:color w:val="222222"/>
          <w:sz w:val="24"/>
          <w:szCs w:val="24"/>
          <w:shd w:val="clear" w:color="auto" w:fill="FFFFFF"/>
        </w:rPr>
        <w:t>Understanding Post</w:t>
      </w:r>
      <w:r w:rsidRPr="00D13B42">
        <w:rPr>
          <w:rFonts w:asciiTheme="minorHAnsi" w:hAnsiTheme="minorHAnsi" w:cs="Arial"/>
          <w:i/>
          <w:color w:val="222222"/>
          <w:sz w:val="24"/>
          <w:szCs w:val="24"/>
          <w:shd w:val="clear" w:color="auto" w:fill="FFFFFF"/>
        </w:rPr>
        <w:t>structuralism</w:t>
      </w:r>
      <w:r>
        <w:rPr>
          <w:rFonts w:asciiTheme="minorHAnsi" w:hAnsiTheme="minorHAnsi" w:cs="Arial"/>
          <w:color w:val="222222"/>
          <w:sz w:val="24"/>
          <w:szCs w:val="24"/>
          <w:shd w:val="clear" w:color="auto" w:fill="FFFFFF"/>
        </w:rPr>
        <w:t>.</w:t>
      </w:r>
      <w:r w:rsidRPr="00D13B42">
        <w:rPr>
          <w:rFonts w:asciiTheme="minorHAnsi" w:hAnsiTheme="minorHAnsi" w:cs="Arial"/>
          <w:color w:val="222222"/>
          <w:sz w:val="24"/>
          <w:szCs w:val="24"/>
          <w:shd w:val="clear" w:color="auto" w:fill="FFFFFF"/>
        </w:rPr>
        <w:t xml:space="preserve"> Bucks</w:t>
      </w:r>
      <w:r>
        <w:rPr>
          <w:rFonts w:asciiTheme="minorHAnsi" w:hAnsiTheme="minorHAnsi" w:cs="Arial"/>
          <w:color w:val="222222"/>
          <w:sz w:val="24"/>
          <w:szCs w:val="24"/>
          <w:shd w:val="clear" w:color="auto" w:fill="FFFFFF"/>
        </w:rPr>
        <w:t>:</w:t>
      </w:r>
      <w:r w:rsidRPr="00D13B42">
        <w:rPr>
          <w:rFonts w:asciiTheme="minorHAnsi" w:hAnsiTheme="minorHAnsi" w:cs="Arial"/>
          <w:color w:val="222222"/>
          <w:sz w:val="24"/>
          <w:szCs w:val="24"/>
          <w:shd w:val="clear" w:color="auto" w:fill="FFFFFF"/>
        </w:rPr>
        <w:t xml:space="preserve"> Acumen</w:t>
      </w:r>
      <w:r>
        <w:rPr>
          <w:rFonts w:asciiTheme="minorHAnsi" w:hAnsiTheme="minorHAnsi" w:cs="Arial"/>
          <w:color w:val="222222"/>
          <w:sz w:val="24"/>
          <w:szCs w:val="24"/>
          <w:shd w:val="clear" w:color="auto" w:fill="FFFFFF"/>
        </w:rPr>
        <w:t>.</w:t>
      </w:r>
      <w:r w:rsidRPr="00D13B42">
        <w:rPr>
          <w:rStyle w:val="apple-converted-space"/>
          <w:rFonts w:asciiTheme="minorHAnsi" w:hAnsiTheme="minorHAnsi" w:cs="Arial"/>
          <w:color w:val="222222"/>
          <w:sz w:val="24"/>
          <w:szCs w:val="24"/>
          <w:shd w:val="clear" w:color="auto" w:fill="FFFFFF"/>
        </w:rPr>
        <w:t> </w:t>
      </w:r>
    </w:p>
    <w:p w14:paraId="0320C10D" w14:textId="77777777" w:rsidR="00D27BF7" w:rsidRPr="007330F2" w:rsidRDefault="00D27BF7" w:rsidP="00D27BF7">
      <w:pPr>
        <w:spacing w:line="360" w:lineRule="auto"/>
        <w:rPr>
          <w:rFonts w:cs="Tahoma"/>
          <w:sz w:val="24"/>
          <w:szCs w:val="24"/>
        </w:rPr>
      </w:pPr>
      <w:r w:rsidRPr="00703CBE">
        <w:rPr>
          <w:rFonts w:cs="Tahoma"/>
          <w:sz w:val="24"/>
          <w:szCs w:val="24"/>
        </w:rPr>
        <w:t xml:space="preserve">Willis, P. (1977). </w:t>
      </w:r>
      <w:r w:rsidRPr="00703CBE">
        <w:rPr>
          <w:rFonts w:cs="Tahoma"/>
          <w:i/>
          <w:sz w:val="24"/>
          <w:szCs w:val="24"/>
        </w:rPr>
        <w:t>Learning to Labour: How working class kids get working class jobs.</w:t>
      </w:r>
      <w:r w:rsidRPr="00703CBE">
        <w:rPr>
          <w:rFonts w:cs="Tahoma"/>
          <w:sz w:val="24"/>
          <w:szCs w:val="24"/>
        </w:rPr>
        <w:t xml:space="preserve"> Farnborough: Saxon House</w:t>
      </w:r>
      <w:r>
        <w:rPr>
          <w:rFonts w:cs="Tahoma"/>
          <w:sz w:val="24"/>
          <w:szCs w:val="24"/>
        </w:rPr>
        <w:t>.</w:t>
      </w:r>
    </w:p>
    <w:p w14:paraId="1A9ABDCE" w14:textId="25F10464" w:rsidR="00D27BF7" w:rsidRDefault="00D27BF7" w:rsidP="00D27BF7">
      <w:pPr>
        <w:tabs>
          <w:tab w:val="left" w:pos="1485"/>
        </w:tabs>
        <w:spacing w:line="360" w:lineRule="auto"/>
        <w:rPr>
          <w:rFonts w:cs="Calibri"/>
          <w:i/>
          <w:sz w:val="24"/>
          <w:szCs w:val="24"/>
        </w:rPr>
      </w:pPr>
      <w:r w:rsidRPr="00E85ABD">
        <w:rPr>
          <w:rFonts w:cs="Calibri"/>
          <w:sz w:val="24"/>
          <w:szCs w:val="24"/>
        </w:rPr>
        <w:t>Winter, C. (2011). School Curriculum, globalisation and the constitution of policy problems and solutions,</w:t>
      </w:r>
      <w:r w:rsidRPr="00E85ABD">
        <w:rPr>
          <w:rFonts w:cs="Calibri"/>
          <w:i/>
          <w:sz w:val="24"/>
          <w:szCs w:val="24"/>
        </w:rPr>
        <w:t xml:space="preserve"> Journal of Education Policy</w:t>
      </w:r>
      <w:r w:rsidR="006A1CF9" w:rsidRPr="006A1CF9">
        <w:rPr>
          <w:rFonts w:cs="Calibri"/>
          <w:sz w:val="24"/>
          <w:szCs w:val="24"/>
        </w:rPr>
        <w:t xml:space="preserve">. 27 (3), </w:t>
      </w:r>
      <w:r w:rsidRPr="006A1CF9">
        <w:rPr>
          <w:rFonts w:cs="Calibri"/>
          <w:sz w:val="24"/>
          <w:szCs w:val="24"/>
        </w:rPr>
        <w:t>1-20</w:t>
      </w:r>
      <w:r w:rsidR="006A1CF9" w:rsidRPr="006A1CF9">
        <w:rPr>
          <w:rFonts w:cs="Calibri"/>
          <w:sz w:val="24"/>
          <w:szCs w:val="24"/>
        </w:rPr>
        <w:t>.</w:t>
      </w:r>
    </w:p>
    <w:p w14:paraId="3D705683" w14:textId="49B32AA0" w:rsidR="00D27BF7" w:rsidRPr="00E85ABD" w:rsidRDefault="00D27BF7" w:rsidP="00D27BF7">
      <w:pPr>
        <w:tabs>
          <w:tab w:val="left" w:pos="1485"/>
        </w:tabs>
        <w:spacing w:line="360" w:lineRule="auto"/>
        <w:rPr>
          <w:rFonts w:cs="Calibri"/>
          <w:sz w:val="24"/>
          <w:szCs w:val="24"/>
        </w:rPr>
      </w:pPr>
      <w:r w:rsidRPr="00EB13F6">
        <w:rPr>
          <w:rFonts w:cs="Calibri"/>
          <w:sz w:val="24"/>
          <w:szCs w:val="24"/>
        </w:rPr>
        <w:t>Winter, C. (2014).</w:t>
      </w:r>
      <w:r>
        <w:rPr>
          <w:rFonts w:cs="Calibri"/>
          <w:i/>
          <w:sz w:val="24"/>
          <w:szCs w:val="24"/>
        </w:rPr>
        <w:t xml:space="preserve">  </w:t>
      </w:r>
      <w:r w:rsidRPr="00610FF5">
        <w:rPr>
          <w:rFonts w:cs="Calibri"/>
          <w:sz w:val="24"/>
          <w:szCs w:val="24"/>
        </w:rPr>
        <w:t>Curriculum Knowledge, Justice, Relations: The Schools White Paper (2010) in England,</w:t>
      </w:r>
      <w:r>
        <w:rPr>
          <w:rFonts w:cs="Calibri"/>
          <w:i/>
          <w:sz w:val="24"/>
          <w:szCs w:val="24"/>
        </w:rPr>
        <w:t xml:space="preserve"> Jou</w:t>
      </w:r>
      <w:r w:rsidR="00DF14CD">
        <w:rPr>
          <w:rFonts w:cs="Calibri"/>
          <w:i/>
          <w:sz w:val="24"/>
          <w:szCs w:val="24"/>
        </w:rPr>
        <w:t>rnal of Philosophy of Education</w:t>
      </w:r>
      <w:r w:rsidRPr="00610FF5">
        <w:rPr>
          <w:rFonts w:cs="Calibri"/>
          <w:sz w:val="24"/>
          <w:szCs w:val="24"/>
        </w:rPr>
        <w:t>.</w:t>
      </w:r>
      <w:r w:rsidR="006A1CF9">
        <w:rPr>
          <w:rFonts w:cs="Calibri"/>
          <w:sz w:val="24"/>
          <w:szCs w:val="24"/>
        </w:rPr>
        <w:t xml:space="preserve"> 48 (2), </w:t>
      </w:r>
      <w:r w:rsidRPr="00610FF5">
        <w:rPr>
          <w:rFonts w:cs="Calibri"/>
          <w:sz w:val="24"/>
          <w:szCs w:val="24"/>
        </w:rPr>
        <w:t>276-292</w:t>
      </w:r>
    </w:p>
    <w:p w14:paraId="19B3C5CB" w14:textId="5A004993" w:rsidR="00D27BF7" w:rsidRPr="00E244C8" w:rsidRDefault="00D27BF7" w:rsidP="00D27BF7">
      <w:pPr>
        <w:spacing w:line="360" w:lineRule="auto"/>
        <w:rPr>
          <w:rStyle w:val="Hyperlink"/>
          <w:rFonts w:cs="Tahoma"/>
          <w:sz w:val="24"/>
          <w:szCs w:val="24"/>
        </w:rPr>
      </w:pPr>
      <w:r w:rsidRPr="00194BA9">
        <w:rPr>
          <w:rFonts w:cs="Tahoma"/>
          <w:sz w:val="24"/>
          <w:szCs w:val="24"/>
        </w:rPr>
        <w:lastRenderedPageBreak/>
        <w:t xml:space="preserve">Wolf, A. (2011). </w:t>
      </w:r>
      <w:r w:rsidRPr="00194BA9">
        <w:rPr>
          <w:rFonts w:cs="Tahoma"/>
          <w:i/>
          <w:sz w:val="24"/>
          <w:szCs w:val="24"/>
        </w:rPr>
        <w:t>Review of Vocational Education.</w:t>
      </w:r>
      <w:r w:rsidR="006A1CF9">
        <w:rPr>
          <w:rFonts w:cs="Tahoma"/>
          <w:sz w:val="24"/>
          <w:szCs w:val="24"/>
        </w:rPr>
        <w:t xml:space="preserve"> London: DfE. </w:t>
      </w:r>
      <w:r w:rsidR="006A1CF9" w:rsidRPr="008F2830">
        <w:rPr>
          <w:rFonts w:cs="Calibri"/>
          <w:sz w:val="24"/>
          <w:szCs w:val="24"/>
        </w:rPr>
        <w:t>[Online</w:t>
      </w:r>
      <w:r w:rsidR="006A1CF9">
        <w:rPr>
          <w:rFonts w:cs="Calibri"/>
          <w:sz w:val="24"/>
          <w:szCs w:val="24"/>
        </w:rPr>
        <w:t>]</w:t>
      </w:r>
      <w:r w:rsidR="006A1CF9" w:rsidRPr="00E85ABD">
        <w:rPr>
          <w:rFonts w:cs="Calibri"/>
          <w:sz w:val="24"/>
          <w:szCs w:val="24"/>
        </w:rPr>
        <w:t xml:space="preserve"> </w:t>
      </w:r>
      <w:r w:rsidR="006A1CF9">
        <w:rPr>
          <w:rFonts w:cs="Calibri"/>
          <w:sz w:val="24"/>
          <w:szCs w:val="24"/>
        </w:rPr>
        <w:t xml:space="preserve">Available from: </w:t>
      </w:r>
      <w:hyperlink r:id="rId51" w:history="1">
        <w:r w:rsidRPr="00194BA9">
          <w:rPr>
            <w:rStyle w:val="Hyperlink"/>
            <w:sz w:val="24"/>
            <w:szCs w:val="24"/>
          </w:rPr>
          <w:t>http://www.education.gov.uk/publications/standard/publicationDetail/Page1/DFE-00031-2011</w:t>
        </w:r>
      </w:hyperlink>
      <w:r w:rsidR="006A1CF9">
        <w:rPr>
          <w:rStyle w:val="Hyperlink"/>
          <w:sz w:val="24"/>
          <w:szCs w:val="24"/>
        </w:rPr>
        <w:t xml:space="preserve"> </w:t>
      </w:r>
      <w:r w:rsidR="006A1CF9" w:rsidRPr="006A1CF9">
        <w:rPr>
          <w:rStyle w:val="Hyperlink"/>
          <w:color w:val="auto"/>
          <w:sz w:val="24"/>
          <w:szCs w:val="24"/>
          <w:u w:val="none"/>
        </w:rPr>
        <w:t xml:space="preserve">[Accessed 20.4.11]. </w:t>
      </w:r>
    </w:p>
    <w:p w14:paraId="20B7CD4C" w14:textId="5696548C" w:rsidR="00D27BF7" w:rsidRDefault="00C73859" w:rsidP="00D27BF7">
      <w:pPr>
        <w:spacing w:line="360" w:lineRule="auto"/>
        <w:rPr>
          <w:rFonts w:cs="Calibri"/>
          <w:sz w:val="24"/>
          <w:szCs w:val="24"/>
        </w:rPr>
      </w:pPr>
      <w:r>
        <w:rPr>
          <w:rFonts w:cs="Calibri"/>
          <w:sz w:val="24"/>
          <w:szCs w:val="24"/>
        </w:rPr>
        <w:t>Wo</w:t>
      </w:r>
      <w:r w:rsidR="00D27BF7" w:rsidRPr="00BE2E7B">
        <w:rPr>
          <w:rFonts w:cs="Calibri"/>
          <w:sz w:val="24"/>
          <w:szCs w:val="24"/>
        </w:rPr>
        <w:t xml:space="preserve">dak, R., Meyer, M. (2009). </w:t>
      </w:r>
      <w:r w:rsidR="00D27BF7" w:rsidRPr="00BE2E7B">
        <w:rPr>
          <w:rFonts w:cs="Calibri"/>
          <w:i/>
          <w:sz w:val="24"/>
          <w:szCs w:val="24"/>
        </w:rPr>
        <w:t>Methods of Critical Discourse Analysis,</w:t>
      </w:r>
      <w:r w:rsidR="00D27BF7" w:rsidRPr="00BE2E7B">
        <w:rPr>
          <w:rFonts w:cs="Calibri"/>
          <w:sz w:val="24"/>
          <w:szCs w:val="24"/>
        </w:rPr>
        <w:t xml:space="preserve"> London: Sage</w:t>
      </w:r>
    </w:p>
    <w:p w14:paraId="464B9A33" w14:textId="77777777" w:rsidR="00D27BF7" w:rsidRDefault="00D27BF7" w:rsidP="00D27BF7">
      <w:pPr>
        <w:spacing w:line="360" w:lineRule="auto"/>
        <w:rPr>
          <w:rFonts w:cs="Calibri"/>
          <w:sz w:val="24"/>
          <w:szCs w:val="24"/>
        </w:rPr>
      </w:pPr>
      <w:r>
        <w:rPr>
          <w:rFonts w:cs="Calibri"/>
          <w:sz w:val="24"/>
          <w:szCs w:val="24"/>
        </w:rPr>
        <w:t xml:space="preserve">Wooffitt, R. (2005). </w:t>
      </w:r>
      <w:r w:rsidRPr="006C4C32">
        <w:rPr>
          <w:rFonts w:cs="Calibri"/>
          <w:i/>
          <w:sz w:val="24"/>
          <w:szCs w:val="24"/>
        </w:rPr>
        <w:t xml:space="preserve">Conversation analysis and discourse analysis a comparative and critical introduction. </w:t>
      </w:r>
      <w:r>
        <w:rPr>
          <w:rFonts w:cs="Calibri"/>
          <w:sz w:val="24"/>
          <w:szCs w:val="24"/>
        </w:rPr>
        <w:t>London: Sage.</w:t>
      </w:r>
    </w:p>
    <w:p w14:paraId="5D677C34" w14:textId="7AAAF12D" w:rsidR="00D27BF7" w:rsidRDefault="00D27BF7" w:rsidP="00D27BF7">
      <w:pPr>
        <w:tabs>
          <w:tab w:val="left" w:pos="1485"/>
        </w:tabs>
        <w:rPr>
          <w:rFonts w:cs="Calibri"/>
          <w:sz w:val="24"/>
          <w:szCs w:val="24"/>
        </w:rPr>
      </w:pPr>
      <w:r>
        <w:rPr>
          <w:rFonts w:cs="Calibri"/>
          <w:sz w:val="24"/>
          <w:szCs w:val="24"/>
        </w:rPr>
        <w:t>Young, M.F.</w:t>
      </w:r>
      <w:r w:rsidR="006A1CF9">
        <w:rPr>
          <w:rFonts w:cs="Calibri"/>
          <w:sz w:val="24"/>
          <w:szCs w:val="24"/>
        </w:rPr>
        <w:t>D. (1971). (Ed)</w:t>
      </w:r>
      <w:r>
        <w:rPr>
          <w:rFonts w:cs="Calibri"/>
          <w:sz w:val="24"/>
          <w:szCs w:val="24"/>
        </w:rPr>
        <w:t xml:space="preserve"> </w:t>
      </w:r>
      <w:r w:rsidRPr="000536C7">
        <w:rPr>
          <w:rFonts w:cs="Calibri"/>
          <w:i/>
          <w:sz w:val="24"/>
          <w:szCs w:val="24"/>
        </w:rPr>
        <w:t>Knowledge and Control: New Directions for the Sociology of Education.</w:t>
      </w:r>
      <w:r>
        <w:rPr>
          <w:rFonts w:cs="Calibri"/>
          <w:sz w:val="24"/>
          <w:szCs w:val="24"/>
        </w:rPr>
        <w:t xml:space="preserve"> London: Collier-Macmillan.</w:t>
      </w:r>
    </w:p>
    <w:p w14:paraId="6614C363" w14:textId="661CF2B9" w:rsidR="00D27BF7" w:rsidRPr="005F2601" w:rsidRDefault="00D27BF7" w:rsidP="00D27BF7">
      <w:pPr>
        <w:autoSpaceDE w:val="0"/>
        <w:autoSpaceDN w:val="0"/>
        <w:adjustRightInd w:val="0"/>
        <w:spacing w:after="0" w:line="360" w:lineRule="auto"/>
        <w:rPr>
          <w:rFonts w:cs="Calibri"/>
          <w:color w:val="0000FF"/>
          <w:sz w:val="24"/>
          <w:szCs w:val="24"/>
          <w:lang w:eastAsia="en-GB"/>
        </w:rPr>
      </w:pPr>
      <w:r w:rsidRPr="00403E0B">
        <w:rPr>
          <w:rFonts w:cs="Calibri"/>
          <w:color w:val="000000"/>
          <w:sz w:val="24"/>
          <w:szCs w:val="24"/>
          <w:lang w:eastAsia="en-GB"/>
        </w:rPr>
        <w:t xml:space="preserve">Young, M.F.D. (2000). Rescuing the Sociology of Educational Knowledge from the Extremes of Voice Discourse: Towards a new theoretical basis for the sociology of the curriculum, </w:t>
      </w:r>
      <w:r w:rsidRPr="00403E0B">
        <w:rPr>
          <w:rFonts w:cs="Calibri"/>
          <w:i/>
          <w:color w:val="000000"/>
          <w:sz w:val="24"/>
          <w:szCs w:val="24"/>
          <w:lang w:eastAsia="en-GB"/>
        </w:rPr>
        <w:t>British Journal of Sociology of Education</w:t>
      </w:r>
      <w:r w:rsidR="006A1CF9">
        <w:rPr>
          <w:rFonts w:cs="Calibri"/>
          <w:color w:val="000000"/>
          <w:sz w:val="24"/>
          <w:szCs w:val="24"/>
          <w:lang w:eastAsia="en-GB"/>
        </w:rPr>
        <w:t>. 21 (4),</w:t>
      </w:r>
      <w:r w:rsidRPr="00403E0B">
        <w:rPr>
          <w:rFonts w:cs="Calibri"/>
          <w:color w:val="000000"/>
          <w:sz w:val="24"/>
          <w:szCs w:val="24"/>
          <w:lang w:eastAsia="en-GB"/>
        </w:rPr>
        <w:t xml:space="preserve"> 523-536 </w:t>
      </w:r>
      <w:r w:rsidR="006A1CF9" w:rsidRPr="008F2830">
        <w:rPr>
          <w:rFonts w:cs="Calibri"/>
          <w:sz w:val="24"/>
          <w:szCs w:val="24"/>
        </w:rPr>
        <w:t>[Online</w:t>
      </w:r>
      <w:r w:rsidR="006A1CF9">
        <w:rPr>
          <w:rFonts w:cs="Calibri"/>
          <w:sz w:val="24"/>
          <w:szCs w:val="24"/>
        </w:rPr>
        <w:t>]</w:t>
      </w:r>
      <w:r w:rsidR="006A1CF9" w:rsidRPr="00E85ABD">
        <w:rPr>
          <w:rFonts w:cs="Calibri"/>
          <w:sz w:val="24"/>
          <w:szCs w:val="24"/>
        </w:rPr>
        <w:t xml:space="preserve"> </w:t>
      </w:r>
      <w:r w:rsidR="006A1CF9">
        <w:rPr>
          <w:rFonts w:cs="Calibri"/>
          <w:sz w:val="24"/>
          <w:szCs w:val="24"/>
        </w:rPr>
        <w:t xml:space="preserve">Available from: </w:t>
      </w:r>
      <w:hyperlink r:id="rId52" w:history="1">
        <w:r w:rsidRPr="00403E0B">
          <w:rPr>
            <w:rStyle w:val="Hyperlink"/>
            <w:rFonts w:cs="Calibri"/>
            <w:sz w:val="24"/>
            <w:szCs w:val="24"/>
            <w:lang w:eastAsia="en-GB"/>
          </w:rPr>
          <w:t>http://dx.doi.org/10.1080/713655366</w:t>
        </w:r>
      </w:hyperlink>
      <w:r w:rsidR="006A1CF9">
        <w:rPr>
          <w:rStyle w:val="Hyperlink"/>
          <w:rFonts w:cs="Calibri"/>
          <w:sz w:val="24"/>
          <w:szCs w:val="24"/>
          <w:lang w:eastAsia="en-GB"/>
        </w:rPr>
        <w:t xml:space="preserve"> </w:t>
      </w:r>
      <w:r w:rsidR="006A1CF9" w:rsidRPr="006A1CF9">
        <w:rPr>
          <w:rStyle w:val="Hyperlink"/>
          <w:rFonts w:cs="Calibri"/>
          <w:color w:val="auto"/>
          <w:sz w:val="24"/>
          <w:szCs w:val="24"/>
          <w:u w:val="none"/>
          <w:lang w:eastAsia="en-GB"/>
        </w:rPr>
        <w:t>[Accessed 9.4.12].</w:t>
      </w:r>
      <w:r w:rsidR="006A1CF9" w:rsidRPr="006A1CF9">
        <w:rPr>
          <w:rStyle w:val="Hyperlink"/>
          <w:rFonts w:cs="Calibri"/>
          <w:color w:val="auto"/>
          <w:sz w:val="24"/>
          <w:szCs w:val="24"/>
          <w:lang w:eastAsia="en-GB"/>
        </w:rPr>
        <w:t xml:space="preserve"> </w:t>
      </w:r>
    </w:p>
    <w:p w14:paraId="45988767" w14:textId="77777777" w:rsidR="00D27BF7" w:rsidRDefault="00D27BF7" w:rsidP="00D27BF7">
      <w:pPr>
        <w:tabs>
          <w:tab w:val="left" w:pos="1485"/>
        </w:tabs>
        <w:rPr>
          <w:rFonts w:cs="Calibri"/>
          <w:sz w:val="24"/>
          <w:szCs w:val="24"/>
        </w:rPr>
      </w:pPr>
      <w:r>
        <w:rPr>
          <w:rFonts w:cs="Calibri"/>
          <w:sz w:val="24"/>
          <w:szCs w:val="24"/>
        </w:rPr>
        <w:t xml:space="preserve">Young, M.F.D. (2008). </w:t>
      </w:r>
      <w:r w:rsidRPr="005F2601">
        <w:rPr>
          <w:rFonts w:cs="Calibri"/>
          <w:i/>
          <w:sz w:val="24"/>
          <w:szCs w:val="24"/>
        </w:rPr>
        <w:t>Bringing Knowledge Back in: From social constructivism to social realism in the sociology of education.</w:t>
      </w:r>
      <w:r>
        <w:rPr>
          <w:rFonts w:cs="Calibri"/>
          <w:sz w:val="24"/>
          <w:szCs w:val="24"/>
        </w:rPr>
        <w:t xml:space="preserve"> Abingdon: Routledge.</w:t>
      </w:r>
    </w:p>
    <w:p w14:paraId="078F5D7A" w14:textId="34816769" w:rsidR="00D27BF7" w:rsidRDefault="00D27BF7" w:rsidP="00D27BF7">
      <w:pPr>
        <w:spacing w:line="360" w:lineRule="auto"/>
        <w:outlineLvl w:val="0"/>
        <w:rPr>
          <w:sz w:val="24"/>
          <w:szCs w:val="24"/>
        </w:rPr>
      </w:pPr>
      <w:bookmarkStart w:id="194" w:name="_Toc450170281"/>
      <w:bookmarkStart w:id="195" w:name="_Toc451866243"/>
      <w:bookmarkStart w:id="196" w:name="_Toc452316437"/>
      <w:r>
        <w:rPr>
          <w:rFonts w:cs="Calibri"/>
          <w:sz w:val="24"/>
          <w:szCs w:val="24"/>
        </w:rPr>
        <w:t xml:space="preserve">Young, M.F.D. (2009). What are schools for? In </w:t>
      </w:r>
      <w:r>
        <w:rPr>
          <w:sz w:val="24"/>
          <w:szCs w:val="24"/>
        </w:rPr>
        <w:t xml:space="preserve">Daniels, H., Lauder, H., and Porter, J. </w:t>
      </w:r>
      <w:r w:rsidRPr="003A23C5">
        <w:rPr>
          <w:i/>
          <w:sz w:val="24"/>
          <w:szCs w:val="24"/>
        </w:rPr>
        <w:t>Knowledge, Values and Educational Policy: A Critical Perspective.</w:t>
      </w:r>
      <w:r>
        <w:rPr>
          <w:sz w:val="24"/>
          <w:szCs w:val="24"/>
        </w:rPr>
        <w:t xml:space="preserve"> Abingdon: Routledge.</w:t>
      </w:r>
      <w:bookmarkEnd w:id="194"/>
      <w:r w:rsidR="006A1CF9">
        <w:rPr>
          <w:sz w:val="24"/>
          <w:szCs w:val="24"/>
        </w:rPr>
        <w:t xml:space="preserve"> </w:t>
      </w:r>
      <w:r w:rsidR="00DB4A8A">
        <w:rPr>
          <w:sz w:val="24"/>
          <w:szCs w:val="24"/>
        </w:rPr>
        <w:t>p.</w:t>
      </w:r>
      <w:r w:rsidR="006F063B">
        <w:rPr>
          <w:sz w:val="24"/>
          <w:szCs w:val="24"/>
        </w:rPr>
        <w:t xml:space="preserve"> </w:t>
      </w:r>
      <w:r w:rsidR="00DB4A8A">
        <w:rPr>
          <w:sz w:val="24"/>
          <w:szCs w:val="24"/>
        </w:rPr>
        <w:t>10-18.</w:t>
      </w:r>
      <w:bookmarkEnd w:id="195"/>
      <w:bookmarkEnd w:id="196"/>
    </w:p>
    <w:p w14:paraId="2201C9BE" w14:textId="5971CA94" w:rsidR="00D27BF7" w:rsidRDefault="00D27BF7" w:rsidP="00D27BF7">
      <w:pPr>
        <w:tabs>
          <w:tab w:val="left" w:pos="1485"/>
        </w:tabs>
        <w:rPr>
          <w:rFonts w:cs="Calibri"/>
          <w:sz w:val="24"/>
          <w:szCs w:val="24"/>
        </w:rPr>
      </w:pPr>
      <w:r>
        <w:rPr>
          <w:rFonts w:cs="Calibri"/>
          <w:sz w:val="24"/>
          <w:szCs w:val="24"/>
        </w:rPr>
        <w:t xml:space="preserve">Young, M.F.D. (2013). Overcoming the crisis in curriculum theory: a knowledge-based approach. </w:t>
      </w:r>
      <w:r w:rsidRPr="00E16ACE">
        <w:rPr>
          <w:rFonts w:cs="Calibri"/>
          <w:i/>
          <w:sz w:val="24"/>
          <w:szCs w:val="24"/>
        </w:rPr>
        <w:t>Journal o</w:t>
      </w:r>
      <w:r>
        <w:rPr>
          <w:rFonts w:cs="Calibri"/>
          <w:i/>
          <w:sz w:val="24"/>
          <w:szCs w:val="24"/>
        </w:rPr>
        <w:t>f</w:t>
      </w:r>
      <w:r w:rsidR="00DF14CD">
        <w:rPr>
          <w:rFonts w:cs="Calibri"/>
          <w:i/>
          <w:sz w:val="24"/>
          <w:szCs w:val="24"/>
        </w:rPr>
        <w:t xml:space="preserve"> Curriculum Studies</w:t>
      </w:r>
      <w:r w:rsidR="006A1CF9">
        <w:rPr>
          <w:rFonts w:cs="Calibri"/>
          <w:sz w:val="24"/>
          <w:szCs w:val="24"/>
        </w:rPr>
        <w:t xml:space="preserve">. </w:t>
      </w:r>
      <w:r>
        <w:rPr>
          <w:rFonts w:cs="Calibri"/>
          <w:sz w:val="24"/>
          <w:szCs w:val="24"/>
        </w:rPr>
        <w:t>45 (2), 101-118.</w:t>
      </w:r>
    </w:p>
    <w:p w14:paraId="2534EA3D" w14:textId="46AF54C5" w:rsidR="00D05ADC" w:rsidRPr="001F5668" w:rsidRDefault="00D05ADC" w:rsidP="001F5668">
      <w:pPr>
        <w:tabs>
          <w:tab w:val="left" w:pos="8364"/>
        </w:tabs>
      </w:pPr>
    </w:p>
    <w:sectPr w:rsidR="00D05ADC" w:rsidRPr="001F5668" w:rsidSect="00DE318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46E9F9" w14:textId="77777777" w:rsidR="00D40F9F" w:rsidRDefault="00D40F9F" w:rsidP="00B4212C">
      <w:pPr>
        <w:spacing w:after="0" w:line="240" w:lineRule="auto"/>
      </w:pPr>
      <w:r>
        <w:separator/>
      </w:r>
    </w:p>
  </w:endnote>
  <w:endnote w:type="continuationSeparator" w:id="0">
    <w:p w14:paraId="73708898" w14:textId="77777777" w:rsidR="00D40F9F" w:rsidRDefault="00D40F9F" w:rsidP="00B4212C">
      <w:pPr>
        <w:spacing w:after="0" w:line="240" w:lineRule="auto"/>
      </w:pPr>
      <w:r>
        <w:continuationSeparator/>
      </w:r>
    </w:p>
  </w:endnote>
  <w:endnote w:type="continuationNotice" w:id="1">
    <w:p w14:paraId="7377F5DD" w14:textId="77777777" w:rsidR="00D40F9F" w:rsidRDefault="00D40F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rebuchet MS Bold">
    <w:panose1 w:val="020B0703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UOS Blake">
    <w:altName w:val="Calibri"/>
    <w:charset w:val="00"/>
    <w:family w:val="swiss"/>
    <w:pitch w:val="variable"/>
    <w:sig w:usb0="8000002F" w:usb1="4000004A"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24C57" w14:textId="4B2B713A" w:rsidR="001B5863" w:rsidRDefault="001B5863">
    <w:pPr>
      <w:pStyle w:val="Footer"/>
      <w:jc w:val="center"/>
    </w:pPr>
    <w:r>
      <w:fldChar w:fldCharType="begin"/>
    </w:r>
    <w:r>
      <w:instrText xml:space="preserve"> PAGE   \* MERGEFORMAT </w:instrText>
    </w:r>
    <w:r>
      <w:fldChar w:fldCharType="separate"/>
    </w:r>
    <w:r w:rsidR="00800876">
      <w:rPr>
        <w:noProof/>
      </w:rPr>
      <w:t>9</w:t>
    </w:r>
    <w:r>
      <w:rPr>
        <w:noProof/>
      </w:rPr>
      <w:fldChar w:fldCharType="end"/>
    </w:r>
  </w:p>
  <w:p w14:paraId="7F275BC6" w14:textId="77777777" w:rsidR="001B5863" w:rsidRDefault="001B58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B92C85" w14:textId="77777777" w:rsidR="00D40F9F" w:rsidRDefault="00D40F9F" w:rsidP="00B4212C">
      <w:pPr>
        <w:spacing w:after="0" w:line="240" w:lineRule="auto"/>
      </w:pPr>
      <w:r>
        <w:separator/>
      </w:r>
    </w:p>
  </w:footnote>
  <w:footnote w:type="continuationSeparator" w:id="0">
    <w:p w14:paraId="421C19D1" w14:textId="77777777" w:rsidR="00D40F9F" w:rsidRDefault="00D40F9F" w:rsidP="00B4212C">
      <w:pPr>
        <w:spacing w:after="0" w:line="240" w:lineRule="auto"/>
      </w:pPr>
      <w:r>
        <w:continuationSeparator/>
      </w:r>
    </w:p>
  </w:footnote>
  <w:footnote w:type="continuationNotice" w:id="1">
    <w:p w14:paraId="56B1EA26" w14:textId="77777777" w:rsidR="00D40F9F" w:rsidRDefault="00D40F9F">
      <w:pPr>
        <w:spacing w:after="0" w:line="240" w:lineRule="auto"/>
      </w:pPr>
    </w:p>
  </w:footnote>
  <w:footnote w:id="2">
    <w:p w14:paraId="2C1267AC" w14:textId="5D389113" w:rsidR="001B5863" w:rsidRPr="00531995" w:rsidRDefault="001B5863" w:rsidP="00A75A8F">
      <w:pPr>
        <w:pStyle w:val="FootnoteTextA"/>
        <w:rPr>
          <w:rFonts w:ascii="Times New Roman" w:eastAsia="Times New Roman" w:hAnsi="Times New Roman"/>
          <w:color w:val="auto"/>
          <w:sz w:val="16"/>
          <w:szCs w:val="16"/>
          <w:lang w:bidi="x-none"/>
        </w:rPr>
      </w:pPr>
      <w:r w:rsidRPr="00531995">
        <w:rPr>
          <w:rStyle w:val="FootnoteReference1"/>
          <w:sz w:val="16"/>
          <w:szCs w:val="16"/>
        </w:rPr>
        <w:footnoteRef/>
      </w:r>
      <w:r w:rsidRPr="00531995">
        <w:rPr>
          <w:sz w:val="16"/>
          <w:szCs w:val="16"/>
        </w:rPr>
        <w:t xml:space="preserve"> The performance data for all English schools is published annually in the form of performance </w:t>
      </w:r>
      <w:r>
        <w:rPr>
          <w:sz w:val="16"/>
          <w:szCs w:val="16"/>
        </w:rPr>
        <w:t xml:space="preserve">tables </w:t>
      </w:r>
      <w:r w:rsidRPr="00531995">
        <w:rPr>
          <w:sz w:val="16"/>
          <w:szCs w:val="16"/>
        </w:rPr>
        <w:t>which are available for public scrutiny and consumption.</w:t>
      </w:r>
    </w:p>
  </w:footnote>
  <w:footnote w:id="3">
    <w:p w14:paraId="592006E7" w14:textId="6CB191A3" w:rsidR="001B5863" w:rsidRDefault="001B5863" w:rsidP="00A75A8F">
      <w:pPr>
        <w:pStyle w:val="FootnoteText"/>
      </w:pPr>
      <w:r w:rsidRPr="00531995">
        <w:rPr>
          <w:rStyle w:val="FootnoteReference"/>
          <w:sz w:val="16"/>
          <w:szCs w:val="16"/>
        </w:rPr>
        <w:footnoteRef/>
      </w:r>
      <w:r w:rsidRPr="00531995">
        <w:rPr>
          <w:sz w:val="16"/>
          <w:szCs w:val="16"/>
        </w:rPr>
        <w:t xml:space="preserve"> External examinations taken usually aged 16 in schools in England and Wales.</w:t>
      </w:r>
    </w:p>
  </w:footnote>
  <w:footnote w:id="4">
    <w:p w14:paraId="3CB5A874" w14:textId="0570C3C5" w:rsidR="001B5863" w:rsidRPr="00531995" w:rsidRDefault="001B5863" w:rsidP="00A75A8F">
      <w:pPr>
        <w:pStyle w:val="FootnoteText"/>
        <w:rPr>
          <w:sz w:val="16"/>
          <w:szCs w:val="16"/>
        </w:rPr>
      </w:pPr>
      <w:r w:rsidRPr="00531995">
        <w:rPr>
          <w:rStyle w:val="FootnoteReference"/>
          <w:sz w:val="16"/>
          <w:szCs w:val="16"/>
        </w:rPr>
        <w:footnoteRef/>
      </w:r>
      <w:r w:rsidRPr="00531995">
        <w:rPr>
          <w:sz w:val="16"/>
          <w:szCs w:val="16"/>
        </w:rPr>
        <w:t xml:space="preserve"> </w:t>
      </w:r>
      <w:r>
        <w:rPr>
          <w:sz w:val="16"/>
          <w:szCs w:val="16"/>
        </w:rPr>
        <w:t xml:space="preserve">Also referred to as failing school - </w:t>
      </w:r>
      <w:r>
        <w:rPr>
          <w:rFonts w:cs="Calibri"/>
          <w:sz w:val="16"/>
          <w:szCs w:val="16"/>
        </w:rPr>
        <w:t>s</w:t>
      </w:r>
      <w:r w:rsidRPr="00531995">
        <w:rPr>
          <w:rFonts w:cs="Calibri"/>
          <w:sz w:val="16"/>
          <w:szCs w:val="16"/>
        </w:rPr>
        <w:t>chools which had an average GCSE achievement below the national minimum stated by the Government as acceptable, as measured by the percentage of students achieving 5 GCSE subjects at A*-C</w:t>
      </w:r>
    </w:p>
  </w:footnote>
  <w:footnote w:id="5">
    <w:p w14:paraId="5F41959A" w14:textId="3A5F7EE0" w:rsidR="001B5863" w:rsidRPr="007D3586" w:rsidRDefault="001B5863" w:rsidP="00A75A8F">
      <w:pPr>
        <w:pStyle w:val="FootnoteText"/>
        <w:rPr>
          <w:sz w:val="16"/>
          <w:szCs w:val="16"/>
        </w:rPr>
      </w:pPr>
      <w:r w:rsidRPr="00531995">
        <w:rPr>
          <w:rStyle w:val="FootnoteReference"/>
          <w:sz w:val="16"/>
          <w:szCs w:val="16"/>
        </w:rPr>
        <w:footnoteRef/>
      </w:r>
      <w:r w:rsidRPr="00531995">
        <w:rPr>
          <w:sz w:val="16"/>
          <w:szCs w:val="16"/>
        </w:rPr>
        <w:t xml:space="preserve"> The Local Authority (LA) is the elected public body that is responsible for the running and standards of maintained state schools within its area. Prior to 1988 all state schools were controlled by their LA . Since 1988, various types of schools such as City Technology Colleges (CTCs), Grant Maintained (GM), Academies, and Free Schools have been created, all of which are outside of LA control and are accountable to central government.</w:t>
      </w:r>
    </w:p>
  </w:footnote>
  <w:footnote w:id="6">
    <w:p w14:paraId="7E3EA053" w14:textId="7C932AEB" w:rsidR="001B5863" w:rsidRDefault="001B5863">
      <w:pPr>
        <w:pStyle w:val="FootnoteText"/>
      </w:pPr>
      <w:r>
        <w:rPr>
          <w:rStyle w:val="FootnoteReference"/>
        </w:rPr>
        <w:footnoteRef/>
      </w:r>
      <w:r>
        <w:t xml:space="preserve"> </w:t>
      </w:r>
      <w:r w:rsidRPr="00531995">
        <w:rPr>
          <w:sz w:val="16"/>
          <w:szCs w:val="16"/>
        </w:rPr>
        <w:t>Academies until 2010 were state schools which were deemed to be ‘failing schools’, which were removed from LA control and given to a business, Church or charity sponsor to run, usually under a new leadership team. Academies have a range of freedoms such as the ability to opt out of the national terms and conditions for teacher employment and the ability to opt out of the National Curriculum, but they are still subjected to the same performance measures as state schools. These original academies are referred to as sponsored academies. Since 2010, ‘outstanding’ and now ‘good’ schools (as rated by Ofsted) can opt for conversion to academy status either as part of a group, or more usually as a single school. These academies are referred to as ‘convertor academies’.</w:t>
      </w:r>
    </w:p>
  </w:footnote>
  <w:footnote w:id="7">
    <w:p w14:paraId="1378D043" w14:textId="7EB11BFF" w:rsidR="001B5863" w:rsidRPr="00531995" w:rsidRDefault="001B5863" w:rsidP="00A75A8F">
      <w:pPr>
        <w:pStyle w:val="FootnoteText"/>
        <w:rPr>
          <w:sz w:val="16"/>
          <w:szCs w:val="16"/>
        </w:rPr>
      </w:pPr>
      <w:r>
        <w:rPr>
          <w:rStyle w:val="FootnoteReference"/>
        </w:rPr>
        <w:footnoteRef/>
      </w:r>
      <w:r>
        <w:t xml:space="preserve"> </w:t>
      </w:r>
      <w:r w:rsidRPr="00531995">
        <w:rPr>
          <w:sz w:val="16"/>
          <w:szCs w:val="16"/>
        </w:rPr>
        <w:t>The personalised learning agenda was created by the previous Labour administration. Schools were encouraged to identify and create individual pathways and qualification combinations for students, with the intention of allowing all to achieve according to their individual strengths and future aspirations. A national qualification framework was created so that employers and universities could compare qualifications and routes, supposedly allowing alternative educational pathways to exist and be acknowledged.</w:t>
      </w:r>
    </w:p>
  </w:footnote>
  <w:footnote w:id="8">
    <w:p w14:paraId="1CDA4FB1" w14:textId="54F5C90D" w:rsidR="001B5863" w:rsidRPr="00531995" w:rsidRDefault="001B5863" w:rsidP="00A75A8F">
      <w:pPr>
        <w:pStyle w:val="FootnoteText"/>
        <w:rPr>
          <w:sz w:val="16"/>
          <w:szCs w:val="16"/>
        </w:rPr>
      </w:pPr>
      <w:r w:rsidRPr="00531995">
        <w:rPr>
          <w:rStyle w:val="FootnoteReference"/>
          <w:sz w:val="16"/>
          <w:szCs w:val="16"/>
        </w:rPr>
        <w:footnoteRef/>
      </w:r>
      <w:r w:rsidRPr="00531995">
        <w:rPr>
          <w:sz w:val="16"/>
          <w:szCs w:val="16"/>
        </w:rPr>
        <w:t xml:space="preserve"> All educational qualifications in England and Wales were allocated a number of performance points based on the level of difficulty and the number of hours required to complete the course. These performance points were added together to allow qualifications of different sizes and lengths to be counted and therefore compared within and across schools.</w:t>
      </w:r>
    </w:p>
  </w:footnote>
  <w:footnote w:id="9">
    <w:p w14:paraId="7E2FF95C" w14:textId="77777777" w:rsidR="001B5863" w:rsidRPr="007C077D" w:rsidRDefault="001B5863" w:rsidP="00A75A8F">
      <w:pPr>
        <w:pStyle w:val="FootnoteText"/>
        <w:rPr>
          <w:color w:val="auto"/>
          <w:sz w:val="16"/>
          <w:szCs w:val="16"/>
        </w:rPr>
      </w:pPr>
      <w:r w:rsidRPr="007C077D">
        <w:rPr>
          <w:rStyle w:val="FootnoteReference"/>
          <w:color w:val="auto"/>
          <w:sz w:val="16"/>
          <w:szCs w:val="16"/>
        </w:rPr>
        <w:footnoteRef/>
      </w:r>
      <w:r w:rsidRPr="007C077D">
        <w:rPr>
          <w:color w:val="auto"/>
          <w:sz w:val="16"/>
          <w:szCs w:val="16"/>
        </w:rPr>
        <w:t xml:space="preserve"> Free School Meals – a benefit made available to the poorest 14% of children. This classification is often used as a proxy indicator for those children living in poverty.</w:t>
      </w:r>
    </w:p>
  </w:footnote>
  <w:footnote w:id="10">
    <w:p w14:paraId="6F7BC970" w14:textId="66599C23" w:rsidR="001B5863" w:rsidRPr="007C077D" w:rsidRDefault="001B5863">
      <w:pPr>
        <w:pStyle w:val="FootnoteText"/>
        <w:rPr>
          <w:rFonts w:cs="Lucida Grande"/>
          <w:color w:val="auto"/>
          <w:sz w:val="16"/>
          <w:szCs w:val="16"/>
        </w:rPr>
      </w:pPr>
      <w:r w:rsidRPr="007C077D">
        <w:rPr>
          <w:rStyle w:val="FootnoteReference"/>
          <w:rFonts w:cs="Lucida Grande"/>
          <w:color w:val="auto"/>
          <w:sz w:val="16"/>
          <w:szCs w:val="16"/>
        </w:rPr>
        <w:footnoteRef/>
      </w:r>
      <w:r w:rsidRPr="007C077D">
        <w:rPr>
          <w:rFonts w:cs="Lucida Grande"/>
          <w:color w:val="auto"/>
          <w:sz w:val="16"/>
          <w:szCs w:val="16"/>
        </w:rPr>
        <w:t xml:space="preserve"> </w:t>
      </w:r>
      <w:r w:rsidRPr="007C077D">
        <w:rPr>
          <w:rFonts w:cs="Lucida Grande"/>
          <w:color w:val="auto"/>
          <w:sz w:val="16"/>
          <w:szCs w:val="16"/>
          <w:shd w:val="clear" w:color="auto" w:fill="F9F9F9"/>
        </w:rPr>
        <w:t xml:space="preserve">The Programme for International Student Assessment (PISA) is an international survey which takes place every three years with the aim of evaluating education systems across different countries conducting tests assessing the skills and knowledge of 15-year-old students. </w:t>
      </w:r>
    </w:p>
  </w:footnote>
  <w:footnote w:id="11">
    <w:p w14:paraId="117E4A3E" w14:textId="2D73C25D" w:rsidR="001B5863" w:rsidRPr="007C077D" w:rsidRDefault="001B5863" w:rsidP="00A75A8F">
      <w:pPr>
        <w:pStyle w:val="FootnoteText"/>
        <w:rPr>
          <w:color w:val="auto"/>
        </w:rPr>
      </w:pPr>
      <w:r w:rsidRPr="007C077D">
        <w:rPr>
          <w:rStyle w:val="FootnoteReference"/>
          <w:color w:val="auto"/>
          <w:sz w:val="16"/>
          <w:szCs w:val="16"/>
        </w:rPr>
        <w:footnoteRef/>
      </w:r>
      <w:r w:rsidRPr="007C077D">
        <w:rPr>
          <w:color w:val="auto"/>
          <w:sz w:val="16"/>
          <w:szCs w:val="16"/>
        </w:rPr>
        <w:t xml:space="preserve"> </w:t>
      </w:r>
      <w:r w:rsidRPr="007C077D">
        <w:rPr>
          <w:rFonts w:cs="Calibri"/>
          <w:color w:val="auto"/>
          <w:sz w:val="16"/>
          <w:szCs w:val="16"/>
        </w:rPr>
        <w:t>From 2009 to include English Language and Mathematics GCSE, to make the key performance measure 5 or more A*-C GCSEs including English and Mathematics</w:t>
      </w:r>
    </w:p>
  </w:footnote>
  <w:footnote w:id="12">
    <w:p w14:paraId="34F2DDE7" w14:textId="061B66E2" w:rsidR="001B5863" w:rsidRPr="00531995" w:rsidRDefault="001B5863" w:rsidP="00A75A8F">
      <w:pPr>
        <w:pStyle w:val="FootnoteText"/>
        <w:rPr>
          <w:sz w:val="16"/>
          <w:szCs w:val="16"/>
        </w:rPr>
      </w:pPr>
      <w:r w:rsidRPr="007C077D">
        <w:rPr>
          <w:rStyle w:val="FootnoteReference"/>
          <w:color w:val="auto"/>
        </w:rPr>
        <w:footnoteRef/>
      </w:r>
      <w:r w:rsidRPr="007C077D">
        <w:rPr>
          <w:color w:val="auto"/>
        </w:rPr>
        <w:t xml:space="preserve"> </w:t>
      </w:r>
      <w:r w:rsidRPr="007C077D">
        <w:rPr>
          <w:color w:val="auto"/>
          <w:sz w:val="16"/>
          <w:szCs w:val="16"/>
        </w:rPr>
        <w:t>BTEC (Business and Technology Education Council) is a vocational qualification which can be taken in a range of subjects such as Business, Childcare and Engineering at a variety of</w:t>
      </w:r>
      <w:r w:rsidRPr="007C077D">
        <w:rPr>
          <w:color w:val="auto"/>
        </w:rPr>
        <w:t xml:space="preserve"> </w:t>
      </w:r>
      <w:r w:rsidRPr="007C077D">
        <w:rPr>
          <w:color w:val="auto"/>
          <w:sz w:val="16"/>
          <w:szCs w:val="16"/>
        </w:rPr>
        <w:t>levels and size of qualification. BTEC is equivalent to: Level 1 = GCSE grade D-G, Level 2 = GCSE A*-C, Level 3 = A Level.</w:t>
      </w:r>
    </w:p>
  </w:footnote>
  <w:footnote w:id="13">
    <w:p w14:paraId="6437B54B" w14:textId="1F353B84" w:rsidR="001B5863" w:rsidRPr="00531995" w:rsidRDefault="001B5863" w:rsidP="00A75A8F">
      <w:pPr>
        <w:pStyle w:val="FootnoteText"/>
        <w:rPr>
          <w:sz w:val="16"/>
          <w:szCs w:val="16"/>
        </w:rPr>
      </w:pPr>
      <w:r>
        <w:rPr>
          <w:rStyle w:val="FootnoteReference"/>
        </w:rPr>
        <w:footnoteRef/>
      </w:r>
      <w:r>
        <w:t xml:space="preserve"> </w:t>
      </w:r>
      <w:r w:rsidRPr="00531995">
        <w:rPr>
          <w:sz w:val="16"/>
          <w:szCs w:val="16"/>
        </w:rPr>
        <w:t>From 2015 the stated aim of the DfE is that 90% of all pupils starting secondary education take the EBac combination of subjects at aged 16 (DFE 2015b).</w:t>
      </w:r>
    </w:p>
  </w:footnote>
  <w:footnote w:id="14">
    <w:p w14:paraId="4832D7EF" w14:textId="659CAC77" w:rsidR="001B5863" w:rsidRDefault="001B5863" w:rsidP="00A75A8F">
      <w:pPr>
        <w:pStyle w:val="FootnoteText"/>
      </w:pPr>
      <w:r w:rsidRPr="00531995">
        <w:rPr>
          <w:rStyle w:val="FootnoteReference"/>
          <w:sz w:val="16"/>
          <w:szCs w:val="16"/>
        </w:rPr>
        <w:footnoteRef/>
      </w:r>
      <w:r w:rsidRPr="00531995">
        <w:rPr>
          <w:sz w:val="16"/>
          <w:szCs w:val="16"/>
        </w:rPr>
        <w:t xml:space="preserve"> iGCSE – The International GCSE is an international English language qualification equivalent to GCSEs, often used in international schools a</w:t>
      </w:r>
      <w:r>
        <w:rPr>
          <w:sz w:val="16"/>
          <w:szCs w:val="16"/>
        </w:rPr>
        <w:t>nd independent schools in Britain</w:t>
      </w:r>
      <w:r w:rsidRPr="00531995">
        <w:rPr>
          <w:sz w:val="16"/>
          <w:szCs w:val="16"/>
        </w:rPr>
        <w:t>. They are awarded on the basis of a terminal examination and are therefore regarded as being more academically robust than coursework-based qualifications. iGCSEs are not</w:t>
      </w:r>
      <w:r>
        <w:t xml:space="preserve"> </w:t>
      </w:r>
      <w:r w:rsidRPr="00531995">
        <w:rPr>
          <w:sz w:val="16"/>
          <w:szCs w:val="16"/>
        </w:rPr>
        <w:t>included in the English performance tables and were therefore unavailable to state schools, though some equivalent courses were made available to state schools in 2011.</w:t>
      </w:r>
    </w:p>
  </w:footnote>
  <w:footnote w:id="15">
    <w:p w14:paraId="6192D5EC" w14:textId="782B5035" w:rsidR="001B5863" w:rsidRPr="00531995" w:rsidRDefault="001B5863" w:rsidP="00A75A8F">
      <w:pPr>
        <w:pStyle w:val="FootnoteText"/>
        <w:rPr>
          <w:sz w:val="16"/>
          <w:szCs w:val="16"/>
        </w:rPr>
      </w:pPr>
      <w:r w:rsidRPr="00531995">
        <w:rPr>
          <w:rStyle w:val="FootnoteReference"/>
          <w:sz w:val="16"/>
          <w:szCs w:val="16"/>
        </w:rPr>
        <w:footnoteRef/>
      </w:r>
      <w:r w:rsidRPr="00531995">
        <w:rPr>
          <w:sz w:val="16"/>
          <w:szCs w:val="16"/>
        </w:rPr>
        <w:t xml:space="preserve"> Ofsted is a body that reports directly to Parliament on the inspection and regulation activities it carries out.</w:t>
      </w:r>
      <w:r w:rsidRPr="00531995">
        <w:rPr>
          <w:rFonts w:ascii="Calibri" w:hAnsi="Calibri" w:cs="Calibri"/>
          <w:sz w:val="16"/>
          <w:szCs w:val="16"/>
        </w:rPr>
        <w:t xml:space="preserve"> </w:t>
      </w:r>
      <w:r w:rsidRPr="00531995">
        <w:rPr>
          <w:sz w:val="16"/>
          <w:szCs w:val="16"/>
        </w:rPr>
        <w:t xml:space="preserve">Ofsted grades schools as grade 1 - Outstanding, grade 2 - Good, grade 3 - Requires Improvement (prior to September 2012 this category was Satisfactory, and grade 4 </w:t>
      </w:r>
      <w:r w:rsidR="007C077D">
        <w:rPr>
          <w:sz w:val="16"/>
          <w:szCs w:val="16"/>
        </w:rPr>
        <w:t xml:space="preserve">- </w:t>
      </w:r>
      <w:r w:rsidRPr="00531995">
        <w:rPr>
          <w:sz w:val="16"/>
          <w:szCs w:val="16"/>
        </w:rPr>
        <w:t>Inadequate. An Inadequate rating will then result in either a notice to improve or special measures, in both cases, close monitoring takes place to support and check on progress.</w:t>
      </w:r>
    </w:p>
  </w:footnote>
  <w:footnote w:id="16">
    <w:p w14:paraId="5925A05D" w14:textId="33F1650D" w:rsidR="001B5863" w:rsidRPr="00531995" w:rsidRDefault="001B5863" w:rsidP="00A75A8F">
      <w:pPr>
        <w:pStyle w:val="FootnoteTextA"/>
        <w:rPr>
          <w:sz w:val="16"/>
          <w:szCs w:val="16"/>
        </w:rPr>
      </w:pPr>
      <w:r w:rsidRPr="00531995">
        <w:rPr>
          <w:rStyle w:val="FootnoteReference1"/>
          <w:sz w:val="16"/>
          <w:szCs w:val="16"/>
        </w:rPr>
        <w:footnoteRef/>
      </w:r>
      <w:r w:rsidRPr="00531995">
        <w:rPr>
          <w:sz w:val="16"/>
          <w:szCs w:val="16"/>
        </w:rPr>
        <w:t xml:space="preserve"> Academically selective secondary state school which was part of the English school system 1944-1960, though some state grammar schoo</w:t>
      </w:r>
      <w:r>
        <w:rPr>
          <w:sz w:val="16"/>
          <w:szCs w:val="16"/>
        </w:rPr>
        <w:t>ls still remain in some areas today. S</w:t>
      </w:r>
      <w:r w:rsidRPr="00531995">
        <w:rPr>
          <w:sz w:val="16"/>
          <w:szCs w:val="16"/>
        </w:rPr>
        <w:t>tudents must pass an en</w:t>
      </w:r>
      <w:r>
        <w:rPr>
          <w:sz w:val="16"/>
          <w:szCs w:val="16"/>
        </w:rPr>
        <w:t xml:space="preserve">trance examination aged 10. Remaining grammar </w:t>
      </w:r>
      <w:r w:rsidRPr="00531995">
        <w:rPr>
          <w:sz w:val="16"/>
          <w:szCs w:val="16"/>
        </w:rPr>
        <w:t>schools are oversubscribed and are particularly attractive to educationally ambitious parents who perceive the education to be superior to that offered in a non-selective school.</w:t>
      </w:r>
    </w:p>
    <w:p w14:paraId="3DA15648" w14:textId="77777777" w:rsidR="001B5863" w:rsidRDefault="001B5863" w:rsidP="00A75A8F">
      <w:pPr>
        <w:pStyle w:val="FootnoteTextA"/>
        <w:rPr>
          <w:rFonts w:ascii="Times New Roman" w:eastAsia="Times New Roman" w:hAnsi="Times New Roman"/>
          <w:color w:val="auto"/>
          <w:lang w:bidi="x-none"/>
        </w:rPr>
      </w:pPr>
    </w:p>
  </w:footnote>
  <w:footnote w:id="17">
    <w:p w14:paraId="1745E3EC" w14:textId="1C10FEFA" w:rsidR="001B5863" w:rsidRPr="00531995" w:rsidRDefault="001B5863" w:rsidP="00A75A8F">
      <w:pPr>
        <w:pStyle w:val="FootnoteText"/>
        <w:rPr>
          <w:sz w:val="16"/>
          <w:szCs w:val="16"/>
        </w:rPr>
      </w:pPr>
      <w:r>
        <w:rPr>
          <w:rStyle w:val="FootnoteReference"/>
        </w:rPr>
        <w:footnoteRef/>
      </w:r>
      <w:r>
        <w:t xml:space="preserve"> </w:t>
      </w:r>
      <w:r w:rsidRPr="00531995">
        <w:rPr>
          <w:sz w:val="16"/>
          <w:szCs w:val="16"/>
        </w:rPr>
        <w:t>Social class definitions used within my study are based on the Standard Occupational Classification 2010 (OfNS 2010) with ‘middle class’ corresponding loosely to groups 1 -4   and working class corresponding loosely to groups 5-9.</w:t>
      </w:r>
    </w:p>
  </w:footnote>
  <w:footnote w:id="18">
    <w:p w14:paraId="6F45A38E" w14:textId="201DCDEB" w:rsidR="001B5863" w:rsidRPr="00531995" w:rsidRDefault="001B5863" w:rsidP="00A75A8F">
      <w:pPr>
        <w:pStyle w:val="FootnoteText"/>
        <w:rPr>
          <w:sz w:val="16"/>
          <w:szCs w:val="16"/>
        </w:rPr>
      </w:pPr>
      <w:r>
        <w:rPr>
          <w:rStyle w:val="FootnoteReference"/>
        </w:rPr>
        <w:footnoteRef/>
      </w:r>
      <w:r>
        <w:t xml:space="preserve"> </w:t>
      </w:r>
      <w:r w:rsidRPr="00531995">
        <w:rPr>
          <w:sz w:val="16"/>
          <w:szCs w:val="16"/>
        </w:rPr>
        <w:t>Pupil Premium – additional money paid directly to schools to support the progress of disadvantaged children, those who are Looked After (in LA care) or adopted, or those on Free school meals. A policy introduced in 2010 by the Coalition government.</w:t>
      </w:r>
    </w:p>
  </w:footnote>
  <w:footnote w:id="19">
    <w:p w14:paraId="36F999B3" w14:textId="47F4AECA" w:rsidR="001B5863" w:rsidRPr="00531995" w:rsidRDefault="001B5863">
      <w:pPr>
        <w:pStyle w:val="FootnoteText"/>
        <w:rPr>
          <w:sz w:val="16"/>
          <w:szCs w:val="16"/>
        </w:rPr>
      </w:pPr>
      <w:r w:rsidRPr="00531995">
        <w:rPr>
          <w:rStyle w:val="FootnoteReference"/>
          <w:sz w:val="16"/>
          <w:szCs w:val="16"/>
        </w:rPr>
        <w:footnoteRef/>
      </w:r>
      <w:r w:rsidRPr="00531995">
        <w:rPr>
          <w:sz w:val="16"/>
          <w:szCs w:val="16"/>
        </w:rPr>
        <w:t xml:space="preserve"> </w:t>
      </w:r>
      <w:r w:rsidRPr="00531995">
        <w:rPr>
          <w:rFonts w:cs="Calibri"/>
          <w:sz w:val="16"/>
          <w:szCs w:val="16"/>
        </w:rPr>
        <w:t xml:space="preserve">Special Educational Needs and Disability (SEND) </w:t>
      </w:r>
      <w:r w:rsidRPr="00531995">
        <w:rPr>
          <w:sz w:val="16"/>
          <w:szCs w:val="16"/>
        </w:rPr>
        <w:t>is a category for children with identified learning needs. At the most extreme level of need this could result in a formal Statement of Educational Need (SEN) which outlines the additional support that is required for the student and is supported by additional funding to the school. At the lower level of need, SEND students may be classified as having learning needs relating to emotional, social and behavioural needs or a specific issue such as dyslexia.</w:t>
      </w:r>
    </w:p>
  </w:footnote>
  <w:footnote w:id="20">
    <w:p w14:paraId="5DA08215" w14:textId="4E0F18E2" w:rsidR="001B5863" w:rsidRPr="00531995" w:rsidRDefault="001B5863" w:rsidP="00A75A8F">
      <w:pPr>
        <w:pStyle w:val="FootnoteText"/>
        <w:rPr>
          <w:sz w:val="16"/>
          <w:szCs w:val="16"/>
        </w:rPr>
      </w:pPr>
      <w:r>
        <w:rPr>
          <w:rStyle w:val="FootnoteReference"/>
        </w:rPr>
        <w:footnoteRef/>
      </w:r>
      <w:r>
        <w:t xml:space="preserve"> </w:t>
      </w:r>
      <w:r w:rsidRPr="00531995">
        <w:rPr>
          <w:sz w:val="16"/>
          <w:szCs w:val="16"/>
        </w:rPr>
        <w:t xml:space="preserve">Schools which allow entry through passing an initial test, usually intended to test current academic knowledge and also future academic potential (as measured by an IQ test). Such schools are highly competitive to get into, with many applicants for each place. </w:t>
      </w:r>
    </w:p>
  </w:footnote>
  <w:footnote w:id="21">
    <w:p w14:paraId="71AB5770" w14:textId="0E54F7A7" w:rsidR="001B5863" w:rsidRPr="00531995" w:rsidRDefault="001B5863" w:rsidP="00A75A8F">
      <w:pPr>
        <w:pStyle w:val="FootnoteTextA"/>
        <w:rPr>
          <w:rFonts w:ascii="Times New Roman" w:eastAsia="Times New Roman" w:hAnsi="Times New Roman"/>
          <w:color w:val="auto"/>
          <w:sz w:val="16"/>
          <w:szCs w:val="16"/>
          <w:lang w:bidi="x-none"/>
        </w:rPr>
      </w:pPr>
      <w:r w:rsidRPr="00531995">
        <w:rPr>
          <w:rStyle w:val="FootnoteReference1"/>
          <w:sz w:val="16"/>
          <w:szCs w:val="16"/>
        </w:rPr>
        <w:footnoteRef/>
      </w:r>
      <w:r w:rsidRPr="00531995">
        <w:rPr>
          <w:sz w:val="16"/>
          <w:szCs w:val="16"/>
        </w:rPr>
        <w:t xml:space="preserve"> The expansion of vocational qualifications which were counte</w:t>
      </w:r>
      <w:r>
        <w:rPr>
          <w:sz w:val="16"/>
          <w:szCs w:val="16"/>
        </w:rPr>
        <w:t>d in the performance</w:t>
      </w:r>
      <w:r w:rsidRPr="00531995">
        <w:rPr>
          <w:sz w:val="16"/>
          <w:szCs w:val="16"/>
        </w:rPr>
        <w:t xml:space="preserve"> tables encouraged some schools to radically amend their curriculum in order to maximise student achievement as reported in the school performance tables. Some of these vocational qualifications are now felt to be of low educational value with very few progression opportunities (Wolf 2011).</w:t>
      </w:r>
    </w:p>
  </w:footnote>
  <w:footnote w:id="22">
    <w:p w14:paraId="55464E89" w14:textId="4806B8FF" w:rsidR="001B5863" w:rsidRPr="00531995" w:rsidRDefault="001B5863" w:rsidP="00A75A8F">
      <w:pPr>
        <w:pStyle w:val="FootnoteTextA"/>
        <w:rPr>
          <w:rFonts w:ascii="Times New Roman" w:eastAsia="Times New Roman" w:hAnsi="Times New Roman"/>
          <w:color w:val="auto"/>
          <w:sz w:val="16"/>
          <w:szCs w:val="16"/>
          <w:lang w:bidi="x-none"/>
        </w:rPr>
      </w:pPr>
      <w:r w:rsidRPr="00531995">
        <w:rPr>
          <w:rStyle w:val="FootnoteReference1"/>
          <w:sz w:val="16"/>
          <w:szCs w:val="16"/>
        </w:rPr>
        <w:footnoteRef/>
      </w:r>
      <w:r w:rsidRPr="00531995">
        <w:rPr>
          <w:sz w:val="16"/>
          <w:szCs w:val="16"/>
        </w:rPr>
        <w:t xml:space="preserve"> The White Paper allowed all Ofsted rated ‘Outstanding’ (and later ‘Good’) schools to apply immediately for academy status, therefore removing themselves from LA control to become independent state schools, now referred to as </w:t>
      </w:r>
      <w:r>
        <w:rPr>
          <w:sz w:val="16"/>
          <w:szCs w:val="16"/>
        </w:rPr>
        <w:t>‘</w:t>
      </w:r>
      <w:r w:rsidRPr="00531995">
        <w:rPr>
          <w:sz w:val="16"/>
          <w:szCs w:val="16"/>
        </w:rPr>
        <w:t>convertor academies</w:t>
      </w:r>
      <w:r>
        <w:rPr>
          <w:sz w:val="16"/>
          <w:szCs w:val="16"/>
        </w:rPr>
        <w:t>’</w:t>
      </w:r>
      <w:r w:rsidRPr="00531995">
        <w:rPr>
          <w:sz w:val="16"/>
          <w:szCs w:val="16"/>
        </w:rPr>
        <w:t>.</w:t>
      </w:r>
    </w:p>
  </w:footnote>
  <w:footnote w:id="23">
    <w:p w14:paraId="053FB883" w14:textId="0B9AB7F9" w:rsidR="001B5863" w:rsidRPr="00531995" w:rsidRDefault="001B5863" w:rsidP="00A75A8F">
      <w:pPr>
        <w:pStyle w:val="FootnoteText"/>
        <w:rPr>
          <w:sz w:val="16"/>
          <w:szCs w:val="16"/>
        </w:rPr>
      </w:pPr>
      <w:r w:rsidRPr="00531995">
        <w:rPr>
          <w:rStyle w:val="FootnoteReference"/>
          <w:sz w:val="16"/>
          <w:szCs w:val="16"/>
        </w:rPr>
        <w:footnoteRef/>
      </w:r>
      <w:r w:rsidRPr="00531995">
        <w:rPr>
          <w:sz w:val="16"/>
          <w:szCs w:val="16"/>
        </w:rPr>
        <w:t xml:space="preserve"> Figures on gender uptake of the EBac not provided in the 2015 Statistical First Release</w:t>
      </w:r>
    </w:p>
  </w:footnote>
  <w:footnote w:id="24">
    <w:p w14:paraId="341AD90C" w14:textId="6B8C0D2E" w:rsidR="001B5863" w:rsidRPr="00531995" w:rsidRDefault="001B5863" w:rsidP="00A75A8F">
      <w:pPr>
        <w:pStyle w:val="FootnoteText"/>
        <w:rPr>
          <w:sz w:val="16"/>
          <w:szCs w:val="16"/>
        </w:rPr>
      </w:pPr>
      <w:r w:rsidRPr="00531995">
        <w:rPr>
          <w:rStyle w:val="FootnoteReference"/>
          <w:sz w:val="16"/>
          <w:szCs w:val="16"/>
        </w:rPr>
        <w:footnoteRef/>
      </w:r>
      <w:r w:rsidRPr="00531995">
        <w:rPr>
          <w:sz w:val="16"/>
          <w:szCs w:val="16"/>
        </w:rPr>
        <w:t xml:space="preserve"> Different curriculum and qualification routes through secondary school and post-16 education, such as a GCSE academic pathway or a vocational pathway. Each pathway leads to different education progression routes and therefore potential careers.</w:t>
      </w:r>
    </w:p>
  </w:footnote>
  <w:footnote w:id="25">
    <w:p w14:paraId="05057429" w14:textId="77777777" w:rsidR="001B5863" w:rsidRPr="00531995" w:rsidRDefault="001B5863" w:rsidP="00A75A8F">
      <w:pPr>
        <w:pStyle w:val="FootnoteText"/>
        <w:rPr>
          <w:sz w:val="16"/>
          <w:szCs w:val="16"/>
        </w:rPr>
      </w:pPr>
      <w:r>
        <w:rPr>
          <w:rStyle w:val="FootnoteReference"/>
        </w:rPr>
        <w:footnoteRef/>
      </w:r>
      <w:r>
        <w:t xml:space="preserve"> </w:t>
      </w:r>
      <w:r w:rsidRPr="00531995">
        <w:rPr>
          <w:sz w:val="16"/>
          <w:szCs w:val="16"/>
        </w:rPr>
        <w:t>The National Curriculum was suspended in 2013 – 2014 to allow teachers and schools time to prepare for the changed requirements for September 2014.</w:t>
      </w:r>
    </w:p>
  </w:footnote>
  <w:footnote w:id="26">
    <w:p w14:paraId="2618CBA4" w14:textId="17F5ABD7" w:rsidR="001B5863" w:rsidRPr="00531995" w:rsidRDefault="001B5863">
      <w:pPr>
        <w:pStyle w:val="FootnoteText"/>
        <w:rPr>
          <w:sz w:val="16"/>
          <w:szCs w:val="16"/>
        </w:rPr>
      </w:pPr>
      <w:r w:rsidRPr="00531995">
        <w:rPr>
          <w:rStyle w:val="FootnoteReference"/>
          <w:sz w:val="16"/>
          <w:szCs w:val="16"/>
        </w:rPr>
        <w:footnoteRef/>
      </w:r>
      <w:r w:rsidRPr="00531995">
        <w:rPr>
          <w:sz w:val="16"/>
          <w:szCs w:val="16"/>
        </w:rPr>
        <w:t xml:space="preserve"> Free schools are schools funded directly by the Government and outside of LA control. Free schools can be set up in areas where a need for additional school places is demonstrated, utilising spaces such as office buildings or other such locations not previously considered for use as a school. They can be set up by groups such as charities, universities, teachers and/ or parents.</w:t>
      </w:r>
    </w:p>
  </w:footnote>
  <w:footnote w:id="27">
    <w:p w14:paraId="3F490D32" w14:textId="39D222E0" w:rsidR="001B5863" w:rsidRPr="00531995" w:rsidRDefault="001B5863" w:rsidP="00A75A8F">
      <w:pPr>
        <w:pStyle w:val="FootnoteTextA"/>
        <w:rPr>
          <w:rFonts w:ascii="Times New Roman" w:eastAsia="Times New Roman" w:hAnsi="Times New Roman"/>
          <w:color w:val="auto"/>
          <w:sz w:val="16"/>
          <w:szCs w:val="16"/>
          <w:lang w:bidi="x-none"/>
        </w:rPr>
      </w:pPr>
      <w:r w:rsidRPr="00531995">
        <w:rPr>
          <w:rStyle w:val="FootnoteReference1"/>
          <w:sz w:val="16"/>
          <w:szCs w:val="16"/>
        </w:rPr>
        <w:footnoteRef/>
      </w:r>
      <w:r w:rsidRPr="00531995">
        <w:rPr>
          <w:sz w:val="16"/>
          <w:szCs w:val="16"/>
        </w:rPr>
        <w:t xml:space="preserve"> The universities of Oxford and Cambridge.</w:t>
      </w:r>
    </w:p>
  </w:footnote>
  <w:footnote w:id="28">
    <w:p w14:paraId="708C0889" w14:textId="77777777" w:rsidR="001B5863" w:rsidRPr="00531995" w:rsidRDefault="001B5863" w:rsidP="00A75A8F">
      <w:pPr>
        <w:pStyle w:val="FootnoteText"/>
        <w:rPr>
          <w:sz w:val="16"/>
          <w:szCs w:val="16"/>
        </w:rPr>
      </w:pPr>
      <w:r w:rsidRPr="00531995">
        <w:rPr>
          <w:rStyle w:val="FootnoteReference"/>
          <w:sz w:val="16"/>
          <w:szCs w:val="16"/>
        </w:rPr>
        <w:footnoteRef/>
      </w:r>
      <w:r w:rsidRPr="00531995">
        <w:rPr>
          <w:sz w:val="16"/>
          <w:szCs w:val="16"/>
        </w:rPr>
        <w:t xml:space="preserve"> Key Stage 3 is the stage of education from age 11 to 14 usually the first three years of secondary education.</w:t>
      </w:r>
    </w:p>
  </w:footnote>
  <w:footnote w:id="29">
    <w:p w14:paraId="26C353FA" w14:textId="160720F6" w:rsidR="001B5863" w:rsidRPr="00531995" w:rsidRDefault="001B5863">
      <w:pPr>
        <w:pStyle w:val="FootnoteText"/>
        <w:rPr>
          <w:sz w:val="16"/>
          <w:szCs w:val="16"/>
        </w:rPr>
      </w:pPr>
      <w:r w:rsidRPr="00531995">
        <w:rPr>
          <w:rStyle w:val="FootnoteReference"/>
          <w:sz w:val="16"/>
          <w:szCs w:val="16"/>
        </w:rPr>
        <w:footnoteRef/>
      </w:r>
      <w:r w:rsidRPr="00531995">
        <w:rPr>
          <w:sz w:val="16"/>
          <w:szCs w:val="16"/>
        </w:rPr>
        <w:t xml:space="preserve"> Tests in education which are used to judge student outcome, but are also part of the government surveillance of the effectiveness of teachers (often now linked to pay in English schools) along with international tests such as PISA comparing nations’ performance</w:t>
      </w:r>
    </w:p>
  </w:footnote>
  <w:footnote w:id="30">
    <w:p w14:paraId="473053A6" w14:textId="1042084E" w:rsidR="001B5863" w:rsidRPr="00531995" w:rsidRDefault="001B5863" w:rsidP="00A75A8F">
      <w:pPr>
        <w:pStyle w:val="FootnoteText"/>
        <w:rPr>
          <w:rFonts w:cs="Lucida Grande"/>
          <w:sz w:val="16"/>
          <w:szCs w:val="16"/>
        </w:rPr>
      </w:pPr>
      <w:r w:rsidRPr="00531995">
        <w:rPr>
          <w:rStyle w:val="FootnoteReference"/>
          <w:rFonts w:cs="Lucida Grande"/>
          <w:sz w:val="16"/>
          <w:szCs w:val="16"/>
        </w:rPr>
        <w:footnoteRef/>
      </w:r>
      <w:r w:rsidRPr="00531995">
        <w:rPr>
          <w:rFonts w:cs="Lucida Grande"/>
          <w:sz w:val="16"/>
          <w:szCs w:val="16"/>
        </w:rPr>
        <w:t xml:space="preserve"> </w:t>
      </w:r>
      <w:r>
        <w:rPr>
          <w:rFonts w:cs="Lucida Grande"/>
          <w:sz w:val="16"/>
          <w:szCs w:val="16"/>
        </w:rPr>
        <w:t>T</w:t>
      </w:r>
      <w:r w:rsidRPr="00531995">
        <w:rPr>
          <w:rFonts w:cs="Lucida Grande"/>
          <w:sz w:val="16"/>
          <w:szCs w:val="16"/>
        </w:rPr>
        <w:t xml:space="preserve">he House of Commons and the House of Lords </w:t>
      </w:r>
      <w:r>
        <w:rPr>
          <w:rFonts w:cs="Lucida Grande"/>
          <w:sz w:val="16"/>
          <w:szCs w:val="16"/>
        </w:rPr>
        <w:t>consider and review government policies and actions via Select committees which are made up of members of both houses</w:t>
      </w:r>
      <w:r w:rsidRPr="00531995">
        <w:rPr>
          <w:rFonts w:cs="Lucida Grande"/>
          <w:sz w:val="16"/>
          <w:szCs w:val="16"/>
        </w:rPr>
        <w:t>.</w:t>
      </w:r>
      <w:r w:rsidRPr="00531995">
        <w:rPr>
          <w:rFonts w:cs="Lucida Grande"/>
          <w:sz w:val="16"/>
          <w:szCs w:val="16"/>
          <w:shd w:val="clear" w:color="auto" w:fill="FFFFFF"/>
        </w:rPr>
        <w:t xml:space="preserve">   </w:t>
      </w:r>
    </w:p>
  </w:footnote>
  <w:footnote w:id="31">
    <w:p w14:paraId="2405E617" w14:textId="026D7525" w:rsidR="001B5863" w:rsidRPr="00531995" w:rsidRDefault="001B5863" w:rsidP="00A75A8F">
      <w:pPr>
        <w:pStyle w:val="FootnoteText"/>
        <w:rPr>
          <w:sz w:val="16"/>
          <w:szCs w:val="16"/>
        </w:rPr>
      </w:pPr>
      <w:r w:rsidRPr="00531995">
        <w:rPr>
          <w:rStyle w:val="FootnoteReference"/>
          <w:sz w:val="16"/>
          <w:szCs w:val="16"/>
        </w:rPr>
        <w:footnoteRef/>
      </w:r>
      <w:r w:rsidRPr="00531995">
        <w:rPr>
          <w:sz w:val="16"/>
          <w:szCs w:val="16"/>
        </w:rPr>
        <w:t xml:space="preserve"> CVA was used within performance tables from 2006-2011, when the Coalition government deemed that CVA was misleading and instead moved to a value added measure using raw scores only.</w:t>
      </w:r>
    </w:p>
  </w:footnote>
  <w:footnote w:id="32">
    <w:p w14:paraId="1158D195" w14:textId="5704EB4D" w:rsidR="001B5863" w:rsidRDefault="001B5863" w:rsidP="00A75A8F">
      <w:pPr>
        <w:pStyle w:val="FootnoteText"/>
      </w:pPr>
      <w:r w:rsidRPr="00531995">
        <w:rPr>
          <w:rStyle w:val="FootnoteReference"/>
          <w:sz w:val="16"/>
          <w:szCs w:val="16"/>
        </w:rPr>
        <w:footnoteRef/>
      </w:r>
      <w:r w:rsidRPr="00531995">
        <w:rPr>
          <w:sz w:val="16"/>
          <w:szCs w:val="16"/>
        </w:rPr>
        <w:t xml:space="preserve"> There is a correlation between VA and prior attainment, which the Association of School and College Leaders (ASCL) claim shows that VA is not a true measure of progress, but reflects prior attainment (Blow</w:t>
      </w:r>
      <w:r>
        <w:rPr>
          <w:sz w:val="16"/>
          <w:szCs w:val="16"/>
        </w:rPr>
        <w:t>,</w:t>
      </w:r>
      <w:r w:rsidRPr="00531995">
        <w:rPr>
          <w:sz w:val="16"/>
          <w:szCs w:val="16"/>
        </w:rPr>
        <w:t xml:space="preserve"> 2014).</w:t>
      </w:r>
    </w:p>
  </w:footnote>
  <w:footnote w:id="33">
    <w:p w14:paraId="176CF0B6" w14:textId="4B542B0E" w:rsidR="001B5863" w:rsidRPr="00531995" w:rsidRDefault="001B5863" w:rsidP="00A75A8F">
      <w:pPr>
        <w:pStyle w:val="FootnoteText"/>
        <w:rPr>
          <w:sz w:val="16"/>
          <w:szCs w:val="16"/>
        </w:rPr>
      </w:pPr>
      <w:r w:rsidRPr="00531995">
        <w:rPr>
          <w:rStyle w:val="FootnoteReference"/>
          <w:sz w:val="16"/>
          <w:szCs w:val="16"/>
        </w:rPr>
        <w:footnoteRef/>
      </w:r>
      <w:r w:rsidRPr="00531995">
        <w:rPr>
          <w:sz w:val="16"/>
          <w:szCs w:val="16"/>
        </w:rPr>
        <w:t xml:space="preserve"> All qualifications were allocated a set number of performance points which reflected a comparison and equivalence to the points awarded to a GCSE grade, i.e. GCSE grade C is worth 40 points. In this way all qualifications officially approved for teaching in state schools could be described in terms of equivalence to a GCSE grade and the total number of points gained across a range of qualifications could be included for each individual student and for the school in the performance tables.</w:t>
      </w:r>
    </w:p>
  </w:footnote>
  <w:footnote w:id="34">
    <w:p w14:paraId="495B36B5" w14:textId="3668B390" w:rsidR="001B5863" w:rsidRPr="00531995" w:rsidRDefault="001B5863" w:rsidP="00A75A8F">
      <w:pPr>
        <w:pStyle w:val="FootnoteText"/>
        <w:rPr>
          <w:sz w:val="16"/>
          <w:szCs w:val="16"/>
        </w:rPr>
      </w:pPr>
      <w:r w:rsidRPr="00531995">
        <w:rPr>
          <w:rStyle w:val="FootnoteReference"/>
          <w:sz w:val="16"/>
          <w:szCs w:val="16"/>
        </w:rPr>
        <w:footnoteRef/>
      </w:r>
      <w:r w:rsidRPr="00531995">
        <w:rPr>
          <w:sz w:val="16"/>
          <w:szCs w:val="16"/>
        </w:rPr>
        <w:t xml:space="preserve"> Deputy Head for the school with a particular responsibility for the curriculum, qualification and examinations.</w:t>
      </w:r>
    </w:p>
  </w:footnote>
  <w:footnote w:id="35">
    <w:p w14:paraId="5E2018B5" w14:textId="4DD1794F" w:rsidR="001B5863" w:rsidRPr="00531995" w:rsidRDefault="001B5863">
      <w:pPr>
        <w:pStyle w:val="FootnoteText"/>
        <w:rPr>
          <w:sz w:val="16"/>
          <w:szCs w:val="16"/>
        </w:rPr>
      </w:pPr>
      <w:r w:rsidRPr="00531995">
        <w:rPr>
          <w:rStyle w:val="FootnoteReference"/>
          <w:sz w:val="16"/>
          <w:szCs w:val="16"/>
        </w:rPr>
        <w:footnoteRef/>
      </w:r>
      <w:r w:rsidRPr="00531995">
        <w:rPr>
          <w:sz w:val="16"/>
          <w:szCs w:val="16"/>
        </w:rPr>
        <w:t xml:space="preserve"> While the White Paper is a product of the </w:t>
      </w:r>
      <w:r>
        <w:rPr>
          <w:sz w:val="16"/>
          <w:szCs w:val="16"/>
        </w:rPr>
        <w:t xml:space="preserve">British </w:t>
      </w:r>
      <w:r w:rsidRPr="00531995">
        <w:rPr>
          <w:sz w:val="16"/>
          <w:szCs w:val="16"/>
        </w:rPr>
        <w:t>government, education policy is completely devolved to Scotland and Northern Ireland and partially devolved to Wales; therefore this education policy applies in its entirety only to England.</w:t>
      </w:r>
    </w:p>
  </w:footnote>
  <w:footnote w:id="36">
    <w:p w14:paraId="1E381043" w14:textId="021A71D9" w:rsidR="001B5863" w:rsidRDefault="001B5863">
      <w:pPr>
        <w:pStyle w:val="FootnoteText"/>
      </w:pPr>
      <w:r>
        <w:rPr>
          <w:rStyle w:val="FootnoteReference"/>
        </w:rPr>
        <w:footnoteRef/>
      </w:r>
      <w:r>
        <w:t xml:space="preserve"> </w:t>
      </w:r>
      <w:r w:rsidRPr="00531995">
        <w:rPr>
          <w:sz w:val="16"/>
          <w:szCs w:val="16"/>
        </w:rPr>
        <w:t>Student characteristics taken from the relevant School Ofsted Data Dashboards 2013 (Ofsted, 2013).</w:t>
      </w:r>
    </w:p>
  </w:footnote>
  <w:footnote w:id="37">
    <w:p w14:paraId="0D4E9CED" w14:textId="551DEBBF" w:rsidR="001B5863" w:rsidRPr="00531995" w:rsidRDefault="001B5863">
      <w:pPr>
        <w:pStyle w:val="FootnoteText"/>
        <w:rPr>
          <w:sz w:val="16"/>
          <w:szCs w:val="16"/>
        </w:rPr>
      </w:pPr>
      <w:r w:rsidRPr="00531995">
        <w:rPr>
          <w:rStyle w:val="FootnoteReference"/>
          <w:sz w:val="16"/>
          <w:szCs w:val="16"/>
        </w:rPr>
        <w:footnoteRef/>
      </w:r>
      <w:r w:rsidRPr="00531995">
        <w:rPr>
          <w:sz w:val="16"/>
          <w:szCs w:val="16"/>
        </w:rPr>
        <w:t xml:space="preserve"> English as an Additional Language (EAL) students who do not speak English as a first language.</w:t>
      </w:r>
    </w:p>
  </w:footnote>
  <w:footnote w:id="38">
    <w:p w14:paraId="37EB8F17" w14:textId="6F196E87" w:rsidR="001B5863" w:rsidRPr="00531995" w:rsidRDefault="001B5863">
      <w:pPr>
        <w:pStyle w:val="FootnoteText"/>
        <w:rPr>
          <w:sz w:val="16"/>
          <w:szCs w:val="16"/>
        </w:rPr>
      </w:pPr>
      <w:r w:rsidRPr="00531995">
        <w:rPr>
          <w:rStyle w:val="FootnoteReference"/>
          <w:sz w:val="16"/>
          <w:szCs w:val="16"/>
        </w:rPr>
        <w:footnoteRef/>
      </w:r>
      <w:r w:rsidRPr="00531995">
        <w:rPr>
          <w:sz w:val="16"/>
          <w:szCs w:val="16"/>
        </w:rPr>
        <w:t xml:space="preserve"> Entry level is below GCSE level. Level 1 includes GCSE grades D-G and Level 2 includes GCSE grades A*-C. Some qualifications offer access to multiple levels (such as a GCSE which offers grade A*-G) other qualifications, particularly vocational qualifications, are offered only at one level and therefore success provides a qualification at the stated level.</w:t>
      </w:r>
    </w:p>
  </w:footnote>
  <w:footnote w:id="39">
    <w:p w14:paraId="699A7935" w14:textId="73B6A94D" w:rsidR="001B5863" w:rsidRPr="00531995" w:rsidRDefault="001B5863">
      <w:pPr>
        <w:pStyle w:val="FootnoteText"/>
        <w:rPr>
          <w:sz w:val="16"/>
          <w:szCs w:val="16"/>
        </w:rPr>
      </w:pPr>
      <w:r w:rsidRPr="00531995">
        <w:rPr>
          <w:rStyle w:val="FootnoteReference"/>
          <w:sz w:val="16"/>
          <w:szCs w:val="16"/>
        </w:rPr>
        <w:footnoteRef/>
      </w:r>
      <w:r w:rsidRPr="00531995">
        <w:rPr>
          <w:sz w:val="16"/>
          <w:szCs w:val="16"/>
        </w:rPr>
        <w:t xml:space="preserve"> Teachers within the school who have to teach a subject that is not the one that they were originally qualified or trained to teach</w:t>
      </w:r>
    </w:p>
  </w:footnote>
  <w:footnote w:id="40">
    <w:p w14:paraId="63CE3CED" w14:textId="7CAC0C1D" w:rsidR="001B5863" w:rsidRDefault="001B5863">
      <w:pPr>
        <w:pStyle w:val="FootnoteText"/>
      </w:pPr>
      <w:r w:rsidRPr="00531995">
        <w:rPr>
          <w:rStyle w:val="FootnoteReference"/>
          <w:sz w:val="16"/>
          <w:szCs w:val="16"/>
        </w:rPr>
        <w:footnoteRef/>
      </w:r>
      <w:r w:rsidRPr="00531995">
        <w:rPr>
          <w:sz w:val="16"/>
          <w:szCs w:val="16"/>
        </w:rPr>
        <w:t xml:space="preserve"> Level 4 National Curriculum level, which is the expected level of attainment for pupils entering secondary school.</w:t>
      </w:r>
    </w:p>
  </w:footnote>
  <w:footnote w:id="41">
    <w:p w14:paraId="63F009FA" w14:textId="0C0A466B" w:rsidR="001B5863" w:rsidRPr="00531995" w:rsidRDefault="001B5863">
      <w:pPr>
        <w:pStyle w:val="FootnoteText"/>
        <w:rPr>
          <w:sz w:val="16"/>
          <w:szCs w:val="16"/>
        </w:rPr>
      </w:pPr>
      <w:r w:rsidRPr="00531995">
        <w:rPr>
          <w:rStyle w:val="FootnoteReference"/>
          <w:sz w:val="16"/>
          <w:szCs w:val="16"/>
        </w:rPr>
        <w:footnoteRef/>
      </w:r>
      <w:r w:rsidRPr="00531995">
        <w:rPr>
          <w:sz w:val="16"/>
          <w:szCs w:val="16"/>
        </w:rPr>
        <w:t xml:space="preserve"> NVQ – National Vocational Qualification, a vocational work-based qualification, originally not available for teaching in schools but then allowed as part of the curriculum under the Labour government 1997-2010 and counted in the Performance Tables. NVQs were removed from the performance tables as part of the Wolf review (2011).</w:t>
      </w:r>
    </w:p>
  </w:footnote>
  <w:footnote w:id="42">
    <w:p w14:paraId="6E9F97FA" w14:textId="6B8E8B90" w:rsidR="001B5863" w:rsidRPr="00531995" w:rsidRDefault="001B5863">
      <w:pPr>
        <w:pStyle w:val="FootnoteText"/>
        <w:rPr>
          <w:sz w:val="16"/>
          <w:szCs w:val="16"/>
        </w:rPr>
      </w:pPr>
      <w:r w:rsidRPr="00531995">
        <w:rPr>
          <w:rStyle w:val="FootnoteReference"/>
          <w:sz w:val="16"/>
          <w:szCs w:val="16"/>
        </w:rPr>
        <w:footnoteRef/>
      </w:r>
      <w:r w:rsidRPr="00531995">
        <w:rPr>
          <w:sz w:val="16"/>
          <w:szCs w:val="16"/>
        </w:rPr>
        <w:t xml:space="preserve"> BTEC Science does not count as an EBac science subject.</w:t>
      </w:r>
    </w:p>
  </w:footnote>
  <w:footnote w:id="43">
    <w:p w14:paraId="52ED9260" w14:textId="77777777" w:rsidR="001B5863" w:rsidRPr="00531995" w:rsidRDefault="001B5863" w:rsidP="00D45C88">
      <w:pPr>
        <w:pStyle w:val="FootnoteText"/>
        <w:rPr>
          <w:sz w:val="16"/>
          <w:szCs w:val="16"/>
        </w:rPr>
      </w:pPr>
      <w:r w:rsidRPr="00531995">
        <w:rPr>
          <w:rStyle w:val="FootnoteReference"/>
          <w:sz w:val="16"/>
          <w:szCs w:val="16"/>
        </w:rPr>
        <w:footnoteRef/>
      </w:r>
      <w:r w:rsidRPr="00531995">
        <w:rPr>
          <w:sz w:val="16"/>
          <w:szCs w:val="16"/>
        </w:rPr>
        <w:t xml:space="preserve"> Design Technology </w:t>
      </w:r>
    </w:p>
  </w:footnote>
  <w:footnote w:id="44">
    <w:p w14:paraId="5ADE50C9" w14:textId="206B7A4E" w:rsidR="001B5863" w:rsidRPr="00531995" w:rsidRDefault="001B5863" w:rsidP="00D5396E">
      <w:pPr>
        <w:pStyle w:val="FootnoteText"/>
        <w:rPr>
          <w:sz w:val="16"/>
          <w:szCs w:val="16"/>
        </w:rPr>
      </w:pPr>
      <w:r w:rsidRPr="00531995">
        <w:rPr>
          <w:sz w:val="16"/>
          <w:szCs w:val="16"/>
          <w:vertAlign w:val="superscript"/>
        </w:rPr>
        <w:footnoteRef/>
      </w:r>
      <w:r w:rsidRPr="00531995">
        <w:rPr>
          <w:sz w:val="16"/>
          <w:szCs w:val="16"/>
        </w:rPr>
        <w:t xml:space="preserve"> Previously, GCSE courses had been modular, with students taking smaller, regular examinations over the two years as well as taking resits in order to increase marks. GCSEs are now moving back to two-year courses culminating in a one-off examination of all content.</w:t>
      </w:r>
    </w:p>
  </w:footnote>
  <w:footnote w:id="45">
    <w:p w14:paraId="3FB6C6D4" w14:textId="4B80B83D" w:rsidR="001B5863" w:rsidRDefault="001B5863">
      <w:pPr>
        <w:pStyle w:val="FootnoteText"/>
      </w:pPr>
      <w:r>
        <w:rPr>
          <w:rStyle w:val="FootnoteReference"/>
        </w:rPr>
        <w:footnoteRef/>
      </w:r>
      <w:r>
        <w:t xml:space="preserve"> </w:t>
      </w:r>
      <w:r>
        <w:rPr>
          <w:sz w:val="16"/>
          <w:szCs w:val="16"/>
        </w:rPr>
        <w:t>P</w:t>
      </w:r>
      <w:r w:rsidRPr="00531995">
        <w:rPr>
          <w:sz w:val="16"/>
          <w:szCs w:val="16"/>
        </w:rPr>
        <w:t xml:space="preserve">rogress </w:t>
      </w:r>
      <w:r>
        <w:rPr>
          <w:sz w:val="16"/>
          <w:szCs w:val="16"/>
        </w:rPr>
        <w:t xml:space="preserve">and attainment </w:t>
      </w:r>
      <w:r w:rsidRPr="00531995">
        <w:rPr>
          <w:sz w:val="16"/>
          <w:szCs w:val="16"/>
        </w:rPr>
        <w:t xml:space="preserve">8 is a </w:t>
      </w:r>
      <w:r>
        <w:rPr>
          <w:sz w:val="16"/>
          <w:szCs w:val="16"/>
        </w:rPr>
        <w:t>new performance measure for 2016</w:t>
      </w:r>
      <w:r w:rsidRPr="00531995">
        <w:rPr>
          <w:sz w:val="16"/>
          <w:szCs w:val="16"/>
        </w:rPr>
        <w:t xml:space="preserve"> which will include the best 8 grades achieved in English, Maths and Science, two additional EBac subjects and three non-EBac subjects from a prescribed list.</w:t>
      </w:r>
    </w:p>
  </w:footnote>
  <w:footnote w:id="46">
    <w:p w14:paraId="0DCBEDC1" w14:textId="77777777" w:rsidR="001B5863" w:rsidRDefault="001B5863" w:rsidP="00537065">
      <w:pPr>
        <w:pStyle w:val="FootnoteText"/>
      </w:pPr>
      <w:r w:rsidRPr="00531995">
        <w:rPr>
          <w:rStyle w:val="FootnoteReference"/>
          <w:sz w:val="16"/>
          <w:szCs w:val="16"/>
        </w:rPr>
        <w:footnoteRef/>
      </w:r>
      <w:r w:rsidRPr="00531995">
        <w:rPr>
          <w:sz w:val="16"/>
          <w:szCs w:val="16"/>
        </w:rPr>
        <w:t xml:space="preserve"> The key performance indicator for schools remains 5+ A*-C GCSE subjects including English and Mathematics</w:t>
      </w:r>
    </w:p>
  </w:footnote>
  <w:footnote w:id="47">
    <w:p w14:paraId="6D1C0D18" w14:textId="0A561A30" w:rsidR="001B5863" w:rsidRPr="00531995" w:rsidRDefault="001B5863">
      <w:pPr>
        <w:pStyle w:val="FootnoteText"/>
        <w:rPr>
          <w:sz w:val="16"/>
          <w:szCs w:val="16"/>
        </w:rPr>
      </w:pPr>
      <w:r w:rsidRPr="00531995">
        <w:rPr>
          <w:rStyle w:val="FootnoteReference"/>
          <w:sz w:val="16"/>
          <w:szCs w:val="16"/>
        </w:rPr>
        <w:footnoteRef/>
      </w:r>
      <w:r w:rsidRPr="00531995">
        <w:rPr>
          <w:sz w:val="16"/>
          <w:szCs w:val="16"/>
        </w:rPr>
        <w:t xml:space="preserve"> University Technical Colleges for 14-19 year olds with a vocational focus to the curriculum.</w:t>
      </w:r>
    </w:p>
  </w:footnote>
  <w:footnote w:id="48">
    <w:p w14:paraId="4090C057" w14:textId="2591A3A8" w:rsidR="001B5863" w:rsidRPr="00531995" w:rsidRDefault="001B5863">
      <w:pPr>
        <w:pStyle w:val="FootnoteText"/>
        <w:rPr>
          <w:sz w:val="16"/>
          <w:szCs w:val="16"/>
        </w:rPr>
      </w:pPr>
      <w:r w:rsidRPr="00531995">
        <w:rPr>
          <w:rStyle w:val="FootnoteReference"/>
          <w:sz w:val="16"/>
          <w:szCs w:val="16"/>
        </w:rPr>
        <w:footnoteRef/>
      </w:r>
      <w:r w:rsidRPr="00531995">
        <w:rPr>
          <w:sz w:val="16"/>
          <w:szCs w:val="16"/>
        </w:rPr>
        <w:t xml:space="preserve"> Non-EBac subjects have to be taken from a prescribed list of subjects and qualifications. </w:t>
      </w:r>
    </w:p>
  </w:footnote>
  <w:footnote w:id="49">
    <w:p w14:paraId="0A36AE43" w14:textId="77777777" w:rsidR="001B5863" w:rsidRDefault="001B5863" w:rsidP="00D530C1">
      <w:pPr>
        <w:pStyle w:val="FootnoteText"/>
      </w:pPr>
      <w:r>
        <w:rPr>
          <w:rStyle w:val="FootnoteReference"/>
        </w:rPr>
        <w:footnoteRef/>
      </w:r>
      <w:r>
        <w:t xml:space="preserve"> Concern with the increasing numbers of students achieving high grades at GCSE and A Level and the increasing pass rate from 1988 until 2011</w:t>
      </w:r>
    </w:p>
  </w:footnote>
  <w:footnote w:id="50">
    <w:p w14:paraId="6EC80040" w14:textId="77777777" w:rsidR="001B5863" w:rsidRPr="00531995" w:rsidRDefault="001B5863" w:rsidP="00D530C1">
      <w:pPr>
        <w:pStyle w:val="FootnoteText"/>
        <w:rPr>
          <w:sz w:val="16"/>
          <w:szCs w:val="16"/>
        </w:rPr>
      </w:pPr>
      <w:r w:rsidRPr="00531995">
        <w:rPr>
          <w:rStyle w:val="FootnoteReference"/>
          <w:sz w:val="16"/>
          <w:szCs w:val="16"/>
        </w:rPr>
        <w:footnoteRef/>
      </w:r>
      <w:r w:rsidRPr="00531995">
        <w:rPr>
          <w:sz w:val="16"/>
          <w:szCs w:val="16"/>
        </w:rPr>
        <w:t xml:space="preserve"> The expansion of vocational qualifications which were counted in the league tables encouraged schools to radically amend their curriculum in order to maximise student achievement as reported in the school performance tables. Some of these vocational qualifications are now felt to be of dubious value with very few progression opportunities (Wolf 2011).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F4487" w14:textId="77777777" w:rsidR="001B5863" w:rsidRDefault="001B58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51E12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894EE873"/>
    <w:lvl w:ilvl="0">
      <w:start w:val="1"/>
      <w:numFmt w:val="decimal"/>
      <w:isLgl/>
      <w:lvlText w:val="%1."/>
      <w:lvlJc w:val="left"/>
      <w:pPr>
        <w:tabs>
          <w:tab w:val="num" w:pos="360"/>
        </w:tabs>
        <w:ind w:left="360" w:firstLine="360"/>
      </w:pPr>
      <w:rPr>
        <w:rFonts w:hint="default"/>
        <w:color w:val="000000"/>
        <w:position w:val="0"/>
        <w:sz w:val="22"/>
      </w:rPr>
    </w:lvl>
    <w:lvl w:ilvl="1">
      <w:start w:val="1"/>
      <w:numFmt w:val="lowerLetter"/>
      <w:lvlText w:val="%2."/>
      <w:lvlJc w:val="left"/>
      <w:pPr>
        <w:tabs>
          <w:tab w:val="num" w:pos="360"/>
        </w:tabs>
        <w:ind w:left="360" w:firstLine="1080"/>
      </w:pPr>
      <w:rPr>
        <w:rFonts w:hint="default"/>
        <w:color w:val="000000"/>
        <w:position w:val="0"/>
        <w:sz w:val="22"/>
      </w:rPr>
    </w:lvl>
    <w:lvl w:ilvl="2">
      <w:start w:val="1"/>
      <w:numFmt w:val="lowerRoman"/>
      <w:lvlText w:val="%3."/>
      <w:lvlJc w:val="left"/>
      <w:pPr>
        <w:tabs>
          <w:tab w:val="num" w:pos="389"/>
        </w:tabs>
        <w:ind w:left="389" w:firstLine="1771"/>
      </w:pPr>
      <w:rPr>
        <w:rFonts w:hint="default"/>
        <w:color w:val="000000"/>
        <w:position w:val="0"/>
        <w:sz w:val="22"/>
      </w:rPr>
    </w:lvl>
    <w:lvl w:ilvl="3">
      <w:start w:val="1"/>
      <w:numFmt w:val="decimal"/>
      <w:isLgl/>
      <w:lvlText w:val="%4."/>
      <w:lvlJc w:val="left"/>
      <w:pPr>
        <w:tabs>
          <w:tab w:val="num" w:pos="360"/>
        </w:tabs>
        <w:ind w:left="360" w:firstLine="2520"/>
      </w:pPr>
      <w:rPr>
        <w:rFonts w:hint="default"/>
        <w:color w:val="000000"/>
        <w:position w:val="0"/>
        <w:sz w:val="22"/>
      </w:rPr>
    </w:lvl>
    <w:lvl w:ilvl="4">
      <w:start w:val="1"/>
      <w:numFmt w:val="lowerLetter"/>
      <w:lvlText w:val="%5."/>
      <w:lvlJc w:val="left"/>
      <w:pPr>
        <w:tabs>
          <w:tab w:val="num" w:pos="360"/>
        </w:tabs>
        <w:ind w:left="360" w:firstLine="3240"/>
      </w:pPr>
      <w:rPr>
        <w:rFonts w:hint="default"/>
        <w:color w:val="000000"/>
        <w:position w:val="0"/>
        <w:sz w:val="22"/>
      </w:rPr>
    </w:lvl>
    <w:lvl w:ilvl="5">
      <w:start w:val="1"/>
      <w:numFmt w:val="lowerRoman"/>
      <w:lvlText w:val="%6."/>
      <w:lvlJc w:val="left"/>
      <w:pPr>
        <w:tabs>
          <w:tab w:val="num" w:pos="389"/>
        </w:tabs>
        <w:ind w:left="389" w:firstLine="3931"/>
      </w:pPr>
      <w:rPr>
        <w:rFonts w:hint="default"/>
        <w:color w:val="000000"/>
        <w:position w:val="0"/>
        <w:sz w:val="22"/>
      </w:rPr>
    </w:lvl>
    <w:lvl w:ilvl="6">
      <w:start w:val="1"/>
      <w:numFmt w:val="decimal"/>
      <w:isLgl/>
      <w:lvlText w:val="%7."/>
      <w:lvlJc w:val="left"/>
      <w:pPr>
        <w:tabs>
          <w:tab w:val="num" w:pos="360"/>
        </w:tabs>
        <w:ind w:left="360" w:firstLine="4680"/>
      </w:pPr>
      <w:rPr>
        <w:rFonts w:hint="default"/>
        <w:color w:val="000000"/>
        <w:position w:val="0"/>
        <w:sz w:val="22"/>
      </w:rPr>
    </w:lvl>
    <w:lvl w:ilvl="7">
      <w:start w:val="1"/>
      <w:numFmt w:val="lowerLetter"/>
      <w:lvlText w:val="%8."/>
      <w:lvlJc w:val="left"/>
      <w:pPr>
        <w:tabs>
          <w:tab w:val="num" w:pos="360"/>
        </w:tabs>
        <w:ind w:left="360" w:firstLine="5400"/>
      </w:pPr>
      <w:rPr>
        <w:rFonts w:hint="default"/>
        <w:color w:val="000000"/>
        <w:position w:val="0"/>
        <w:sz w:val="22"/>
      </w:rPr>
    </w:lvl>
    <w:lvl w:ilvl="8">
      <w:start w:val="1"/>
      <w:numFmt w:val="lowerRoman"/>
      <w:lvlText w:val="%9."/>
      <w:lvlJc w:val="left"/>
      <w:pPr>
        <w:tabs>
          <w:tab w:val="num" w:pos="389"/>
        </w:tabs>
        <w:ind w:left="389" w:firstLine="6091"/>
      </w:pPr>
      <w:rPr>
        <w:rFonts w:hint="default"/>
        <w:color w:val="000000"/>
        <w:position w:val="0"/>
        <w:sz w:val="22"/>
      </w:rPr>
    </w:lvl>
  </w:abstractNum>
  <w:abstractNum w:abstractNumId="2">
    <w:nsid w:val="00000003"/>
    <w:multiLevelType w:val="multilevel"/>
    <w:tmpl w:val="894EE875"/>
    <w:lvl w:ilvl="0">
      <w:start w:val="1"/>
      <w:numFmt w:val="decimal"/>
      <w:isLgl/>
      <w:lvlText w:val="%1."/>
      <w:lvlJc w:val="left"/>
      <w:pPr>
        <w:tabs>
          <w:tab w:val="num" w:pos="360"/>
        </w:tabs>
        <w:ind w:left="360" w:firstLine="360"/>
      </w:pPr>
      <w:rPr>
        <w:rFonts w:hint="default"/>
        <w:color w:val="000000"/>
        <w:position w:val="0"/>
        <w:sz w:val="22"/>
      </w:rPr>
    </w:lvl>
    <w:lvl w:ilvl="1">
      <w:start w:val="1"/>
      <w:numFmt w:val="lowerLetter"/>
      <w:lvlText w:val="%2."/>
      <w:lvlJc w:val="left"/>
      <w:pPr>
        <w:tabs>
          <w:tab w:val="num" w:pos="360"/>
        </w:tabs>
        <w:ind w:left="360" w:firstLine="1080"/>
      </w:pPr>
      <w:rPr>
        <w:rFonts w:hint="default"/>
        <w:color w:val="000000"/>
        <w:position w:val="0"/>
        <w:sz w:val="22"/>
      </w:rPr>
    </w:lvl>
    <w:lvl w:ilvl="2">
      <w:start w:val="1"/>
      <w:numFmt w:val="lowerRoman"/>
      <w:lvlText w:val="%3."/>
      <w:lvlJc w:val="left"/>
      <w:pPr>
        <w:tabs>
          <w:tab w:val="num" w:pos="389"/>
        </w:tabs>
        <w:ind w:left="389" w:firstLine="1771"/>
      </w:pPr>
      <w:rPr>
        <w:rFonts w:hint="default"/>
        <w:color w:val="000000"/>
        <w:position w:val="0"/>
        <w:sz w:val="22"/>
      </w:rPr>
    </w:lvl>
    <w:lvl w:ilvl="3">
      <w:start w:val="1"/>
      <w:numFmt w:val="decimal"/>
      <w:isLgl/>
      <w:lvlText w:val="%4."/>
      <w:lvlJc w:val="left"/>
      <w:pPr>
        <w:tabs>
          <w:tab w:val="num" w:pos="360"/>
        </w:tabs>
        <w:ind w:left="360" w:firstLine="2520"/>
      </w:pPr>
      <w:rPr>
        <w:rFonts w:hint="default"/>
        <w:color w:val="000000"/>
        <w:position w:val="0"/>
        <w:sz w:val="22"/>
      </w:rPr>
    </w:lvl>
    <w:lvl w:ilvl="4">
      <w:start w:val="1"/>
      <w:numFmt w:val="lowerLetter"/>
      <w:lvlText w:val="%5."/>
      <w:lvlJc w:val="left"/>
      <w:pPr>
        <w:tabs>
          <w:tab w:val="num" w:pos="360"/>
        </w:tabs>
        <w:ind w:left="360" w:firstLine="3240"/>
      </w:pPr>
      <w:rPr>
        <w:rFonts w:hint="default"/>
        <w:color w:val="000000"/>
        <w:position w:val="0"/>
        <w:sz w:val="22"/>
      </w:rPr>
    </w:lvl>
    <w:lvl w:ilvl="5">
      <w:start w:val="1"/>
      <w:numFmt w:val="lowerRoman"/>
      <w:lvlText w:val="%6."/>
      <w:lvlJc w:val="left"/>
      <w:pPr>
        <w:tabs>
          <w:tab w:val="num" w:pos="389"/>
        </w:tabs>
        <w:ind w:left="389" w:firstLine="3931"/>
      </w:pPr>
      <w:rPr>
        <w:rFonts w:hint="default"/>
        <w:color w:val="000000"/>
        <w:position w:val="0"/>
        <w:sz w:val="22"/>
      </w:rPr>
    </w:lvl>
    <w:lvl w:ilvl="6">
      <w:start w:val="1"/>
      <w:numFmt w:val="decimal"/>
      <w:isLgl/>
      <w:lvlText w:val="%7."/>
      <w:lvlJc w:val="left"/>
      <w:pPr>
        <w:tabs>
          <w:tab w:val="num" w:pos="360"/>
        </w:tabs>
        <w:ind w:left="360" w:firstLine="4680"/>
      </w:pPr>
      <w:rPr>
        <w:rFonts w:hint="default"/>
        <w:color w:val="000000"/>
        <w:position w:val="0"/>
        <w:sz w:val="22"/>
      </w:rPr>
    </w:lvl>
    <w:lvl w:ilvl="7">
      <w:start w:val="1"/>
      <w:numFmt w:val="lowerLetter"/>
      <w:lvlText w:val="%8."/>
      <w:lvlJc w:val="left"/>
      <w:pPr>
        <w:tabs>
          <w:tab w:val="num" w:pos="360"/>
        </w:tabs>
        <w:ind w:left="360" w:firstLine="5400"/>
      </w:pPr>
      <w:rPr>
        <w:rFonts w:hint="default"/>
        <w:color w:val="000000"/>
        <w:position w:val="0"/>
        <w:sz w:val="22"/>
      </w:rPr>
    </w:lvl>
    <w:lvl w:ilvl="8">
      <w:start w:val="1"/>
      <w:numFmt w:val="lowerRoman"/>
      <w:lvlText w:val="%9."/>
      <w:lvlJc w:val="left"/>
      <w:pPr>
        <w:tabs>
          <w:tab w:val="num" w:pos="389"/>
        </w:tabs>
        <w:ind w:left="389" w:firstLine="6091"/>
      </w:pPr>
      <w:rPr>
        <w:rFonts w:hint="default"/>
        <w:color w:val="000000"/>
        <w:position w:val="0"/>
        <w:sz w:val="22"/>
      </w:rPr>
    </w:lvl>
  </w:abstractNum>
  <w:abstractNum w:abstractNumId="3">
    <w:nsid w:val="00000004"/>
    <w:multiLevelType w:val="multilevel"/>
    <w:tmpl w:val="894EE876"/>
    <w:lvl w:ilvl="0">
      <w:start w:val="1"/>
      <w:numFmt w:val="bullet"/>
      <w:lvlText w:val="·"/>
      <w:lvlJc w:val="left"/>
      <w:pPr>
        <w:tabs>
          <w:tab w:val="num" w:pos="360"/>
        </w:tabs>
        <w:ind w:left="360" w:firstLine="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2"/>
      </w:rPr>
    </w:lvl>
  </w:abstractNum>
  <w:abstractNum w:abstractNumId="4">
    <w:nsid w:val="00000005"/>
    <w:multiLevelType w:val="multilevel"/>
    <w:tmpl w:val="894EE877"/>
    <w:lvl w:ilvl="0">
      <w:start w:val="1"/>
      <w:numFmt w:val="bullet"/>
      <w:lvlText w:val="·"/>
      <w:lvlJc w:val="left"/>
      <w:pPr>
        <w:tabs>
          <w:tab w:val="num" w:pos="360"/>
        </w:tabs>
        <w:ind w:left="360" w:firstLine="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2"/>
      </w:rPr>
    </w:lvl>
  </w:abstractNum>
  <w:abstractNum w:abstractNumId="5">
    <w:nsid w:val="01344395"/>
    <w:multiLevelType w:val="multilevel"/>
    <w:tmpl w:val="FDB8FE9E"/>
    <w:styleLink w:val="List0"/>
    <w:lvl w:ilvl="0">
      <w:start w:val="1"/>
      <w:numFmt w:val="decimal"/>
      <w:lvlText w:val="%1."/>
      <w:lvlJc w:val="left"/>
      <w:pPr>
        <w:tabs>
          <w:tab w:val="num" w:pos="-1785"/>
        </w:tabs>
        <w:ind w:left="-1785" w:hanging="357"/>
      </w:pPr>
      <w:rPr>
        <w:position w:val="0"/>
        <w:sz w:val="24"/>
        <w:szCs w:val="24"/>
        <w:rtl w:val="0"/>
      </w:rPr>
    </w:lvl>
    <w:lvl w:ilvl="1">
      <w:start w:val="1"/>
      <w:numFmt w:val="lowerLetter"/>
      <w:lvlText w:val="%2."/>
      <w:lvlJc w:val="left"/>
      <w:pPr>
        <w:tabs>
          <w:tab w:val="num" w:pos="-1059"/>
        </w:tabs>
        <w:ind w:left="-1059" w:hanging="360"/>
      </w:pPr>
      <w:rPr>
        <w:position w:val="0"/>
        <w:sz w:val="24"/>
        <w:szCs w:val="24"/>
        <w:rtl w:val="0"/>
      </w:rPr>
    </w:lvl>
    <w:lvl w:ilvl="2">
      <w:start w:val="1"/>
      <w:numFmt w:val="lowerRoman"/>
      <w:lvlText w:val="%3."/>
      <w:lvlJc w:val="left"/>
      <w:pPr>
        <w:tabs>
          <w:tab w:val="num" w:pos="-339"/>
        </w:tabs>
        <w:ind w:left="-339" w:hanging="296"/>
      </w:pPr>
      <w:rPr>
        <w:position w:val="0"/>
        <w:sz w:val="24"/>
        <w:szCs w:val="24"/>
        <w:rtl w:val="0"/>
      </w:rPr>
    </w:lvl>
    <w:lvl w:ilvl="3">
      <w:start w:val="1"/>
      <w:numFmt w:val="decimal"/>
      <w:lvlText w:val="%4."/>
      <w:lvlJc w:val="left"/>
      <w:pPr>
        <w:tabs>
          <w:tab w:val="num" w:pos="381"/>
        </w:tabs>
        <w:ind w:left="381" w:hanging="360"/>
      </w:pPr>
      <w:rPr>
        <w:position w:val="0"/>
        <w:sz w:val="24"/>
        <w:szCs w:val="24"/>
        <w:rtl w:val="0"/>
      </w:rPr>
    </w:lvl>
    <w:lvl w:ilvl="4">
      <w:start w:val="1"/>
      <w:numFmt w:val="lowerLetter"/>
      <w:lvlText w:val="%5."/>
      <w:lvlJc w:val="left"/>
      <w:pPr>
        <w:tabs>
          <w:tab w:val="num" w:pos="1101"/>
        </w:tabs>
        <w:ind w:left="1101" w:hanging="360"/>
      </w:pPr>
      <w:rPr>
        <w:position w:val="0"/>
        <w:sz w:val="24"/>
        <w:szCs w:val="24"/>
        <w:rtl w:val="0"/>
      </w:rPr>
    </w:lvl>
    <w:lvl w:ilvl="5">
      <w:start w:val="1"/>
      <w:numFmt w:val="lowerRoman"/>
      <w:lvlText w:val="%6."/>
      <w:lvlJc w:val="left"/>
      <w:pPr>
        <w:tabs>
          <w:tab w:val="num" w:pos="1821"/>
        </w:tabs>
        <w:ind w:left="1821" w:hanging="296"/>
      </w:pPr>
      <w:rPr>
        <w:position w:val="0"/>
        <w:sz w:val="24"/>
        <w:szCs w:val="24"/>
        <w:rtl w:val="0"/>
      </w:rPr>
    </w:lvl>
    <w:lvl w:ilvl="6">
      <w:start w:val="1"/>
      <w:numFmt w:val="decimal"/>
      <w:lvlText w:val="%7."/>
      <w:lvlJc w:val="left"/>
      <w:pPr>
        <w:tabs>
          <w:tab w:val="num" w:pos="2541"/>
        </w:tabs>
        <w:ind w:left="2541" w:hanging="360"/>
      </w:pPr>
      <w:rPr>
        <w:position w:val="0"/>
        <w:sz w:val="24"/>
        <w:szCs w:val="24"/>
        <w:rtl w:val="0"/>
      </w:rPr>
    </w:lvl>
    <w:lvl w:ilvl="7">
      <w:start w:val="1"/>
      <w:numFmt w:val="lowerLetter"/>
      <w:lvlText w:val="%8."/>
      <w:lvlJc w:val="left"/>
      <w:pPr>
        <w:tabs>
          <w:tab w:val="num" w:pos="3261"/>
        </w:tabs>
        <w:ind w:left="3261" w:hanging="360"/>
      </w:pPr>
      <w:rPr>
        <w:position w:val="0"/>
        <w:sz w:val="24"/>
        <w:szCs w:val="24"/>
        <w:rtl w:val="0"/>
      </w:rPr>
    </w:lvl>
    <w:lvl w:ilvl="8">
      <w:start w:val="1"/>
      <w:numFmt w:val="lowerRoman"/>
      <w:lvlText w:val="%9."/>
      <w:lvlJc w:val="left"/>
      <w:pPr>
        <w:tabs>
          <w:tab w:val="num" w:pos="3981"/>
        </w:tabs>
        <w:ind w:left="3981" w:hanging="296"/>
      </w:pPr>
      <w:rPr>
        <w:position w:val="0"/>
        <w:sz w:val="24"/>
        <w:szCs w:val="24"/>
        <w:rtl w:val="0"/>
      </w:rPr>
    </w:lvl>
  </w:abstractNum>
  <w:abstractNum w:abstractNumId="6">
    <w:nsid w:val="0E4103A7"/>
    <w:multiLevelType w:val="hybridMultilevel"/>
    <w:tmpl w:val="D102EE86"/>
    <w:lvl w:ilvl="0" w:tplc="09F67EDE">
      <w:start w:val="1"/>
      <w:numFmt w:val="decimal"/>
      <w:lvlText w:val="%1."/>
      <w:lvlJc w:val="left"/>
      <w:pPr>
        <w:ind w:left="360" w:hanging="360"/>
      </w:pPr>
      <w:rPr>
        <w:rFonts w:ascii="Calibri" w:eastAsia="Calibri" w:hAnsi="Calibri" w:cs="Calibr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0EBD15C7"/>
    <w:multiLevelType w:val="hybridMultilevel"/>
    <w:tmpl w:val="9C76F1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04A2B31"/>
    <w:multiLevelType w:val="hybridMultilevel"/>
    <w:tmpl w:val="109C75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F0684F"/>
    <w:multiLevelType w:val="hybridMultilevel"/>
    <w:tmpl w:val="B3EAA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217277F"/>
    <w:multiLevelType w:val="hybridMultilevel"/>
    <w:tmpl w:val="B886778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25337C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45002A0"/>
    <w:multiLevelType w:val="multilevel"/>
    <w:tmpl w:val="894EE875"/>
    <w:lvl w:ilvl="0">
      <w:start w:val="1"/>
      <w:numFmt w:val="decimal"/>
      <w:isLgl/>
      <w:lvlText w:val="%1."/>
      <w:lvlJc w:val="left"/>
      <w:pPr>
        <w:tabs>
          <w:tab w:val="num" w:pos="0"/>
        </w:tabs>
        <w:ind w:left="0" w:firstLine="360"/>
      </w:pPr>
      <w:rPr>
        <w:rFonts w:hint="default"/>
        <w:color w:val="000000"/>
        <w:position w:val="0"/>
        <w:sz w:val="22"/>
      </w:rPr>
    </w:lvl>
    <w:lvl w:ilvl="1">
      <w:start w:val="1"/>
      <w:numFmt w:val="lowerLetter"/>
      <w:lvlText w:val="%2."/>
      <w:lvlJc w:val="left"/>
      <w:pPr>
        <w:tabs>
          <w:tab w:val="num" w:pos="0"/>
        </w:tabs>
        <w:ind w:left="0" w:firstLine="1080"/>
      </w:pPr>
      <w:rPr>
        <w:rFonts w:hint="default"/>
        <w:color w:val="000000"/>
        <w:position w:val="0"/>
        <w:sz w:val="22"/>
      </w:rPr>
    </w:lvl>
    <w:lvl w:ilvl="2">
      <w:start w:val="1"/>
      <w:numFmt w:val="lowerRoman"/>
      <w:lvlText w:val="%3."/>
      <w:lvlJc w:val="left"/>
      <w:pPr>
        <w:tabs>
          <w:tab w:val="num" w:pos="29"/>
        </w:tabs>
        <w:ind w:left="29" w:firstLine="1771"/>
      </w:pPr>
      <w:rPr>
        <w:rFonts w:hint="default"/>
        <w:color w:val="000000"/>
        <w:position w:val="0"/>
        <w:sz w:val="22"/>
      </w:rPr>
    </w:lvl>
    <w:lvl w:ilvl="3">
      <w:start w:val="1"/>
      <w:numFmt w:val="decimal"/>
      <w:isLgl/>
      <w:lvlText w:val="%4."/>
      <w:lvlJc w:val="left"/>
      <w:pPr>
        <w:tabs>
          <w:tab w:val="num" w:pos="0"/>
        </w:tabs>
        <w:ind w:left="0" w:firstLine="2520"/>
      </w:pPr>
      <w:rPr>
        <w:rFonts w:hint="default"/>
        <w:color w:val="000000"/>
        <w:position w:val="0"/>
        <w:sz w:val="22"/>
      </w:rPr>
    </w:lvl>
    <w:lvl w:ilvl="4">
      <w:start w:val="1"/>
      <w:numFmt w:val="lowerLetter"/>
      <w:lvlText w:val="%5."/>
      <w:lvlJc w:val="left"/>
      <w:pPr>
        <w:tabs>
          <w:tab w:val="num" w:pos="0"/>
        </w:tabs>
        <w:ind w:left="0" w:firstLine="3240"/>
      </w:pPr>
      <w:rPr>
        <w:rFonts w:hint="default"/>
        <w:color w:val="000000"/>
        <w:position w:val="0"/>
        <w:sz w:val="22"/>
      </w:rPr>
    </w:lvl>
    <w:lvl w:ilvl="5">
      <w:start w:val="1"/>
      <w:numFmt w:val="lowerRoman"/>
      <w:lvlText w:val="%6."/>
      <w:lvlJc w:val="left"/>
      <w:pPr>
        <w:tabs>
          <w:tab w:val="num" w:pos="29"/>
        </w:tabs>
        <w:ind w:left="29" w:firstLine="3931"/>
      </w:pPr>
      <w:rPr>
        <w:rFonts w:hint="default"/>
        <w:color w:val="000000"/>
        <w:position w:val="0"/>
        <w:sz w:val="22"/>
      </w:rPr>
    </w:lvl>
    <w:lvl w:ilvl="6">
      <w:start w:val="1"/>
      <w:numFmt w:val="decimal"/>
      <w:isLgl/>
      <w:lvlText w:val="%7."/>
      <w:lvlJc w:val="left"/>
      <w:pPr>
        <w:tabs>
          <w:tab w:val="num" w:pos="0"/>
        </w:tabs>
        <w:ind w:left="0" w:firstLine="4680"/>
      </w:pPr>
      <w:rPr>
        <w:rFonts w:hint="default"/>
        <w:color w:val="000000"/>
        <w:position w:val="0"/>
        <w:sz w:val="22"/>
      </w:rPr>
    </w:lvl>
    <w:lvl w:ilvl="7">
      <w:start w:val="1"/>
      <w:numFmt w:val="lowerLetter"/>
      <w:lvlText w:val="%8."/>
      <w:lvlJc w:val="left"/>
      <w:pPr>
        <w:tabs>
          <w:tab w:val="num" w:pos="0"/>
        </w:tabs>
        <w:ind w:left="0" w:firstLine="5400"/>
      </w:pPr>
      <w:rPr>
        <w:rFonts w:hint="default"/>
        <w:color w:val="000000"/>
        <w:position w:val="0"/>
        <w:sz w:val="22"/>
      </w:rPr>
    </w:lvl>
    <w:lvl w:ilvl="8">
      <w:start w:val="1"/>
      <w:numFmt w:val="lowerRoman"/>
      <w:lvlText w:val="%9."/>
      <w:lvlJc w:val="left"/>
      <w:pPr>
        <w:tabs>
          <w:tab w:val="num" w:pos="29"/>
        </w:tabs>
        <w:ind w:left="29" w:firstLine="6091"/>
      </w:pPr>
      <w:rPr>
        <w:rFonts w:hint="default"/>
        <w:color w:val="000000"/>
        <w:position w:val="0"/>
        <w:sz w:val="22"/>
      </w:rPr>
    </w:lvl>
  </w:abstractNum>
  <w:abstractNum w:abstractNumId="13">
    <w:nsid w:val="15324B40"/>
    <w:multiLevelType w:val="hybridMultilevel"/>
    <w:tmpl w:val="CBDC3B00"/>
    <w:lvl w:ilvl="0" w:tplc="61B247A4">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4">
    <w:nsid w:val="15650147"/>
    <w:multiLevelType w:val="hybridMultilevel"/>
    <w:tmpl w:val="5262E84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15DA789C"/>
    <w:multiLevelType w:val="multilevel"/>
    <w:tmpl w:val="6BCCD556"/>
    <w:lvl w:ilvl="0">
      <w:start w:val="1"/>
      <w:numFmt w:val="decimal"/>
      <w:lvlText w:val="%1."/>
      <w:lvlJc w:val="left"/>
      <w:pPr>
        <w:ind w:left="360" w:hanging="360"/>
      </w:pPr>
      <w:rPr>
        <w:rFonts w:hint="default"/>
      </w:rPr>
    </w:lvl>
    <w:lvl w:ilvl="1">
      <w:start w:val="9"/>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nsid w:val="1B735378"/>
    <w:multiLevelType w:val="hybridMultilevel"/>
    <w:tmpl w:val="BF3844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1EFE28E1"/>
    <w:multiLevelType w:val="hybridMultilevel"/>
    <w:tmpl w:val="4FCA6F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20B32249"/>
    <w:multiLevelType w:val="hybridMultilevel"/>
    <w:tmpl w:val="EB84D298"/>
    <w:lvl w:ilvl="0" w:tplc="02C233D2">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21282D75"/>
    <w:multiLevelType w:val="hybridMultilevel"/>
    <w:tmpl w:val="53E0295A"/>
    <w:lvl w:ilvl="0" w:tplc="02C233D2">
      <w:start w:val="1"/>
      <w:numFmt w:val="decimal"/>
      <w:lvlText w:val="%1."/>
      <w:lvlJc w:val="left"/>
      <w:pPr>
        <w:ind w:left="1080" w:hanging="360"/>
      </w:pPr>
      <w:rPr>
        <w:rFonts w:hint="default"/>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26304339"/>
    <w:multiLevelType w:val="hybridMultilevel"/>
    <w:tmpl w:val="58FAF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74702F2"/>
    <w:multiLevelType w:val="hybridMultilevel"/>
    <w:tmpl w:val="33EC33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28E043DC"/>
    <w:multiLevelType w:val="hybridMultilevel"/>
    <w:tmpl w:val="81A8A18C"/>
    <w:lvl w:ilvl="0" w:tplc="08090011">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nsid w:val="30DF247A"/>
    <w:multiLevelType w:val="hybridMultilevel"/>
    <w:tmpl w:val="A06833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34B66580"/>
    <w:multiLevelType w:val="hybridMultilevel"/>
    <w:tmpl w:val="F0768868"/>
    <w:lvl w:ilvl="0" w:tplc="26B8EDCA">
      <w:start w:val="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4EA2B97"/>
    <w:multiLevelType w:val="multilevel"/>
    <w:tmpl w:val="A3126A16"/>
    <w:lvl w:ilvl="0">
      <w:start w:val="1"/>
      <w:numFmt w:val="decimal"/>
      <w:lvlText w:val="%1."/>
      <w:lvlJc w:val="left"/>
      <w:pPr>
        <w:ind w:left="720" w:hanging="360"/>
      </w:pPr>
      <w:rPr>
        <w:rFonts w:ascii="Arial" w:hAnsi="Arial" w:cs="Arial" w:hint="default"/>
      </w:rPr>
    </w:lvl>
    <w:lvl w:ilvl="1">
      <w:start w:val="1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38085651"/>
    <w:multiLevelType w:val="hybridMultilevel"/>
    <w:tmpl w:val="996E9A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382D48A6"/>
    <w:multiLevelType w:val="multilevel"/>
    <w:tmpl w:val="87729758"/>
    <w:lvl w:ilvl="0">
      <w:start w:val="4"/>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38B9514C"/>
    <w:multiLevelType w:val="hybridMultilevel"/>
    <w:tmpl w:val="2A7C52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3B945FF1"/>
    <w:multiLevelType w:val="hybridMultilevel"/>
    <w:tmpl w:val="26226578"/>
    <w:lvl w:ilvl="0" w:tplc="30F8E22A">
      <w:start w:val="4"/>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3BF030A4"/>
    <w:multiLevelType w:val="hybridMultilevel"/>
    <w:tmpl w:val="86F04E8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nsid w:val="3F79395D"/>
    <w:multiLevelType w:val="hybridMultilevel"/>
    <w:tmpl w:val="4F12B42A"/>
    <w:lvl w:ilvl="0" w:tplc="939AE950">
      <w:start w:val="4"/>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10070B8"/>
    <w:multiLevelType w:val="hybridMultilevel"/>
    <w:tmpl w:val="4B78CF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4BBB01EB"/>
    <w:multiLevelType w:val="hybridMultilevel"/>
    <w:tmpl w:val="AA005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51DE7EA4"/>
    <w:multiLevelType w:val="hybridMultilevel"/>
    <w:tmpl w:val="61BC0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73B2D6C"/>
    <w:multiLevelType w:val="hybridMultilevel"/>
    <w:tmpl w:val="D6344AE6"/>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57CE3C0F"/>
    <w:multiLevelType w:val="hybridMultilevel"/>
    <w:tmpl w:val="91283B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597703C0"/>
    <w:multiLevelType w:val="multilevel"/>
    <w:tmpl w:val="1DEC5C68"/>
    <w:styleLink w:val="List1"/>
    <w:lvl w:ilvl="0">
      <w:start w:val="1"/>
      <w:numFmt w:val="decimal"/>
      <w:lvlText w:val="%1."/>
      <w:lvlJc w:val="left"/>
      <w:pPr>
        <w:tabs>
          <w:tab w:val="num" w:pos="360"/>
        </w:tabs>
        <w:ind w:left="360" w:hanging="360"/>
      </w:pPr>
      <w:rPr>
        <w:rFonts w:ascii="Trebuchet MS Bold" w:eastAsia="Trebuchet MS Bold" w:hAnsi="Trebuchet MS Bold" w:cs="Trebuchet MS Bold"/>
        <w:b/>
        <w:bCs/>
        <w:position w:val="0"/>
        <w:sz w:val="24"/>
        <w:szCs w:val="24"/>
        <w:rtl w:val="0"/>
      </w:rPr>
    </w:lvl>
    <w:lvl w:ilvl="1">
      <w:start w:val="1"/>
      <w:numFmt w:val="lowerLetter"/>
      <w:lvlText w:val="%2."/>
      <w:lvlJc w:val="left"/>
      <w:pPr>
        <w:tabs>
          <w:tab w:val="num" w:pos="1080"/>
        </w:tabs>
        <w:ind w:left="1080" w:hanging="360"/>
      </w:pPr>
      <w:rPr>
        <w:rFonts w:ascii="Calibri" w:eastAsia="Calibri" w:hAnsi="Calibri" w:cs="Calibri"/>
        <w:b/>
        <w:bCs/>
        <w:position w:val="0"/>
        <w:sz w:val="24"/>
        <w:szCs w:val="24"/>
        <w:rtl w:val="0"/>
      </w:rPr>
    </w:lvl>
    <w:lvl w:ilvl="2">
      <w:start w:val="1"/>
      <w:numFmt w:val="lowerRoman"/>
      <w:lvlText w:val="%3."/>
      <w:lvlJc w:val="left"/>
      <w:pPr>
        <w:tabs>
          <w:tab w:val="num" w:pos="1800"/>
        </w:tabs>
        <w:ind w:left="1800" w:hanging="296"/>
      </w:pPr>
      <w:rPr>
        <w:rFonts w:ascii="Calibri" w:eastAsia="Calibri" w:hAnsi="Calibri" w:cs="Calibri"/>
        <w:b/>
        <w:bCs/>
        <w:position w:val="0"/>
        <w:sz w:val="24"/>
        <w:szCs w:val="24"/>
        <w:rtl w:val="0"/>
      </w:rPr>
    </w:lvl>
    <w:lvl w:ilvl="3">
      <w:start w:val="1"/>
      <w:numFmt w:val="decimal"/>
      <w:lvlText w:val="%4."/>
      <w:lvlJc w:val="left"/>
      <w:pPr>
        <w:tabs>
          <w:tab w:val="num" w:pos="2520"/>
        </w:tabs>
        <w:ind w:left="2520" w:hanging="360"/>
      </w:pPr>
      <w:rPr>
        <w:rFonts w:ascii="Calibri" w:eastAsia="Calibri" w:hAnsi="Calibri" w:cs="Calibri"/>
        <w:b/>
        <w:bCs/>
        <w:position w:val="0"/>
        <w:sz w:val="24"/>
        <w:szCs w:val="24"/>
        <w:rtl w:val="0"/>
      </w:rPr>
    </w:lvl>
    <w:lvl w:ilvl="4">
      <w:start w:val="1"/>
      <w:numFmt w:val="lowerLetter"/>
      <w:lvlText w:val="%5."/>
      <w:lvlJc w:val="left"/>
      <w:pPr>
        <w:tabs>
          <w:tab w:val="num" w:pos="3240"/>
        </w:tabs>
        <w:ind w:left="3240" w:hanging="360"/>
      </w:pPr>
      <w:rPr>
        <w:rFonts w:ascii="Calibri" w:eastAsia="Calibri" w:hAnsi="Calibri" w:cs="Calibri"/>
        <w:b/>
        <w:bCs/>
        <w:position w:val="0"/>
        <w:sz w:val="24"/>
        <w:szCs w:val="24"/>
        <w:rtl w:val="0"/>
      </w:rPr>
    </w:lvl>
    <w:lvl w:ilvl="5">
      <w:start w:val="1"/>
      <w:numFmt w:val="lowerRoman"/>
      <w:lvlText w:val="%6."/>
      <w:lvlJc w:val="left"/>
      <w:pPr>
        <w:tabs>
          <w:tab w:val="num" w:pos="3960"/>
        </w:tabs>
        <w:ind w:left="3960" w:hanging="296"/>
      </w:pPr>
      <w:rPr>
        <w:rFonts w:ascii="Calibri" w:eastAsia="Calibri" w:hAnsi="Calibri" w:cs="Calibri"/>
        <w:b/>
        <w:bCs/>
        <w:position w:val="0"/>
        <w:sz w:val="24"/>
        <w:szCs w:val="24"/>
        <w:rtl w:val="0"/>
      </w:rPr>
    </w:lvl>
    <w:lvl w:ilvl="6">
      <w:start w:val="1"/>
      <w:numFmt w:val="decimal"/>
      <w:lvlText w:val="%7."/>
      <w:lvlJc w:val="left"/>
      <w:pPr>
        <w:tabs>
          <w:tab w:val="num" w:pos="4680"/>
        </w:tabs>
        <w:ind w:left="4680" w:hanging="360"/>
      </w:pPr>
      <w:rPr>
        <w:rFonts w:ascii="Calibri" w:eastAsia="Calibri" w:hAnsi="Calibri" w:cs="Calibri"/>
        <w:b/>
        <w:bCs/>
        <w:position w:val="0"/>
        <w:sz w:val="24"/>
        <w:szCs w:val="24"/>
        <w:rtl w:val="0"/>
      </w:rPr>
    </w:lvl>
    <w:lvl w:ilvl="7">
      <w:start w:val="1"/>
      <w:numFmt w:val="lowerLetter"/>
      <w:lvlText w:val="%8."/>
      <w:lvlJc w:val="left"/>
      <w:pPr>
        <w:tabs>
          <w:tab w:val="num" w:pos="5400"/>
        </w:tabs>
        <w:ind w:left="5400" w:hanging="360"/>
      </w:pPr>
      <w:rPr>
        <w:rFonts w:ascii="Calibri" w:eastAsia="Calibri" w:hAnsi="Calibri" w:cs="Calibri"/>
        <w:b/>
        <w:bCs/>
        <w:position w:val="0"/>
        <w:sz w:val="24"/>
        <w:szCs w:val="24"/>
        <w:rtl w:val="0"/>
      </w:rPr>
    </w:lvl>
    <w:lvl w:ilvl="8">
      <w:start w:val="1"/>
      <w:numFmt w:val="lowerRoman"/>
      <w:lvlText w:val="%9."/>
      <w:lvlJc w:val="left"/>
      <w:pPr>
        <w:tabs>
          <w:tab w:val="num" w:pos="6120"/>
        </w:tabs>
        <w:ind w:left="6120" w:hanging="296"/>
      </w:pPr>
      <w:rPr>
        <w:rFonts w:ascii="Calibri" w:eastAsia="Calibri" w:hAnsi="Calibri" w:cs="Calibri"/>
        <w:b/>
        <w:bCs/>
        <w:position w:val="0"/>
        <w:sz w:val="24"/>
        <w:szCs w:val="24"/>
        <w:rtl w:val="0"/>
      </w:rPr>
    </w:lvl>
  </w:abstractNum>
  <w:abstractNum w:abstractNumId="38">
    <w:nsid w:val="5A107283"/>
    <w:multiLevelType w:val="hybridMultilevel"/>
    <w:tmpl w:val="DB8286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5B855801"/>
    <w:multiLevelType w:val="hybridMultilevel"/>
    <w:tmpl w:val="B6DA4D6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nsid w:val="61860E17"/>
    <w:multiLevelType w:val="hybridMultilevel"/>
    <w:tmpl w:val="932EEDDC"/>
    <w:lvl w:ilvl="0" w:tplc="04D0154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nsid w:val="61F827A5"/>
    <w:multiLevelType w:val="hybridMultilevel"/>
    <w:tmpl w:val="22104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50A0DFF"/>
    <w:multiLevelType w:val="hybridMultilevel"/>
    <w:tmpl w:val="208E69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nsid w:val="6EEC258B"/>
    <w:multiLevelType w:val="hybridMultilevel"/>
    <w:tmpl w:val="F8265F9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25"/>
  </w:num>
  <w:num w:numId="3">
    <w:abstractNumId w:val="26"/>
  </w:num>
  <w:num w:numId="4">
    <w:abstractNumId w:val="2"/>
  </w:num>
  <w:num w:numId="5">
    <w:abstractNumId w:val="3"/>
  </w:num>
  <w:num w:numId="6">
    <w:abstractNumId w:val="4"/>
  </w:num>
  <w:num w:numId="7">
    <w:abstractNumId w:val="7"/>
  </w:num>
  <w:num w:numId="8">
    <w:abstractNumId w:val="1"/>
  </w:num>
  <w:num w:numId="9">
    <w:abstractNumId w:val="5"/>
    <w:lvlOverride w:ilvl="0">
      <w:lvl w:ilvl="0">
        <w:start w:val="1"/>
        <w:numFmt w:val="decimal"/>
        <w:lvlText w:val="%1."/>
        <w:lvlJc w:val="left"/>
        <w:pPr>
          <w:tabs>
            <w:tab w:val="num" w:pos="-2142"/>
          </w:tabs>
          <w:ind w:left="-2142" w:hanging="357"/>
        </w:pPr>
        <w:rPr>
          <w:position w:val="0"/>
          <w:sz w:val="24"/>
          <w:szCs w:val="24"/>
          <w:rtl w:val="0"/>
        </w:rPr>
      </w:lvl>
    </w:lvlOverride>
  </w:num>
  <w:num w:numId="10">
    <w:abstractNumId w:val="37"/>
  </w:num>
  <w:num w:numId="11">
    <w:abstractNumId w:val="23"/>
  </w:num>
  <w:num w:numId="12">
    <w:abstractNumId w:val="32"/>
  </w:num>
  <w:num w:numId="13">
    <w:abstractNumId w:val="14"/>
  </w:num>
  <w:num w:numId="14">
    <w:abstractNumId w:val="35"/>
  </w:num>
  <w:num w:numId="15">
    <w:abstractNumId w:val="33"/>
  </w:num>
  <w:num w:numId="16">
    <w:abstractNumId w:val="42"/>
  </w:num>
  <w:num w:numId="17">
    <w:abstractNumId w:val="9"/>
  </w:num>
  <w:num w:numId="18">
    <w:abstractNumId w:val="39"/>
  </w:num>
  <w:num w:numId="19">
    <w:abstractNumId w:val="43"/>
  </w:num>
  <w:num w:numId="20">
    <w:abstractNumId w:val="21"/>
  </w:num>
  <w:num w:numId="21">
    <w:abstractNumId w:val="18"/>
  </w:num>
  <w:num w:numId="22">
    <w:abstractNumId w:val="19"/>
  </w:num>
  <w:num w:numId="23">
    <w:abstractNumId w:val="15"/>
  </w:num>
  <w:num w:numId="24">
    <w:abstractNumId w:val="11"/>
  </w:num>
  <w:num w:numId="25">
    <w:abstractNumId w:val="30"/>
  </w:num>
  <w:num w:numId="26">
    <w:abstractNumId w:val="22"/>
  </w:num>
  <w:num w:numId="27">
    <w:abstractNumId w:val="40"/>
  </w:num>
  <w:num w:numId="28">
    <w:abstractNumId w:val="28"/>
  </w:num>
  <w:num w:numId="29">
    <w:abstractNumId w:val="17"/>
  </w:num>
  <w:num w:numId="30">
    <w:abstractNumId w:val="13"/>
  </w:num>
  <w:num w:numId="31">
    <w:abstractNumId w:val="27"/>
  </w:num>
  <w:num w:numId="32">
    <w:abstractNumId w:val="38"/>
  </w:num>
  <w:num w:numId="33">
    <w:abstractNumId w:val="31"/>
  </w:num>
  <w:num w:numId="34">
    <w:abstractNumId w:val="29"/>
  </w:num>
  <w:num w:numId="35">
    <w:abstractNumId w:val="5"/>
  </w:num>
  <w:num w:numId="36">
    <w:abstractNumId w:val="6"/>
  </w:num>
  <w:num w:numId="37">
    <w:abstractNumId w:val="24"/>
  </w:num>
  <w:num w:numId="38">
    <w:abstractNumId w:val="36"/>
  </w:num>
  <w:num w:numId="39">
    <w:abstractNumId w:val="12"/>
  </w:num>
  <w:num w:numId="40">
    <w:abstractNumId w:val="34"/>
  </w:num>
  <w:num w:numId="41">
    <w:abstractNumId w:val="41"/>
  </w:num>
  <w:num w:numId="42">
    <w:abstractNumId w:val="20"/>
  </w:num>
  <w:num w:numId="43">
    <w:abstractNumId w:val="8"/>
  </w:num>
  <w:num w:numId="44">
    <w:abstractNumId w:val="10"/>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ttachedTemplate r:id="rId1"/>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C4D"/>
    <w:rsid w:val="000008C4"/>
    <w:rsid w:val="00003773"/>
    <w:rsid w:val="00003DA7"/>
    <w:rsid w:val="00004313"/>
    <w:rsid w:val="00004DA5"/>
    <w:rsid w:val="0001036A"/>
    <w:rsid w:val="00010496"/>
    <w:rsid w:val="00010CD6"/>
    <w:rsid w:val="00011792"/>
    <w:rsid w:val="000122FD"/>
    <w:rsid w:val="0001327F"/>
    <w:rsid w:val="000145A9"/>
    <w:rsid w:val="000150C9"/>
    <w:rsid w:val="00015792"/>
    <w:rsid w:val="00015815"/>
    <w:rsid w:val="000159EE"/>
    <w:rsid w:val="00015BE9"/>
    <w:rsid w:val="000160EE"/>
    <w:rsid w:val="00016142"/>
    <w:rsid w:val="00017061"/>
    <w:rsid w:val="000200F0"/>
    <w:rsid w:val="000206E0"/>
    <w:rsid w:val="00020B46"/>
    <w:rsid w:val="00021DF6"/>
    <w:rsid w:val="00022A57"/>
    <w:rsid w:val="0002331A"/>
    <w:rsid w:val="00023970"/>
    <w:rsid w:val="000259EA"/>
    <w:rsid w:val="00025D8A"/>
    <w:rsid w:val="00027122"/>
    <w:rsid w:val="00027495"/>
    <w:rsid w:val="00027CFB"/>
    <w:rsid w:val="00027E82"/>
    <w:rsid w:val="00030679"/>
    <w:rsid w:val="0003068C"/>
    <w:rsid w:val="00030EC6"/>
    <w:rsid w:val="00030F2A"/>
    <w:rsid w:val="00031726"/>
    <w:rsid w:val="00032876"/>
    <w:rsid w:val="000339BD"/>
    <w:rsid w:val="00033A18"/>
    <w:rsid w:val="000347F9"/>
    <w:rsid w:val="00035224"/>
    <w:rsid w:val="000353AE"/>
    <w:rsid w:val="00036225"/>
    <w:rsid w:val="00036F17"/>
    <w:rsid w:val="00037247"/>
    <w:rsid w:val="000376A0"/>
    <w:rsid w:val="00037985"/>
    <w:rsid w:val="00041A5F"/>
    <w:rsid w:val="000432BC"/>
    <w:rsid w:val="00043354"/>
    <w:rsid w:val="00043710"/>
    <w:rsid w:val="00044051"/>
    <w:rsid w:val="000458FA"/>
    <w:rsid w:val="00046685"/>
    <w:rsid w:val="00046C88"/>
    <w:rsid w:val="00050BA5"/>
    <w:rsid w:val="00052646"/>
    <w:rsid w:val="00053253"/>
    <w:rsid w:val="00053483"/>
    <w:rsid w:val="00053F9F"/>
    <w:rsid w:val="0005437C"/>
    <w:rsid w:val="00055106"/>
    <w:rsid w:val="00055615"/>
    <w:rsid w:val="00056FFB"/>
    <w:rsid w:val="00057022"/>
    <w:rsid w:val="00057C15"/>
    <w:rsid w:val="000602E1"/>
    <w:rsid w:val="000603F4"/>
    <w:rsid w:val="00060744"/>
    <w:rsid w:val="000611B9"/>
    <w:rsid w:val="00064926"/>
    <w:rsid w:val="00065036"/>
    <w:rsid w:val="000655BB"/>
    <w:rsid w:val="00066061"/>
    <w:rsid w:val="000660E1"/>
    <w:rsid w:val="000667DF"/>
    <w:rsid w:val="0006718C"/>
    <w:rsid w:val="00067D0C"/>
    <w:rsid w:val="00072002"/>
    <w:rsid w:val="00072181"/>
    <w:rsid w:val="00072337"/>
    <w:rsid w:val="00072F5E"/>
    <w:rsid w:val="00075380"/>
    <w:rsid w:val="00075DBD"/>
    <w:rsid w:val="00075E45"/>
    <w:rsid w:val="000761E2"/>
    <w:rsid w:val="0007673E"/>
    <w:rsid w:val="0008024E"/>
    <w:rsid w:val="00081C29"/>
    <w:rsid w:val="00082CD2"/>
    <w:rsid w:val="00082F60"/>
    <w:rsid w:val="00083179"/>
    <w:rsid w:val="00083C4D"/>
    <w:rsid w:val="00084481"/>
    <w:rsid w:val="00085725"/>
    <w:rsid w:val="0008601C"/>
    <w:rsid w:val="00087008"/>
    <w:rsid w:val="000871E5"/>
    <w:rsid w:val="0009204A"/>
    <w:rsid w:val="0009209B"/>
    <w:rsid w:val="000925C4"/>
    <w:rsid w:val="00092CA6"/>
    <w:rsid w:val="00093048"/>
    <w:rsid w:val="00093320"/>
    <w:rsid w:val="00093EC1"/>
    <w:rsid w:val="0009401E"/>
    <w:rsid w:val="00094095"/>
    <w:rsid w:val="0009415B"/>
    <w:rsid w:val="00094703"/>
    <w:rsid w:val="000959AA"/>
    <w:rsid w:val="0009678B"/>
    <w:rsid w:val="000969AF"/>
    <w:rsid w:val="0009794E"/>
    <w:rsid w:val="000A052F"/>
    <w:rsid w:val="000A1112"/>
    <w:rsid w:val="000A18A9"/>
    <w:rsid w:val="000A222C"/>
    <w:rsid w:val="000A4E55"/>
    <w:rsid w:val="000A57CB"/>
    <w:rsid w:val="000A5C55"/>
    <w:rsid w:val="000A63DB"/>
    <w:rsid w:val="000A76A9"/>
    <w:rsid w:val="000B0938"/>
    <w:rsid w:val="000B0A5E"/>
    <w:rsid w:val="000B0AD5"/>
    <w:rsid w:val="000B2F1D"/>
    <w:rsid w:val="000B6965"/>
    <w:rsid w:val="000B6C8A"/>
    <w:rsid w:val="000B6DA3"/>
    <w:rsid w:val="000B7414"/>
    <w:rsid w:val="000C0AA3"/>
    <w:rsid w:val="000C1296"/>
    <w:rsid w:val="000C25FC"/>
    <w:rsid w:val="000C3FA4"/>
    <w:rsid w:val="000C4C0D"/>
    <w:rsid w:val="000C50A4"/>
    <w:rsid w:val="000C583C"/>
    <w:rsid w:val="000C5D61"/>
    <w:rsid w:val="000C5F17"/>
    <w:rsid w:val="000D1A37"/>
    <w:rsid w:val="000D1B5C"/>
    <w:rsid w:val="000D1E34"/>
    <w:rsid w:val="000D27B4"/>
    <w:rsid w:val="000D3594"/>
    <w:rsid w:val="000D3700"/>
    <w:rsid w:val="000D3955"/>
    <w:rsid w:val="000D3D1E"/>
    <w:rsid w:val="000D42DD"/>
    <w:rsid w:val="000D4CC5"/>
    <w:rsid w:val="000D4FBF"/>
    <w:rsid w:val="000D5B17"/>
    <w:rsid w:val="000D6272"/>
    <w:rsid w:val="000D6D17"/>
    <w:rsid w:val="000D7CAA"/>
    <w:rsid w:val="000E17BD"/>
    <w:rsid w:val="000E319D"/>
    <w:rsid w:val="000E4566"/>
    <w:rsid w:val="000E555A"/>
    <w:rsid w:val="000E5713"/>
    <w:rsid w:val="000E68FB"/>
    <w:rsid w:val="000E77FC"/>
    <w:rsid w:val="000F03FB"/>
    <w:rsid w:val="000F0712"/>
    <w:rsid w:val="000F0870"/>
    <w:rsid w:val="000F1320"/>
    <w:rsid w:val="000F28F2"/>
    <w:rsid w:val="000F3BF9"/>
    <w:rsid w:val="000F3D51"/>
    <w:rsid w:val="000F47E7"/>
    <w:rsid w:val="000F575B"/>
    <w:rsid w:val="000F6252"/>
    <w:rsid w:val="000F62C1"/>
    <w:rsid w:val="000F6F79"/>
    <w:rsid w:val="000F725B"/>
    <w:rsid w:val="000F74D3"/>
    <w:rsid w:val="000F76A8"/>
    <w:rsid w:val="000F7877"/>
    <w:rsid w:val="00100DD1"/>
    <w:rsid w:val="0010192F"/>
    <w:rsid w:val="00101CCB"/>
    <w:rsid w:val="00102E76"/>
    <w:rsid w:val="0010419C"/>
    <w:rsid w:val="00104E2B"/>
    <w:rsid w:val="00105A8D"/>
    <w:rsid w:val="001063BC"/>
    <w:rsid w:val="00106706"/>
    <w:rsid w:val="001067D5"/>
    <w:rsid w:val="00106C9D"/>
    <w:rsid w:val="00107D64"/>
    <w:rsid w:val="00110323"/>
    <w:rsid w:val="00111C6F"/>
    <w:rsid w:val="00112D78"/>
    <w:rsid w:val="00113C3F"/>
    <w:rsid w:val="00113C4B"/>
    <w:rsid w:val="00115775"/>
    <w:rsid w:val="00115FA6"/>
    <w:rsid w:val="00117EB6"/>
    <w:rsid w:val="00120771"/>
    <w:rsid w:val="00120E37"/>
    <w:rsid w:val="00120F85"/>
    <w:rsid w:val="00123B23"/>
    <w:rsid w:val="0012443A"/>
    <w:rsid w:val="0012459B"/>
    <w:rsid w:val="00125379"/>
    <w:rsid w:val="00125B0F"/>
    <w:rsid w:val="0012637C"/>
    <w:rsid w:val="00126737"/>
    <w:rsid w:val="001267ED"/>
    <w:rsid w:val="00126C98"/>
    <w:rsid w:val="00126F0B"/>
    <w:rsid w:val="001270C8"/>
    <w:rsid w:val="00127537"/>
    <w:rsid w:val="001275AB"/>
    <w:rsid w:val="00127615"/>
    <w:rsid w:val="00127F71"/>
    <w:rsid w:val="00130008"/>
    <w:rsid w:val="0013062A"/>
    <w:rsid w:val="00130822"/>
    <w:rsid w:val="00130C27"/>
    <w:rsid w:val="00131870"/>
    <w:rsid w:val="001328AB"/>
    <w:rsid w:val="0013297E"/>
    <w:rsid w:val="00132F09"/>
    <w:rsid w:val="001335AC"/>
    <w:rsid w:val="001336AE"/>
    <w:rsid w:val="00133DDF"/>
    <w:rsid w:val="00133EFB"/>
    <w:rsid w:val="001343BD"/>
    <w:rsid w:val="001348D6"/>
    <w:rsid w:val="00134D71"/>
    <w:rsid w:val="001352A6"/>
    <w:rsid w:val="00137FFE"/>
    <w:rsid w:val="001406C5"/>
    <w:rsid w:val="00142508"/>
    <w:rsid w:val="001426F2"/>
    <w:rsid w:val="00142956"/>
    <w:rsid w:val="0014336B"/>
    <w:rsid w:val="001460A7"/>
    <w:rsid w:val="00146E52"/>
    <w:rsid w:val="00147D31"/>
    <w:rsid w:val="001504E5"/>
    <w:rsid w:val="00150DAA"/>
    <w:rsid w:val="00150FD8"/>
    <w:rsid w:val="0015154E"/>
    <w:rsid w:val="00151908"/>
    <w:rsid w:val="00151BA7"/>
    <w:rsid w:val="00151EA7"/>
    <w:rsid w:val="00151F54"/>
    <w:rsid w:val="00153B32"/>
    <w:rsid w:val="00155432"/>
    <w:rsid w:val="00157174"/>
    <w:rsid w:val="00157AF5"/>
    <w:rsid w:val="00157C91"/>
    <w:rsid w:val="001608A6"/>
    <w:rsid w:val="00161F49"/>
    <w:rsid w:val="00162B1E"/>
    <w:rsid w:val="00163465"/>
    <w:rsid w:val="001635AD"/>
    <w:rsid w:val="00163C74"/>
    <w:rsid w:val="0016479D"/>
    <w:rsid w:val="00164CB7"/>
    <w:rsid w:val="00166ACF"/>
    <w:rsid w:val="001671AD"/>
    <w:rsid w:val="00167846"/>
    <w:rsid w:val="0017006C"/>
    <w:rsid w:val="0017024C"/>
    <w:rsid w:val="001718AC"/>
    <w:rsid w:val="0017362E"/>
    <w:rsid w:val="00173A6F"/>
    <w:rsid w:val="00173B51"/>
    <w:rsid w:val="00174D34"/>
    <w:rsid w:val="0017578D"/>
    <w:rsid w:val="00176CD4"/>
    <w:rsid w:val="00177E6D"/>
    <w:rsid w:val="0018035B"/>
    <w:rsid w:val="001812E8"/>
    <w:rsid w:val="00183499"/>
    <w:rsid w:val="00183A7C"/>
    <w:rsid w:val="0018436D"/>
    <w:rsid w:val="001844B2"/>
    <w:rsid w:val="00184E9D"/>
    <w:rsid w:val="001858CF"/>
    <w:rsid w:val="00186D14"/>
    <w:rsid w:val="001879EE"/>
    <w:rsid w:val="00187E3E"/>
    <w:rsid w:val="001904CB"/>
    <w:rsid w:val="00190DE7"/>
    <w:rsid w:val="001921AA"/>
    <w:rsid w:val="00193F9F"/>
    <w:rsid w:val="00194A6E"/>
    <w:rsid w:val="00195316"/>
    <w:rsid w:val="00195CDF"/>
    <w:rsid w:val="001966D4"/>
    <w:rsid w:val="00197855"/>
    <w:rsid w:val="00197879"/>
    <w:rsid w:val="00197C2A"/>
    <w:rsid w:val="001A029D"/>
    <w:rsid w:val="001A039C"/>
    <w:rsid w:val="001A0585"/>
    <w:rsid w:val="001A064F"/>
    <w:rsid w:val="001A0AD9"/>
    <w:rsid w:val="001A1191"/>
    <w:rsid w:val="001A199B"/>
    <w:rsid w:val="001A33E8"/>
    <w:rsid w:val="001A3AAD"/>
    <w:rsid w:val="001A3BC6"/>
    <w:rsid w:val="001A3E2D"/>
    <w:rsid w:val="001A4500"/>
    <w:rsid w:val="001A4E9A"/>
    <w:rsid w:val="001A525F"/>
    <w:rsid w:val="001A76CC"/>
    <w:rsid w:val="001A7BCD"/>
    <w:rsid w:val="001B13B0"/>
    <w:rsid w:val="001B2BB4"/>
    <w:rsid w:val="001B2DEB"/>
    <w:rsid w:val="001B5863"/>
    <w:rsid w:val="001B5BCF"/>
    <w:rsid w:val="001B6194"/>
    <w:rsid w:val="001B6C23"/>
    <w:rsid w:val="001B7936"/>
    <w:rsid w:val="001C0EDA"/>
    <w:rsid w:val="001C1AEB"/>
    <w:rsid w:val="001C1F35"/>
    <w:rsid w:val="001C23F1"/>
    <w:rsid w:val="001C3A6C"/>
    <w:rsid w:val="001C3EB4"/>
    <w:rsid w:val="001C6830"/>
    <w:rsid w:val="001C7E8F"/>
    <w:rsid w:val="001D19CB"/>
    <w:rsid w:val="001D2267"/>
    <w:rsid w:val="001D368B"/>
    <w:rsid w:val="001D5357"/>
    <w:rsid w:val="001D565B"/>
    <w:rsid w:val="001D57D0"/>
    <w:rsid w:val="001D673B"/>
    <w:rsid w:val="001D7837"/>
    <w:rsid w:val="001E1255"/>
    <w:rsid w:val="001E148A"/>
    <w:rsid w:val="001E241D"/>
    <w:rsid w:val="001E3489"/>
    <w:rsid w:val="001E3F79"/>
    <w:rsid w:val="001E3F8D"/>
    <w:rsid w:val="001E49DA"/>
    <w:rsid w:val="001E4D2E"/>
    <w:rsid w:val="001E51A2"/>
    <w:rsid w:val="001E54EB"/>
    <w:rsid w:val="001E5ABA"/>
    <w:rsid w:val="001E71E9"/>
    <w:rsid w:val="001E79F5"/>
    <w:rsid w:val="001E7A59"/>
    <w:rsid w:val="001F03A3"/>
    <w:rsid w:val="001F148B"/>
    <w:rsid w:val="001F1925"/>
    <w:rsid w:val="001F20ED"/>
    <w:rsid w:val="001F343C"/>
    <w:rsid w:val="001F41D0"/>
    <w:rsid w:val="001F4216"/>
    <w:rsid w:val="001F472E"/>
    <w:rsid w:val="001F4D9F"/>
    <w:rsid w:val="001F4DA9"/>
    <w:rsid w:val="001F4EA2"/>
    <w:rsid w:val="001F5668"/>
    <w:rsid w:val="001F5815"/>
    <w:rsid w:val="001F62C7"/>
    <w:rsid w:val="001F6FD2"/>
    <w:rsid w:val="00200EA8"/>
    <w:rsid w:val="00201C0C"/>
    <w:rsid w:val="00201E76"/>
    <w:rsid w:val="002023B9"/>
    <w:rsid w:val="002029FA"/>
    <w:rsid w:val="00203C6D"/>
    <w:rsid w:val="00206A05"/>
    <w:rsid w:val="00206B76"/>
    <w:rsid w:val="00210AAC"/>
    <w:rsid w:val="00212C92"/>
    <w:rsid w:val="00213D17"/>
    <w:rsid w:val="0021448B"/>
    <w:rsid w:val="0021548E"/>
    <w:rsid w:val="00216E65"/>
    <w:rsid w:val="00217EB7"/>
    <w:rsid w:val="002209F2"/>
    <w:rsid w:val="00221BC8"/>
    <w:rsid w:val="0022281A"/>
    <w:rsid w:val="0022299C"/>
    <w:rsid w:val="00223243"/>
    <w:rsid w:val="002235A1"/>
    <w:rsid w:val="002238E4"/>
    <w:rsid w:val="002252F5"/>
    <w:rsid w:val="00225D9B"/>
    <w:rsid w:val="00226181"/>
    <w:rsid w:val="00226301"/>
    <w:rsid w:val="002264B0"/>
    <w:rsid w:val="00226885"/>
    <w:rsid w:val="00226A4F"/>
    <w:rsid w:val="00227549"/>
    <w:rsid w:val="002279CC"/>
    <w:rsid w:val="0023017A"/>
    <w:rsid w:val="0023150E"/>
    <w:rsid w:val="0023168F"/>
    <w:rsid w:val="002316EB"/>
    <w:rsid w:val="002337EF"/>
    <w:rsid w:val="002351ED"/>
    <w:rsid w:val="002367D8"/>
    <w:rsid w:val="0024060B"/>
    <w:rsid w:val="002411D1"/>
    <w:rsid w:val="00241EEA"/>
    <w:rsid w:val="002422D6"/>
    <w:rsid w:val="0024275E"/>
    <w:rsid w:val="00244AAF"/>
    <w:rsid w:val="00244C6C"/>
    <w:rsid w:val="002454C9"/>
    <w:rsid w:val="002474C8"/>
    <w:rsid w:val="002474DA"/>
    <w:rsid w:val="00247D27"/>
    <w:rsid w:val="002504F0"/>
    <w:rsid w:val="00250AF3"/>
    <w:rsid w:val="002520DF"/>
    <w:rsid w:val="002533B3"/>
    <w:rsid w:val="00253E6B"/>
    <w:rsid w:val="00253F9F"/>
    <w:rsid w:val="00254277"/>
    <w:rsid w:val="00254834"/>
    <w:rsid w:val="002557C0"/>
    <w:rsid w:val="00256902"/>
    <w:rsid w:val="0026013F"/>
    <w:rsid w:val="002602A1"/>
    <w:rsid w:val="00260572"/>
    <w:rsid w:val="002623FF"/>
    <w:rsid w:val="00262BE8"/>
    <w:rsid w:val="00263775"/>
    <w:rsid w:val="00263CA9"/>
    <w:rsid w:val="00265116"/>
    <w:rsid w:val="002659D6"/>
    <w:rsid w:val="00265F33"/>
    <w:rsid w:val="00270AAD"/>
    <w:rsid w:val="00270E12"/>
    <w:rsid w:val="00270F0D"/>
    <w:rsid w:val="00270FC1"/>
    <w:rsid w:val="0027159F"/>
    <w:rsid w:val="0027174C"/>
    <w:rsid w:val="002729CC"/>
    <w:rsid w:val="00272A74"/>
    <w:rsid w:val="00276129"/>
    <w:rsid w:val="002769D3"/>
    <w:rsid w:val="00276CAB"/>
    <w:rsid w:val="002775DD"/>
    <w:rsid w:val="00277EE3"/>
    <w:rsid w:val="00277FA9"/>
    <w:rsid w:val="002800BE"/>
    <w:rsid w:val="00281477"/>
    <w:rsid w:val="00281B3C"/>
    <w:rsid w:val="00281C9D"/>
    <w:rsid w:val="00282585"/>
    <w:rsid w:val="00283AE1"/>
    <w:rsid w:val="00283B89"/>
    <w:rsid w:val="00284B7F"/>
    <w:rsid w:val="00284FB4"/>
    <w:rsid w:val="002850BD"/>
    <w:rsid w:val="002854AC"/>
    <w:rsid w:val="00286102"/>
    <w:rsid w:val="002876D8"/>
    <w:rsid w:val="00290740"/>
    <w:rsid w:val="002910E9"/>
    <w:rsid w:val="002915EF"/>
    <w:rsid w:val="00291A64"/>
    <w:rsid w:val="002923F2"/>
    <w:rsid w:val="002929F4"/>
    <w:rsid w:val="00294B99"/>
    <w:rsid w:val="00294F7E"/>
    <w:rsid w:val="002957C5"/>
    <w:rsid w:val="00296E5C"/>
    <w:rsid w:val="002A0919"/>
    <w:rsid w:val="002A0B2B"/>
    <w:rsid w:val="002A1089"/>
    <w:rsid w:val="002A18D2"/>
    <w:rsid w:val="002A214C"/>
    <w:rsid w:val="002A310E"/>
    <w:rsid w:val="002A3430"/>
    <w:rsid w:val="002A4529"/>
    <w:rsid w:val="002A4CF7"/>
    <w:rsid w:val="002A5988"/>
    <w:rsid w:val="002A5AAF"/>
    <w:rsid w:val="002A639F"/>
    <w:rsid w:val="002A6676"/>
    <w:rsid w:val="002A6CE4"/>
    <w:rsid w:val="002A6D0B"/>
    <w:rsid w:val="002A7B2E"/>
    <w:rsid w:val="002B01B3"/>
    <w:rsid w:val="002B05D6"/>
    <w:rsid w:val="002B1338"/>
    <w:rsid w:val="002B372C"/>
    <w:rsid w:val="002B3F7C"/>
    <w:rsid w:val="002B4696"/>
    <w:rsid w:val="002B472A"/>
    <w:rsid w:val="002B5A9E"/>
    <w:rsid w:val="002B5AFB"/>
    <w:rsid w:val="002B66A7"/>
    <w:rsid w:val="002B72D4"/>
    <w:rsid w:val="002B77DC"/>
    <w:rsid w:val="002B7A2D"/>
    <w:rsid w:val="002C0887"/>
    <w:rsid w:val="002C1479"/>
    <w:rsid w:val="002C1880"/>
    <w:rsid w:val="002C1994"/>
    <w:rsid w:val="002C2C32"/>
    <w:rsid w:val="002C463A"/>
    <w:rsid w:val="002C4883"/>
    <w:rsid w:val="002C51B8"/>
    <w:rsid w:val="002C6928"/>
    <w:rsid w:val="002C7B36"/>
    <w:rsid w:val="002C7FC3"/>
    <w:rsid w:val="002D03D8"/>
    <w:rsid w:val="002D0502"/>
    <w:rsid w:val="002D177D"/>
    <w:rsid w:val="002D1AE4"/>
    <w:rsid w:val="002D2B32"/>
    <w:rsid w:val="002D5600"/>
    <w:rsid w:val="002D5B19"/>
    <w:rsid w:val="002D5EA9"/>
    <w:rsid w:val="002D69AC"/>
    <w:rsid w:val="002D6D4D"/>
    <w:rsid w:val="002E05B2"/>
    <w:rsid w:val="002E0A12"/>
    <w:rsid w:val="002E0C10"/>
    <w:rsid w:val="002E1E9F"/>
    <w:rsid w:val="002E3185"/>
    <w:rsid w:val="002E3506"/>
    <w:rsid w:val="002E38D3"/>
    <w:rsid w:val="002E41B3"/>
    <w:rsid w:val="002E5E4B"/>
    <w:rsid w:val="002E79DD"/>
    <w:rsid w:val="002E7C24"/>
    <w:rsid w:val="002F06A3"/>
    <w:rsid w:val="002F14DB"/>
    <w:rsid w:val="002F1DA4"/>
    <w:rsid w:val="002F3FF9"/>
    <w:rsid w:val="002F47A8"/>
    <w:rsid w:val="002F583A"/>
    <w:rsid w:val="002F7D04"/>
    <w:rsid w:val="002F7D80"/>
    <w:rsid w:val="00300189"/>
    <w:rsid w:val="0030020D"/>
    <w:rsid w:val="00302303"/>
    <w:rsid w:val="00304042"/>
    <w:rsid w:val="003048EE"/>
    <w:rsid w:val="00306A2C"/>
    <w:rsid w:val="00306EB6"/>
    <w:rsid w:val="0030720E"/>
    <w:rsid w:val="003076B9"/>
    <w:rsid w:val="00307C67"/>
    <w:rsid w:val="00307CB8"/>
    <w:rsid w:val="00310111"/>
    <w:rsid w:val="0031067E"/>
    <w:rsid w:val="0031173A"/>
    <w:rsid w:val="0031331E"/>
    <w:rsid w:val="00313BD0"/>
    <w:rsid w:val="00313C9E"/>
    <w:rsid w:val="00313D2B"/>
    <w:rsid w:val="00314B91"/>
    <w:rsid w:val="00314EBA"/>
    <w:rsid w:val="003151F3"/>
    <w:rsid w:val="00315FA1"/>
    <w:rsid w:val="003161CD"/>
    <w:rsid w:val="003177C0"/>
    <w:rsid w:val="003225E5"/>
    <w:rsid w:val="003239B2"/>
    <w:rsid w:val="00324696"/>
    <w:rsid w:val="0032515F"/>
    <w:rsid w:val="0032649A"/>
    <w:rsid w:val="0032663B"/>
    <w:rsid w:val="00326FE6"/>
    <w:rsid w:val="00330C05"/>
    <w:rsid w:val="00331363"/>
    <w:rsid w:val="00331552"/>
    <w:rsid w:val="00331651"/>
    <w:rsid w:val="00331C5F"/>
    <w:rsid w:val="00331E7D"/>
    <w:rsid w:val="00332049"/>
    <w:rsid w:val="0033213C"/>
    <w:rsid w:val="00333377"/>
    <w:rsid w:val="003338C4"/>
    <w:rsid w:val="00334B49"/>
    <w:rsid w:val="003351F5"/>
    <w:rsid w:val="00335573"/>
    <w:rsid w:val="00335862"/>
    <w:rsid w:val="00336888"/>
    <w:rsid w:val="00336AC6"/>
    <w:rsid w:val="00336DB6"/>
    <w:rsid w:val="00337C95"/>
    <w:rsid w:val="00340793"/>
    <w:rsid w:val="003410B4"/>
    <w:rsid w:val="0034131C"/>
    <w:rsid w:val="00341DAD"/>
    <w:rsid w:val="00342A30"/>
    <w:rsid w:val="00344176"/>
    <w:rsid w:val="00345247"/>
    <w:rsid w:val="003455E9"/>
    <w:rsid w:val="00345F7D"/>
    <w:rsid w:val="00346051"/>
    <w:rsid w:val="00347094"/>
    <w:rsid w:val="00347126"/>
    <w:rsid w:val="00347549"/>
    <w:rsid w:val="003508FD"/>
    <w:rsid w:val="00350EA4"/>
    <w:rsid w:val="003516B7"/>
    <w:rsid w:val="00351F2C"/>
    <w:rsid w:val="00352016"/>
    <w:rsid w:val="003521FF"/>
    <w:rsid w:val="0035510E"/>
    <w:rsid w:val="0035604A"/>
    <w:rsid w:val="003563E0"/>
    <w:rsid w:val="00356DE3"/>
    <w:rsid w:val="00357C51"/>
    <w:rsid w:val="0036023E"/>
    <w:rsid w:val="00360777"/>
    <w:rsid w:val="00360F04"/>
    <w:rsid w:val="003616FC"/>
    <w:rsid w:val="003617E0"/>
    <w:rsid w:val="003625EE"/>
    <w:rsid w:val="0036292D"/>
    <w:rsid w:val="00362B7A"/>
    <w:rsid w:val="00363164"/>
    <w:rsid w:val="003632D3"/>
    <w:rsid w:val="003637C7"/>
    <w:rsid w:val="00364543"/>
    <w:rsid w:val="0036521D"/>
    <w:rsid w:val="0036525C"/>
    <w:rsid w:val="0036532B"/>
    <w:rsid w:val="00365A8D"/>
    <w:rsid w:val="00370676"/>
    <w:rsid w:val="003708BD"/>
    <w:rsid w:val="00370D3E"/>
    <w:rsid w:val="0037115A"/>
    <w:rsid w:val="00372F20"/>
    <w:rsid w:val="00372F5E"/>
    <w:rsid w:val="00373051"/>
    <w:rsid w:val="0037311E"/>
    <w:rsid w:val="003738F5"/>
    <w:rsid w:val="00374B80"/>
    <w:rsid w:val="00376368"/>
    <w:rsid w:val="003767B4"/>
    <w:rsid w:val="00376D08"/>
    <w:rsid w:val="003804FF"/>
    <w:rsid w:val="00380869"/>
    <w:rsid w:val="00380905"/>
    <w:rsid w:val="003810A0"/>
    <w:rsid w:val="00381190"/>
    <w:rsid w:val="003816B3"/>
    <w:rsid w:val="00385910"/>
    <w:rsid w:val="00386023"/>
    <w:rsid w:val="00387E2F"/>
    <w:rsid w:val="003908D0"/>
    <w:rsid w:val="003914CF"/>
    <w:rsid w:val="00391E98"/>
    <w:rsid w:val="003934B1"/>
    <w:rsid w:val="003942B7"/>
    <w:rsid w:val="003945CD"/>
    <w:rsid w:val="003955B6"/>
    <w:rsid w:val="003957DF"/>
    <w:rsid w:val="00395D1D"/>
    <w:rsid w:val="00396B08"/>
    <w:rsid w:val="00396F91"/>
    <w:rsid w:val="00397CB3"/>
    <w:rsid w:val="00397D98"/>
    <w:rsid w:val="003A06BA"/>
    <w:rsid w:val="003A37DD"/>
    <w:rsid w:val="003A4671"/>
    <w:rsid w:val="003A47A6"/>
    <w:rsid w:val="003A496B"/>
    <w:rsid w:val="003A5D4C"/>
    <w:rsid w:val="003A7F0A"/>
    <w:rsid w:val="003B1135"/>
    <w:rsid w:val="003B1364"/>
    <w:rsid w:val="003B14D2"/>
    <w:rsid w:val="003B2070"/>
    <w:rsid w:val="003B408E"/>
    <w:rsid w:val="003B4B5D"/>
    <w:rsid w:val="003B5A19"/>
    <w:rsid w:val="003B6C47"/>
    <w:rsid w:val="003B77F3"/>
    <w:rsid w:val="003B7B51"/>
    <w:rsid w:val="003C21D5"/>
    <w:rsid w:val="003C227D"/>
    <w:rsid w:val="003C3760"/>
    <w:rsid w:val="003C39FF"/>
    <w:rsid w:val="003C3CA8"/>
    <w:rsid w:val="003C3E1E"/>
    <w:rsid w:val="003C5A27"/>
    <w:rsid w:val="003C5E48"/>
    <w:rsid w:val="003C64F3"/>
    <w:rsid w:val="003C6811"/>
    <w:rsid w:val="003C6EAF"/>
    <w:rsid w:val="003D1D57"/>
    <w:rsid w:val="003D3514"/>
    <w:rsid w:val="003D3806"/>
    <w:rsid w:val="003D3B8F"/>
    <w:rsid w:val="003D5955"/>
    <w:rsid w:val="003D597F"/>
    <w:rsid w:val="003D6D7D"/>
    <w:rsid w:val="003D70F4"/>
    <w:rsid w:val="003D7235"/>
    <w:rsid w:val="003D76A3"/>
    <w:rsid w:val="003D7CB1"/>
    <w:rsid w:val="003E0440"/>
    <w:rsid w:val="003E14E3"/>
    <w:rsid w:val="003E16E5"/>
    <w:rsid w:val="003E1B57"/>
    <w:rsid w:val="003E1DEE"/>
    <w:rsid w:val="003E2B1D"/>
    <w:rsid w:val="003E3164"/>
    <w:rsid w:val="003E3A34"/>
    <w:rsid w:val="003E4CE0"/>
    <w:rsid w:val="003E4F6C"/>
    <w:rsid w:val="003E5474"/>
    <w:rsid w:val="003E590F"/>
    <w:rsid w:val="003E5DCE"/>
    <w:rsid w:val="003E62D0"/>
    <w:rsid w:val="003E64AD"/>
    <w:rsid w:val="003F2A4A"/>
    <w:rsid w:val="003F3440"/>
    <w:rsid w:val="003F37B7"/>
    <w:rsid w:val="003F38F4"/>
    <w:rsid w:val="003F4D9F"/>
    <w:rsid w:val="003F55F0"/>
    <w:rsid w:val="003F5FA6"/>
    <w:rsid w:val="003F626B"/>
    <w:rsid w:val="003F6546"/>
    <w:rsid w:val="003F6B21"/>
    <w:rsid w:val="003F6D14"/>
    <w:rsid w:val="003F6FED"/>
    <w:rsid w:val="003F7579"/>
    <w:rsid w:val="003F7BEC"/>
    <w:rsid w:val="00400210"/>
    <w:rsid w:val="004010DE"/>
    <w:rsid w:val="0040259C"/>
    <w:rsid w:val="00403837"/>
    <w:rsid w:val="00403EBC"/>
    <w:rsid w:val="004040C8"/>
    <w:rsid w:val="00404A8A"/>
    <w:rsid w:val="00404C3D"/>
    <w:rsid w:val="00405065"/>
    <w:rsid w:val="00406A3E"/>
    <w:rsid w:val="00410327"/>
    <w:rsid w:val="00411E88"/>
    <w:rsid w:val="0041346D"/>
    <w:rsid w:val="004134C4"/>
    <w:rsid w:val="00413F0E"/>
    <w:rsid w:val="00415B2D"/>
    <w:rsid w:val="00416256"/>
    <w:rsid w:val="00417AFF"/>
    <w:rsid w:val="0042063E"/>
    <w:rsid w:val="0042155E"/>
    <w:rsid w:val="00423094"/>
    <w:rsid w:val="00423D0E"/>
    <w:rsid w:val="004240E8"/>
    <w:rsid w:val="00425739"/>
    <w:rsid w:val="00426342"/>
    <w:rsid w:val="00430729"/>
    <w:rsid w:val="0043182C"/>
    <w:rsid w:val="00431A19"/>
    <w:rsid w:val="00432E03"/>
    <w:rsid w:val="00434C20"/>
    <w:rsid w:val="004351BB"/>
    <w:rsid w:val="004352A8"/>
    <w:rsid w:val="00435B85"/>
    <w:rsid w:val="0043679C"/>
    <w:rsid w:val="004368B9"/>
    <w:rsid w:val="00436FE0"/>
    <w:rsid w:val="004402B7"/>
    <w:rsid w:val="00440FCD"/>
    <w:rsid w:val="004433E7"/>
    <w:rsid w:val="004444F3"/>
    <w:rsid w:val="0044611E"/>
    <w:rsid w:val="00446BD3"/>
    <w:rsid w:val="004470A9"/>
    <w:rsid w:val="004506AC"/>
    <w:rsid w:val="00450BEE"/>
    <w:rsid w:val="00451681"/>
    <w:rsid w:val="00451DCA"/>
    <w:rsid w:val="00451DE7"/>
    <w:rsid w:val="004521D2"/>
    <w:rsid w:val="00452501"/>
    <w:rsid w:val="004539BD"/>
    <w:rsid w:val="0045718A"/>
    <w:rsid w:val="00457675"/>
    <w:rsid w:val="0045773F"/>
    <w:rsid w:val="00457A60"/>
    <w:rsid w:val="00460979"/>
    <w:rsid w:val="00460F08"/>
    <w:rsid w:val="00462F4E"/>
    <w:rsid w:val="00463674"/>
    <w:rsid w:val="004648AA"/>
    <w:rsid w:val="00464ADC"/>
    <w:rsid w:val="00464DDA"/>
    <w:rsid w:val="0047031B"/>
    <w:rsid w:val="00470420"/>
    <w:rsid w:val="0047050E"/>
    <w:rsid w:val="004708AF"/>
    <w:rsid w:val="004711A6"/>
    <w:rsid w:val="004711FD"/>
    <w:rsid w:val="00471722"/>
    <w:rsid w:val="00471EDE"/>
    <w:rsid w:val="004722EC"/>
    <w:rsid w:val="00472A34"/>
    <w:rsid w:val="00472F2C"/>
    <w:rsid w:val="00474077"/>
    <w:rsid w:val="00474933"/>
    <w:rsid w:val="0047544A"/>
    <w:rsid w:val="00475574"/>
    <w:rsid w:val="00475ECB"/>
    <w:rsid w:val="00476D54"/>
    <w:rsid w:val="00477642"/>
    <w:rsid w:val="00480ECC"/>
    <w:rsid w:val="004822C3"/>
    <w:rsid w:val="004823DE"/>
    <w:rsid w:val="00482F52"/>
    <w:rsid w:val="00482F69"/>
    <w:rsid w:val="00484222"/>
    <w:rsid w:val="00484C7F"/>
    <w:rsid w:val="0048568B"/>
    <w:rsid w:val="00485778"/>
    <w:rsid w:val="00486224"/>
    <w:rsid w:val="0048647D"/>
    <w:rsid w:val="0048756D"/>
    <w:rsid w:val="00490862"/>
    <w:rsid w:val="00491B59"/>
    <w:rsid w:val="004921CB"/>
    <w:rsid w:val="004933EC"/>
    <w:rsid w:val="00493599"/>
    <w:rsid w:val="004954CF"/>
    <w:rsid w:val="00496468"/>
    <w:rsid w:val="00496793"/>
    <w:rsid w:val="00496AEF"/>
    <w:rsid w:val="004A01F6"/>
    <w:rsid w:val="004A24C7"/>
    <w:rsid w:val="004A2DF6"/>
    <w:rsid w:val="004A33A2"/>
    <w:rsid w:val="004A48AF"/>
    <w:rsid w:val="004A4B62"/>
    <w:rsid w:val="004A4DD2"/>
    <w:rsid w:val="004A5580"/>
    <w:rsid w:val="004A60DD"/>
    <w:rsid w:val="004A6CEC"/>
    <w:rsid w:val="004A6CF3"/>
    <w:rsid w:val="004A6FED"/>
    <w:rsid w:val="004A75A8"/>
    <w:rsid w:val="004A7850"/>
    <w:rsid w:val="004A7BDD"/>
    <w:rsid w:val="004B016C"/>
    <w:rsid w:val="004B02C1"/>
    <w:rsid w:val="004B0AD4"/>
    <w:rsid w:val="004B1076"/>
    <w:rsid w:val="004B1412"/>
    <w:rsid w:val="004B4A02"/>
    <w:rsid w:val="004B7327"/>
    <w:rsid w:val="004B7821"/>
    <w:rsid w:val="004B7BAC"/>
    <w:rsid w:val="004C065B"/>
    <w:rsid w:val="004C1717"/>
    <w:rsid w:val="004C1CA0"/>
    <w:rsid w:val="004C2119"/>
    <w:rsid w:val="004C211B"/>
    <w:rsid w:val="004C2B40"/>
    <w:rsid w:val="004C35CA"/>
    <w:rsid w:val="004C38B2"/>
    <w:rsid w:val="004C3920"/>
    <w:rsid w:val="004C39BC"/>
    <w:rsid w:val="004C3C74"/>
    <w:rsid w:val="004C4B57"/>
    <w:rsid w:val="004C73A3"/>
    <w:rsid w:val="004D1257"/>
    <w:rsid w:val="004D1392"/>
    <w:rsid w:val="004D144C"/>
    <w:rsid w:val="004D17B1"/>
    <w:rsid w:val="004D1DD5"/>
    <w:rsid w:val="004D2464"/>
    <w:rsid w:val="004D3079"/>
    <w:rsid w:val="004D4D92"/>
    <w:rsid w:val="004D544F"/>
    <w:rsid w:val="004D5759"/>
    <w:rsid w:val="004D5C8A"/>
    <w:rsid w:val="004D7694"/>
    <w:rsid w:val="004D775F"/>
    <w:rsid w:val="004E082E"/>
    <w:rsid w:val="004E1D06"/>
    <w:rsid w:val="004E2737"/>
    <w:rsid w:val="004E3AA6"/>
    <w:rsid w:val="004E6143"/>
    <w:rsid w:val="004E6C0A"/>
    <w:rsid w:val="004E7D25"/>
    <w:rsid w:val="004F0781"/>
    <w:rsid w:val="004F0789"/>
    <w:rsid w:val="004F123A"/>
    <w:rsid w:val="004F1CBE"/>
    <w:rsid w:val="004F27DA"/>
    <w:rsid w:val="004F3297"/>
    <w:rsid w:val="004F35B7"/>
    <w:rsid w:val="004F3949"/>
    <w:rsid w:val="004F3BF5"/>
    <w:rsid w:val="004F3E46"/>
    <w:rsid w:val="004F4123"/>
    <w:rsid w:val="004F58FC"/>
    <w:rsid w:val="004F6044"/>
    <w:rsid w:val="004F67E3"/>
    <w:rsid w:val="004F6AD7"/>
    <w:rsid w:val="004F6F15"/>
    <w:rsid w:val="00501D6B"/>
    <w:rsid w:val="00501E05"/>
    <w:rsid w:val="005028B1"/>
    <w:rsid w:val="00503843"/>
    <w:rsid w:val="00503F45"/>
    <w:rsid w:val="005047B6"/>
    <w:rsid w:val="00504915"/>
    <w:rsid w:val="00505100"/>
    <w:rsid w:val="00505324"/>
    <w:rsid w:val="005061F5"/>
    <w:rsid w:val="005070EE"/>
    <w:rsid w:val="00507594"/>
    <w:rsid w:val="0050780A"/>
    <w:rsid w:val="00507A19"/>
    <w:rsid w:val="005102EE"/>
    <w:rsid w:val="00517ADE"/>
    <w:rsid w:val="00517DCF"/>
    <w:rsid w:val="005223A7"/>
    <w:rsid w:val="00524590"/>
    <w:rsid w:val="00524AFF"/>
    <w:rsid w:val="00525159"/>
    <w:rsid w:val="00525CF1"/>
    <w:rsid w:val="00525DA8"/>
    <w:rsid w:val="005260BE"/>
    <w:rsid w:val="005264AB"/>
    <w:rsid w:val="00526DD7"/>
    <w:rsid w:val="00527799"/>
    <w:rsid w:val="005279AE"/>
    <w:rsid w:val="00530079"/>
    <w:rsid w:val="00530D6A"/>
    <w:rsid w:val="00531625"/>
    <w:rsid w:val="00531995"/>
    <w:rsid w:val="00531C0A"/>
    <w:rsid w:val="005330F8"/>
    <w:rsid w:val="00533160"/>
    <w:rsid w:val="00534420"/>
    <w:rsid w:val="00534866"/>
    <w:rsid w:val="00536651"/>
    <w:rsid w:val="005367F5"/>
    <w:rsid w:val="00536C8C"/>
    <w:rsid w:val="0053704A"/>
    <w:rsid w:val="00537065"/>
    <w:rsid w:val="0053799E"/>
    <w:rsid w:val="00541008"/>
    <w:rsid w:val="00542485"/>
    <w:rsid w:val="0054277E"/>
    <w:rsid w:val="0054306F"/>
    <w:rsid w:val="00543442"/>
    <w:rsid w:val="00544DC5"/>
    <w:rsid w:val="00545A83"/>
    <w:rsid w:val="00546CF4"/>
    <w:rsid w:val="0054764D"/>
    <w:rsid w:val="00547F7B"/>
    <w:rsid w:val="00550969"/>
    <w:rsid w:val="00550F62"/>
    <w:rsid w:val="0055110E"/>
    <w:rsid w:val="00551519"/>
    <w:rsid w:val="00551A67"/>
    <w:rsid w:val="00552DFD"/>
    <w:rsid w:val="005538D9"/>
    <w:rsid w:val="005546E8"/>
    <w:rsid w:val="0055642D"/>
    <w:rsid w:val="0055663F"/>
    <w:rsid w:val="00556DF9"/>
    <w:rsid w:val="00557340"/>
    <w:rsid w:val="00557812"/>
    <w:rsid w:val="00557961"/>
    <w:rsid w:val="00560FE1"/>
    <w:rsid w:val="005612A0"/>
    <w:rsid w:val="0056160F"/>
    <w:rsid w:val="00563D1A"/>
    <w:rsid w:val="00564C94"/>
    <w:rsid w:val="00564EA0"/>
    <w:rsid w:val="00564FA5"/>
    <w:rsid w:val="005652D9"/>
    <w:rsid w:val="005653DA"/>
    <w:rsid w:val="00566311"/>
    <w:rsid w:val="00566746"/>
    <w:rsid w:val="005673D8"/>
    <w:rsid w:val="00567B43"/>
    <w:rsid w:val="0057012D"/>
    <w:rsid w:val="00570C07"/>
    <w:rsid w:val="005724ED"/>
    <w:rsid w:val="0057370C"/>
    <w:rsid w:val="00573CBA"/>
    <w:rsid w:val="00573DD0"/>
    <w:rsid w:val="00573EE8"/>
    <w:rsid w:val="00574231"/>
    <w:rsid w:val="00574645"/>
    <w:rsid w:val="00574B5E"/>
    <w:rsid w:val="0057516E"/>
    <w:rsid w:val="005762B6"/>
    <w:rsid w:val="00577FA4"/>
    <w:rsid w:val="00577FD5"/>
    <w:rsid w:val="00580517"/>
    <w:rsid w:val="005816BF"/>
    <w:rsid w:val="005821C2"/>
    <w:rsid w:val="005828B9"/>
    <w:rsid w:val="0058337A"/>
    <w:rsid w:val="005866B3"/>
    <w:rsid w:val="00586D1D"/>
    <w:rsid w:val="00587AF4"/>
    <w:rsid w:val="005901E6"/>
    <w:rsid w:val="00591768"/>
    <w:rsid w:val="00593B53"/>
    <w:rsid w:val="00594587"/>
    <w:rsid w:val="00595124"/>
    <w:rsid w:val="0059537A"/>
    <w:rsid w:val="00596752"/>
    <w:rsid w:val="0059777B"/>
    <w:rsid w:val="00597844"/>
    <w:rsid w:val="005A1A5B"/>
    <w:rsid w:val="005A2318"/>
    <w:rsid w:val="005A2A04"/>
    <w:rsid w:val="005A2F2E"/>
    <w:rsid w:val="005A2FE4"/>
    <w:rsid w:val="005A398B"/>
    <w:rsid w:val="005A3E2A"/>
    <w:rsid w:val="005A4819"/>
    <w:rsid w:val="005A48BC"/>
    <w:rsid w:val="005A6CEF"/>
    <w:rsid w:val="005A76CD"/>
    <w:rsid w:val="005B12F6"/>
    <w:rsid w:val="005B1B6A"/>
    <w:rsid w:val="005B26DB"/>
    <w:rsid w:val="005B3FD5"/>
    <w:rsid w:val="005B4CFC"/>
    <w:rsid w:val="005B5DE5"/>
    <w:rsid w:val="005B5F6E"/>
    <w:rsid w:val="005B61E4"/>
    <w:rsid w:val="005B7C99"/>
    <w:rsid w:val="005B7DFE"/>
    <w:rsid w:val="005C2483"/>
    <w:rsid w:val="005C273E"/>
    <w:rsid w:val="005C3BA9"/>
    <w:rsid w:val="005C4EF9"/>
    <w:rsid w:val="005C6011"/>
    <w:rsid w:val="005C6B01"/>
    <w:rsid w:val="005C7A13"/>
    <w:rsid w:val="005D0A19"/>
    <w:rsid w:val="005D17D7"/>
    <w:rsid w:val="005D1D45"/>
    <w:rsid w:val="005D2FFB"/>
    <w:rsid w:val="005D3403"/>
    <w:rsid w:val="005D37BF"/>
    <w:rsid w:val="005D3B63"/>
    <w:rsid w:val="005D4374"/>
    <w:rsid w:val="005D4630"/>
    <w:rsid w:val="005D4C55"/>
    <w:rsid w:val="005D5366"/>
    <w:rsid w:val="005D695B"/>
    <w:rsid w:val="005D70B0"/>
    <w:rsid w:val="005D7213"/>
    <w:rsid w:val="005E018B"/>
    <w:rsid w:val="005E0B6F"/>
    <w:rsid w:val="005E1CC0"/>
    <w:rsid w:val="005E2E11"/>
    <w:rsid w:val="005E31AF"/>
    <w:rsid w:val="005E49B6"/>
    <w:rsid w:val="005E4EED"/>
    <w:rsid w:val="005E505F"/>
    <w:rsid w:val="005E7851"/>
    <w:rsid w:val="005E7A99"/>
    <w:rsid w:val="005E7BE4"/>
    <w:rsid w:val="005F1218"/>
    <w:rsid w:val="005F13D8"/>
    <w:rsid w:val="005F1542"/>
    <w:rsid w:val="005F19D0"/>
    <w:rsid w:val="005F2601"/>
    <w:rsid w:val="005F3C53"/>
    <w:rsid w:val="005F4048"/>
    <w:rsid w:val="005F5FC1"/>
    <w:rsid w:val="005F70E3"/>
    <w:rsid w:val="005F7308"/>
    <w:rsid w:val="005F7549"/>
    <w:rsid w:val="0060227D"/>
    <w:rsid w:val="0060389F"/>
    <w:rsid w:val="006038B8"/>
    <w:rsid w:val="006056E4"/>
    <w:rsid w:val="00605893"/>
    <w:rsid w:val="00605A82"/>
    <w:rsid w:val="006062CE"/>
    <w:rsid w:val="00607C8E"/>
    <w:rsid w:val="00607DE7"/>
    <w:rsid w:val="00610ADF"/>
    <w:rsid w:val="00610FF5"/>
    <w:rsid w:val="00613A18"/>
    <w:rsid w:val="0061433A"/>
    <w:rsid w:val="006145BB"/>
    <w:rsid w:val="006149A4"/>
    <w:rsid w:val="0061534D"/>
    <w:rsid w:val="00615F22"/>
    <w:rsid w:val="0061611A"/>
    <w:rsid w:val="00617331"/>
    <w:rsid w:val="00617671"/>
    <w:rsid w:val="00617ADF"/>
    <w:rsid w:val="00617F77"/>
    <w:rsid w:val="00620002"/>
    <w:rsid w:val="006212AE"/>
    <w:rsid w:val="006212DC"/>
    <w:rsid w:val="006222D5"/>
    <w:rsid w:val="0062290B"/>
    <w:rsid w:val="006238EF"/>
    <w:rsid w:val="006243EE"/>
    <w:rsid w:val="00624BED"/>
    <w:rsid w:val="006250D8"/>
    <w:rsid w:val="006258BB"/>
    <w:rsid w:val="006258DC"/>
    <w:rsid w:val="00625AD4"/>
    <w:rsid w:val="00625FD9"/>
    <w:rsid w:val="006264E5"/>
    <w:rsid w:val="00627E6B"/>
    <w:rsid w:val="006302FC"/>
    <w:rsid w:val="00630B6F"/>
    <w:rsid w:val="00631002"/>
    <w:rsid w:val="0063140E"/>
    <w:rsid w:val="006320C1"/>
    <w:rsid w:val="0063270E"/>
    <w:rsid w:val="00632E3D"/>
    <w:rsid w:val="00632EE9"/>
    <w:rsid w:val="00632FE7"/>
    <w:rsid w:val="0063322C"/>
    <w:rsid w:val="006336E6"/>
    <w:rsid w:val="0063373B"/>
    <w:rsid w:val="006364D3"/>
    <w:rsid w:val="0063759E"/>
    <w:rsid w:val="00640136"/>
    <w:rsid w:val="006407F0"/>
    <w:rsid w:val="00642B7B"/>
    <w:rsid w:val="0064341F"/>
    <w:rsid w:val="00643C94"/>
    <w:rsid w:val="00643D1B"/>
    <w:rsid w:val="00644E32"/>
    <w:rsid w:val="006457FD"/>
    <w:rsid w:val="006467D4"/>
    <w:rsid w:val="00650667"/>
    <w:rsid w:val="006516FC"/>
    <w:rsid w:val="00651CEA"/>
    <w:rsid w:val="00653094"/>
    <w:rsid w:val="0065390D"/>
    <w:rsid w:val="00654483"/>
    <w:rsid w:val="0065547E"/>
    <w:rsid w:val="0066036F"/>
    <w:rsid w:val="00661042"/>
    <w:rsid w:val="00661293"/>
    <w:rsid w:val="00661C11"/>
    <w:rsid w:val="00661E03"/>
    <w:rsid w:val="00662DA6"/>
    <w:rsid w:val="00663D83"/>
    <w:rsid w:val="006655BD"/>
    <w:rsid w:val="0066640A"/>
    <w:rsid w:val="00667323"/>
    <w:rsid w:val="0066747A"/>
    <w:rsid w:val="0067108F"/>
    <w:rsid w:val="0067190B"/>
    <w:rsid w:val="006730FF"/>
    <w:rsid w:val="00673213"/>
    <w:rsid w:val="00674A20"/>
    <w:rsid w:val="00675267"/>
    <w:rsid w:val="0067568B"/>
    <w:rsid w:val="0067725E"/>
    <w:rsid w:val="00680B21"/>
    <w:rsid w:val="00681850"/>
    <w:rsid w:val="0068277E"/>
    <w:rsid w:val="00687102"/>
    <w:rsid w:val="006906EC"/>
    <w:rsid w:val="00690E36"/>
    <w:rsid w:val="00690E9C"/>
    <w:rsid w:val="0069208B"/>
    <w:rsid w:val="00692326"/>
    <w:rsid w:val="0069269E"/>
    <w:rsid w:val="0069444A"/>
    <w:rsid w:val="00694962"/>
    <w:rsid w:val="006958BA"/>
    <w:rsid w:val="00695AA2"/>
    <w:rsid w:val="006970D9"/>
    <w:rsid w:val="00697E61"/>
    <w:rsid w:val="006A0CD7"/>
    <w:rsid w:val="006A1CF9"/>
    <w:rsid w:val="006A2386"/>
    <w:rsid w:val="006A4F48"/>
    <w:rsid w:val="006A4F89"/>
    <w:rsid w:val="006A5028"/>
    <w:rsid w:val="006A691C"/>
    <w:rsid w:val="006A73A1"/>
    <w:rsid w:val="006A7EA7"/>
    <w:rsid w:val="006B0348"/>
    <w:rsid w:val="006B2517"/>
    <w:rsid w:val="006B2DFA"/>
    <w:rsid w:val="006B2DFC"/>
    <w:rsid w:val="006B420A"/>
    <w:rsid w:val="006B4673"/>
    <w:rsid w:val="006B5880"/>
    <w:rsid w:val="006B58F3"/>
    <w:rsid w:val="006B68A4"/>
    <w:rsid w:val="006B79C3"/>
    <w:rsid w:val="006B7A1D"/>
    <w:rsid w:val="006C0077"/>
    <w:rsid w:val="006C11E8"/>
    <w:rsid w:val="006C1ACA"/>
    <w:rsid w:val="006C35C0"/>
    <w:rsid w:val="006C3659"/>
    <w:rsid w:val="006C3A67"/>
    <w:rsid w:val="006C57CD"/>
    <w:rsid w:val="006C6000"/>
    <w:rsid w:val="006C6647"/>
    <w:rsid w:val="006C71E6"/>
    <w:rsid w:val="006C71F8"/>
    <w:rsid w:val="006D1F29"/>
    <w:rsid w:val="006D3026"/>
    <w:rsid w:val="006D4175"/>
    <w:rsid w:val="006D526C"/>
    <w:rsid w:val="006D5CE7"/>
    <w:rsid w:val="006D60A3"/>
    <w:rsid w:val="006E0186"/>
    <w:rsid w:val="006E032F"/>
    <w:rsid w:val="006E1CEA"/>
    <w:rsid w:val="006E2DC0"/>
    <w:rsid w:val="006E4C9A"/>
    <w:rsid w:val="006E76BA"/>
    <w:rsid w:val="006E7CDF"/>
    <w:rsid w:val="006F00E1"/>
    <w:rsid w:val="006F051A"/>
    <w:rsid w:val="006F063B"/>
    <w:rsid w:val="006F10C0"/>
    <w:rsid w:val="006F189A"/>
    <w:rsid w:val="006F1ADA"/>
    <w:rsid w:val="006F1E14"/>
    <w:rsid w:val="006F449C"/>
    <w:rsid w:val="006F58E6"/>
    <w:rsid w:val="006F746A"/>
    <w:rsid w:val="0070052B"/>
    <w:rsid w:val="00700C92"/>
    <w:rsid w:val="00702601"/>
    <w:rsid w:val="00703DB4"/>
    <w:rsid w:val="0070409A"/>
    <w:rsid w:val="0070442B"/>
    <w:rsid w:val="007045DE"/>
    <w:rsid w:val="00705526"/>
    <w:rsid w:val="0070645A"/>
    <w:rsid w:val="00706E6F"/>
    <w:rsid w:val="007075C1"/>
    <w:rsid w:val="00707A08"/>
    <w:rsid w:val="00707B3C"/>
    <w:rsid w:val="00707FC2"/>
    <w:rsid w:val="00710981"/>
    <w:rsid w:val="007109E4"/>
    <w:rsid w:val="00711194"/>
    <w:rsid w:val="00713961"/>
    <w:rsid w:val="007149F0"/>
    <w:rsid w:val="00714BF8"/>
    <w:rsid w:val="00715B7D"/>
    <w:rsid w:val="007160C9"/>
    <w:rsid w:val="00716150"/>
    <w:rsid w:val="0071708E"/>
    <w:rsid w:val="00720AB1"/>
    <w:rsid w:val="00720C3F"/>
    <w:rsid w:val="00720D33"/>
    <w:rsid w:val="007224B0"/>
    <w:rsid w:val="00722C5B"/>
    <w:rsid w:val="007239B3"/>
    <w:rsid w:val="0072433E"/>
    <w:rsid w:val="00725C24"/>
    <w:rsid w:val="007264AE"/>
    <w:rsid w:val="00726ED2"/>
    <w:rsid w:val="007317CE"/>
    <w:rsid w:val="007330F2"/>
    <w:rsid w:val="00733439"/>
    <w:rsid w:val="007335D4"/>
    <w:rsid w:val="0073469A"/>
    <w:rsid w:val="00734925"/>
    <w:rsid w:val="00734F32"/>
    <w:rsid w:val="007350F2"/>
    <w:rsid w:val="00737ADC"/>
    <w:rsid w:val="00740318"/>
    <w:rsid w:val="0074284D"/>
    <w:rsid w:val="0074508C"/>
    <w:rsid w:val="00746E1B"/>
    <w:rsid w:val="00747F6C"/>
    <w:rsid w:val="00750E3F"/>
    <w:rsid w:val="00752FF9"/>
    <w:rsid w:val="007534FE"/>
    <w:rsid w:val="007536FE"/>
    <w:rsid w:val="00753F9D"/>
    <w:rsid w:val="00754893"/>
    <w:rsid w:val="00754DF8"/>
    <w:rsid w:val="00755DFA"/>
    <w:rsid w:val="007570A3"/>
    <w:rsid w:val="007573DE"/>
    <w:rsid w:val="0075787A"/>
    <w:rsid w:val="00757896"/>
    <w:rsid w:val="00757A52"/>
    <w:rsid w:val="0076000F"/>
    <w:rsid w:val="007603F4"/>
    <w:rsid w:val="00763551"/>
    <w:rsid w:val="00764FEC"/>
    <w:rsid w:val="00765608"/>
    <w:rsid w:val="0076574F"/>
    <w:rsid w:val="00766403"/>
    <w:rsid w:val="00766A0C"/>
    <w:rsid w:val="00766FBC"/>
    <w:rsid w:val="007675A9"/>
    <w:rsid w:val="00767E5A"/>
    <w:rsid w:val="00771F94"/>
    <w:rsid w:val="0077210F"/>
    <w:rsid w:val="00772177"/>
    <w:rsid w:val="00772514"/>
    <w:rsid w:val="00772814"/>
    <w:rsid w:val="00772A13"/>
    <w:rsid w:val="00773FCE"/>
    <w:rsid w:val="007752D4"/>
    <w:rsid w:val="00775664"/>
    <w:rsid w:val="00775BE9"/>
    <w:rsid w:val="00775EDF"/>
    <w:rsid w:val="00775F15"/>
    <w:rsid w:val="007771AC"/>
    <w:rsid w:val="00777451"/>
    <w:rsid w:val="00781D01"/>
    <w:rsid w:val="0078306F"/>
    <w:rsid w:val="00783245"/>
    <w:rsid w:val="0078481C"/>
    <w:rsid w:val="00785013"/>
    <w:rsid w:val="0078539D"/>
    <w:rsid w:val="00786F25"/>
    <w:rsid w:val="00787740"/>
    <w:rsid w:val="00787798"/>
    <w:rsid w:val="00787D15"/>
    <w:rsid w:val="00787DBC"/>
    <w:rsid w:val="00790914"/>
    <w:rsid w:val="00790D98"/>
    <w:rsid w:val="00792AAF"/>
    <w:rsid w:val="00792BE3"/>
    <w:rsid w:val="007936F4"/>
    <w:rsid w:val="00793723"/>
    <w:rsid w:val="00793D0F"/>
    <w:rsid w:val="007945A2"/>
    <w:rsid w:val="007945C6"/>
    <w:rsid w:val="00794CED"/>
    <w:rsid w:val="00795C77"/>
    <w:rsid w:val="00795F6B"/>
    <w:rsid w:val="00796222"/>
    <w:rsid w:val="0079685B"/>
    <w:rsid w:val="00797305"/>
    <w:rsid w:val="007974E9"/>
    <w:rsid w:val="007A0A03"/>
    <w:rsid w:val="007A113C"/>
    <w:rsid w:val="007A12BD"/>
    <w:rsid w:val="007A1531"/>
    <w:rsid w:val="007A1911"/>
    <w:rsid w:val="007A1E23"/>
    <w:rsid w:val="007A22AD"/>
    <w:rsid w:val="007A3043"/>
    <w:rsid w:val="007A4014"/>
    <w:rsid w:val="007A429C"/>
    <w:rsid w:val="007A4993"/>
    <w:rsid w:val="007A687D"/>
    <w:rsid w:val="007A6B3F"/>
    <w:rsid w:val="007A7027"/>
    <w:rsid w:val="007A7244"/>
    <w:rsid w:val="007A7A95"/>
    <w:rsid w:val="007B02BC"/>
    <w:rsid w:val="007B19AE"/>
    <w:rsid w:val="007B2E14"/>
    <w:rsid w:val="007B30F4"/>
    <w:rsid w:val="007B38BF"/>
    <w:rsid w:val="007B3C94"/>
    <w:rsid w:val="007B4E2D"/>
    <w:rsid w:val="007C0762"/>
    <w:rsid w:val="007C077D"/>
    <w:rsid w:val="007C1C57"/>
    <w:rsid w:val="007C1FC1"/>
    <w:rsid w:val="007C37C0"/>
    <w:rsid w:val="007C5D60"/>
    <w:rsid w:val="007C60E7"/>
    <w:rsid w:val="007C7BB1"/>
    <w:rsid w:val="007D0662"/>
    <w:rsid w:val="007D1551"/>
    <w:rsid w:val="007D25F5"/>
    <w:rsid w:val="007D2EB8"/>
    <w:rsid w:val="007D3586"/>
    <w:rsid w:val="007D4C62"/>
    <w:rsid w:val="007D4F28"/>
    <w:rsid w:val="007D5056"/>
    <w:rsid w:val="007D5298"/>
    <w:rsid w:val="007D5583"/>
    <w:rsid w:val="007D63AB"/>
    <w:rsid w:val="007E0ADE"/>
    <w:rsid w:val="007E32F0"/>
    <w:rsid w:val="007E51B3"/>
    <w:rsid w:val="007E5AB7"/>
    <w:rsid w:val="007E6962"/>
    <w:rsid w:val="007E7CB6"/>
    <w:rsid w:val="007E7E0F"/>
    <w:rsid w:val="007F018B"/>
    <w:rsid w:val="007F19C3"/>
    <w:rsid w:val="007F1CDD"/>
    <w:rsid w:val="007F36EA"/>
    <w:rsid w:val="007F3949"/>
    <w:rsid w:val="007F4FBF"/>
    <w:rsid w:val="007F5A87"/>
    <w:rsid w:val="007F62B5"/>
    <w:rsid w:val="007F65BB"/>
    <w:rsid w:val="007F6645"/>
    <w:rsid w:val="007F673A"/>
    <w:rsid w:val="007F67E6"/>
    <w:rsid w:val="007F74B5"/>
    <w:rsid w:val="007F7DB3"/>
    <w:rsid w:val="00800093"/>
    <w:rsid w:val="00800876"/>
    <w:rsid w:val="008021B4"/>
    <w:rsid w:val="00806130"/>
    <w:rsid w:val="0080620D"/>
    <w:rsid w:val="0080677B"/>
    <w:rsid w:val="00810405"/>
    <w:rsid w:val="00810A7F"/>
    <w:rsid w:val="00810E9F"/>
    <w:rsid w:val="0081177B"/>
    <w:rsid w:val="00811B6D"/>
    <w:rsid w:val="0081222E"/>
    <w:rsid w:val="008125C0"/>
    <w:rsid w:val="00813E78"/>
    <w:rsid w:val="00814E71"/>
    <w:rsid w:val="00815281"/>
    <w:rsid w:val="00815AC8"/>
    <w:rsid w:val="008166B5"/>
    <w:rsid w:val="00820185"/>
    <w:rsid w:val="00820C05"/>
    <w:rsid w:val="008211D1"/>
    <w:rsid w:val="00821DB6"/>
    <w:rsid w:val="008225C6"/>
    <w:rsid w:val="008237A5"/>
    <w:rsid w:val="00823904"/>
    <w:rsid w:val="00823C9E"/>
    <w:rsid w:val="008244D7"/>
    <w:rsid w:val="0082470D"/>
    <w:rsid w:val="00824843"/>
    <w:rsid w:val="008249D5"/>
    <w:rsid w:val="00825142"/>
    <w:rsid w:val="00825ABF"/>
    <w:rsid w:val="00825C12"/>
    <w:rsid w:val="00827CDC"/>
    <w:rsid w:val="0083004F"/>
    <w:rsid w:val="008315ED"/>
    <w:rsid w:val="0083259A"/>
    <w:rsid w:val="00833642"/>
    <w:rsid w:val="00833994"/>
    <w:rsid w:val="00835388"/>
    <w:rsid w:val="008361F7"/>
    <w:rsid w:val="00844066"/>
    <w:rsid w:val="00844F8E"/>
    <w:rsid w:val="008453E2"/>
    <w:rsid w:val="0084562B"/>
    <w:rsid w:val="008457BA"/>
    <w:rsid w:val="0084622A"/>
    <w:rsid w:val="0084767F"/>
    <w:rsid w:val="0085031E"/>
    <w:rsid w:val="00850749"/>
    <w:rsid w:val="0085190A"/>
    <w:rsid w:val="00851C4D"/>
    <w:rsid w:val="00852C03"/>
    <w:rsid w:val="008534EB"/>
    <w:rsid w:val="00853A89"/>
    <w:rsid w:val="0085687D"/>
    <w:rsid w:val="0085687F"/>
    <w:rsid w:val="00857506"/>
    <w:rsid w:val="00860A37"/>
    <w:rsid w:val="00860FB8"/>
    <w:rsid w:val="00861200"/>
    <w:rsid w:val="008614B0"/>
    <w:rsid w:val="008618BC"/>
    <w:rsid w:val="00861919"/>
    <w:rsid w:val="00861C33"/>
    <w:rsid w:val="00862592"/>
    <w:rsid w:val="00862933"/>
    <w:rsid w:val="00862C8A"/>
    <w:rsid w:val="0086377E"/>
    <w:rsid w:val="00864362"/>
    <w:rsid w:val="008645D3"/>
    <w:rsid w:val="00864C7B"/>
    <w:rsid w:val="0086789A"/>
    <w:rsid w:val="0086791E"/>
    <w:rsid w:val="008704B9"/>
    <w:rsid w:val="0087060C"/>
    <w:rsid w:val="008713DA"/>
    <w:rsid w:val="008714A7"/>
    <w:rsid w:val="00871E0B"/>
    <w:rsid w:val="008722B4"/>
    <w:rsid w:val="00872408"/>
    <w:rsid w:val="008724CB"/>
    <w:rsid w:val="00874612"/>
    <w:rsid w:val="00874C43"/>
    <w:rsid w:val="00875ED8"/>
    <w:rsid w:val="008766B2"/>
    <w:rsid w:val="008766E4"/>
    <w:rsid w:val="00882EB9"/>
    <w:rsid w:val="00883175"/>
    <w:rsid w:val="008835EC"/>
    <w:rsid w:val="00884EFA"/>
    <w:rsid w:val="00885573"/>
    <w:rsid w:val="00886250"/>
    <w:rsid w:val="00886BD2"/>
    <w:rsid w:val="0088761A"/>
    <w:rsid w:val="00890CC6"/>
    <w:rsid w:val="00891155"/>
    <w:rsid w:val="0089230A"/>
    <w:rsid w:val="00892AD1"/>
    <w:rsid w:val="00895043"/>
    <w:rsid w:val="008952CD"/>
    <w:rsid w:val="008957FE"/>
    <w:rsid w:val="008965F7"/>
    <w:rsid w:val="00897090"/>
    <w:rsid w:val="008A05B8"/>
    <w:rsid w:val="008A080F"/>
    <w:rsid w:val="008A152E"/>
    <w:rsid w:val="008A154A"/>
    <w:rsid w:val="008A1670"/>
    <w:rsid w:val="008A1CB5"/>
    <w:rsid w:val="008A30A3"/>
    <w:rsid w:val="008A678C"/>
    <w:rsid w:val="008A6A22"/>
    <w:rsid w:val="008A6C1C"/>
    <w:rsid w:val="008A7E29"/>
    <w:rsid w:val="008B06C9"/>
    <w:rsid w:val="008B0896"/>
    <w:rsid w:val="008B09C7"/>
    <w:rsid w:val="008B0A9D"/>
    <w:rsid w:val="008B19F1"/>
    <w:rsid w:val="008B20CE"/>
    <w:rsid w:val="008B2DE3"/>
    <w:rsid w:val="008B341E"/>
    <w:rsid w:val="008B4EA4"/>
    <w:rsid w:val="008B59A9"/>
    <w:rsid w:val="008B5EDB"/>
    <w:rsid w:val="008B69D0"/>
    <w:rsid w:val="008B6B65"/>
    <w:rsid w:val="008B6FC8"/>
    <w:rsid w:val="008C001E"/>
    <w:rsid w:val="008C12D6"/>
    <w:rsid w:val="008C1535"/>
    <w:rsid w:val="008C2678"/>
    <w:rsid w:val="008C3839"/>
    <w:rsid w:val="008C3959"/>
    <w:rsid w:val="008C40A4"/>
    <w:rsid w:val="008C4292"/>
    <w:rsid w:val="008C4494"/>
    <w:rsid w:val="008C4BBF"/>
    <w:rsid w:val="008C5AC6"/>
    <w:rsid w:val="008C5C77"/>
    <w:rsid w:val="008C5D71"/>
    <w:rsid w:val="008C7636"/>
    <w:rsid w:val="008D027F"/>
    <w:rsid w:val="008D033E"/>
    <w:rsid w:val="008D056B"/>
    <w:rsid w:val="008D188B"/>
    <w:rsid w:val="008D24FB"/>
    <w:rsid w:val="008D38CF"/>
    <w:rsid w:val="008D7F0F"/>
    <w:rsid w:val="008E03C0"/>
    <w:rsid w:val="008E1220"/>
    <w:rsid w:val="008E308E"/>
    <w:rsid w:val="008E35B8"/>
    <w:rsid w:val="008E35FE"/>
    <w:rsid w:val="008E4C87"/>
    <w:rsid w:val="008E5D4F"/>
    <w:rsid w:val="008E62F0"/>
    <w:rsid w:val="008E6793"/>
    <w:rsid w:val="008E68D5"/>
    <w:rsid w:val="008E7A97"/>
    <w:rsid w:val="008F0991"/>
    <w:rsid w:val="008F0D68"/>
    <w:rsid w:val="008F17E7"/>
    <w:rsid w:val="008F1D18"/>
    <w:rsid w:val="008F20E8"/>
    <w:rsid w:val="008F21B0"/>
    <w:rsid w:val="008F2830"/>
    <w:rsid w:val="008F4759"/>
    <w:rsid w:val="008F54D5"/>
    <w:rsid w:val="008F56E1"/>
    <w:rsid w:val="008F5D39"/>
    <w:rsid w:val="009000A9"/>
    <w:rsid w:val="00900B4A"/>
    <w:rsid w:val="00901278"/>
    <w:rsid w:val="00901BFE"/>
    <w:rsid w:val="009029D6"/>
    <w:rsid w:val="0090392F"/>
    <w:rsid w:val="00905120"/>
    <w:rsid w:val="009064B6"/>
    <w:rsid w:val="00907EF9"/>
    <w:rsid w:val="00910597"/>
    <w:rsid w:val="00910BDC"/>
    <w:rsid w:val="009119D4"/>
    <w:rsid w:val="0091257D"/>
    <w:rsid w:val="00914AEE"/>
    <w:rsid w:val="00915582"/>
    <w:rsid w:val="0091581F"/>
    <w:rsid w:val="00915C5D"/>
    <w:rsid w:val="009160DD"/>
    <w:rsid w:val="00920744"/>
    <w:rsid w:val="009208CE"/>
    <w:rsid w:val="00921106"/>
    <w:rsid w:val="0092155C"/>
    <w:rsid w:val="009221EA"/>
    <w:rsid w:val="00923265"/>
    <w:rsid w:val="00923951"/>
    <w:rsid w:val="009242A5"/>
    <w:rsid w:val="00925778"/>
    <w:rsid w:val="00926763"/>
    <w:rsid w:val="00931206"/>
    <w:rsid w:val="00933090"/>
    <w:rsid w:val="009333F4"/>
    <w:rsid w:val="00933FFE"/>
    <w:rsid w:val="009349DA"/>
    <w:rsid w:val="00935B10"/>
    <w:rsid w:val="009377DC"/>
    <w:rsid w:val="00940A6D"/>
    <w:rsid w:val="00940BBA"/>
    <w:rsid w:val="00940CBB"/>
    <w:rsid w:val="00941E30"/>
    <w:rsid w:val="00942103"/>
    <w:rsid w:val="0094219C"/>
    <w:rsid w:val="00942766"/>
    <w:rsid w:val="00942C51"/>
    <w:rsid w:val="00943461"/>
    <w:rsid w:val="009434DE"/>
    <w:rsid w:val="009467EF"/>
    <w:rsid w:val="00946ADF"/>
    <w:rsid w:val="009470FA"/>
    <w:rsid w:val="00947526"/>
    <w:rsid w:val="009478CD"/>
    <w:rsid w:val="0094795E"/>
    <w:rsid w:val="009503F2"/>
    <w:rsid w:val="009523F9"/>
    <w:rsid w:val="00955771"/>
    <w:rsid w:val="00955930"/>
    <w:rsid w:val="00955C4E"/>
    <w:rsid w:val="0095630C"/>
    <w:rsid w:val="009574F8"/>
    <w:rsid w:val="009613E0"/>
    <w:rsid w:val="00961475"/>
    <w:rsid w:val="00963F93"/>
    <w:rsid w:val="00963FDB"/>
    <w:rsid w:val="0096475C"/>
    <w:rsid w:val="00964CB4"/>
    <w:rsid w:val="0096567B"/>
    <w:rsid w:val="00965DFB"/>
    <w:rsid w:val="0096784B"/>
    <w:rsid w:val="009679C1"/>
    <w:rsid w:val="0097108F"/>
    <w:rsid w:val="00971ABC"/>
    <w:rsid w:val="009722A7"/>
    <w:rsid w:val="00972973"/>
    <w:rsid w:val="00972996"/>
    <w:rsid w:val="009729A7"/>
    <w:rsid w:val="00973A53"/>
    <w:rsid w:val="0097496D"/>
    <w:rsid w:val="009749D5"/>
    <w:rsid w:val="00974AAC"/>
    <w:rsid w:val="00974D2A"/>
    <w:rsid w:val="009765FF"/>
    <w:rsid w:val="00976957"/>
    <w:rsid w:val="00977188"/>
    <w:rsid w:val="00980CD1"/>
    <w:rsid w:val="00980FE5"/>
    <w:rsid w:val="0098165C"/>
    <w:rsid w:val="00981AEE"/>
    <w:rsid w:val="00983D93"/>
    <w:rsid w:val="009843F1"/>
    <w:rsid w:val="009845FF"/>
    <w:rsid w:val="00984B88"/>
    <w:rsid w:val="00985454"/>
    <w:rsid w:val="00985CFB"/>
    <w:rsid w:val="00986463"/>
    <w:rsid w:val="00986574"/>
    <w:rsid w:val="009869E4"/>
    <w:rsid w:val="00986ABD"/>
    <w:rsid w:val="0099007A"/>
    <w:rsid w:val="00990CDE"/>
    <w:rsid w:val="00990D62"/>
    <w:rsid w:val="009910EE"/>
    <w:rsid w:val="009930C7"/>
    <w:rsid w:val="009936A1"/>
    <w:rsid w:val="00994455"/>
    <w:rsid w:val="009948E7"/>
    <w:rsid w:val="009960F2"/>
    <w:rsid w:val="00996538"/>
    <w:rsid w:val="00996B2D"/>
    <w:rsid w:val="00996CDC"/>
    <w:rsid w:val="00996EA1"/>
    <w:rsid w:val="009978F0"/>
    <w:rsid w:val="009A0D05"/>
    <w:rsid w:val="009A146C"/>
    <w:rsid w:val="009A28B3"/>
    <w:rsid w:val="009A68A0"/>
    <w:rsid w:val="009A75E0"/>
    <w:rsid w:val="009B0527"/>
    <w:rsid w:val="009B06AC"/>
    <w:rsid w:val="009B1C45"/>
    <w:rsid w:val="009B2191"/>
    <w:rsid w:val="009B36FC"/>
    <w:rsid w:val="009B3C71"/>
    <w:rsid w:val="009B3D2D"/>
    <w:rsid w:val="009B49B0"/>
    <w:rsid w:val="009B4BFC"/>
    <w:rsid w:val="009B5294"/>
    <w:rsid w:val="009B56BB"/>
    <w:rsid w:val="009B5E5A"/>
    <w:rsid w:val="009B6C57"/>
    <w:rsid w:val="009B6CD1"/>
    <w:rsid w:val="009C18EC"/>
    <w:rsid w:val="009C2185"/>
    <w:rsid w:val="009C35FE"/>
    <w:rsid w:val="009C4FAC"/>
    <w:rsid w:val="009C51C6"/>
    <w:rsid w:val="009C51D9"/>
    <w:rsid w:val="009C53B9"/>
    <w:rsid w:val="009C6011"/>
    <w:rsid w:val="009C606D"/>
    <w:rsid w:val="009D008B"/>
    <w:rsid w:val="009D0595"/>
    <w:rsid w:val="009D0BAB"/>
    <w:rsid w:val="009D23A5"/>
    <w:rsid w:val="009D644A"/>
    <w:rsid w:val="009D6670"/>
    <w:rsid w:val="009D6A96"/>
    <w:rsid w:val="009D6F52"/>
    <w:rsid w:val="009E01F5"/>
    <w:rsid w:val="009E05F3"/>
    <w:rsid w:val="009E0E25"/>
    <w:rsid w:val="009E1F51"/>
    <w:rsid w:val="009E346E"/>
    <w:rsid w:val="009E3FDF"/>
    <w:rsid w:val="009E4CEC"/>
    <w:rsid w:val="009E73D2"/>
    <w:rsid w:val="009F0CD7"/>
    <w:rsid w:val="009F0FEF"/>
    <w:rsid w:val="009F144A"/>
    <w:rsid w:val="009F25E2"/>
    <w:rsid w:val="009F37B6"/>
    <w:rsid w:val="009F43D9"/>
    <w:rsid w:val="009F5153"/>
    <w:rsid w:val="009F609B"/>
    <w:rsid w:val="009F62C6"/>
    <w:rsid w:val="009F63D2"/>
    <w:rsid w:val="009F6900"/>
    <w:rsid w:val="009F69F6"/>
    <w:rsid w:val="009F6FFE"/>
    <w:rsid w:val="009F7794"/>
    <w:rsid w:val="00A01B67"/>
    <w:rsid w:val="00A03C56"/>
    <w:rsid w:val="00A049CB"/>
    <w:rsid w:val="00A051F7"/>
    <w:rsid w:val="00A054C9"/>
    <w:rsid w:val="00A05694"/>
    <w:rsid w:val="00A05787"/>
    <w:rsid w:val="00A057CF"/>
    <w:rsid w:val="00A076A1"/>
    <w:rsid w:val="00A07A06"/>
    <w:rsid w:val="00A10626"/>
    <w:rsid w:val="00A10E78"/>
    <w:rsid w:val="00A10FB2"/>
    <w:rsid w:val="00A124C4"/>
    <w:rsid w:val="00A12E4A"/>
    <w:rsid w:val="00A13F34"/>
    <w:rsid w:val="00A14AC9"/>
    <w:rsid w:val="00A14BFD"/>
    <w:rsid w:val="00A15C53"/>
    <w:rsid w:val="00A16072"/>
    <w:rsid w:val="00A17056"/>
    <w:rsid w:val="00A17698"/>
    <w:rsid w:val="00A1772B"/>
    <w:rsid w:val="00A2096F"/>
    <w:rsid w:val="00A21444"/>
    <w:rsid w:val="00A21D4B"/>
    <w:rsid w:val="00A23EDF"/>
    <w:rsid w:val="00A24570"/>
    <w:rsid w:val="00A24664"/>
    <w:rsid w:val="00A24B66"/>
    <w:rsid w:val="00A25890"/>
    <w:rsid w:val="00A258BC"/>
    <w:rsid w:val="00A25EB3"/>
    <w:rsid w:val="00A26D4B"/>
    <w:rsid w:val="00A27456"/>
    <w:rsid w:val="00A276E6"/>
    <w:rsid w:val="00A27CD8"/>
    <w:rsid w:val="00A309C5"/>
    <w:rsid w:val="00A32006"/>
    <w:rsid w:val="00A324AE"/>
    <w:rsid w:val="00A32713"/>
    <w:rsid w:val="00A3358B"/>
    <w:rsid w:val="00A34C73"/>
    <w:rsid w:val="00A34EE4"/>
    <w:rsid w:val="00A34F9A"/>
    <w:rsid w:val="00A35945"/>
    <w:rsid w:val="00A35B15"/>
    <w:rsid w:val="00A36289"/>
    <w:rsid w:val="00A365F5"/>
    <w:rsid w:val="00A37192"/>
    <w:rsid w:val="00A4102E"/>
    <w:rsid w:val="00A41646"/>
    <w:rsid w:val="00A41A25"/>
    <w:rsid w:val="00A45A51"/>
    <w:rsid w:val="00A45D36"/>
    <w:rsid w:val="00A46BF0"/>
    <w:rsid w:val="00A47003"/>
    <w:rsid w:val="00A475D9"/>
    <w:rsid w:val="00A4784A"/>
    <w:rsid w:val="00A504F4"/>
    <w:rsid w:val="00A509A0"/>
    <w:rsid w:val="00A50C82"/>
    <w:rsid w:val="00A51165"/>
    <w:rsid w:val="00A51955"/>
    <w:rsid w:val="00A52617"/>
    <w:rsid w:val="00A52C21"/>
    <w:rsid w:val="00A543C5"/>
    <w:rsid w:val="00A54E10"/>
    <w:rsid w:val="00A55BF6"/>
    <w:rsid w:val="00A57029"/>
    <w:rsid w:val="00A60A10"/>
    <w:rsid w:val="00A60BAC"/>
    <w:rsid w:val="00A60FEB"/>
    <w:rsid w:val="00A6243E"/>
    <w:rsid w:val="00A6268E"/>
    <w:rsid w:val="00A62D47"/>
    <w:rsid w:val="00A64464"/>
    <w:rsid w:val="00A64E09"/>
    <w:rsid w:val="00A64E4B"/>
    <w:rsid w:val="00A65F2A"/>
    <w:rsid w:val="00A67C8D"/>
    <w:rsid w:val="00A74B1A"/>
    <w:rsid w:val="00A75A8F"/>
    <w:rsid w:val="00A76BA8"/>
    <w:rsid w:val="00A8032A"/>
    <w:rsid w:val="00A80822"/>
    <w:rsid w:val="00A80CCA"/>
    <w:rsid w:val="00A83D2F"/>
    <w:rsid w:val="00A8515C"/>
    <w:rsid w:val="00A85704"/>
    <w:rsid w:val="00A85882"/>
    <w:rsid w:val="00A85AE7"/>
    <w:rsid w:val="00A916E9"/>
    <w:rsid w:val="00A91971"/>
    <w:rsid w:val="00A9270B"/>
    <w:rsid w:val="00A92C99"/>
    <w:rsid w:val="00A9368A"/>
    <w:rsid w:val="00A93818"/>
    <w:rsid w:val="00A93BD0"/>
    <w:rsid w:val="00A951AA"/>
    <w:rsid w:val="00A957EC"/>
    <w:rsid w:val="00A97631"/>
    <w:rsid w:val="00AA0EEE"/>
    <w:rsid w:val="00AA23CF"/>
    <w:rsid w:val="00AA2774"/>
    <w:rsid w:val="00AA27BE"/>
    <w:rsid w:val="00AA30EF"/>
    <w:rsid w:val="00AA3B00"/>
    <w:rsid w:val="00AA50D2"/>
    <w:rsid w:val="00AA5408"/>
    <w:rsid w:val="00AA563F"/>
    <w:rsid w:val="00AA6DAD"/>
    <w:rsid w:val="00AA6E2A"/>
    <w:rsid w:val="00AA7E24"/>
    <w:rsid w:val="00AB0689"/>
    <w:rsid w:val="00AB0ECD"/>
    <w:rsid w:val="00AB1C38"/>
    <w:rsid w:val="00AB1EFC"/>
    <w:rsid w:val="00AB32AC"/>
    <w:rsid w:val="00AB38C3"/>
    <w:rsid w:val="00AB3E59"/>
    <w:rsid w:val="00AB4160"/>
    <w:rsid w:val="00AB42E6"/>
    <w:rsid w:val="00AB523C"/>
    <w:rsid w:val="00AB5436"/>
    <w:rsid w:val="00AB566C"/>
    <w:rsid w:val="00AB5FAF"/>
    <w:rsid w:val="00AB72D8"/>
    <w:rsid w:val="00AB7EB2"/>
    <w:rsid w:val="00AC031D"/>
    <w:rsid w:val="00AC18A1"/>
    <w:rsid w:val="00AC35DC"/>
    <w:rsid w:val="00AC4EDB"/>
    <w:rsid w:val="00AC548A"/>
    <w:rsid w:val="00AC59D1"/>
    <w:rsid w:val="00AC651E"/>
    <w:rsid w:val="00AC7247"/>
    <w:rsid w:val="00AC7915"/>
    <w:rsid w:val="00AD005B"/>
    <w:rsid w:val="00AD012F"/>
    <w:rsid w:val="00AD04A4"/>
    <w:rsid w:val="00AD0DAD"/>
    <w:rsid w:val="00AD152D"/>
    <w:rsid w:val="00AD2B18"/>
    <w:rsid w:val="00AD2B38"/>
    <w:rsid w:val="00AD2C8B"/>
    <w:rsid w:val="00AD2E9C"/>
    <w:rsid w:val="00AD42AB"/>
    <w:rsid w:val="00AD56C4"/>
    <w:rsid w:val="00AD5B6C"/>
    <w:rsid w:val="00AD6328"/>
    <w:rsid w:val="00AD7381"/>
    <w:rsid w:val="00AD7A43"/>
    <w:rsid w:val="00AE1298"/>
    <w:rsid w:val="00AE17B7"/>
    <w:rsid w:val="00AE23B0"/>
    <w:rsid w:val="00AE25A5"/>
    <w:rsid w:val="00AE32C6"/>
    <w:rsid w:val="00AE384D"/>
    <w:rsid w:val="00AE3FF3"/>
    <w:rsid w:val="00AE4416"/>
    <w:rsid w:val="00AE5EF2"/>
    <w:rsid w:val="00AE6598"/>
    <w:rsid w:val="00AE6D46"/>
    <w:rsid w:val="00AE75D8"/>
    <w:rsid w:val="00AE79FA"/>
    <w:rsid w:val="00AE7C8F"/>
    <w:rsid w:val="00AF2277"/>
    <w:rsid w:val="00AF2E4A"/>
    <w:rsid w:val="00AF38C1"/>
    <w:rsid w:val="00AF707D"/>
    <w:rsid w:val="00AF7A7F"/>
    <w:rsid w:val="00AF7C1E"/>
    <w:rsid w:val="00B00D3A"/>
    <w:rsid w:val="00B01A7D"/>
    <w:rsid w:val="00B0255F"/>
    <w:rsid w:val="00B02582"/>
    <w:rsid w:val="00B0281D"/>
    <w:rsid w:val="00B02930"/>
    <w:rsid w:val="00B02A62"/>
    <w:rsid w:val="00B02FEB"/>
    <w:rsid w:val="00B030D9"/>
    <w:rsid w:val="00B044CC"/>
    <w:rsid w:val="00B0468A"/>
    <w:rsid w:val="00B0521A"/>
    <w:rsid w:val="00B053CC"/>
    <w:rsid w:val="00B05507"/>
    <w:rsid w:val="00B1015D"/>
    <w:rsid w:val="00B107B7"/>
    <w:rsid w:val="00B10DD6"/>
    <w:rsid w:val="00B118FD"/>
    <w:rsid w:val="00B127E2"/>
    <w:rsid w:val="00B12D67"/>
    <w:rsid w:val="00B13788"/>
    <w:rsid w:val="00B13C99"/>
    <w:rsid w:val="00B1400A"/>
    <w:rsid w:val="00B14E80"/>
    <w:rsid w:val="00B14EAB"/>
    <w:rsid w:val="00B14ED6"/>
    <w:rsid w:val="00B16406"/>
    <w:rsid w:val="00B16C93"/>
    <w:rsid w:val="00B17214"/>
    <w:rsid w:val="00B174EC"/>
    <w:rsid w:val="00B17505"/>
    <w:rsid w:val="00B21032"/>
    <w:rsid w:val="00B21B51"/>
    <w:rsid w:val="00B21C5B"/>
    <w:rsid w:val="00B21E69"/>
    <w:rsid w:val="00B226EF"/>
    <w:rsid w:val="00B22B4D"/>
    <w:rsid w:val="00B2345A"/>
    <w:rsid w:val="00B2364D"/>
    <w:rsid w:val="00B238BF"/>
    <w:rsid w:val="00B246A5"/>
    <w:rsid w:val="00B252F2"/>
    <w:rsid w:val="00B25DB7"/>
    <w:rsid w:val="00B30FC7"/>
    <w:rsid w:val="00B31FA9"/>
    <w:rsid w:val="00B32445"/>
    <w:rsid w:val="00B3380E"/>
    <w:rsid w:val="00B33817"/>
    <w:rsid w:val="00B33C52"/>
    <w:rsid w:val="00B34F23"/>
    <w:rsid w:val="00B35883"/>
    <w:rsid w:val="00B365C0"/>
    <w:rsid w:val="00B37E43"/>
    <w:rsid w:val="00B40697"/>
    <w:rsid w:val="00B4212C"/>
    <w:rsid w:val="00B4261B"/>
    <w:rsid w:val="00B42AA7"/>
    <w:rsid w:val="00B43651"/>
    <w:rsid w:val="00B438D6"/>
    <w:rsid w:val="00B44702"/>
    <w:rsid w:val="00B44AF2"/>
    <w:rsid w:val="00B47E2B"/>
    <w:rsid w:val="00B47E6E"/>
    <w:rsid w:val="00B50166"/>
    <w:rsid w:val="00B51EBE"/>
    <w:rsid w:val="00B52427"/>
    <w:rsid w:val="00B52703"/>
    <w:rsid w:val="00B529D2"/>
    <w:rsid w:val="00B531CD"/>
    <w:rsid w:val="00B541E1"/>
    <w:rsid w:val="00B543D8"/>
    <w:rsid w:val="00B54C76"/>
    <w:rsid w:val="00B54F29"/>
    <w:rsid w:val="00B5508D"/>
    <w:rsid w:val="00B55108"/>
    <w:rsid w:val="00B57D4C"/>
    <w:rsid w:val="00B6050F"/>
    <w:rsid w:val="00B6095D"/>
    <w:rsid w:val="00B60D22"/>
    <w:rsid w:val="00B61E5C"/>
    <w:rsid w:val="00B63152"/>
    <w:rsid w:val="00B634E7"/>
    <w:rsid w:val="00B6746B"/>
    <w:rsid w:val="00B67A94"/>
    <w:rsid w:val="00B70161"/>
    <w:rsid w:val="00B7068B"/>
    <w:rsid w:val="00B70DCD"/>
    <w:rsid w:val="00B71F4E"/>
    <w:rsid w:val="00B74401"/>
    <w:rsid w:val="00B74C41"/>
    <w:rsid w:val="00B74F0F"/>
    <w:rsid w:val="00B76490"/>
    <w:rsid w:val="00B77DC7"/>
    <w:rsid w:val="00B8035D"/>
    <w:rsid w:val="00B81151"/>
    <w:rsid w:val="00B81325"/>
    <w:rsid w:val="00B8342C"/>
    <w:rsid w:val="00B83AA7"/>
    <w:rsid w:val="00B8405F"/>
    <w:rsid w:val="00B84E65"/>
    <w:rsid w:val="00B84F91"/>
    <w:rsid w:val="00B85BEB"/>
    <w:rsid w:val="00B85D0E"/>
    <w:rsid w:val="00B86B18"/>
    <w:rsid w:val="00B86BCA"/>
    <w:rsid w:val="00B87293"/>
    <w:rsid w:val="00B87781"/>
    <w:rsid w:val="00B90537"/>
    <w:rsid w:val="00B91031"/>
    <w:rsid w:val="00B91B92"/>
    <w:rsid w:val="00B91EE8"/>
    <w:rsid w:val="00B920CF"/>
    <w:rsid w:val="00B92B2D"/>
    <w:rsid w:val="00B9349C"/>
    <w:rsid w:val="00B949B0"/>
    <w:rsid w:val="00B96C9C"/>
    <w:rsid w:val="00B9762A"/>
    <w:rsid w:val="00B97A95"/>
    <w:rsid w:val="00BA0432"/>
    <w:rsid w:val="00BA0907"/>
    <w:rsid w:val="00BA1179"/>
    <w:rsid w:val="00BA1224"/>
    <w:rsid w:val="00BA14CF"/>
    <w:rsid w:val="00BA2A2E"/>
    <w:rsid w:val="00BA2CDF"/>
    <w:rsid w:val="00BA407F"/>
    <w:rsid w:val="00BA4ED2"/>
    <w:rsid w:val="00BA5005"/>
    <w:rsid w:val="00BA5CC7"/>
    <w:rsid w:val="00BA70FA"/>
    <w:rsid w:val="00BB0B70"/>
    <w:rsid w:val="00BB2DB1"/>
    <w:rsid w:val="00BB2F9F"/>
    <w:rsid w:val="00BB3359"/>
    <w:rsid w:val="00BB3BB3"/>
    <w:rsid w:val="00BB4476"/>
    <w:rsid w:val="00BB65EC"/>
    <w:rsid w:val="00BB6BAC"/>
    <w:rsid w:val="00BB73B9"/>
    <w:rsid w:val="00BC06A8"/>
    <w:rsid w:val="00BC0788"/>
    <w:rsid w:val="00BC0AE2"/>
    <w:rsid w:val="00BC161F"/>
    <w:rsid w:val="00BC19D7"/>
    <w:rsid w:val="00BC2442"/>
    <w:rsid w:val="00BC2C3C"/>
    <w:rsid w:val="00BC416F"/>
    <w:rsid w:val="00BC4218"/>
    <w:rsid w:val="00BC4B09"/>
    <w:rsid w:val="00BC5454"/>
    <w:rsid w:val="00BC567C"/>
    <w:rsid w:val="00BC5AD8"/>
    <w:rsid w:val="00BC6510"/>
    <w:rsid w:val="00BD189E"/>
    <w:rsid w:val="00BD21CE"/>
    <w:rsid w:val="00BD547E"/>
    <w:rsid w:val="00BD5639"/>
    <w:rsid w:val="00BD5A9D"/>
    <w:rsid w:val="00BE038F"/>
    <w:rsid w:val="00BE170E"/>
    <w:rsid w:val="00BE171E"/>
    <w:rsid w:val="00BE1B31"/>
    <w:rsid w:val="00BE25E5"/>
    <w:rsid w:val="00BE34DB"/>
    <w:rsid w:val="00BE350B"/>
    <w:rsid w:val="00BE47DB"/>
    <w:rsid w:val="00BE4BE5"/>
    <w:rsid w:val="00BE523B"/>
    <w:rsid w:val="00BE52D9"/>
    <w:rsid w:val="00BF05C0"/>
    <w:rsid w:val="00BF1771"/>
    <w:rsid w:val="00BF1BAF"/>
    <w:rsid w:val="00BF2E5B"/>
    <w:rsid w:val="00BF3AC7"/>
    <w:rsid w:val="00BF458E"/>
    <w:rsid w:val="00BF4AF0"/>
    <w:rsid w:val="00BF5122"/>
    <w:rsid w:val="00BF7C0E"/>
    <w:rsid w:val="00C0112F"/>
    <w:rsid w:val="00C01376"/>
    <w:rsid w:val="00C02284"/>
    <w:rsid w:val="00C0296F"/>
    <w:rsid w:val="00C035D9"/>
    <w:rsid w:val="00C03ABE"/>
    <w:rsid w:val="00C04082"/>
    <w:rsid w:val="00C04227"/>
    <w:rsid w:val="00C04303"/>
    <w:rsid w:val="00C04B5F"/>
    <w:rsid w:val="00C05AE1"/>
    <w:rsid w:val="00C05EAA"/>
    <w:rsid w:val="00C06040"/>
    <w:rsid w:val="00C0649C"/>
    <w:rsid w:val="00C07A63"/>
    <w:rsid w:val="00C102DD"/>
    <w:rsid w:val="00C11096"/>
    <w:rsid w:val="00C1111B"/>
    <w:rsid w:val="00C14FDE"/>
    <w:rsid w:val="00C152C2"/>
    <w:rsid w:val="00C155C3"/>
    <w:rsid w:val="00C15BFA"/>
    <w:rsid w:val="00C20D51"/>
    <w:rsid w:val="00C21398"/>
    <w:rsid w:val="00C21885"/>
    <w:rsid w:val="00C218D5"/>
    <w:rsid w:val="00C21DD8"/>
    <w:rsid w:val="00C227AF"/>
    <w:rsid w:val="00C22DB1"/>
    <w:rsid w:val="00C2380E"/>
    <w:rsid w:val="00C238C4"/>
    <w:rsid w:val="00C254C3"/>
    <w:rsid w:val="00C2770C"/>
    <w:rsid w:val="00C3164C"/>
    <w:rsid w:val="00C31737"/>
    <w:rsid w:val="00C32965"/>
    <w:rsid w:val="00C32B8B"/>
    <w:rsid w:val="00C32F7A"/>
    <w:rsid w:val="00C35636"/>
    <w:rsid w:val="00C36D71"/>
    <w:rsid w:val="00C378CA"/>
    <w:rsid w:val="00C37DA0"/>
    <w:rsid w:val="00C4072E"/>
    <w:rsid w:val="00C40C21"/>
    <w:rsid w:val="00C413B7"/>
    <w:rsid w:val="00C414AF"/>
    <w:rsid w:val="00C41B83"/>
    <w:rsid w:val="00C42438"/>
    <w:rsid w:val="00C4258D"/>
    <w:rsid w:val="00C426B4"/>
    <w:rsid w:val="00C43CF5"/>
    <w:rsid w:val="00C44B75"/>
    <w:rsid w:val="00C44D10"/>
    <w:rsid w:val="00C45157"/>
    <w:rsid w:val="00C4650D"/>
    <w:rsid w:val="00C51572"/>
    <w:rsid w:val="00C5422D"/>
    <w:rsid w:val="00C542B8"/>
    <w:rsid w:val="00C54697"/>
    <w:rsid w:val="00C54FEF"/>
    <w:rsid w:val="00C561B3"/>
    <w:rsid w:val="00C5741D"/>
    <w:rsid w:val="00C60788"/>
    <w:rsid w:val="00C60843"/>
    <w:rsid w:val="00C60F92"/>
    <w:rsid w:val="00C61572"/>
    <w:rsid w:val="00C62BF6"/>
    <w:rsid w:val="00C62F27"/>
    <w:rsid w:val="00C6305B"/>
    <w:rsid w:val="00C64B89"/>
    <w:rsid w:val="00C64C5D"/>
    <w:rsid w:val="00C6583B"/>
    <w:rsid w:val="00C661FB"/>
    <w:rsid w:val="00C66CFB"/>
    <w:rsid w:val="00C6710E"/>
    <w:rsid w:val="00C67163"/>
    <w:rsid w:val="00C67A09"/>
    <w:rsid w:val="00C70AE3"/>
    <w:rsid w:val="00C71F38"/>
    <w:rsid w:val="00C722E9"/>
    <w:rsid w:val="00C72872"/>
    <w:rsid w:val="00C73859"/>
    <w:rsid w:val="00C73864"/>
    <w:rsid w:val="00C748A6"/>
    <w:rsid w:val="00C755C9"/>
    <w:rsid w:val="00C76197"/>
    <w:rsid w:val="00C761D8"/>
    <w:rsid w:val="00C76BAA"/>
    <w:rsid w:val="00C77073"/>
    <w:rsid w:val="00C7732F"/>
    <w:rsid w:val="00C774CA"/>
    <w:rsid w:val="00C77F88"/>
    <w:rsid w:val="00C80BD6"/>
    <w:rsid w:val="00C81C71"/>
    <w:rsid w:val="00C81D70"/>
    <w:rsid w:val="00C827FB"/>
    <w:rsid w:val="00C83921"/>
    <w:rsid w:val="00C83D09"/>
    <w:rsid w:val="00C8422D"/>
    <w:rsid w:val="00C8450F"/>
    <w:rsid w:val="00C84690"/>
    <w:rsid w:val="00C849B5"/>
    <w:rsid w:val="00C84F6F"/>
    <w:rsid w:val="00C8515A"/>
    <w:rsid w:val="00C85866"/>
    <w:rsid w:val="00C85945"/>
    <w:rsid w:val="00C85B5D"/>
    <w:rsid w:val="00C85B6D"/>
    <w:rsid w:val="00C87773"/>
    <w:rsid w:val="00C87F7C"/>
    <w:rsid w:val="00C928AD"/>
    <w:rsid w:val="00C92969"/>
    <w:rsid w:val="00C935C5"/>
    <w:rsid w:val="00C941AC"/>
    <w:rsid w:val="00C95973"/>
    <w:rsid w:val="00CA178B"/>
    <w:rsid w:val="00CA363D"/>
    <w:rsid w:val="00CA3A4A"/>
    <w:rsid w:val="00CA42F1"/>
    <w:rsid w:val="00CA45CC"/>
    <w:rsid w:val="00CA5163"/>
    <w:rsid w:val="00CA5828"/>
    <w:rsid w:val="00CA61C4"/>
    <w:rsid w:val="00CA6A24"/>
    <w:rsid w:val="00CA7E29"/>
    <w:rsid w:val="00CB0157"/>
    <w:rsid w:val="00CB1972"/>
    <w:rsid w:val="00CB254C"/>
    <w:rsid w:val="00CB3295"/>
    <w:rsid w:val="00CB53D5"/>
    <w:rsid w:val="00CB55CB"/>
    <w:rsid w:val="00CB5F31"/>
    <w:rsid w:val="00CB68C5"/>
    <w:rsid w:val="00CB6F89"/>
    <w:rsid w:val="00CB794E"/>
    <w:rsid w:val="00CC1008"/>
    <w:rsid w:val="00CC2671"/>
    <w:rsid w:val="00CC3336"/>
    <w:rsid w:val="00CC3531"/>
    <w:rsid w:val="00CC3DED"/>
    <w:rsid w:val="00CC5805"/>
    <w:rsid w:val="00CC6413"/>
    <w:rsid w:val="00CD0C1C"/>
    <w:rsid w:val="00CD0CBD"/>
    <w:rsid w:val="00CD2704"/>
    <w:rsid w:val="00CD2F36"/>
    <w:rsid w:val="00CD368B"/>
    <w:rsid w:val="00CD45B2"/>
    <w:rsid w:val="00CD4B57"/>
    <w:rsid w:val="00CD4B9F"/>
    <w:rsid w:val="00CD4DF1"/>
    <w:rsid w:val="00CD51FC"/>
    <w:rsid w:val="00CD54C9"/>
    <w:rsid w:val="00CD5721"/>
    <w:rsid w:val="00CD5967"/>
    <w:rsid w:val="00CD5B38"/>
    <w:rsid w:val="00CD6EA8"/>
    <w:rsid w:val="00CD7946"/>
    <w:rsid w:val="00CD7D6C"/>
    <w:rsid w:val="00CE037B"/>
    <w:rsid w:val="00CE1A59"/>
    <w:rsid w:val="00CE2A6E"/>
    <w:rsid w:val="00CE2CEE"/>
    <w:rsid w:val="00CE4761"/>
    <w:rsid w:val="00CE4ACE"/>
    <w:rsid w:val="00CE4ED7"/>
    <w:rsid w:val="00CE71C5"/>
    <w:rsid w:val="00CE72CB"/>
    <w:rsid w:val="00CE78D5"/>
    <w:rsid w:val="00CF09DD"/>
    <w:rsid w:val="00CF0B3F"/>
    <w:rsid w:val="00CF1541"/>
    <w:rsid w:val="00CF1688"/>
    <w:rsid w:val="00CF30ED"/>
    <w:rsid w:val="00CF4307"/>
    <w:rsid w:val="00CF548B"/>
    <w:rsid w:val="00CF550E"/>
    <w:rsid w:val="00CF68A0"/>
    <w:rsid w:val="00CF74C2"/>
    <w:rsid w:val="00D015C0"/>
    <w:rsid w:val="00D01990"/>
    <w:rsid w:val="00D01CFC"/>
    <w:rsid w:val="00D0297E"/>
    <w:rsid w:val="00D034E0"/>
    <w:rsid w:val="00D03D6B"/>
    <w:rsid w:val="00D03D9E"/>
    <w:rsid w:val="00D051CA"/>
    <w:rsid w:val="00D05A2E"/>
    <w:rsid w:val="00D05ADC"/>
    <w:rsid w:val="00D11042"/>
    <w:rsid w:val="00D114D6"/>
    <w:rsid w:val="00D1159B"/>
    <w:rsid w:val="00D11F03"/>
    <w:rsid w:val="00D12F1A"/>
    <w:rsid w:val="00D13B42"/>
    <w:rsid w:val="00D13D6F"/>
    <w:rsid w:val="00D140DE"/>
    <w:rsid w:val="00D142EB"/>
    <w:rsid w:val="00D143B0"/>
    <w:rsid w:val="00D1483F"/>
    <w:rsid w:val="00D1496B"/>
    <w:rsid w:val="00D14D4B"/>
    <w:rsid w:val="00D152FB"/>
    <w:rsid w:val="00D15751"/>
    <w:rsid w:val="00D16B77"/>
    <w:rsid w:val="00D17365"/>
    <w:rsid w:val="00D21D50"/>
    <w:rsid w:val="00D23D84"/>
    <w:rsid w:val="00D23E67"/>
    <w:rsid w:val="00D23F60"/>
    <w:rsid w:val="00D24805"/>
    <w:rsid w:val="00D24E96"/>
    <w:rsid w:val="00D25446"/>
    <w:rsid w:val="00D255B8"/>
    <w:rsid w:val="00D25A8A"/>
    <w:rsid w:val="00D25C59"/>
    <w:rsid w:val="00D25FE3"/>
    <w:rsid w:val="00D265C2"/>
    <w:rsid w:val="00D27A8E"/>
    <w:rsid w:val="00D27BF7"/>
    <w:rsid w:val="00D306ED"/>
    <w:rsid w:val="00D3347A"/>
    <w:rsid w:val="00D33CCC"/>
    <w:rsid w:val="00D33EEE"/>
    <w:rsid w:val="00D34235"/>
    <w:rsid w:val="00D347E1"/>
    <w:rsid w:val="00D34EFA"/>
    <w:rsid w:val="00D3500C"/>
    <w:rsid w:val="00D3617F"/>
    <w:rsid w:val="00D36DBB"/>
    <w:rsid w:val="00D40F9F"/>
    <w:rsid w:val="00D41097"/>
    <w:rsid w:val="00D43B93"/>
    <w:rsid w:val="00D45C88"/>
    <w:rsid w:val="00D45EF4"/>
    <w:rsid w:val="00D47790"/>
    <w:rsid w:val="00D47B7F"/>
    <w:rsid w:val="00D47C9C"/>
    <w:rsid w:val="00D5100A"/>
    <w:rsid w:val="00D512DB"/>
    <w:rsid w:val="00D51DD3"/>
    <w:rsid w:val="00D5222A"/>
    <w:rsid w:val="00D52807"/>
    <w:rsid w:val="00D5298E"/>
    <w:rsid w:val="00D530C1"/>
    <w:rsid w:val="00D531DE"/>
    <w:rsid w:val="00D5396E"/>
    <w:rsid w:val="00D545B7"/>
    <w:rsid w:val="00D54DDD"/>
    <w:rsid w:val="00D5540F"/>
    <w:rsid w:val="00D5564B"/>
    <w:rsid w:val="00D570D3"/>
    <w:rsid w:val="00D57991"/>
    <w:rsid w:val="00D57E22"/>
    <w:rsid w:val="00D63100"/>
    <w:rsid w:val="00D6605F"/>
    <w:rsid w:val="00D66B37"/>
    <w:rsid w:val="00D66B95"/>
    <w:rsid w:val="00D6737B"/>
    <w:rsid w:val="00D70AAC"/>
    <w:rsid w:val="00D71419"/>
    <w:rsid w:val="00D714D7"/>
    <w:rsid w:val="00D732A4"/>
    <w:rsid w:val="00D7475B"/>
    <w:rsid w:val="00D74EAD"/>
    <w:rsid w:val="00D75EEE"/>
    <w:rsid w:val="00D77B8F"/>
    <w:rsid w:val="00D80C8E"/>
    <w:rsid w:val="00D8242B"/>
    <w:rsid w:val="00D8267D"/>
    <w:rsid w:val="00D829B1"/>
    <w:rsid w:val="00D8331A"/>
    <w:rsid w:val="00D8550F"/>
    <w:rsid w:val="00D861E7"/>
    <w:rsid w:val="00D869C1"/>
    <w:rsid w:val="00D8729D"/>
    <w:rsid w:val="00D8729E"/>
    <w:rsid w:val="00D87413"/>
    <w:rsid w:val="00D905E6"/>
    <w:rsid w:val="00D90632"/>
    <w:rsid w:val="00D9126B"/>
    <w:rsid w:val="00D914B2"/>
    <w:rsid w:val="00D929B6"/>
    <w:rsid w:val="00D93046"/>
    <w:rsid w:val="00D93233"/>
    <w:rsid w:val="00D935E5"/>
    <w:rsid w:val="00D9360E"/>
    <w:rsid w:val="00D9361E"/>
    <w:rsid w:val="00D93A94"/>
    <w:rsid w:val="00D93BC5"/>
    <w:rsid w:val="00D9401B"/>
    <w:rsid w:val="00D952EC"/>
    <w:rsid w:val="00D96311"/>
    <w:rsid w:val="00D9637A"/>
    <w:rsid w:val="00D963C9"/>
    <w:rsid w:val="00D97BE3"/>
    <w:rsid w:val="00DA0325"/>
    <w:rsid w:val="00DA0E33"/>
    <w:rsid w:val="00DA2C58"/>
    <w:rsid w:val="00DA2E48"/>
    <w:rsid w:val="00DA2FC6"/>
    <w:rsid w:val="00DA3F39"/>
    <w:rsid w:val="00DA4A3B"/>
    <w:rsid w:val="00DA5B3A"/>
    <w:rsid w:val="00DA683E"/>
    <w:rsid w:val="00DA779C"/>
    <w:rsid w:val="00DB0E7F"/>
    <w:rsid w:val="00DB1719"/>
    <w:rsid w:val="00DB3B30"/>
    <w:rsid w:val="00DB41A7"/>
    <w:rsid w:val="00DB4A8A"/>
    <w:rsid w:val="00DB51A2"/>
    <w:rsid w:val="00DB570F"/>
    <w:rsid w:val="00DB5F7D"/>
    <w:rsid w:val="00DB6D22"/>
    <w:rsid w:val="00DB786A"/>
    <w:rsid w:val="00DC0327"/>
    <w:rsid w:val="00DC07DE"/>
    <w:rsid w:val="00DC276E"/>
    <w:rsid w:val="00DC418E"/>
    <w:rsid w:val="00DC4662"/>
    <w:rsid w:val="00DC4D1D"/>
    <w:rsid w:val="00DC60EA"/>
    <w:rsid w:val="00DC681D"/>
    <w:rsid w:val="00DD05BE"/>
    <w:rsid w:val="00DD1146"/>
    <w:rsid w:val="00DD2FF3"/>
    <w:rsid w:val="00DD3BFA"/>
    <w:rsid w:val="00DD4606"/>
    <w:rsid w:val="00DD5AF6"/>
    <w:rsid w:val="00DD675D"/>
    <w:rsid w:val="00DD7315"/>
    <w:rsid w:val="00DD7338"/>
    <w:rsid w:val="00DD74FF"/>
    <w:rsid w:val="00DE0E52"/>
    <w:rsid w:val="00DE2DC2"/>
    <w:rsid w:val="00DE318D"/>
    <w:rsid w:val="00DE39E2"/>
    <w:rsid w:val="00DF026F"/>
    <w:rsid w:val="00DF14CD"/>
    <w:rsid w:val="00DF1A65"/>
    <w:rsid w:val="00DF24E7"/>
    <w:rsid w:val="00DF399F"/>
    <w:rsid w:val="00DF4558"/>
    <w:rsid w:val="00DF4D33"/>
    <w:rsid w:val="00DF5139"/>
    <w:rsid w:val="00DF560C"/>
    <w:rsid w:val="00DF60E6"/>
    <w:rsid w:val="00DF66F1"/>
    <w:rsid w:val="00DF6729"/>
    <w:rsid w:val="00DF7C68"/>
    <w:rsid w:val="00E0073F"/>
    <w:rsid w:val="00E00D7C"/>
    <w:rsid w:val="00E010FE"/>
    <w:rsid w:val="00E01911"/>
    <w:rsid w:val="00E02596"/>
    <w:rsid w:val="00E034DF"/>
    <w:rsid w:val="00E03704"/>
    <w:rsid w:val="00E038B9"/>
    <w:rsid w:val="00E04948"/>
    <w:rsid w:val="00E05129"/>
    <w:rsid w:val="00E06704"/>
    <w:rsid w:val="00E06746"/>
    <w:rsid w:val="00E1016B"/>
    <w:rsid w:val="00E1124F"/>
    <w:rsid w:val="00E11B9D"/>
    <w:rsid w:val="00E11EE7"/>
    <w:rsid w:val="00E12250"/>
    <w:rsid w:val="00E13203"/>
    <w:rsid w:val="00E146EB"/>
    <w:rsid w:val="00E1525E"/>
    <w:rsid w:val="00E15695"/>
    <w:rsid w:val="00E1791F"/>
    <w:rsid w:val="00E17AE0"/>
    <w:rsid w:val="00E17BF6"/>
    <w:rsid w:val="00E2106B"/>
    <w:rsid w:val="00E2191F"/>
    <w:rsid w:val="00E22132"/>
    <w:rsid w:val="00E22914"/>
    <w:rsid w:val="00E22EEF"/>
    <w:rsid w:val="00E23227"/>
    <w:rsid w:val="00E23A94"/>
    <w:rsid w:val="00E24166"/>
    <w:rsid w:val="00E244C4"/>
    <w:rsid w:val="00E24EB2"/>
    <w:rsid w:val="00E25000"/>
    <w:rsid w:val="00E2514D"/>
    <w:rsid w:val="00E25969"/>
    <w:rsid w:val="00E30011"/>
    <w:rsid w:val="00E30871"/>
    <w:rsid w:val="00E308F5"/>
    <w:rsid w:val="00E30C44"/>
    <w:rsid w:val="00E31232"/>
    <w:rsid w:val="00E33D20"/>
    <w:rsid w:val="00E34A46"/>
    <w:rsid w:val="00E35E53"/>
    <w:rsid w:val="00E369EB"/>
    <w:rsid w:val="00E36DB7"/>
    <w:rsid w:val="00E379EC"/>
    <w:rsid w:val="00E4026D"/>
    <w:rsid w:val="00E420A6"/>
    <w:rsid w:val="00E4350A"/>
    <w:rsid w:val="00E43DC8"/>
    <w:rsid w:val="00E4488E"/>
    <w:rsid w:val="00E44A57"/>
    <w:rsid w:val="00E4783E"/>
    <w:rsid w:val="00E50ABF"/>
    <w:rsid w:val="00E539D3"/>
    <w:rsid w:val="00E55026"/>
    <w:rsid w:val="00E55AF8"/>
    <w:rsid w:val="00E56FB4"/>
    <w:rsid w:val="00E573F8"/>
    <w:rsid w:val="00E57617"/>
    <w:rsid w:val="00E6067F"/>
    <w:rsid w:val="00E60E71"/>
    <w:rsid w:val="00E637D3"/>
    <w:rsid w:val="00E63F4D"/>
    <w:rsid w:val="00E645A7"/>
    <w:rsid w:val="00E66ED3"/>
    <w:rsid w:val="00E67182"/>
    <w:rsid w:val="00E6782B"/>
    <w:rsid w:val="00E70BCB"/>
    <w:rsid w:val="00E71D28"/>
    <w:rsid w:val="00E7310F"/>
    <w:rsid w:val="00E73846"/>
    <w:rsid w:val="00E750D7"/>
    <w:rsid w:val="00E76F62"/>
    <w:rsid w:val="00E770B8"/>
    <w:rsid w:val="00E8309E"/>
    <w:rsid w:val="00E83A61"/>
    <w:rsid w:val="00E84F2D"/>
    <w:rsid w:val="00E85275"/>
    <w:rsid w:val="00E85C94"/>
    <w:rsid w:val="00E86571"/>
    <w:rsid w:val="00E86DEA"/>
    <w:rsid w:val="00E86F9F"/>
    <w:rsid w:val="00E8741E"/>
    <w:rsid w:val="00E8749A"/>
    <w:rsid w:val="00E90857"/>
    <w:rsid w:val="00E908DB"/>
    <w:rsid w:val="00E926D8"/>
    <w:rsid w:val="00E92812"/>
    <w:rsid w:val="00E9335C"/>
    <w:rsid w:val="00E93961"/>
    <w:rsid w:val="00E965F1"/>
    <w:rsid w:val="00EA0AFD"/>
    <w:rsid w:val="00EA0CDA"/>
    <w:rsid w:val="00EA1159"/>
    <w:rsid w:val="00EA1481"/>
    <w:rsid w:val="00EA1BF3"/>
    <w:rsid w:val="00EA1F4C"/>
    <w:rsid w:val="00EA230E"/>
    <w:rsid w:val="00EA3551"/>
    <w:rsid w:val="00EA3B85"/>
    <w:rsid w:val="00EA42BE"/>
    <w:rsid w:val="00EA4550"/>
    <w:rsid w:val="00EA5132"/>
    <w:rsid w:val="00EA5EFA"/>
    <w:rsid w:val="00EA5F50"/>
    <w:rsid w:val="00EA6164"/>
    <w:rsid w:val="00EA66C9"/>
    <w:rsid w:val="00EA74AB"/>
    <w:rsid w:val="00EA76C2"/>
    <w:rsid w:val="00EA7B86"/>
    <w:rsid w:val="00EA7B91"/>
    <w:rsid w:val="00EB05BB"/>
    <w:rsid w:val="00EB0B98"/>
    <w:rsid w:val="00EB13F6"/>
    <w:rsid w:val="00EB2019"/>
    <w:rsid w:val="00EB36E9"/>
    <w:rsid w:val="00EB37E5"/>
    <w:rsid w:val="00EB385C"/>
    <w:rsid w:val="00EB3BA1"/>
    <w:rsid w:val="00EB6A88"/>
    <w:rsid w:val="00EB7661"/>
    <w:rsid w:val="00EC10C0"/>
    <w:rsid w:val="00EC1FBD"/>
    <w:rsid w:val="00EC31BA"/>
    <w:rsid w:val="00EC44F7"/>
    <w:rsid w:val="00EC475E"/>
    <w:rsid w:val="00EC4CBF"/>
    <w:rsid w:val="00EC51C9"/>
    <w:rsid w:val="00EC581F"/>
    <w:rsid w:val="00EC58EC"/>
    <w:rsid w:val="00EC5E99"/>
    <w:rsid w:val="00EC660A"/>
    <w:rsid w:val="00EC6E39"/>
    <w:rsid w:val="00EC75F2"/>
    <w:rsid w:val="00EC7ECD"/>
    <w:rsid w:val="00ED0EE5"/>
    <w:rsid w:val="00ED1C8A"/>
    <w:rsid w:val="00ED2B46"/>
    <w:rsid w:val="00ED3AF0"/>
    <w:rsid w:val="00ED4449"/>
    <w:rsid w:val="00ED4822"/>
    <w:rsid w:val="00ED70E3"/>
    <w:rsid w:val="00ED715E"/>
    <w:rsid w:val="00EE0D59"/>
    <w:rsid w:val="00EE0E08"/>
    <w:rsid w:val="00EE13EA"/>
    <w:rsid w:val="00EE1CD9"/>
    <w:rsid w:val="00EE25AE"/>
    <w:rsid w:val="00EE3C4F"/>
    <w:rsid w:val="00EE4741"/>
    <w:rsid w:val="00EE652B"/>
    <w:rsid w:val="00EE7778"/>
    <w:rsid w:val="00EF1DEF"/>
    <w:rsid w:val="00EF2F95"/>
    <w:rsid w:val="00EF348C"/>
    <w:rsid w:val="00EF4006"/>
    <w:rsid w:val="00EF4C39"/>
    <w:rsid w:val="00EF63C4"/>
    <w:rsid w:val="00EF66FD"/>
    <w:rsid w:val="00EF68A8"/>
    <w:rsid w:val="00F0190C"/>
    <w:rsid w:val="00F0252B"/>
    <w:rsid w:val="00F02711"/>
    <w:rsid w:val="00F028BD"/>
    <w:rsid w:val="00F02C97"/>
    <w:rsid w:val="00F03163"/>
    <w:rsid w:val="00F03385"/>
    <w:rsid w:val="00F03D5F"/>
    <w:rsid w:val="00F042E2"/>
    <w:rsid w:val="00F047FE"/>
    <w:rsid w:val="00F05072"/>
    <w:rsid w:val="00F057FD"/>
    <w:rsid w:val="00F06EFB"/>
    <w:rsid w:val="00F06F5C"/>
    <w:rsid w:val="00F07229"/>
    <w:rsid w:val="00F1031C"/>
    <w:rsid w:val="00F10833"/>
    <w:rsid w:val="00F11090"/>
    <w:rsid w:val="00F12B62"/>
    <w:rsid w:val="00F13FA0"/>
    <w:rsid w:val="00F15BC8"/>
    <w:rsid w:val="00F16034"/>
    <w:rsid w:val="00F204E2"/>
    <w:rsid w:val="00F214AC"/>
    <w:rsid w:val="00F21BEF"/>
    <w:rsid w:val="00F224DE"/>
    <w:rsid w:val="00F23346"/>
    <w:rsid w:val="00F23C3D"/>
    <w:rsid w:val="00F23C81"/>
    <w:rsid w:val="00F24FBB"/>
    <w:rsid w:val="00F2602D"/>
    <w:rsid w:val="00F26891"/>
    <w:rsid w:val="00F271EC"/>
    <w:rsid w:val="00F30B61"/>
    <w:rsid w:val="00F30E14"/>
    <w:rsid w:val="00F30E32"/>
    <w:rsid w:val="00F31C6A"/>
    <w:rsid w:val="00F333B7"/>
    <w:rsid w:val="00F3344C"/>
    <w:rsid w:val="00F35D60"/>
    <w:rsid w:val="00F36A9C"/>
    <w:rsid w:val="00F36FFC"/>
    <w:rsid w:val="00F3704B"/>
    <w:rsid w:val="00F41C21"/>
    <w:rsid w:val="00F42BC6"/>
    <w:rsid w:val="00F42E72"/>
    <w:rsid w:val="00F42EB8"/>
    <w:rsid w:val="00F4366B"/>
    <w:rsid w:val="00F43A0B"/>
    <w:rsid w:val="00F43B96"/>
    <w:rsid w:val="00F44AA2"/>
    <w:rsid w:val="00F46F2A"/>
    <w:rsid w:val="00F47A05"/>
    <w:rsid w:val="00F47C0D"/>
    <w:rsid w:val="00F52D03"/>
    <w:rsid w:val="00F52E5C"/>
    <w:rsid w:val="00F536C0"/>
    <w:rsid w:val="00F53817"/>
    <w:rsid w:val="00F53C40"/>
    <w:rsid w:val="00F5440A"/>
    <w:rsid w:val="00F547F1"/>
    <w:rsid w:val="00F553B7"/>
    <w:rsid w:val="00F56F37"/>
    <w:rsid w:val="00F57574"/>
    <w:rsid w:val="00F5758D"/>
    <w:rsid w:val="00F57666"/>
    <w:rsid w:val="00F57AD9"/>
    <w:rsid w:val="00F57C4D"/>
    <w:rsid w:val="00F57DF1"/>
    <w:rsid w:val="00F60C79"/>
    <w:rsid w:val="00F60DC6"/>
    <w:rsid w:val="00F6250B"/>
    <w:rsid w:val="00F64378"/>
    <w:rsid w:val="00F65CA2"/>
    <w:rsid w:val="00F70360"/>
    <w:rsid w:val="00F709DA"/>
    <w:rsid w:val="00F71630"/>
    <w:rsid w:val="00F720CE"/>
    <w:rsid w:val="00F721C8"/>
    <w:rsid w:val="00F725D2"/>
    <w:rsid w:val="00F726E0"/>
    <w:rsid w:val="00F7328A"/>
    <w:rsid w:val="00F7380A"/>
    <w:rsid w:val="00F74B01"/>
    <w:rsid w:val="00F74EB3"/>
    <w:rsid w:val="00F75892"/>
    <w:rsid w:val="00F75ACB"/>
    <w:rsid w:val="00F75C99"/>
    <w:rsid w:val="00F75EEB"/>
    <w:rsid w:val="00F762C7"/>
    <w:rsid w:val="00F765F4"/>
    <w:rsid w:val="00F76880"/>
    <w:rsid w:val="00F76B2F"/>
    <w:rsid w:val="00F80016"/>
    <w:rsid w:val="00F822CD"/>
    <w:rsid w:val="00F835A2"/>
    <w:rsid w:val="00F87535"/>
    <w:rsid w:val="00F90E8D"/>
    <w:rsid w:val="00F91301"/>
    <w:rsid w:val="00F92ABA"/>
    <w:rsid w:val="00F93722"/>
    <w:rsid w:val="00F9373A"/>
    <w:rsid w:val="00F949A0"/>
    <w:rsid w:val="00F94DBB"/>
    <w:rsid w:val="00F951BF"/>
    <w:rsid w:val="00F9532C"/>
    <w:rsid w:val="00F95529"/>
    <w:rsid w:val="00F95661"/>
    <w:rsid w:val="00F962BB"/>
    <w:rsid w:val="00FA01D7"/>
    <w:rsid w:val="00FA07BF"/>
    <w:rsid w:val="00FA1928"/>
    <w:rsid w:val="00FA2342"/>
    <w:rsid w:val="00FA25C5"/>
    <w:rsid w:val="00FA364A"/>
    <w:rsid w:val="00FA5128"/>
    <w:rsid w:val="00FA544C"/>
    <w:rsid w:val="00FA7A70"/>
    <w:rsid w:val="00FB01B9"/>
    <w:rsid w:val="00FB0A9B"/>
    <w:rsid w:val="00FB1C6B"/>
    <w:rsid w:val="00FB241A"/>
    <w:rsid w:val="00FB3F2C"/>
    <w:rsid w:val="00FB5F69"/>
    <w:rsid w:val="00FB62A3"/>
    <w:rsid w:val="00FB6E2C"/>
    <w:rsid w:val="00FC1620"/>
    <w:rsid w:val="00FC30CA"/>
    <w:rsid w:val="00FC39FF"/>
    <w:rsid w:val="00FC462D"/>
    <w:rsid w:val="00FC4AA3"/>
    <w:rsid w:val="00FC58E7"/>
    <w:rsid w:val="00FC5AC5"/>
    <w:rsid w:val="00FC68C6"/>
    <w:rsid w:val="00FC74B0"/>
    <w:rsid w:val="00FD04CD"/>
    <w:rsid w:val="00FD0514"/>
    <w:rsid w:val="00FD247C"/>
    <w:rsid w:val="00FD3214"/>
    <w:rsid w:val="00FD334A"/>
    <w:rsid w:val="00FD3BD8"/>
    <w:rsid w:val="00FD3EDB"/>
    <w:rsid w:val="00FD470A"/>
    <w:rsid w:val="00FD57C4"/>
    <w:rsid w:val="00FD58EA"/>
    <w:rsid w:val="00FE0B50"/>
    <w:rsid w:val="00FE11D4"/>
    <w:rsid w:val="00FE1764"/>
    <w:rsid w:val="00FE3492"/>
    <w:rsid w:val="00FE35E3"/>
    <w:rsid w:val="00FE427E"/>
    <w:rsid w:val="00FE585A"/>
    <w:rsid w:val="00FE61F0"/>
    <w:rsid w:val="00FE6260"/>
    <w:rsid w:val="00FF0EF4"/>
    <w:rsid w:val="00FF10CE"/>
    <w:rsid w:val="00FF25B2"/>
    <w:rsid w:val="00FF2624"/>
    <w:rsid w:val="00FF27DB"/>
    <w:rsid w:val="00FF29E1"/>
    <w:rsid w:val="00FF2C3B"/>
    <w:rsid w:val="00FF353E"/>
    <w:rsid w:val="00FF47F6"/>
    <w:rsid w:val="00FF4B89"/>
    <w:rsid w:val="00FF5506"/>
    <w:rsid w:val="00FF585A"/>
    <w:rsid w:val="00FF5FE6"/>
    <w:rsid w:val="00FF678E"/>
    <w:rsid w:val="00FF6D99"/>
    <w:rsid w:val="00FF7B73"/>
    <w:rsid w:val="00FF7F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0C0F6"/>
  <w15:docId w15:val="{487D31D1-A2C7-46DB-9B57-B6807A773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18D"/>
    <w:pPr>
      <w:spacing w:after="200" w:line="276" w:lineRule="auto"/>
    </w:pPr>
    <w:rPr>
      <w:sz w:val="22"/>
      <w:szCs w:val="22"/>
      <w:lang w:eastAsia="en-US"/>
    </w:rPr>
  </w:style>
  <w:style w:type="paragraph" w:styleId="Heading1">
    <w:name w:val="heading 1"/>
    <w:basedOn w:val="Normal"/>
    <w:link w:val="Heading1Char"/>
    <w:uiPriority w:val="9"/>
    <w:qFormat/>
    <w:rsid w:val="008021B4"/>
    <w:pPr>
      <w:spacing w:before="100" w:beforeAutospacing="1" w:after="100" w:afterAutospacing="1" w:line="240" w:lineRule="auto"/>
      <w:outlineLvl w:val="0"/>
    </w:pPr>
    <w:rPr>
      <w:rFonts w:asciiTheme="minorHAnsi" w:eastAsia="Times New Roman" w:hAnsiTheme="minorHAnsi"/>
      <w:b/>
      <w:bCs/>
      <w:kern w:val="36"/>
      <w:sz w:val="36"/>
      <w:szCs w:val="48"/>
      <w:lang w:eastAsia="en-GB"/>
    </w:rPr>
  </w:style>
  <w:style w:type="paragraph" w:styleId="Heading2">
    <w:name w:val="heading 2"/>
    <w:basedOn w:val="Normal"/>
    <w:next w:val="Normal"/>
    <w:link w:val="Heading2Char"/>
    <w:uiPriority w:val="9"/>
    <w:unhideWhenUsed/>
    <w:qFormat/>
    <w:rsid w:val="00F90E8D"/>
    <w:pPr>
      <w:keepNext/>
      <w:keepLines/>
      <w:spacing w:before="40" w:after="0"/>
      <w:outlineLvl w:val="1"/>
    </w:pPr>
    <w:rPr>
      <w:rFonts w:asciiTheme="minorHAnsi" w:eastAsiaTheme="majorEastAsia" w:hAnsiTheme="minorHAnsi" w:cstheme="majorBidi"/>
      <w:b/>
      <w:sz w:val="32"/>
      <w:szCs w:val="26"/>
    </w:rPr>
  </w:style>
  <w:style w:type="paragraph" w:styleId="Heading3">
    <w:name w:val="heading 3"/>
    <w:basedOn w:val="Normal"/>
    <w:next w:val="Normal"/>
    <w:link w:val="Heading3Char"/>
    <w:uiPriority w:val="9"/>
    <w:unhideWhenUsed/>
    <w:qFormat/>
    <w:rsid w:val="00C06040"/>
    <w:pPr>
      <w:tabs>
        <w:tab w:val="left" w:pos="1485"/>
      </w:tabs>
      <w:spacing w:after="120" w:line="240" w:lineRule="auto"/>
      <w:outlineLvl w:val="2"/>
    </w:pPr>
    <w:rPr>
      <w:b/>
      <w:sz w:val="28"/>
    </w:rPr>
  </w:style>
  <w:style w:type="paragraph" w:styleId="Heading4">
    <w:name w:val="heading 4"/>
    <w:basedOn w:val="Heading3"/>
    <w:next w:val="Normal"/>
    <w:link w:val="Heading4Char"/>
    <w:uiPriority w:val="9"/>
    <w:unhideWhenUsed/>
    <w:qFormat/>
    <w:rsid w:val="00661C11"/>
    <w:pPr>
      <w:outlineLvl w:val="3"/>
    </w:pPr>
    <w:rPr>
      <w:sz w:val="24"/>
    </w:rPr>
  </w:style>
  <w:style w:type="paragraph" w:styleId="Heading5">
    <w:name w:val="heading 5"/>
    <w:basedOn w:val="Normal"/>
    <w:next w:val="Normal"/>
    <w:link w:val="Heading5Char"/>
    <w:uiPriority w:val="9"/>
    <w:unhideWhenUsed/>
    <w:qFormat/>
    <w:rsid w:val="00105A8D"/>
    <w:pPr>
      <w:keepNext/>
      <w:keepLines/>
      <w:spacing w:after="120" w:line="240" w:lineRule="auto"/>
      <w:outlineLvl w:val="4"/>
    </w:pPr>
    <w:rPr>
      <w:rFonts w:eastAsiaTheme="majorEastAsia" w:cstheme="majorBid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sid w:val="00DD5AF6"/>
    <w:rPr>
      <w:sz w:val="16"/>
      <w:szCs w:val="16"/>
    </w:rPr>
  </w:style>
  <w:style w:type="paragraph" w:styleId="CommentText">
    <w:name w:val="annotation text"/>
    <w:basedOn w:val="Normal"/>
    <w:link w:val="CommentTextChar"/>
    <w:uiPriority w:val="99"/>
    <w:unhideWhenUsed/>
    <w:rsid w:val="00DD5AF6"/>
    <w:pPr>
      <w:spacing w:line="240" w:lineRule="auto"/>
    </w:pPr>
    <w:rPr>
      <w:sz w:val="20"/>
      <w:szCs w:val="20"/>
    </w:rPr>
  </w:style>
  <w:style w:type="character" w:customStyle="1" w:styleId="CommentTextChar">
    <w:name w:val="Comment Text Char"/>
    <w:link w:val="CommentText"/>
    <w:uiPriority w:val="99"/>
    <w:rsid w:val="00DD5AF6"/>
    <w:rPr>
      <w:sz w:val="20"/>
      <w:szCs w:val="20"/>
    </w:rPr>
  </w:style>
  <w:style w:type="paragraph" w:styleId="BalloonText">
    <w:name w:val="Balloon Text"/>
    <w:basedOn w:val="Normal"/>
    <w:link w:val="BalloonTextChar"/>
    <w:uiPriority w:val="99"/>
    <w:semiHidden/>
    <w:unhideWhenUsed/>
    <w:rsid w:val="00DD5AF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D5AF6"/>
    <w:rPr>
      <w:rFonts w:ascii="Tahoma" w:hAnsi="Tahoma" w:cs="Tahoma"/>
      <w:sz w:val="16"/>
      <w:szCs w:val="16"/>
    </w:rPr>
  </w:style>
  <w:style w:type="paragraph" w:customStyle="1" w:styleId="Default">
    <w:name w:val="Default"/>
    <w:rsid w:val="00DD5AF6"/>
    <w:pPr>
      <w:autoSpaceDE w:val="0"/>
      <w:autoSpaceDN w:val="0"/>
      <w:adjustRightInd w:val="0"/>
    </w:pPr>
    <w:rPr>
      <w:rFonts w:ascii="Arial" w:eastAsia="Times New Roman" w:hAnsi="Arial" w:cs="Arial"/>
      <w:color w:val="000000"/>
      <w:sz w:val="24"/>
      <w:szCs w:val="24"/>
    </w:rPr>
  </w:style>
  <w:style w:type="paragraph" w:styleId="ListParagraph">
    <w:name w:val="List Paragraph"/>
    <w:basedOn w:val="Normal"/>
    <w:uiPriority w:val="34"/>
    <w:qFormat/>
    <w:rsid w:val="00B543D8"/>
    <w:pPr>
      <w:ind w:left="720"/>
      <w:contextualSpacing/>
    </w:pPr>
  </w:style>
  <w:style w:type="paragraph" w:styleId="CommentSubject">
    <w:name w:val="annotation subject"/>
    <w:basedOn w:val="CommentText"/>
    <w:next w:val="CommentText"/>
    <w:link w:val="CommentSubjectChar"/>
    <w:uiPriority w:val="99"/>
    <w:semiHidden/>
    <w:unhideWhenUsed/>
    <w:rsid w:val="00F765F4"/>
    <w:rPr>
      <w:b/>
      <w:bCs/>
    </w:rPr>
  </w:style>
  <w:style w:type="character" w:customStyle="1" w:styleId="CommentSubjectChar">
    <w:name w:val="Comment Subject Char"/>
    <w:link w:val="CommentSubject"/>
    <w:uiPriority w:val="99"/>
    <w:semiHidden/>
    <w:rsid w:val="00F765F4"/>
    <w:rPr>
      <w:b/>
      <w:bCs/>
      <w:sz w:val="20"/>
      <w:szCs w:val="20"/>
    </w:rPr>
  </w:style>
  <w:style w:type="paragraph" w:styleId="Header">
    <w:name w:val="header"/>
    <w:basedOn w:val="Normal"/>
    <w:link w:val="HeaderChar"/>
    <w:uiPriority w:val="99"/>
    <w:unhideWhenUsed/>
    <w:rsid w:val="00B4212C"/>
    <w:pPr>
      <w:tabs>
        <w:tab w:val="center" w:pos="4513"/>
        <w:tab w:val="right" w:pos="9026"/>
      </w:tabs>
    </w:pPr>
  </w:style>
  <w:style w:type="character" w:customStyle="1" w:styleId="HeaderChar">
    <w:name w:val="Header Char"/>
    <w:link w:val="Header"/>
    <w:uiPriority w:val="99"/>
    <w:rsid w:val="00B4212C"/>
    <w:rPr>
      <w:sz w:val="22"/>
      <w:szCs w:val="22"/>
      <w:lang w:eastAsia="en-US"/>
    </w:rPr>
  </w:style>
  <w:style w:type="paragraph" w:styleId="Footer">
    <w:name w:val="footer"/>
    <w:basedOn w:val="Normal"/>
    <w:link w:val="FooterChar"/>
    <w:uiPriority w:val="99"/>
    <w:unhideWhenUsed/>
    <w:rsid w:val="00B4212C"/>
    <w:pPr>
      <w:tabs>
        <w:tab w:val="center" w:pos="4513"/>
        <w:tab w:val="right" w:pos="9026"/>
      </w:tabs>
    </w:pPr>
  </w:style>
  <w:style w:type="character" w:customStyle="1" w:styleId="FooterChar">
    <w:name w:val="Footer Char"/>
    <w:link w:val="Footer"/>
    <w:uiPriority w:val="99"/>
    <w:rsid w:val="00B4212C"/>
    <w:rPr>
      <w:sz w:val="22"/>
      <w:szCs w:val="22"/>
      <w:lang w:eastAsia="en-US"/>
    </w:rPr>
  </w:style>
  <w:style w:type="character" w:customStyle="1" w:styleId="FootnoteReference1">
    <w:name w:val="Footnote Reference1"/>
    <w:rsid w:val="006F1E14"/>
    <w:rPr>
      <w:color w:val="000000"/>
      <w:sz w:val="20"/>
      <w:vertAlign w:val="superscript"/>
    </w:rPr>
  </w:style>
  <w:style w:type="paragraph" w:customStyle="1" w:styleId="FootnoteTextA">
    <w:name w:val="Footnote Text A"/>
    <w:rsid w:val="006F1E14"/>
    <w:rPr>
      <w:rFonts w:ascii="Lucida Grande" w:eastAsia="ヒラギノ角ゴ Pro W3" w:hAnsi="Lucida Grande"/>
      <w:color w:val="000000"/>
    </w:rPr>
  </w:style>
  <w:style w:type="paragraph" w:styleId="FootnoteText">
    <w:name w:val="footnote text"/>
    <w:basedOn w:val="Normal"/>
    <w:link w:val="FootnoteTextChar"/>
    <w:uiPriority w:val="99"/>
    <w:rsid w:val="004D544F"/>
    <w:rPr>
      <w:rFonts w:ascii="Lucida Grande" w:eastAsia="ヒラギノ角ゴ Pro W3" w:hAnsi="Lucida Grande"/>
      <w:color w:val="000000"/>
      <w:sz w:val="20"/>
      <w:szCs w:val="20"/>
    </w:rPr>
  </w:style>
  <w:style w:type="character" w:customStyle="1" w:styleId="FootnoteTextChar">
    <w:name w:val="Footnote Text Char"/>
    <w:link w:val="FootnoteText"/>
    <w:uiPriority w:val="99"/>
    <w:rsid w:val="004D544F"/>
    <w:rPr>
      <w:rFonts w:ascii="Lucida Grande" w:eastAsia="ヒラギノ角ゴ Pro W3" w:hAnsi="Lucida Grande"/>
      <w:color w:val="000000"/>
      <w:lang w:eastAsia="en-US"/>
    </w:rPr>
  </w:style>
  <w:style w:type="character" w:styleId="FootnoteReference">
    <w:name w:val="footnote reference"/>
    <w:uiPriority w:val="99"/>
    <w:rsid w:val="004D544F"/>
    <w:rPr>
      <w:vertAlign w:val="superscript"/>
    </w:rPr>
  </w:style>
  <w:style w:type="numbering" w:customStyle="1" w:styleId="List0">
    <w:name w:val="List 0"/>
    <w:basedOn w:val="NoList"/>
    <w:rsid w:val="00D5396E"/>
    <w:pPr>
      <w:numPr>
        <w:numId w:val="35"/>
      </w:numPr>
    </w:pPr>
  </w:style>
  <w:style w:type="numbering" w:customStyle="1" w:styleId="List1">
    <w:name w:val="List 1"/>
    <w:basedOn w:val="NoList"/>
    <w:rsid w:val="00D5396E"/>
    <w:pPr>
      <w:numPr>
        <w:numId w:val="10"/>
      </w:numPr>
    </w:pPr>
  </w:style>
  <w:style w:type="character" w:styleId="Hyperlink">
    <w:name w:val="Hyperlink"/>
    <w:rsid w:val="00667323"/>
    <w:rPr>
      <w:color w:val="0000FF"/>
      <w:u w:val="single"/>
    </w:rPr>
  </w:style>
  <w:style w:type="character" w:styleId="HTMLCite">
    <w:name w:val="HTML Cite"/>
    <w:rsid w:val="00667323"/>
    <w:rPr>
      <w:i w:val="0"/>
      <w:iCs w:val="0"/>
      <w:color w:val="0E774A"/>
    </w:rPr>
  </w:style>
  <w:style w:type="paragraph" w:customStyle="1" w:styleId="TableGrid1">
    <w:name w:val="Table Grid1"/>
    <w:rsid w:val="00667323"/>
    <w:rPr>
      <w:rFonts w:ascii="Lucida Grande" w:eastAsia="ヒラギノ角ゴ Pro W3" w:hAnsi="Lucida Grande"/>
      <w:color w:val="000000"/>
      <w:sz w:val="22"/>
    </w:rPr>
  </w:style>
  <w:style w:type="character" w:styleId="FollowedHyperlink">
    <w:name w:val="FollowedHyperlink"/>
    <w:basedOn w:val="DefaultParagraphFont"/>
    <w:uiPriority w:val="99"/>
    <w:semiHidden/>
    <w:unhideWhenUsed/>
    <w:rsid w:val="00772814"/>
    <w:rPr>
      <w:color w:val="800080" w:themeColor="followedHyperlink"/>
      <w:u w:val="single"/>
    </w:rPr>
  </w:style>
  <w:style w:type="table" w:styleId="TableGrid">
    <w:name w:val="Table Grid"/>
    <w:basedOn w:val="TableNormal"/>
    <w:uiPriority w:val="59"/>
    <w:rsid w:val="00EE7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380869"/>
    <w:rPr>
      <w:sz w:val="22"/>
      <w:szCs w:val="22"/>
      <w:lang w:eastAsia="en-US"/>
    </w:rPr>
  </w:style>
  <w:style w:type="paragraph" w:styleId="NormalWeb">
    <w:name w:val="Normal (Web)"/>
    <w:basedOn w:val="Normal"/>
    <w:uiPriority w:val="99"/>
    <w:semiHidden/>
    <w:unhideWhenUsed/>
    <w:rsid w:val="00094703"/>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apple-converted-space">
    <w:name w:val="apple-converted-space"/>
    <w:basedOn w:val="DefaultParagraphFont"/>
    <w:rsid w:val="00D13B42"/>
  </w:style>
  <w:style w:type="character" w:customStyle="1" w:styleId="Heading1Char">
    <w:name w:val="Heading 1 Char"/>
    <w:basedOn w:val="DefaultParagraphFont"/>
    <w:link w:val="Heading1"/>
    <w:uiPriority w:val="9"/>
    <w:rsid w:val="008021B4"/>
    <w:rPr>
      <w:rFonts w:asciiTheme="minorHAnsi" w:eastAsia="Times New Roman" w:hAnsiTheme="minorHAnsi"/>
      <w:b/>
      <w:bCs/>
      <w:kern w:val="36"/>
      <w:sz w:val="36"/>
      <w:szCs w:val="48"/>
    </w:rPr>
  </w:style>
  <w:style w:type="paragraph" w:styleId="DocumentMap">
    <w:name w:val="Document Map"/>
    <w:basedOn w:val="Normal"/>
    <w:link w:val="DocumentMapChar"/>
    <w:uiPriority w:val="99"/>
    <w:semiHidden/>
    <w:unhideWhenUsed/>
    <w:rsid w:val="00651CEA"/>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651CEA"/>
    <w:rPr>
      <w:rFonts w:ascii="Times New Roman" w:hAnsi="Times New Roman"/>
      <w:sz w:val="24"/>
      <w:szCs w:val="24"/>
      <w:lang w:eastAsia="en-US"/>
    </w:rPr>
  </w:style>
  <w:style w:type="character" w:customStyle="1" w:styleId="Heading2Char">
    <w:name w:val="Heading 2 Char"/>
    <w:basedOn w:val="DefaultParagraphFont"/>
    <w:link w:val="Heading2"/>
    <w:uiPriority w:val="9"/>
    <w:rsid w:val="00F90E8D"/>
    <w:rPr>
      <w:rFonts w:asciiTheme="minorHAnsi" w:eastAsiaTheme="majorEastAsia" w:hAnsiTheme="minorHAnsi" w:cstheme="majorBidi"/>
      <w:b/>
      <w:sz w:val="32"/>
      <w:szCs w:val="26"/>
      <w:lang w:eastAsia="en-US"/>
    </w:rPr>
  </w:style>
  <w:style w:type="character" w:customStyle="1" w:styleId="Heading3Char">
    <w:name w:val="Heading 3 Char"/>
    <w:basedOn w:val="DefaultParagraphFont"/>
    <w:link w:val="Heading3"/>
    <w:uiPriority w:val="9"/>
    <w:rsid w:val="00C06040"/>
    <w:rPr>
      <w:b/>
      <w:sz w:val="28"/>
      <w:szCs w:val="22"/>
      <w:lang w:eastAsia="en-US"/>
    </w:rPr>
  </w:style>
  <w:style w:type="paragraph" w:styleId="Caption">
    <w:name w:val="caption"/>
    <w:basedOn w:val="Normal"/>
    <w:next w:val="Normal"/>
    <w:uiPriority w:val="35"/>
    <w:unhideWhenUsed/>
    <w:qFormat/>
    <w:rsid w:val="005D4630"/>
    <w:pPr>
      <w:spacing w:line="240" w:lineRule="auto"/>
    </w:pPr>
    <w:rPr>
      <w:i/>
      <w:iCs/>
      <w:color w:val="1F497D" w:themeColor="text2"/>
      <w:sz w:val="18"/>
      <w:szCs w:val="18"/>
    </w:rPr>
  </w:style>
  <w:style w:type="character" w:customStyle="1" w:styleId="Heading4Char">
    <w:name w:val="Heading 4 Char"/>
    <w:basedOn w:val="DefaultParagraphFont"/>
    <w:link w:val="Heading4"/>
    <w:uiPriority w:val="9"/>
    <w:rsid w:val="00661C11"/>
    <w:rPr>
      <w:b/>
      <w:sz w:val="24"/>
      <w:szCs w:val="22"/>
      <w:lang w:eastAsia="en-US"/>
    </w:rPr>
  </w:style>
  <w:style w:type="paragraph" w:styleId="TOCHeading">
    <w:name w:val="TOC Heading"/>
    <w:basedOn w:val="Heading1"/>
    <w:next w:val="Normal"/>
    <w:uiPriority w:val="39"/>
    <w:unhideWhenUsed/>
    <w:qFormat/>
    <w:rsid w:val="00D14D4B"/>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val="en-US" w:eastAsia="en-US"/>
    </w:rPr>
  </w:style>
  <w:style w:type="paragraph" w:styleId="TOC1">
    <w:name w:val="toc 1"/>
    <w:basedOn w:val="Normal"/>
    <w:next w:val="Normal"/>
    <w:autoRedefine/>
    <w:uiPriority w:val="39"/>
    <w:unhideWhenUsed/>
    <w:rsid w:val="00D14D4B"/>
    <w:pPr>
      <w:spacing w:before="120" w:after="0"/>
    </w:pPr>
    <w:rPr>
      <w:rFonts w:asciiTheme="minorHAnsi" w:hAnsiTheme="minorHAnsi"/>
      <w:b/>
      <w:bCs/>
      <w:sz w:val="24"/>
      <w:szCs w:val="24"/>
    </w:rPr>
  </w:style>
  <w:style w:type="paragraph" w:styleId="TOC2">
    <w:name w:val="toc 2"/>
    <w:basedOn w:val="Normal"/>
    <w:next w:val="Normal"/>
    <w:autoRedefine/>
    <w:uiPriority w:val="39"/>
    <w:unhideWhenUsed/>
    <w:rsid w:val="00D14D4B"/>
    <w:pPr>
      <w:spacing w:after="0"/>
      <w:ind w:left="220"/>
    </w:pPr>
    <w:rPr>
      <w:rFonts w:asciiTheme="minorHAnsi" w:hAnsiTheme="minorHAnsi"/>
      <w:b/>
      <w:bCs/>
    </w:rPr>
  </w:style>
  <w:style w:type="paragraph" w:styleId="TOC3">
    <w:name w:val="toc 3"/>
    <w:basedOn w:val="Normal"/>
    <w:next w:val="Normal"/>
    <w:autoRedefine/>
    <w:uiPriority w:val="39"/>
    <w:unhideWhenUsed/>
    <w:rsid w:val="00D14D4B"/>
    <w:pPr>
      <w:spacing w:after="0"/>
      <w:ind w:left="440"/>
    </w:pPr>
    <w:rPr>
      <w:rFonts w:asciiTheme="minorHAnsi" w:hAnsiTheme="minorHAnsi"/>
    </w:rPr>
  </w:style>
  <w:style w:type="paragraph" w:styleId="TOC4">
    <w:name w:val="toc 4"/>
    <w:basedOn w:val="Normal"/>
    <w:next w:val="Normal"/>
    <w:autoRedefine/>
    <w:uiPriority w:val="39"/>
    <w:unhideWhenUsed/>
    <w:rsid w:val="00D14D4B"/>
    <w:pPr>
      <w:spacing w:after="0"/>
      <w:ind w:left="660"/>
    </w:pPr>
    <w:rPr>
      <w:rFonts w:asciiTheme="minorHAnsi" w:hAnsiTheme="minorHAnsi"/>
      <w:sz w:val="20"/>
      <w:szCs w:val="20"/>
    </w:rPr>
  </w:style>
  <w:style w:type="paragraph" w:styleId="TOC5">
    <w:name w:val="toc 5"/>
    <w:basedOn w:val="Normal"/>
    <w:next w:val="Normal"/>
    <w:autoRedefine/>
    <w:uiPriority w:val="39"/>
    <w:unhideWhenUsed/>
    <w:rsid w:val="00D14D4B"/>
    <w:pPr>
      <w:spacing w:after="0"/>
      <w:ind w:left="880"/>
    </w:pPr>
    <w:rPr>
      <w:rFonts w:asciiTheme="minorHAnsi" w:hAnsiTheme="minorHAnsi"/>
      <w:sz w:val="20"/>
      <w:szCs w:val="20"/>
    </w:rPr>
  </w:style>
  <w:style w:type="paragraph" w:styleId="TOC6">
    <w:name w:val="toc 6"/>
    <w:basedOn w:val="Normal"/>
    <w:next w:val="Normal"/>
    <w:autoRedefine/>
    <w:uiPriority w:val="39"/>
    <w:unhideWhenUsed/>
    <w:rsid w:val="00D14D4B"/>
    <w:pPr>
      <w:spacing w:after="0"/>
      <w:ind w:left="1100"/>
    </w:pPr>
    <w:rPr>
      <w:rFonts w:asciiTheme="minorHAnsi" w:hAnsiTheme="minorHAnsi"/>
      <w:sz w:val="20"/>
      <w:szCs w:val="20"/>
    </w:rPr>
  </w:style>
  <w:style w:type="paragraph" w:styleId="TOC7">
    <w:name w:val="toc 7"/>
    <w:basedOn w:val="Normal"/>
    <w:next w:val="Normal"/>
    <w:autoRedefine/>
    <w:uiPriority w:val="39"/>
    <w:unhideWhenUsed/>
    <w:rsid w:val="00D14D4B"/>
    <w:pPr>
      <w:spacing w:after="0"/>
      <w:ind w:left="1320"/>
    </w:pPr>
    <w:rPr>
      <w:rFonts w:asciiTheme="minorHAnsi" w:hAnsiTheme="minorHAnsi"/>
      <w:sz w:val="20"/>
      <w:szCs w:val="20"/>
    </w:rPr>
  </w:style>
  <w:style w:type="paragraph" w:styleId="TOC8">
    <w:name w:val="toc 8"/>
    <w:basedOn w:val="Normal"/>
    <w:next w:val="Normal"/>
    <w:autoRedefine/>
    <w:uiPriority w:val="39"/>
    <w:unhideWhenUsed/>
    <w:rsid w:val="00D14D4B"/>
    <w:pPr>
      <w:spacing w:after="0"/>
      <w:ind w:left="1540"/>
    </w:pPr>
    <w:rPr>
      <w:rFonts w:asciiTheme="minorHAnsi" w:hAnsiTheme="minorHAnsi"/>
      <w:sz w:val="20"/>
      <w:szCs w:val="20"/>
    </w:rPr>
  </w:style>
  <w:style w:type="paragraph" w:styleId="TOC9">
    <w:name w:val="toc 9"/>
    <w:basedOn w:val="Normal"/>
    <w:next w:val="Normal"/>
    <w:autoRedefine/>
    <w:uiPriority w:val="39"/>
    <w:unhideWhenUsed/>
    <w:rsid w:val="00D14D4B"/>
    <w:pPr>
      <w:spacing w:after="0"/>
      <w:ind w:left="1760"/>
    </w:pPr>
    <w:rPr>
      <w:rFonts w:asciiTheme="minorHAnsi" w:hAnsiTheme="minorHAnsi"/>
      <w:sz w:val="20"/>
      <w:szCs w:val="20"/>
    </w:rPr>
  </w:style>
  <w:style w:type="paragraph" w:styleId="TableofFigures">
    <w:name w:val="table of figures"/>
    <w:basedOn w:val="Normal"/>
    <w:next w:val="Normal"/>
    <w:uiPriority w:val="99"/>
    <w:unhideWhenUsed/>
    <w:rsid w:val="001C6830"/>
    <w:pPr>
      <w:ind w:left="440" w:hanging="440"/>
    </w:pPr>
  </w:style>
  <w:style w:type="character" w:customStyle="1" w:styleId="Heading5Char">
    <w:name w:val="Heading 5 Char"/>
    <w:basedOn w:val="DefaultParagraphFont"/>
    <w:link w:val="Heading5"/>
    <w:uiPriority w:val="9"/>
    <w:rsid w:val="00105A8D"/>
    <w:rPr>
      <w:rFonts w:eastAsiaTheme="majorEastAsia" w:cstheme="majorBidi"/>
      <w:b/>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390696">
      <w:bodyDiv w:val="1"/>
      <w:marLeft w:val="0"/>
      <w:marRight w:val="0"/>
      <w:marTop w:val="0"/>
      <w:marBottom w:val="0"/>
      <w:divBdr>
        <w:top w:val="none" w:sz="0" w:space="0" w:color="auto"/>
        <w:left w:val="none" w:sz="0" w:space="0" w:color="auto"/>
        <w:bottom w:val="none" w:sz="0" w:space="0" w:color="auto"/>
        <w:right w:val="none" w:sz="0" w:space="0" w:color="auto"/>
      </w:divBdr>
    </w:div>
    <w:div w:id="1118328958">
      <w:bodyDiv w:val="1"/>
      <w:marLeft w:val="0"/>
      <w:marRight w:val="0"/>
      <w:marTop w:val="0"/>
      <w:marBottom w:val="0"/>
      <w:divBdr>
        <w:top w:val="none" w:sz="0" w:space="0" w:color="auto"/>
        <w:left w:val="none" w:sz="0" w:space="0" w:color="auto"/>
        <w:bottom w:val="none" w:sz="0" w:space="0" w:color="auto"/>
        <w:right w:val="none" w:sz="0" w:space="0" w:color="auto"/>
      </w:divBdr>
    </w:div>
    <w:div w:id="1152990636">
      <w:bodyDiv w:val="1"/>
      <w:marLeft w:val="0"/>
      <w:marRight w:val="0"/>
      <w:marTop w:val="0"/>
      <w:marBottom w:val="0"/>
      <w:divBdr>
        <w:top w:val="none" w:sz="0" w:space="0" w:color="auto"/>
        <w:left w:val="none" w:sz="0" w:space="0" w:color="auto"/>
        <w:bottom w:val="none" w:sz="0" w:space="0" w:color="auto"/>
        <w:right w:val="none" w:sz="0" w:space="0" w:color="auto"/>
      </w:divBdr>
    </w:div>
    <w:div w:id="1439331908">
      <w:bodyDiv w:val="1"/>
      <w:marLeft w:val="0"/>
      <w:marRight w:val="0"/>
      <w:marTop w:val="0"/>
      <w:marBottom w:val="0"/>
      <w:divBdr>
        <w:top w:val="none" w:sz="0" w:space="0" w:color="auto"/>
        <w:left w:val="none" w:sz="0" w:space="0" w:color="auto"/>
        <w:bottom w:val="none" w:sz="0" w:space="0" w:color="auto"/>
        <w:right w:val="none" w:sz="0" w:space="0" w:color="auto"/>
      </w:divBdr>
    </w:div>
    <w:div w:id="161490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dp09kfh@sheffield.ac.uk" TargetMode="External"/><Relationship Id="rId18" Type="http://schemas.openxmlformats.org/officeDocument/2006/relationships/hyperlink" Target="file:///C:/Users/MRS%20KATHRYN/Downloads/david_blow_keynote_bolton_16sep14_final_-_for_use.pdf" TargetMode="External"/><Relationship Id="rId26" Type="http://schemas.openxmlformats.org/officeDocument/2006/relationships/hyperlink" Target="http://www.publications.parliament.uk/pa/cm201012/cmselect/cmeduc/1577/157702.htm" TargetMode="External"/><Relationship Id="rId39" Type="http://schemas.openxmlformats.org/officeDocument/2006/relationships/hyperlink" Target="http://www.thersa.org/__data/assets/pdf_file/0019/367003/RSA-Social-Justice-paper.pdf" TargetMode="External"/><Relationship Id="rId3" Type="http://schemas.openxmlformats.org/officeDocument/2006/relationships/numbering" Target="numbering.xml"/><Relationship Id="rId21" Type="http://schemas.openxmlformats.org/officeDocument/2006/relationships/hyperlink" Target="http://www.education.gov.uk/schools/performance/archive/schools_99/sec1.shtml" TargetMode="External"/><Relationship Id="rId34" Type="http://schemas.openxmlformats.org/officeDocument/2006/relationships/hyperlink" Target="http://www.hepi.ac.uk/2015/10/29/" TargetMode="External"/><Relationship Id="rId42" Type="http://schemas.openxmlformats.org/officeDocument/2006/relationships/hyperlink" Target="http://privatewww.essex.ac.uk/~tquinn/Quinn_Coalition_Agreement_JEPOP_2011.pdf" TargetMode="External"/><Relationship Id="rId47" Type="http://schemas.openxmlformats.org/officeDocument/2006/relationships/hyperlink" Target="https://www.ucas.com/sites/default/files/2013-applicant-figures-june-deadline-additional.pdf" TargetMode="External"/><Relationship Id="rId50" Type="http://schemas.openxmlformats.org/officeDocument/2006/relationships/hyperlink" Target="http://www.sheffield.ac.uk/education/research/ethics"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bera.ac.uk/wp-content/uploads/2014/02/BERA-Ethical-Guidelines-2011.pdf" TargetMode="External"/><Relationship Id="rId25" Type="http://schemas.openxmlformats.org/officeDocument/2006/relationships/hyperlink" Target="http://www.publications.parliament.uk/pa/cm201012/cmselect/cmeduc/851/85102.htm" TargetMode="External"/><Relationship Id="rId33" Type="http://schemas.openxmlformats.org/officeDocument/2006/relationships/hyperlink" Target="http://michaelgove.com/content/schools_white_paper_speech" TargetMode="External"/><Relationship Id="rId38" Type="http://schemas.openxmlformats.org/officeDocument/2006/relationships/hyperlink" Target="http://www.dashboard.ofsted.gov.uk" TargetMode="External"/><Relationship Id="rId46" Type="http://schemas.openxmlformats.org/officeDocument/2006/relationships/hyperlink" Target="http://eprints.lancs.ac.uk/49044/4/EnglishBaccalaureate.pdf" TargetMode="External"/><Relationship Id="rId2" Type="http://schemas.openxmlformats.org/officeDocument/2006/relationships/customXml" Target="../customXml/item2.xml"/><Relationship Id="rId16" Type="http://schemas.openxmlformats.org/officeDocument/2006/relationships/hyperlink" Target="http://www.leeds.ac.uk/educol/documents/000000801.htm" TargetMode="External"/><Relationship Id="rId20" Type="http://schemas.openxmlformats.org/officeDocument/2006/relationships/hyperlink" Target="http://www.rogerclarke.com/DV/CACM88.html" TargetMode="External"/><Relationship Id="rId29" Type="http://schemas.openxmlformats.org/officeDocument/2006/relationships/hyperlink" Target="http://eprints.ioe.ac.uk/22070/1/gillborn2006Citizenship83text.pdf" TargetMode="External"/><Relationship Id="rId41" Type="http://schemas.openxmlformats.org/officeDocument/2006/relationships/hyperlink" Target="http://www.shift-learning.co.uk/research/syndicated-business-intelligence/196-the-impact-of-the-english-baccalaureate.htm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ed.gov/news/speeches/vision-education-reform-united-states-secretary-arne-duncans-remarks-united-nations-ed" TargetMode="External"/><Relationship Id="rId32" Type="http://schemas.openxmlformats.org/officeDocument/2006/relationships/hyperlink" Target="http://www.conservatives.com/News/Speeches/2009/11/Michael_Gove_A_comprehensive_programme_for_state_education.aspx" TargetMode="External"/><Relationship Id="rId37" Type="http://schemas.openxmlformats.org/officeDocument/2006/relationships/hyperlink" Target="http://www.ons.gov.uk/ons/guide-method/classifications/current-standard-classifications/soc2010/soc2010-volume-1-structure-and-descriptions-of-unit-groups/index.html" TargetMode="External"/><Relationship Id="rId40" Type="http://schemas.openxmlformats.org/officeDocument/2006/relationships/hyperlink" Target="http://www.oecd.org/documents/2/0,3343,en_32252351_32236191_39718850_1_1_1_1,00.html" TargetMode="External"/><Relationship Id="rId45" Type="http://schemas.openxmlformats.org/officeDocument/2006/relationships/hyperlink" Target="http://www.nea.org/assets/img/PubThoughtAndAction/TAA_03_04.pdf"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hyperlink" Target="http://www.education.gov.uk/schools/performance/archive/schools_10/s4.shtml" TargetMode="External"/><Relationship Id="rId28" Type="http://schemas.openxmlformats.org/officeDocument/2006/relationships/hyperlink" Target="http://eprints.ioe.ac.uk/1703/1/gillborn2000white271text.pdf" TargetMode="External"/><Relationship Id="rId36" Type="http://schemas.openxmlformats.org/officeDocument/2006/relationships/hyperlink" Target="http://www.bera.ac.uk/critical-discourse-analysis/" TargetMode="External"/><Relationship Id="rId49" Type="http://schemas.openxmlformats.org/officeDocument/2006/relationships/hyperlink" Target="https://www.ucas.com/sites/default/files/eoc-report-2015-v2.pdf" TargetMode="External"/><Relationship Id="rId10" Type="http://schemas.openxmlformats.org/officeDocument/2006/relationships/image" Target="media/image2.tiff"/><Relationship Id="rId19" Type="http://schemas.openxmlformats.org/officeDocument/2006/relationships/hyperlink" Target="http://www.marxists.org/reference/subject/philosophy/works/fr/bourdieu-forms-capital.htm" TargetMode="External"/><Relationship Id="rId31" Type="http://schemas.openxmlformats.org/officeDocument/2006/relationships/hyperlink" Target="http://www.thersa.org/__data/assets/pdf_file/0009/213021/Gove-speech-to-RSA.pdf" TargetMode="External"/><Relationship Id="rId44" Type="http://schemas.openxmlformats.org/officeDocument/2006/relationships/hyperlink" Target="http://eprints.ioe.ac.uk/1562/2/SteerSpoursHodgsonet_al.2007Modernisation175text.pdf" TargetMode="External"/><Relationship Id="rId52" Type="http://schemas.openxmlformats.org/officeDocument/2006/relationships/hyperlink" Target="http://dx.doi.org/10.1080/713655366"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mailto:C.Winter@sheffield.ac.uk" TargetMode="External"/><Relationship Id="rId22" Type="http://schemas.openxmlformats.org/officeDocument/2006/relationships/hyperlink" Target="http://www.education.gov.uk/schools/performance/archive/schools_04/sec3a.shtml" TargetMode="External"/><Relationship Id="rId27" Type="http://schemas.openxmlformats.org/officeDocument/2006/relationships/hyperlink" Target="http://faculty.ed.uiuc.edu/wfeinber/Hirsch.html" TargetMode="External"/><Relationship Id="rId30" Type="http://schemas.openxmlformats.org/officeDocument/2006/relationships/hyperlink" Target="http://www.guardian.co.uk/commentisfree/2011/jun/12/black-pupils-held-back-baccalaureate-race" TargetMode="External"/><Relationship Id="rId35" Type="http://schemas.openxmlformats.org/officeDocument/2006/relationships/hyperlink" Target="http://www.learningplusuk.org/files/learningplus/Final_research_publication_2012.pdf" TargetMode="External"/><Relationship Id="rId43" Type="http://schemas.openxmlformats.org/officeDocument/2006/relationships/hyperlink" Target="http://www.nasacre.org.uk/downloads/REC_HW_May_11.pdf" TargetMode="External"/><Relationship Id="rId48" Type="http://schemas.openxmlformats.org/officeDocument/2006/relationships/hyperlink" Target="https://www.ucas.com/corporate/news-and-key-documents/news/2013-cycle-applicant-figures-%E2%80%93-june-deadline" TargetMode="External"/><Relationship Id="rId8" Type="http://schemas.openxmlformats.org/officeDocument/2006/relationships/endnotes" Target="endnotes.xml"/><Relationship Id="rId51" Type="http://schemas.openxmlformats.org/officeDocument/2006/relationships/hyperlink" Target="http://www.education.gov.uk/publications/standard/publicationDetail/Page1/DFE-00031-201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bbs\Documents\EdD\EdD\EdD\Thesis\Abstract%2011.08.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6B39C-728F-4766-8A61-9333BEBCAF3E}">
  <ds:schemaRefs>
    <ds:schemaRef ds:uri="http://schemas.openxmlformats.org/officeDocument/2006/bibliography"/>
  </ds:schemaRefs>
</ds:datastoreItem>
</file>

<file path=customXml/itemProps2.xml><?xml version="1.0" encoding="utf-8"?>
<ds:datastoreItem xmlns:ds="http://schemas.openxmlformats.org/officeDocument/2006/customXml" ds:itemID="{5141732D-3350-4C22-BFF9-0BEC9713A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Abstract 11.08.12</Template>
  <TotalTime>10</TotalTime>
  <Pages>1</Pages>
  <Words>62616</Words>
  <Characters>356912</Characters>
  <Application>Microsoft Office Word</Application>
  <DocSecurity>0</DocSecurity>
  <Lines>2974</Lines>
  <Paragraphs>837</Paragraphs>
  <ScaleCrop>false</ScaleCrop>
  <HeadingPairs>
    <vt:vector size="2" baseType="variant">
      <vt:variant>
        <vt:lpstr>Title</vt:lpstr>
      </vt:variant>
      <vt:variant>
        <vt:i4>1</vt:i4>
      </vt:variant>
    </vt:vector>
  </HeadingPairs>
  <TitlesOfParts>
    <vt:vector size="1" baseType="lpstr">
      <vt:lpstr>Doctorate of Education (EdD), Kathryn Hobbs - 90119958</vt:lpstr>
    </vt:vector>
  </TitlesOfParts>
  <Company>Hewlett-Packard Company</Company>
  <LinksUpToDate>false</LinksUpToDate>
  <CharactersWithSpaces>418691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Doctorate of Education (EdD), Kathryn Hobbs - 90119958</dc:title>
  <dc:creator>Hobbs</dc:creator>
  <cp:lastModifiedBy>kathryn hobbs</cp:lastModifiedBy>
  <cp:revision>4</cp:revision>
  <cp:lastPrinted>2016-05-25T16:50:00Z</cp:lastPrinted>
  <dcterms:created xsi:type="dcterms:W3CDTF">2016-07-31T21:07:00Z</dcterms:created>
  <dcterms:modified xsi:type="dcterms:W3CDTF">2016-08-02T10:09:00Z</dcterms:modified>
</cp:coreProperties>
</file>