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7BDBE" w14:textId="205AC7E0" w:rsidR="00DA1871" w:rsidRPr="00907FD3" w:rsidRDefault="00DA1871" w:rsidP="00AA1FB7">
      <w:pPr>
        <w:jc w:val="both"/>
        <w:rPr>
          <w:b/>
          <w:bCs/>
        </w:rPr>
      </w:pPr>
      <w:r w:rsidRPr="00907FD3">
        <w:rPr>
          <w:b/>
          <w:bCs/>
        </w:rPr>
        <w:t xml:space="preserve">Sustainability assessment of electrokinetic bioremediation compared with </w:t>
      </w:r>
      <w:r w:rsidR="000E374C" w:rsidRPr="00907FD3">
        <w:rPr>
          <w:b/>
          <w:bCs/>
        </w:rPr>
        <w:t>alternative</w:t>
      </w:r>
      <w:r w:rsidRPr="00907FD3">
        <w:rPr>
          <w:b/>
          <w:bCs/>
        </w:rPr>
        <w:t xml:space="preserve"> remediation options for </w:t>
      </w:r>
      <w:r w:rsidR="000139C7" w:rsidRPr="00907FD3">
        <w:rPr>
          <w:b/>
          <w:bCs/>
        </w:rPr>
        <w:t>a petroleum release site</w:t>
      </w:r>
    </w:p>
    <w:p w14:paraId="1CC6E1A4" w14:textId="77777777" w:rsidR="00DA1871" w:rsidRPr="00907FD3" w:rsidRDefault="00DA1871" w:rsidP="0035704B">
      <w:r w:rsidRPr="00907FD3">
        <w:t>Gill, R.T.</w:t>
      </w:r>
      <w:r w:rsidRPr="00907FD3">
        <w:rPr>
          <w:vertAlign w:val="superscript"/>
        </w:rPr>
        <w:t>1</w:t>
      </w:r>
      <w:r w:rsidRPr="00907FD3">
        <w:t>, Thornton S.F.</w:t>
      </w:r>
      <w:r w:rsidRPr="00907FD3">
        <w:rPr>
          <w:vertAlign w:val="superscript"/>
        </w:rPr>
        <w:t>1</w:t>
      </w:r>
      <w:r w:rsidRPr="00907FD3">
        <w:t>, Harbottle M.J.</w:t>
      </w:r>
      <w:r w:rsidRPr="00907FD3">
        <w:rPr>
          <w:vertAlign w:val="superscript"/>
        </w:rPr>
        <w:t>2</w:t>
      </w:r>
      <w:r w:rsidRPr="00907FD3">
        <w:t xml:space="preserve"> and Smith, J.W.N.</w:t>
      </w:r>
      <w:r w:rsidRPr="00907FD3">
        <w:rPr>
          <w:vertAlign w:val="superscript"/>
        </w:rPr>
        <w:t xml:space="preserve"> 3</w:t>
      </w:r>
      <w:r w:rsidR="00C50886" w:rsidRPr="00907FD3">
        <w:rPr>
          <w:vertAlign w:val="superscript"/>
        </w:rPr>
        <w:t>,1</w:t>
      </w:r>
      <w:r w:rsidRPr="00907FD3">
        <w:t xml:space="preserve"> </w:t>
      </w:r>
    </w:p>
    <w:p w14:paraId="14CB0C39" w14:textId="77777777" w:rsidR="00DA1871" w:rsidRPr="00907FD3" w:rsidRDefault="00DA1871" w:rsidP="0035704B">
      <w:pPr>
        <w:pStyle w:val="ListParagraph"/>
        <w:numPr>
          <w:ilvl w:val="0"/>
          <w:numId w:val="41"/>
        </w:numPr>
        <w:spacing w:after="160" w:line="480" w:lineRule="auto"/>
        <w:jc w:val="both"/>
      </w:pPr>
      <w:r w:rsidRPr="00907FD3">
        <w:t>Groundwater Protection &amp; Restoration Group, University of Sheffield, Department of Civil &amp; Structural Engineering, Kroto Research Institute, Broad Land, Sheffield, S3 7HQ, UK</w:t>
      </w:r>
    </w:p>
    <w:p w14:paraId="4CA0B0A9" w14:textId="19601BC9" w:rsidR="00DA1871" w:rsidRPr="00907FD3" w:rsidRDefault="00DA1871" w:rsidP="0035704B">
      <w:pPr>
        <w:pStyle w:val="ListParagraph"/>
        <w:numPr>
          <w:ilvl w:val="0"/>
          <w:numId w:val="41"/>
        </w:numPr>
        <w:spacing w:after="160" w:line="480" w:lineRule="auto"/>
        <w:jc w:val="both"/>
        <w:rPr>
          <w:szCs w:val="24"/>
        </w:rPr>
      </w:pPr>
      <w:r w:rsidRPr="00907FD3">
        <w:t>Cardiff University, School of Engineering, Queen’s Buildings, Cardiff CF24 3AA, UK</w:t>
      </w:r>
      <w:r w:rsidRPr="00907FD3">
        <w:rPr>
          <w:szCs w:val="24"/>
        </w:rPr>
        <w:t xml:space="preserve"> </w:t>
      </w:r>
    </w:p>
    <w:p w14:paraId="4BA627F3" w14:textId="77777777" w:rsidR="00DA1871" w:rsidRPr="00907FD3" w:rsidRDefault="00DA1871" w:rsidP="0035704B">
      <w:pPr>
        <w:pStyle w:val="ListParagraph"/>
        <w:numPr>
          <w:ilvl w:val="0"/>
          <w:numId w:val="41"/>
        </w:numPr>
        <w:spacing w:after="160" w:line="480" w:lineRule="auto"/>
        <w:jc w:val="both"/>
        <w:rPr>
          <w:szCs w:val="24"/>
        </w:rPr>
      </w:pPr>
      <w:r w:rsidRPr="00907FD3">
        <w:rPr>
          <w:noProof/>
          <w:szCs w:val="24"/>
          <w:lang w:eastAsia="en-MY"/>
        </w:rPr>
        <w:t xml:space="preserve">Shell Global Solutions, Lange Kleiweg 40, 2288 GK </w:t>
      </w:r>
      <w:smartTag w:uri="urn:schemas-microsoft-com:office:smarttags" w:element="City">
        <w:r w:rsidRPr="00907FD3">
          <w:rPr>
            <w:noProof/>
            <w:szCs w:val="24"/>
            <w:lang w:eastAsia="en-MY"/>
          </w:rPr>
          <w:t>Rijswijk</w:t>
        </w:r>
      </w:smartTag>
      <w:r w:rsidRPr="00907FD3">
        <w:rPr>
          <w:noProof/>
          <w:szCs w:val="24"/>
          <w:lang w:eastAsia="en-MY"/>
        </w:rPr>
        <w:t xml:space="preserve">, The </w:t>
      </w:r>
      <w:smartTag w:uri="urn:schemas-microsoft-com:office:smarttags" w:element="place">
        <w:smartTag w:uri="urn:schemas-microsoft-com:office:smarttags" w:element="country-region">
          <w:r w:rsidRPr="00907FD3">
            <w:rPr>
              <w:noProof/>
              <w:szCs w:val="24"/>
              <w:lang w:eastAsia="en-MY"/>
            </w:rPr>
            <w:t>Netherlands</w:t>
          </w:r>
        </w:smartTag>
      </w:smartTag>
    </w:p>
    <w:p w14:paraId="405765FA" w14:textId="77777777" w:rsidR="00DA1871" w:rsidRPr="00907FD3" w:rsidRDefault="00DA1871" w:rsidP="002C1429">
      <w:pPr>
        <w:pStyle w:val="Heading1"/>
      </w:pPr>
      <w:r w:rsidRPr="00907FD3">
        <w:t>Abstract</w:t>
      </w:r>
    </w:p>
    <w:p w14:paraId="73EFF358" w14:textId="781AAA7B" w:rsidR="00E93CF1" w:rsidRPr="00907FD3" w:rsidRDefault="00DA1871" w:rsidP="003F4338">
      <w:pPr>
        <w:spacing w:line="480" w:lineRule="auto"/>
        <w:jc w:val="both"/>
      </w:pPr>
      <w:r w:rsidRPr="00907FD3">
        <w:t>Sustainable management practices can be applied to the remediation of contaminated land to</w:t>
      </w:r>
      <w:r w:rsidRPr="00907FD3">
        <w:rPr>
          <w:lang w:val="en-GB"/>
        </w:rPr>
        <w:t xml:space="preserve"> maximi</w:t>
      </w:r>
      <w:r w:rsidR="00DD4B02" w:rsidRPr="00907FD3">
        <w:rPr>
          <w:lang w:val="en-GB"/>
        </w:rPr>
        <w:t>s</w:t>
      </w:r>
      <w:r w:rsidRPr="00907FD3">
        <w:rPr>
          <w:lang w:val="en-GB"/>
        </w:rPr>
        <w:t>e</w:t>
      </w:r>
      <w:r w:rsidRPr="00907FD3">
        <w:t xml:space="preserve"> the economic, environmental and social benefits of the process. The Sustainable Remediation Forum </w:t>
      </w:r>
      <w:smartTag w:uri="urn:schemas-microsoft-com:office:smarttags" w:element="place">
        <w:smartTag w:uri="urn:schemas-microsoft-com:office:smarttags" w:element="country-region">
          <w:r w:rsidRPr="00907FD3">
            <w:t>UK</w:t>
          </w:r>
        </w:smartTag>
      </w:smartTag>
      <w:r w:rsidRPr="00907FD3">
        <w:t xml:space="preserve"> (SuRF-UK) have developed a framework to support the implementation of sustainable practices within contaminated land management and decision making. This study applies </w:t>
      </w:r>
      <w:r w:rsidR="000139C7" w:rsidRPr="00907FD3">
        <w:t>the</w:t>
      </w:r>
      <w:r w:rsidRPr="00907FD3">
        <w:t xml:space="preserve"> framework, </w:t>
      </w:r>
      <w:r w:rsidR="000139C7" w:rsidRPr="00907FD3">
        <w:t xml:space="preserve">including </w:t>
      </w:r>
      <w:r w:rsidRPr="00907FD3">
        <w:t xml:space="preserve">qualitative </w:t>
      </w:r>
      <w:r w:rsidR="000139C7" w:rsidRPr="00907FD3">
        <w:t>(</w:t>
      </w:r>
      <w:r w:rsidRPr="00907FD3">
        <w:t>Tier 1</w:t>
      </w:r>
      <w:r w:rsidR="000139C7" w:rsidRPr="00907FD3">
        <w:t>)</w:t>
      </w:r>
      <w:r w:rsidRPr="00907FD3">
        <w:t xml:space="preserve"> and semi-quantitative </w:t>
      </w:r>
      <w:r w:rsidR="000139C7" w:rsidRPr="00907FD3">
        <w:t>(</w:t>
      </w:r>
      <w:r w:rsidRPr="00907FD3">
        <w:t>Tier 2</w:t>
      </w:r>
      <w:r w:rsidR="000139C7" w:rsidRPr="00907FD3">
        <w:t>)</w:t>
      </w:r>
      <w:r w:rsidRPr="00907FD3">
        <w:t xml:space="preserve"> sustainability assessments, to a complex site where the principal contaminant source is </w:t>
      </w:r>
      <w:r w:rsidR="000139C7" w:rsidRPr="00907FD3">
        <w:t xml:space="preserve">unleaded gasoline, giving rise to </w:t>
      </w:r>
      <w:r w:rsidRPr="00907FD3">
        <w:t xml:space="preserve">a dissolved phase </w:t>
      </w:r>
      <w:r w:rsidR="000139C7" w:rsidRPr="00907FD3">
        <w:t xml:space="preserve">BTEX and </w:t>
      </w:r>
      <w:r w:rsidRPr="00907FD3">
        <w:t>MTBE plume</w:t>
      </w:r>
      <w:r w:rsidR="000139C7" w:rsidRPr="00907FD3">
        <w:t>. T</w:t>
      </w:r>
      <w:r w:rsidRPr="00907FD3">
        <w:t>he pathway is groundwater migration through a chalk aquifer and the receptor is a water supply borehole. A hydraulic containment system (HCS) has been installed to manage the MTBE plume migration. The options considered to remediate the MTBE source include monitored natural attenuation (MNA), air sparging / soil</w:t>
      </w:r>
      <w:r w:rsidRPr="00907FD3">
        <w:rPr>
          <w:lang w:val="en-GB"/>
        </w:rPr>
        <w:t xml:space="preserve"> vapour</w:t>
      </w:r>
      <w:r w:rsidRPr="00907FD3">
        <w:t xml:space="preserve"> extraction (AS/SVE), pump and treat (PT) and electrokinetic-enhanced bioremediation (EK-BIO). A sustainability indictor set from the SuRF-UK framework, including priority indicator</w:t>
      </w:r>
      <w:r w:rsidR="00595295" w:rsidRPr="00907FD3">
        <w:t xml:space="preserve"> categorie</w:t>
      </w:r>
      <w:r w:rsidRPr="00907FD3">
        <w:t xml:space="preserve">s selected </w:t>
      </w:r>
      <w:r w:rsidR="000139C7" w:rsidRPr="00907FD3">
        <w:t xml:space="preserve">during a </w:t>
      </w:r>
      <w:r w:rsidRPr="00907FD3">
        <w:t>stakeholder engagement</w:t>
      </w:r>
      <w:r w:rsidR="000139C7" w:rsidRPr="00907FD3">
        <w:t xml:space="preserve"> workshop</w:t>
      </w:r>
      <w:r w:rsidR="005D1D46" w:rsidRPr="00907FD3">
        <w:t>,</w:t>
      </w:r>
      <w:r w:rsidR="000139C7" w:rsidRPr="00907FD3">
        <w:t xml:space="preserve"> was</w:t>
      </w:r>
      <w:r w:rsidRPr="00907FD3">
        <w:t xml:space="preserve"> used to frame the assessments. At Tier 1 the options are ranked based on qualitative supporting information, whereas in Tier 2 a multi-criteria analysis is applied. Furthermore, the </w:t>
      </w:r>
      <w:r w:rsidR="005D1D46" w:rsidRPr="00907FD3">
        <w:t>multi-criteria analysis</w:t>
      </w:r>
      <w:r w:rsidR="003E3831" w:rsidRPr="00907FD3">
        <w:t xml:space="preserve"> </w:t>
      </w:r>
      <w:r w:rsidR="005D1D46" w:rsidRPr="00907FD3">
        <w:t>was refined</w:t>
      </w:r>
      <w:r w:rsidRPr="00907FD3">
        <w:t xml:space="preserve"> for scenarios where photovoltaics (PVs) are included and amendments are excluded from the EK-BIO option. </w:t>
      </w:r>
      <w:r w:rsidR="004E53C9" w:rsidRPr="00907FD3">
        <w:t xml:space="preserve">Overall, the analysis identified AS/SVE and EK-BIO as more sustainable remediation options at this site than either PT or MNA. </w:t>
      </w:r>
      <w:r w:rsidR="00250669" w:rsidRPr="00907FD3">
        <w:t>The w</w:t>
      </w:r>
      <w:r w:rsidR="00E93CF1" w:rsidRPr="00907FD3">
        <w:t>ider imp</w:t>
      </w:r>
      <w:r w:rsidR="00250669" w:rsidRPr="00907FD3">
        <w:t xml:space="preserve">lications of this study include: (1) </w:t>
      </w:r>
      <w:r w:rsidR="00E93CF1" w:rsidRPr="00907FD3">
        <w:t>an appraisal of the management decision from each Tier of the assessment</w:t>
      </w:r>
      <w:r w:rsidR="0091224B" w:rsidRPr="00907FD3">
        <w:t xml:space="preserve"> with the aim </w:t>
      </w:r>
      <w:r w:rsidR="0091224B" w:rsidRPr="00907FD3">
        <w:lastRenderedPageBreak/>
        <w:t>to highlight areas for time and cost savings for similar assessments in the future</w:t>
      </w:r>
      <w:r w:rsidR="00250669" w:rsidRPr="00907FD3">
        <w:t>; (2) the observation that</w:t>
      </w:r>
      <w:r w:rsidR="00E93CF1" w:rsidRPr="00907FD3">
        <w:t xml:space="preserve"> </w:t>
      </w:r>
      <w:r w:rsidR="00250669" w:rsidRPr="00907FD3">
        <w:t>EK-BIO performed well against key indicator</w:t>
      </w:r>
      <w:r w:rsidR="00595295" w:rsidRPr="00907FD3">
        <w:t xml:space="preserve"> categorie</w:t>
      </w:r>
      <w:r w:rsidR="00250669" w:rsidRPr="00907FD3">
        <w:t xml:space="preserve">s compared to the other intensive treatments; </w:t>
      </w:r>
      <w:r w:rsidR="0091224B" w:rsidRPr="00907FD3">
        <w:t xml:space="preserve">and </w:t>
      </w:r>
      <w:r w:rsidR="00250669" w:rsidRPr="00907FD3">
        <w:t>(3) introducing methods to improve the sustainability of the EK-BIO treatment design (such as PVs) did not have a significant effect in this instance</w:t>
      </w:r>
      <w:r w:rsidR="0091224B" w:rsidRPr="00907FD3">
        <w:t>.</w:t>
      </w:r>
    </w:p>
    <w:p w14:paraId="57577AC4" w14:textId="1FECB6BA" w:rsidR="00DA1871" w:rsidRPr="00907FD3" w:rsidRDefault="008956EC" w:rsidP="008956EC">
      <w:pPr>
        <w:pStyle w:val="Heading1"/>
      </w:pPr>
      <w:r w:rsidRPr="00907FD3">
        <w:t>1.0</w:t>
      </w:r>
      <w:r w:rsidRPr="00907FD3">
        <w:tab/>
      </w:r>
      <w:r w:rsidR="00DA1871" w:rsidRPr="00907FD3">
        <w:t>Introduction</w:t>
      </w:r>
    </w:p>
    <w:p w14:paraId="520D9E86" w14:textId="77777777" w:rsidR="00DA1871" w:rsidRPr="00907FD3" w:rsidRDefault="00DA1871" w:rsidP="00EF00B3">
      <w:pPr>
        <w:spacing w:line="480" w:lineRule="auto"/>
        <w:jc w:val="both"/>
      </w:pPr>
      <w:r w:rsidRPr="00907FD3">
        <w:t xml:space="preserve">The management of contaminated land is a global </w:t>
      </w:r>
      <w:r w:rsidR="00A166CC" w:rsidRPr="00907FD3">
        <w:t>challenge</w:t>
      </w:r>
      <w:r w:rsidRPr="00907FD3">
        <w:t xml:space="preserve">. Its restoration is often considered to provide net positive benefits, but if remediation practices are selected and implemented poorly more environmental impact can arise than is </w:t>
      </w:r>
      <w:r w:rsidR="00F417A4" w:rsidRPr="00907FD3">
        <w:t>associated with</w:t>
      </w:r>
      <w:r w:rsidRPr="00907FD3">
        <w:t xml:space="preserve"> the contamination. Integrating sustainability practices in</w:t>
      </w:r>
      <w:r w:rsidR="00F417A4" w:rsidRPr="00907FD3">
        <w:t>to</w:t>
      </w:r>
      <w:r w:rsidRPr="00907FD3">
        <w:t xml:space="preserve"> contaminated land remediation provides an opportunity for social, environmental and economic benefits of the process to be </w:t>
      </w:r>
      <w:r w:rsidR="00F417A4" w:rsidRPr="00907FD3">
        <w:t>considered and</w:t>
      </w:r>
      <w:r w:rsidR="00F417A4" w:rsidRPr="00907FD3">
        <w:rPr>
          <w:lang w:val="en-GB"/>
        </w:rPr>
        <w:t xml:space="preserve"> optimised</w:t>
      </w:r>
      <w:r w:rsidRPr="00907FD3">
        <w:t xml:space="preserve">. Sustainable remediation is defined by the Sustainable Remediation Forum, UK (SuRF-UK) as “the practice of demonstrating, in terms of environmental, economic and social indicators, that the benefit of undertaking remediation is greater than its impact” </w:t>
      </w:r>
      <w:r w:rsidRPr="00907FD3">
        <w:fldChar w:fldCharType="begin" w:fldLock="1"/>
      </w:r>
      <w:r w:rsidRPr="00907FD3">
        <w:instrText>ADDIN CSL_CITATION { "citationItems" : [ { "id" : "ITEM-1", "itemData" : { "ISBN" : "9781905046195", "author" : [ { "dropping-particle" : "", "family" : "SuRF-UK", "given" : "", "non-dropping-particle" : "", "parse-names" : false, "suffix" : "" } ], "id" : "ITEM-1", "issue" : "March", "issued" : { "date-parts" : [ [ "2010" ] ] }, "publisher-place" : "London", "title" : "A Framework for Assessing the Sustainability of Soil and Groundwater Remediation", "type" : "report" }, "uris" : [ "http://www.mendeley.com/documents/?uuid=5700801c-d474-48cf-8521-4032f96da247" ] } ], "mendeley" : { "formattedCitation" : "(SuRF-UK, 2010)", "plainTextFormattedCitation" : "(SuRF-UK, 2010)", "previouslyFormattedCitation" : "(SuRF-UK, 2010)" }, "properties" : { "noteIndex" : 0 }, "schema" : "https://github.com/citation-style-language/schema/raw/master/csl-citation.json" }</w:instrText>
      </w:r>
      <w:r w:rsidRPr="00907FD3">
        <w:fldChar w:fldCharType="separate"/>
      </w:r>
      <w:r w:rsidRPr="00907FD3">
        <w:rPr>
          <w:noProof/>
        </w:rPr>
        <w:t>(SuRF-UK, 2010)</w:t>
      </w:r>
      <w:r w:rsidRPr="00907FD3">
        <w:fldChar w:fldCharType="end"/>
      </w:r>
      <w:r w:rsidRPr="00907FD3">
        <w:t xml:space="preserve">. There are two ways in which sustainable remediation can be applied at contaminated sites </w:t>
      </w:r>
      <w:r w:rsidRPr="00907FD3">
        <w:fldChar w:fldCharType="begin" w:fldLock="1"/>
      </w:r>
      <w:r w:rsidRPr="00907FD3">
        <w:instrText>ADDIN CSL_CITATION { "citationItems" : [ { "id" : "ITEM-1", "itemData" : { "author" : [ { "dropping-particle" : "", "family" : "NICOLE", "given" : "", "non-dropping-particle" : "", "parse-names" : false, "suffix" : "" } ], "id" : "ITEM-1", "issued" : { "date-parts" : [ [ "2010" ] ] }, "title" : "NICOLE Road Map and Guidance: Considering Sustainability in Remediation", "type" : "report" }, "uris" : [ "http://www.mendeley.com/documents/?uuid=9cc60af5-54e7-42ee-b0b5-02da19aeef43" ] } ], "mendeley" : { "formattedCitation" : "(NICOLE, 2010)", "plainTextFormattedCitation" : "(NICOLE, 2010)", "previouslyFormattedCitation" : "(NICOLE, 2010)" }, "properties" : { "noteIndex" : 0 }, "schema" : "https://github.com/citation-style-language/schema/raw/master/csl-citation.json" }</w:instrText>
      </w:r>
      <w:r w:rsidRPr="00907FD3">
        <w:fldChar w:fldCharType="separate"/>
      </w:r>
      <w:r w:rsidRPr="00907FD3">
        <w:rPr>
          <w:noProof/>
        </w:rPr>
        <w:t>(NICOLE, 2010)</w:t>
      </w:r>
      <w:r w:rsidRPr="00907FD3">
        <w:fldChar w:fldCharType="end"/>
      </w:r>
      <w:r w:rsidRPr="00907FD3">
        <w:t xml:space="preserve">: 1) at the management level, integrating sustainability assessments into the wider decision making process; and 2) at the site-specific level, by an assessment to compare options against certain sustainability indicators. SuRF-UK has produced a framework which provides a structure for implementing these two </w:t>
      </w:r>
      <w:r w:rsidR="00F417A4" w:rsidRPr="00907FD3">
        <w:t xml:space="preserve">approaches </w:t>
      </w:r>
      <w:r w:rsidRPr="00907FD3">
        <w:t xml:space="preserve">within a contaminated site project. The framework has two stages: Stage A, plan and project design; and Stage B, remediation option appraisal and implementation. This study </w:t>
      </w:r>
      <w:r w:rsidR="00F417A4" w:rsidRPr="00907FD3">
        <w:t>applied</w:t>
      </w:r>
      <w:r w:rsidRPr="00907FD3">
        <w:t xml:space="preserve"> Stage B of the framework, by applying a sustainability assessment to contaminated site</w:t>
      </w:r>
      <w:r w:rsidR="00F417A4" w:rsidRPr="00907FD3">
        <w:t xml:space="preserve"> remediation technology selection</w:t>
      </w:r>
      <w:r w:rsidRPr="00907FD3">
        <w:t>.</w:t>
      </w:r>
    </w:p>
    <w:p w14:paraId="6F87550A" w14:textId="77777777" w:rsidR="00DA1871" w:rsidRPr="00907FD3" w:rsidRDefault="00DA1871" w:rsidP="00EF00B3">
      <w:pPr>
        <w:spacing w:line="480" w:lineRule="auto"/>
        <w:jc w:val="both"/>
      </w:pPr>
      <w:r w:rsidRPr="00907FD3">
        <w:t>The SuRF-UK sustainable remediation framework</w:t>
      </w:r>
      <w:r w:rsidR="00F417A4" w:rsidRPr="00907FD3">
        <w:t xml:space="preserve"> describes </w:t>
      </w:r>
      <w:r w:rsidRPr="00907FD3">
        <w:t>a tiered approach to sustainability assessments. There are three tiers, each requir</w:t>
      </w:r>
      <w:r w:rsidR="003E3831" w:rsidRPr="00907FD3">
        <w:t>ing</w:t>
      </w:r>
      <w:r w:rsidRPr="00907FD3">
        <w:t xml:space="preserve"> increasing amount of data for the assessment: Tier 1 is qualitative (e.g. simple rankings against ideal criteria); Tier 2 is semi-quantitative (e.g. multi-criteria analysis); and Tier 3 is quantitative (e.g. cost-benefit analysis). The steps associated with an assessment include</w:t>
      </w:r>
      <w:r w:rsidR="00701318" w:rsidRPr="00907FD3">
        <w:t xml:space="preserve"> </w:t>
      </w:r>
      <w:r w:rsidR="00701318" w:rsidRPr="00907FD3">
        <w:fldChar w:fldCharType="begin" w:fldLock="1"/>
      </w:r>
      <w:r w:rsidR="00F30469" w:rsidRPr="00907FD3">
        <w:instrText>ADDIN CSL_CITATION { "citationItems" : [ { "id" : "ITEM-1", "itemData" : { "DOI" : "10.1002/rem.20283", "ISSN" : "10515658", "author" : [ { "dropping-particle" : "", "family" : "Bardos", "given" : "Paul", "non-dropping-particle" : "", "parse-names" : false, "suffix" : "" }, { "dropping-particle" : "", "family" : "Bone", "given" : "Brian", "non-dropping-particle" : "", "parse-names" : false, "suffix" : "" }, { "dropping-particle" : "", "family" : "Boyle", "given" : "Richard", "non-dropping-particle" : "", "parse-names" : false, "suffix" : "" }, { "dropping-particle" : "", "family" : "Ellis", "given" : "Dave", "non-dropping-particle" : "", "parse-names" : false, "suffix" : "" }, { "dropping-particle" : "", "family" : "Evans", "given" : "Frank", "non-dropping-particle" : "", "parse-names" : false, "suffix" : "" }, { "dropping-particle" : "", "family" : "Harries", "given" : "Nicola D", "non-dropping-particle" : "", "parse-names" : false, "suffix" : "" }, { "dropping-particle" : "", "family" : "Smith", "given" : "Jonathan W N", "non-dropping-particle" : "", "parse-names" : false, "suffix" : "" } ], "container-title" : "Remediation Journal", "id" : "ITEM-1", "issue" : "2", "issued" : { "date-parts" : [ [ "2011", "3", "8" ] ] }, "page" : "77-100", "title" : "Applying sustainable development principles to contaminated land management using the SuRF-UK framework", "type" : "article-journal", "volume" : "21" }, "uris" : [ "http://www.mendeley.com/documents/?uuid=b1dbef2e-a992-438d-a959-0733d106126e" ] }, { "id" : "ITEM-2", "itemData" : { "DOI" : "10.1002/rem.21412", "ISBN" : "1520-6831", "ISSN" : "10515658", "abstract" : "The US Sustainable Remediation Forum (SURF) created a compilation of metrics (Metrics Toolbox) in response to a need for a broad set of metrics that could be used to assess and monitor the effectiveness of remedies in achieving sustainability goals. Metrics are the key impacts, outcomes, or burdens that are to be assessed or balanced to determine the influences and impacts of a remedial action. Metrics can reflect any of the three aspects of sustainability (i.e., environmental, social, or economic) or a combination of these aspects. Regardless, metrics represent the most critical sustainable outcomes from the perspective of the key stakeholders. The Metrics Toolbox is hosted online at www.sustainableremediation.org/library/guidance-tools-and-other-resources. By selecting metrics from the Metrics Toolbox as a starting point and considering a potentially wider suite of metrics in remedial program decisions, appropriate assessments can be made. Qualitative and quantitative metrics are tabulated for each remedial phase: remedial investigation, remedy selection, remedial design, remedial construction, operation and maintenance, and closure. Attributes for each metric are described so that remediation practitioners and key stakeholders can view the universe of metrics available and select the most relevant, site-specific metrics for a particular site. For this reason, SURF recommends that remediation practitioners consider the metrics compiled in the Metrics Toolbox as a companion to the sustainable remediation framework published elsewhere in this journal and other sustainability evaluations. \u00a9 2011 Wiley Periodicals, Inc.", "author" : [ { "dropping-particle" : "", "family" : "Bardos", "given" : "Paul", "non-dropping-particle" : "", "parse-names" : false, "suffix" : "" } ], "container-title" : "Remediation Journal", "id" : "ITEM-2", "issue" : "1", "issued" : { "date-parts" : [ [ "2014", "12" ] ] }, "page" : "23-32", "title" : "Progress in Sustainable Remediation", "type" : "article-journal", "volume" : "25" }, "uris" : [ "http://www.mendeley.com/documents/?uuid=5733ccda-0a96-4a82-b18f-16fecf23f5df" ] } ], "mendeley" : { "formattedCitation" : "(Bardos, 2014; Bardos et al., 2011)", "plainTextFormattedCitation" : "(Bardos, 2014; Bardos et al., 2011)", "previouslyFormattedCitation" : "(Bardos, 2014; Bardos et al., 2011)" }, "properties" : { "noteIndex" : 0 }, "schema" : "https://github.com/citation-style-language/schema/raw/master/csl-citation.json" }</w:instrText>
      </w:r>
      <w:r w:rsidR="00701318" w:rsidRPr="00907FD3">
        <w:fldChar w:fldCharType="separate"/>
      </w:r>
      <w:r w:rsidR="00701318" w:rsidRPr="00907FD3">
        <w:rPr>
          <w:noProof/>
        </w:rPr>
        <w:t>(Bardos, 2014; Bardos et al., 2011)</w:t>
      </w:r>
      <w:r w:rsidR="00701318" w:rsidRPr="00907FD3">
        <w:fldChar w:fldCharType="end"/>
      </w:r>
      <w:r w:rsidRPr="00907FD3">
        <w:t xml:space="preserve">: 1) </w:t>
      </w:r>
      <w:r w:rsidR="003E3831" w:rsidRPr="00907FD3">
        <w:t xml:space="preserve">defining </w:t>
      </w:r>
      <w:r w:rsidRPr="00907FD3">
        <w:t xml:space="preserve">remediation objectives to identify </w:t>
      </w:r>
      <w:r w:rsidRPr="00907FD3">
        <w:lastRenderedPageBreak/>
        <w:t>the decision that is being supported; 2) stakeholder engagement; 3) identif</w:t>
      </w:r>
      <w:r w:rsidR="003E3831" w:rsidRPr="00907FD3">
        <w:t>ying</w:t>
      </w:r>
      <w:r w:rsidRPr="00907FD3">
        <w:t xml:space="preserve"> boundaries of </w:t>
      </w:r>
      <w:r w:rsidR="003E3831" w:rsidRPr="00907FD3">
        <w:t xml:space="preserve">the </w:t>
      </w:r>
      <w:r w:rsidRPr="00907FD3">
        <w:t>assessment such as system, lifecycle, spatial and temporal; 4) identify</w:t>
      </w:r>
      <w:r w:rsidR="003E3831" w:rsidRPr="00907FD3">
        <w:t>ing</w:t>
      </w:r>
      <w:r w:rsidRPr="00907FD3">
        <w:t xml:space="preserve"> </w:t>
      </w:r>
      <w:r w:rsidR="003E3831" w:rsidRPr="00907FD3">
        <w:t>relevant</w:t>
      </w:r>
      <w:r w:rsidRPr="00907FD3">
        <w:t xml:space="preserve"> sustainability indicators </w:t>
      </w:r>
      <w:r w:rsidR="003E3831" w:rsidRPr="00907FD3">
        <w:t>for the scope of the assessment</w:t>
      </w:r>
      <w:r w:rsidRPr="00907FD3">
        <w:t xml:space="preserve">; 5) </w:t>
      </w:r>
      <w:r w:rsidR="003E3831" w:rsidRPr="00907FD3">
        <w:t xml:space="preserve">defining the assessment </w:t>
      </w:r>
      <w:r w:rsidRPr="00907FD3">
        <w:t>methodology</w:t>
      </w:r>
      <w:r w:rsidR="003E3831" w:rsidRPr="00907FD3">
        <w:t>,</w:t>
      </w:r>
      <w:r w:rsidRPr="00907FD3">
        <w:t xml:space="preserve"> i.e. either Tier 1, 2 or 3 or </w:t>
      </w:r>
      <w:r w:rsidR="00F417A4" w:rsidRPr="00907FD3">
        <w:t xml:space="preserve">a </w:t>
      </w:r>
      <w:r w:rsidRPr="00907FD3">
        <w:t>combination; 6) conduct</w:t>
      </w:r>
      <w:r w:rsidR="003E3831" w:rsidRPr="00907FD3">
        <w:t>ing</w:t>
      </w:r>
      <w:r w:rsidRPr="00907FD3">
        <w:t xml:space="preserve"> the sustainability assessment and</w:t>
      </w:r>
      <w:r w:rsidR="00F417A4" w:rsidRPr="00907FD3">
        <w:t xml:space="preserve"> 7) </w:t>
      </w:r>
      <w:r w:rsidRPr="00907FD3">
        <w:t>verify</w:t>
      </w:r>
      <w:r w:rsidR="003E3831" w:rsidRPr="00907FD3">
        <w:t>ing</w:t>
      </w:r>
      <w:r w:rsidRPr="00907FD3">
        <w:t xml:space="preserve"> </w:t>
      </w:r>
      <w:r w:rsidR="00F417A4" w:rsidRPr="00907FD3">
        <w:t xml:space="preserve">and reporting </w:t>
      </w:r>
      <w:r w:rsidR="00BA5EB1" w:rsidRPr="00907FD3">
        <w:t>the results.</w:t>
      </w:r>
    </w:p>
    <w:p w14:paraId="35D66315" w14:textId="77777777" w:rsidR="00ED0072" w:rsidRPr="00907FD3" w:rsidRDefault="003833D4" w:rsidP="0056670C">
      <w:pPr>
        <w:spacing w:line="480" w:lineRule="auto"/>
        <w:jc w:val="both"/>
      </w:pPr>
      <w:r w:rsidRPr="00907FD3">
        <w:t>S</w:t>
      </w:r>
      <w:r w:rsidR="00DA1871" w:rsidRPr="00907FD3">
        <w:t>everal case studies apply the SuRF-UK framework to contaminated sites</w:t>
      </w:r>
      <w:r w:rsidRPr="00907FD3">
        <w:t xml:space="preserve"> and </w:t>
      </w:r>
      <w:r w:rsidR="0098200C" w:rsidRPr="00907FD3">
        <w:t>demonstrate the</w:t>
      </w:r>
      <w:r w:rsidR="00DA1871" w:rsidRPr="00907FD3">
        <w:t xml:space="preserve"> economic, environmental and social benefits </w:t>
      </w:r>
      <w:r w:rsidR="0098200C" w:rsidRPr="00907FD3">
        <w:t>of the process</w:t>
      </w:r>
      <w:r w:rsidR="00DA1871" w:rsidRPr="00907FD3">
        <w:t xml:space="preserve">. For example, a Tier 1 assessment was applied to a fuel </w:t>
      </w:r>
      <w:r w:rsidR="00F417A4" w:rsidRPr="00907FD3">
        <w:t>storage depot</w:t>
      </w:r>
      <w:r w:rsidR="00DA1871" w:rsidRPr="00907FD3">
        <w:t xml:space="preserve"> in </w:t>
      </w:r>
      <w:r w:rsidR="00704054" w:rsidRPr="00907FD3">
        <w:t>Madeira</w:t>
      </w:r>
      <w:r w:rsidR="00DA1871" w:rsidRPr="00907FD3">
        <w:t xml:space="preserve">, </w:t>
      </w:r>
      <w:r w:rsidR="00F417A4" w:rsidRPr="00907FD3">
        <w:t>Portugal</w:t>
      </w:r>
      <w:r w:rsidR="0098200C" w:rsidRPr="00907FD3">
        <w:t xml:space="preserve">, </w:t>
      </w:r>
      <w:r w:rsidR="00DA1871" w:rsidRPr="00907FD3">
        <w:t>conclud</w:t>
      </w:r>
      <w:r w:rsidR="0098200C" w:rsidRPr="00907FD3">
        <w:t>ing that</w:t>
      </w:r>
      <w:r w:rsidR="00DA1871" w:rsidRPr="00907FD3">
        <w:t xml:space="preserve"> enhanced bioremediation </w:t>
      </w:r>
      <w:r w:rsidRPr="00907FD3">
        <w:t xml:space="preserve">to </w:t>
      </w:r>
      <w:r w:rsidR="00DA1871" w:rsidRPr="00907FD3">
        <w:t xml:space="preserve">be a more sustainable approach </w:t>
      </w:r>
      <w:r w:rsidR="00C43A67" w:rsidRPr="00907FD3">
        <w:t xml:space="preserve">than </w:t>
      </w:r>
      <w:r w:rsidR="00DA1871" w:rsidRPr="00907FD3">
        <w:t>thermal desorption</w:t>
      </w:r>
      <w:r w:rsidR="00C43A67" w:rsidRPr="00907FD3">
        <w:t>,</w:t>
      </w:r>
      <w:r w:rsidR="00DA1871" w:rsidRPr="00907FD3">
        <w:t xml:space="preserve"> based </w:t>
      </w:r>
      <w:r w:rsidR="00B83628" w:rsidRPr="00907FD3">
        <w:t>largely</w:t>
      </w:r>
      <w:r w:rsidR="00F417A4" w:rsidRPr="00907FD3">
        <w:t xml:space="preserve"> </w:t>
      </w:r>
      <w:r w:rsidR="00DA1871" w:rsidRPr="00907FD3">
        <w:t xml:space="preserve">on </w:t>
      </w:r>
      <w:r w:rsidR="00F417A4" w:rsidRPr="00907FD3">
        <w:t xml:space="preserve">reduced </w:t>
      </w:r>
      <w:r w:rsidR="00DA1871" w:rsidRPr="00907FD3">
        <w:t>cost and CO</w:t>
      </w:r>
      <w:r w:rsidR="00DA1871" w:rsidRPr="00907FD3">
        <w:rPr>
          <w:vertAlign w:val="subscript"/>
        </w:rPr>
        <w:t>2</w:t>
      </w:r>
      <w:r w:rsidR="00DA1871" w:rsidRPr="00907FD3">
        <w:t xml:space="preserve"> emission</w:t>
      </w:r>
      <w:r w:rsidR="00B83628" w:rsidRPr="00907FD3">
        <w:t>s, bu</w:t>
      </w:r>
      <w:r w:rsidR="00F417A4" w:rsidRPr="00907FD3">
        <w:t>t with an associated longer duration for remediation activity</w:t>
      </w:r>
      <w:r w:rsidR="00DA1871" w:rsidRPr="00907FD3">
        <w:t xml:space="preserve"> </w:t>
      </w:r>
      <w:r w:rsidR="00DA1871" w:rsidRPr="00907FD3">
        <w:fldChar w:fldCharType="begin" w:fldLock="1"/>
      </w:r>
      <w:r w:rsidR="00DA1871" w:rsidRPr="00907FD3">
        <w:instrText>ADDIN CSL_CITATION { "citationItems" : [ { "id" : "ITEM-1", "itemData" : { "author" : [ { "dropping-particle" : "", "family" : "SuRF-UK", "given" : "", "non-dropping-particle" : "", "parse-names" : false, "suffix" : "" } ], "container-title" : "SuRF-UK Bulletin", "id" : "ITEM-1", "issued" : { "date-parts" : [ [ "2013" ] ] }, "page" : "1-9", "title" : "Sustainability Assessment: Shell Terminal Facility, Madeira", "type" : "article-magazine" }, "uris" : [ "http://www.mendeley.com/documents/?uuid=192f1a10-cafc-4f49-b4c4-2dad78ab807e" ] } ], "mendeley" : { "formattedCitation" : "(SuRF-UK, 2013a)", "manualFormatting" : "(SuRF-UK, 2013a)", "plainTextFormattedCitation" : "(SuRF-UK, 2013a)", "previouslyFormattedCitation" : "(SuRF-UK, 2013a)" }, "properties" : { "noteIndex" : 0 }, "schema" : "https://github.com/citation-style-language/schema/raw/master/csl-citation.json" }</w:instrText>
      </w:r>
      <w:r w:rsidR="00DA1871" w:rsidRPr="00907FD3">
        <w:fldChar w:fldCharType="separate"/>
      </w:r>
      <w:r w:rsidR="00DA1871" w:rsidRPr="00907FD3">
        <w:rPr>
          <w:noProof/>
        </w:rPr>
        <w:t>(SuRF-UK, 2013a)</w:t>
      </w:r>
      <w:r w:rsidR="00DA1871" w:rsidRPr="00907FD3">
        <w:fldChar w:fldCharType="end"/>
      </w:r>
      <w:r w:rsidR="00DA1871" w:rsidRPr="00907FD3">
        <w:t xml:space="preserve">. Additionally, </w:t>
      </w:r>
      <w:r w:rsidR="00C43A67" w:rsidRPr="00907FD3">
        <w:t xml:space="preserve">Tier 2 and 3 assessments were completed at </w:t>
      </w:r>
      <w:r w:rsidR="00DA1871" w:rsidRPr="00907FD3">
        <w:t>a former airbase site where aviation fuel was</w:t>
      </w:r>
      <w:r w:rsidR="00C43A67" w:rsidRPr="00907FD3">
        <w:t xml:space="preserve"> thought</w:t>
      </w:r>
      <w:r w:rsidR="00DA1871" w:rsidRPr="00907FD3">
        <w:t xml:space="preserve"> likely to impact a primary aquifer. It concluded that environmental and social impacts out-weighed the economic</w:t>
      </w:r>
      <w:r w:rsidR="00C43A67" w:rsidRPr="00907FD3">
        <w:t>,</w:t>
      </w:r>
      <w:r w:rsidR="00DA1871" w:rsidRPr="00907FD3">
        <w:t xml:space="preserve"> resulting in </w:t>
      </w:r>
      <w:r w:rsidR="00C43A67" w:rsidRPr="00907FD3">
        <w:t xml:space="preserve">a </w:t>
      </w:r>
      <w:r w:rsidR="00DA1871" w:rsidRPr="00907FD3">
        <w:t xml:space="preserve">more expensive but more sustainable and operationally better solution </w:t>
      </w:r>
      <w:r w:rsidR="00DA1871" w:rsidRPr="00907FD3">
        <w:fldChar w:fldCharType="begin" w:fldLock="1"/>
      </w:r>
      <w:r w:rsidR="005F687A" w:rsidRPr="00907FD3">
        <w:instrText>ADDIN CSL_CITATION { "citationItems" : [ { "id" : "ITEM-1", "itemData" : { "author" : [ { "dropping-particle" : "", "family" : "SuRF-UK", "given" : "", "non-dropping-particle" : "", "parse-names" : false, "suffix" : "" } ], "container-title" : "SuRF-UK Bulletin", "id" : "ITEM-1", "issued" : { "date-parts" : [ [ "2013" ] ] }, "page" : "1-7", "title" : "Upper Heyford - Remediation Options Appraisal", "type" : "article-magazine", "volume" : "September" }, "uris" : [ "http://www.mendeley.com/documents/?uuid=34be86d3-a554-4d16-bb31-82132410bebc" ] } ], "mendeley" : { "formattedCitation" : "(SuRF-UK, 2013b)", "plainTextFormattedCitation" : "(SuRF-UK, 2013b)", "previouslyFormattedCitation" : "(SuRF-UK, 2013b)" }, "properties" : { "noteIndex" : 0 }, "schema" : "https://github.com/citation-style-language/schema/raw/master/csl-citation.json" }</w:instrText>
      </w:r>
      <w:r w:rsidR="00DA1871" w:rsidRPr="00907FD3">
        <w:fldChar w:fldCharType="separate"/>
      </w:r>
      <w:r w:rsidR="005F687A" w:rsidRPr="00907FD3">
        <w:rPr>
          <w:noProof/>
        </w:rPr>
        <w:t>(SuRF-UK, 2013b)</w:t>
      </w:r>
      <w:r w:rsidR="00DA1871" w:rsidRPr="00907FD3">
        <w:fldChar w:fldCharType="end"/>
      </w:r>
      <w:r w:rsidR="00DA1871" w:rsidRPr="00907FD3">
        <w:t xml:space="preserve">. </w:t>
      </w:r>
    </w:p>
    <w:p w14:paraId="7CA3FF9B" w14:textId="69D463F5" w:rsidR="00DA1871" w:rsidRPr="00907FD3" w:rsidRDefault="00DA1871" w:rsidP="00EF00B3">
      <w:pPr>
        <w:spacing w:line="480" w:lineRule="auto"/>
        <w:jc w:val="both"/>
      </w:pPr>
      <w:r w:rsidRPr="00907FD3">
        <w:t>A novel aspect of this study is the inclusion of electrokinetic</w:t>
      </w:r>
      <w:r w:rsidR="00650F39" w:rsidRPr="00907FD3">
        <w:t>-</w:t>
      </w:r>
      <w:r w:rsidRPr="00907FD3">
        <w:t xml:space="preserve">enhanced bioremediation </w:t>
      </w:r>
      <w:r w:rsidR="00650F39" w:rsidRPr="00907FD3">
        <w:t xml:space="preserve">(EK-BIO) within </w:t>
      </w:r>
      <w:r w:rsidRPr="00907FD3">
        <w:t xml:space="preserve">risk management. Electrokinetics is the application of a direct current to the subsurface to initiate </w:t>
      </w:r>
      <w:r w:rsidR="00650F39" w:rsidRPr="00907FD3">
        <w:t xml:space="preserve">solute </w:t>
      </w:r>
      <w:r w:rsidRPr="00907FD3">
        <w:t xml:space="preserve">transport independent of hydraulic conductivity, </w:t>
      </w:r>
      <w:r w:rsidR="00650F39" w:rsidRPr="00907FD3">
        <w:t xml:space="preserve">by </w:t>
      </w:r>
      <w:r w:rsidRPr="00907FD3">
        <w:t xml:space="preserve">electroosmosis, electromigration and electrophoresis </w:t>
      </w:r>
      <w:r w:rsidRPr="00907FD3">
        <w:fldChar w:fldCharType="begin" w:fldLock="1"/>
      </w:r>
      <w:r w:rsidR="00C10589" w:rsidRPr="00907FD3">
        <w:instrText>ADDIN CSL_CITATION { "citationItems" : [ { "id" : "ITEM-1", "itemData" : { "DOI" : "10.1021/es00049a002", "ISSN" : "0013-936X", "author" : [ { "dropping-particle" : "", "family" : "Acar", "given" : "Yalcin B.", "non-dropping-particle" : "", "parse-names" : false, "suffix" : "" }, { "dropping-particle" : "", "family" : "Alshawabkeh", "given" : "Akram N.", "non-dropping-particle" : "", "parse-names" : false, "suffix" : "" } ], "container-title" : "Environmental Science &amp; Technology", "id" : "ITEM-1", "issue" : "13", "issued" : { "date-parts" : [ [ "1993", "12" ] ] }, "note" : "acid front migration = low ke\ncontrolling pH = maintained EOF\n\nnitrate effective ionic mobility\n\n1.55e-4 cm2 V-1 s-1", "page" : "2638-2647", "title" : "Principles of electrokinetic remediation", "type" : "article-journal", "volume" : "27" }, "uris" : [ "http://www.mendeley.com/documents/?uuid=ee99aa86-6053-4d4b-89cb-02ba7be44b92" ] } ], "mendeley" : { "formattedCitation" : "(Acar &amp; Alshawabkeh, 1993)", "manualFormatting" : "(Acar and Alshawabkeh, 1993)", "plainTextFormattedCitation" : "(Acar &amp; Alshawabkeh, 1993)", "previouslyFormattedCitation" : "(Acar &amp; Alshawabkeh, 1993)" }, "properties" : { "noteIndex" : 0 }, "schema" : "https://github.com/citation-style-language/schema/raw/master/csl-citation.json" }</w:instrText>
      </w:r>
      <w:r w:rsidRPr="00907FD3">
        <w:fldChar w:fldCharType="separate"/>
      </w:r>
      <w:r w:rsidRPr="00907FD3">
        <w:rPr>
          <w:noProof/>
        </w:rPr>
        <w:t xml:space="preserve">(Acar </w:t>
      </w:r>
      <w:r w:rsidR="00650F39" w:rsidRPr="00907FD3">
        <w:rPr>
          <w:noProof/>
        </w:rPr>
        <w:t>and</w:t>
      </w:r>
      <w:r w:rsidRPr="00907FD3">
        <w:rPr>
          <w:noProof/>
        </w:rPr>
        <w:t xml:space="preserve"> Alshawabkeh, 1993)</w:t>
      </w:r>
      <w:r w:rsidRPr="00907FD3">
        <w:fldChar w:fldCharType="end"/>
      </w:r>
      <w:r w:rsidRPr="00907FD3">
        <w:t xml:space="preserve">. These transport processes can be </w:t>
      </w:r>
      <w:r w:rsidR="00650F39" w:rsidRPr="00907FD3">
        <w:t>used</w:t>
      </w:r>
      <w:r w:rsidRPr="00907FD3">
        <w:t xml:space="preserve"> to enhance bioremediation at a range of scales </w:t>
      </w:r>
      <w:r w:rsidRPr="00907FD3">
        <w:fldChar w:fldCharType="begin" w:fldLock="1"/>
      </w:r>
      <w:r w:rsidR="00C10589" w:rsidRPr="00907FD3">
        <w:instrText>ADDIN CSL_CITATION { "citationItems" : [ { "id" : "ITEM-1", "itemData" : { "DOI" : "10.1016/j.chemosphere.2014.03.019", "ISSN" : "1879-1298", "PMID" : "24875868", "abstract" : "There is current interest in finding sustainable remediation technologies for the removal of contaminants from soil and groundwater. This review focuses on the combination of electrokinetics, the use of an electric potential to move organic and inorganic compounds, or charged particles/organisms in the subsurface independent of hydraulic conductivity; and bioremediation, the destruction of organic contaminants or attenuation of inorganic compounds by the activity of microorganisms in situ or ex situ. The objective of the review is to examine the state of knowledge on electrokinetic bioremediation and critically evaluate factors which affect the up-scaling of laboratory and bench-scale research to field-scale application. It discusses the mechanisms of electrokinetic bioremediation in the subsurface environment at different micro and macroscales, the influence of environmental processes on electrokinetic phenomena and the design options available for application to the field scale. The review also presents results from a modelling exercise to illustrate the effectiveness of electrokinetics on the supply electron acceptors to a plume scale scenario where these are limiting. Current research needs include analysis of electrokinetic bioremediation in more representative environmental settings, such as those in physically heterogeneous systems in order to gain a greater understanding of the controlling mechanisms on both electrokinetics and bioremediation in those scenarios.", "author" : [ { "dropping-particle" : "", "family" : "Gill", "given" : "R T", "non-dropping-particle" : "", "parse-names" : false, "suffix" : "" }, { "dropping-particle" : "", "family" : "Harbottle", "given" : "M J", "non-dropping-particle" : "", "parse-names" : false, "suffix" : "" }, { "dropping-particle" : "", "family" : "Smith", "given" : "J W N", "non-dropping-particle" : "", "parse-names" : false, "suffix" : "" }, { "dropping-particle" : "", "family" : "Thornton", "given" : "S F", "non-dropping-particle" : "", "parse-names" : false, "suffix" : "" } ], "container-title" : "Chemosphere", "id" : "ITEM-1", "issued" : { "date-parts" : [ [ "2014", "7" ] ] }, "page" : "31-42", "publisher" : "Elsevier Ltd", "title" : "Electrokinetic-enhanced bioremediation of organic contaminants: a review of processes and environmental applications", "type" : "article-journal", "volume" : "107" }, "uris" : [ "http://www.mendeley.com/documents/?uuid=73891180-f888-4ea0-bab1-0a5a870f1e2c" ] } ], "mendeley" : { "formattedCitation" : "(R T Gill, Harbottle, Smith, &amp; Thornton, 2014)", "manualFormatting" : "(Gill et al., 2014)", "plainTextFormattedCitation" : "(R T Gill, Harbottle, Smith, &amp; Thornton, 2014)", "previouslyFormattedCitation" : "(R T Gill, Harbottle, Smith, &amp; Thornton, 2014)" }, "properties" : { "noteIndex" : 0 }, "schema" : "https://github.com/citation-style-language/schema/raw/master/csl-citation.json" }</w:instrText>
      </w:r>
      <w:r w:rsidRPr="00907FD3">
        <w:fldChar w:fldCharType="separate"/>
      </w:r>
      <w:r w:rsidRPr="00907FD3">
        <w:rPr>
          <w:noProof/>
        </w:rPr>
        <w:t>(Gill et al., 2014)</w:t>
      </w:r>
      <w:r w:rsidRPr="00907FD3">
        <w:fldChar w:fldCharType="end"/>
      </w:r>
      <w:r w:rsidRPr="00907FD3">
        <w:t>. At the micro</w:t>
      </w:r>
      <w:r w:rsidR="00650F39" w:rsidRPr="00907FD3">
        <w:t>-</w:t>
      </w:r>
      <w:r w:rsidRPr="00907FD3">
        <w:t xml:space="preserve">scale, </w:t>
      </w:r>
      <w:r w:rsidR="00650F39" w:rsidRPr="00907FD3">
        <w:t>this</w:t>
      </w:r>
      <w:r w:rsidRPr="00907FD3">
        <w:t xml:space="preserve"> can help </w:t>
      </w:r>
      <w:r w:rsidR="00650F39" w:rsidRPr="00907FD3">
        <w:t xml:space="preserve">increase </w:t>
      </w:r>
      <w:r w:rsidRPr="00907FD3">
        <w:t xml:space="preserve">bioavailability and bioaccessibility </w:t>
      </w:r>
      <w:r w:rsidRPr="00907FD3">
        <w:fldChar w:fldCharType="begin" w:fldLock="1"/>
      </w:r>
      <w:r w:rsidRPr="00907FD3">
        <w:instrText>ADDIN CSL_CITATION { "citationItems" : [ { "id" : "ITEM-1", "itemData" : { "DOI" : "10.1016/j.electacta.2006.03.117", "ISSN" : "00134686", "author" : [ { "dropping-particle" : "", "family" : "Wick", "given" : "Lukas Y.", "non-dropping-particle" : "", "parse-names" : false, "suffix" : "" }, { "dropping-particle" : "", "family" : "Shi", "given" : "Lei", "non-dropping-particle" : "", "parse-names" : false, "suffix" : "" }, { "dropping-particle" : "", "family" : "Harms", "given" : "Hauke", "non-dropping-particle" : "", "parse-names" : false, "suffix" : "" } ], "container-title" : "Electrochimica Acta", "id" : "ITEM-1", "issue" : "10", "issued" : { "date-parts" : [ [ "2007", "2", "25" ] ] }, "page" : "3441-3448", "title" : "Electro-bioremediation of hydrophobic organic soil-contaminants: A review of fundamental interactions", "type" : "article-journal", "volume" : "52" }, "uris" : [ "http://www.mendeley.com/documents/?uuid=167960b9-1c28-4347-833a-1b6b3b572e57" ] } ], "mendeley" : { "formattedCitation" : "(Wick, Shi, &amp; Harms, 2007)", "manualFormatting" : "(Wick et al., 2007)", "plainTextFormattedCitation" : "(Wick, Shi, &amp; Harms, 2007)", "previouslyFormattedCitation" : "(Wick, Shi, &amp; Harms, 2007)" }, "properties" : { "noteIndex" : 0 }, "schema" : "https://github.com/citation-style-language/schema/raw/master/csl-citation.json" }</w:instrText>
      </w:r>
      <w:r w:rsidRPr="00907FD3">
        <w:fldChar w:fldCharType="separate"/>
      </w:r>
      <w:r w:rsidRPr="00907FD3">
        <w:rPr>
          <w:noProof/>
        </w:rPr>
        <w:t>(Wick et al., 2007)</w:t>
      </w:r>
      <w:r w:rsidRPr="00907FD3">
        <w:fldChar w:fldCharType="end"/>
      </w:r>
      <w:r w:rsidRPr="00907FD3">
        <w:t>. At the macro</w:t>
      </w:r>
      <w:r w:rsidR="00650F39" w:rsidRPr="00907FD3">
        <w:t>-</w:t>
      </w:r>
      <w:r w:rsidRPr="00907FD3">
        <w:t>scale</w:t>
      </w:r>
      <w:r w:rsidR="00ED0072" w:rsidRPr="00907FD3">
        <w:t>,</w:t>
      </w:r>
      <w:r w:rsidRPr="00907FD3">
        <w:t xml:space="preserve"> </w:t>
      </w:r>
      <w:r w:rsidR="00650F39" w:rsidRPr="00907FD3">
        <w:t xml:space="preserve">electron acceptors and/ or nutrients </w:t>
      </w:r>
      <w:r w:rsidRPr="00907FD3">
        <w:t xml:space="preserve">can be </w:t>
      </w:r>
      <w:r w:rsidR="00650F39" w:rsidRPr="00907FD3">
        <w:t xml:space="preserve">delivered </w:t>
      </w:r>
      <w:r w:rsidRPr="00907FD3">
        <w:t>into the contaminated zone</w:t>
      </w:r>
      <w:r w:rsidR="00650F39" w:rsidRPr="00907FD3">
        <w:t xml:space="preserve"> to support</w:t>
      </w:r>
      <w:r w:rsidRPr="00907FD3">
        <w:t xml:space="preserve"> </w:t>
      </w:r>
      <w:r w:rsidR="00650F39" w:rsidRPr="00907FD3">
        <w:t xml:space="preserve">biodegradation </w:t>
      </w:r>
      <w:r w:rsidRPr="00907FD3">
        <w:fldChar w:fldCharType="begin" w:fldLock="1"/>
      </w:r>
      <w:r w:rsidR="00C10589" w:rsidRPr="00907FD3">
        <w:instrText>ADDIN CSL_CITATION { "citationItems" : [ { "id" : "ITEM-1", "itemData" : { "DOI" : "10.1080/10934520801974434", "ISSN" : "1093-4529", "PMID" : "18569303", "abstract" : "Microbiological cleanup is a widely used in situ remediation strategy for organic soil and groundwater contaminations. However, often the availability of electron acceptors and nutrients are limiting factors for microbial pollutant degradation in the field. Electromigration represents a new approach for the transport of microbiological agents in soil. In this study, the electrokinetic transport of the microbial electron acceptors nitrate and sulfate and of the nutrients ammonium and phosphate was compared. All experiments were performed under standardized conditions, i.e. with constant voltage in demineralized water and a model sandy soil. Average transport rates for nitrate, sulfate, poly-phosphate, and ammonium were 1.34 cm/h, 1.91 cm/h, 0.48 cm/h, and 0.40 cm/h, respectively, in single compound studies. Transport velocities were dependent on applied voltage gradient but not on the initial ion concentration. Additionally, electrokinetic transport was studied with ion mixtures. The ion distribution in the soil was significantly influenced by the pH profile and the associated voltage gradient.", "author" : [ { "dropping-particle" : "", "family" : "Lohner", "given" : "Svenja T.", "non-dropping-particle" : "", "parse-names" : false, "suffix" : "" }, { "dropping-particle" : "", "family" : "Katzoreck", "given" : "Daniel", "non-dropping-particle" : "", "parse-names" : false, "suffix" : "" }, { "dropping-particle" : "", "family" : "Tiehm", "given" : "Andreas", "non-dropping-particle" : "", "parse-names" : false, "suffix" : "" } ], "container-title" : "Journal of environmental science and health. Part A, Toxic/hazardous substances &amp; environmental engineering", "id" : "ITEM-1", "issue" : "8", "issued" : { "date-parts" : [ [ "2008", "7", "1" ] ] }, "note" : "Transport rates of ions - associate with media = silica sand (p=.38)/ electrolyte = NaSO4 added to increase conductivity / Voltage = 1 and 2 V/cm. No recirculation but individual chamber control. Ion mig influenced by ion size, V and pH/E Cond. Move onto GW in nxt paper.\n\nRan experiments for 80 100 h in sand", "page" : "913-21", "title" : "Electromigration of microbial electron acceptors and nutrients: (I) transport in synthetic media.", "type" : "article-journal", "volume" : "43" }, "uris" : [ "http://www.mendeley.com/documents/?uuid=03b810e6-a6dc-4b5f-b965-805b9ae1e364" ] } ], "mendeley" : { "formattedCitation" : "(Lohner, Katzoreck, &amp; Tiehm, 2008)", "manualFormatting" : "(Lohner et al., 2008)", "plainTextFormattedCitation" : "(Lohner, Katzoreck, &amp; Tiehm, 2008)", "previouslyFormattedCitation" : "(Lohner, Katzoreck, &amp; Tiehm, 2008)" }, "properties" : { "noteIndex" : 0 }, "schema" : "https://github.com/citation-style-language/schema/raw/master/csl-citation.json" }</w:instrText>
      </w:r>
      <w:r w:rsidRPr="00907FD3">
        <w:fldChar w:fldCharType="separate"/>
      </w:r>
      <w:r w:rsidRPr="00907FD3">
        <w:rPr>
          <w:noProof/>
        </w:rPr>
        <w:t>(Lohner et al., 2008)</w:t>
      </w:r>
      <w:r w:rsidRPr="00907FD3">
        <w:fldChar w:fldCharType="end"/>
      </w:r>
      <w:r w:rsidRPr="00907FD3">
        <w:t xml:space="preserve">. Furthermore, these transport processes </w:t>
      </w:r>
      <w:r w:rsidR="00650F39" w:rsidRPr="00907FD3">
        <w:t xml:space="preserve">can be </w:t>
      </w:r>
      <w:r w:rsidRPr="00907FD3">
        <w:t xml:space="preserve">as effective in heterogeneous sediments </w:t>
      </w:r>
      <w:r w:rsidR="00F63DBD" w:rsidRPr="00907FD3">
        <w:t xml:space="preserve">with </w:t>
      </w:r>
      <w:r w:rsidRPr="00907FD3">
        <w:t xml:space="preserve">significant hydraulic conductivity </w:t>
      </w:r>
      <w:r w:rsidR="00F63DBD" w:rsidRPr="00907FD3">
        <w:t xml:space="preserve">contrasts </w:t>
      </w:r>
      <w:r w:rsidRPr="00907FD3">
        <w:fldChar w:fldCharType="begin" w:fldLock="1"/>
      </w:r>
      <w:r w:rsidR="0003330B" w:rsidRPr="00907FD3">
        <w:instrText>ADDIN CSL_CITATION { "citationItems" : [ { "id" : "ITEM-1", "itemData" : { "DOI" : "10.1111/gwmr.12107", "author" : [ { "dropping-particle" : "", "family" : "Gill", "given" : "Richard T", "non-dropping-particle" : "", "parse-names" : false, "suffix" : "" }, { "dropping-particle" : "", "family" : "Thornton", "given" : "Steven F", "non-dropping-particle" : "", "parse-names" : false, "suffix" : "" }, { "dropping-particle" : "", "family" : "Harbottle", "given" : "Michael J", "non-dropping-particle" : "", "parse-names" : false, "suffix" : "" }, { "dropping-particle" : "", "family" : "Smith", "given" : "Jonathan W N", "non-dropping-particle" : "", "parse-names" : false, "suffix" : "" } ], "container-title" : "Ground Water Monitoring &amp; Remediation", "id" : "ITEM-1", "issue" : "3", "issued" : { "date-parts" : [ [ "2015" ] ] }, "page" : "46-56", "title" : "Electrokinetic Migration of Nitrate Through Heterogeneous Granular Porous Media", "type" : "article-journal", "volume" : "35" }, "uris" : [ "http://www.mendeley.com/documents/?uuid=2a61c66c-e6e5-450a-8f35-46217ac56dc8" ] } ], "mendeley" : { "formattedCitation" : "(Richard T Gill, Thornton, Harbottle, &amp; Smith, 2015)", "manualFormatting" : "(Gill et al, 2015)", "plainTextFormattedCitation" : "(Richard T Gill, Thornton, Harbottle, &amp; Smith, 2015)", "previouslyFormattedCitation" : "(Richard T Gill, Thornton, Harbottle, &amp; Smith, 2015)" }, "properties" : { "noteIndex" : 0 }, "schema" : "https://github.com/citation-style-language/schema/raw/master/csl-citation.json" }</w:instrText>
      </w:r>
      <w:r w:rsidRPr="00907FD3">
        <w:fldChar w:fldCharType="separate"/>
      </w:r>
      <w:r w:rsidRPr="00907FD3">
        <w:rPr>
          <w:noProof/>
        </w:rPr>
        <w:t>(Gill et al, 2015)</w:t>
      </w:r>
      <w:r w:rsidRPr="00907FD3">
        <w:fldChar w:fldCharType="end"/>
      </w:r>
      <w:r w:rsidRPr="00907FD3">
        <w:t xml:space="preserve">. The technology is </w:t>
      </w:r>
      <w:r w:rsidR="003F4A50" w:rsidRPr="00907FD3">
        <w:t xml:space="preserve">considered </w:t>
      </w:r>
      <w:r w:rsidRPr="00907FD3">
        <w:t xml:space="preserve">a good candidate for sustainable remediation as the </w:t>
      </w:r>
      <w:r w:rsidR="003F4A50" w:rsidRPr="00907FD3">
        <w:t xml:space="preserve">principal </w:t>
      </w:r>
      <w:r w:rsidRPr="00907FD3">
        <w:t>costs</w:t>
      </w:r>
      <w:r w:rsidR="00F63DBD" w:rsidRPr="00907FD3">
        <w:t xml:space="preserve"> after</w:t>
      </w:r>
      <w:r w:rsidRPr="00907FD3">
        <w:t xml:space="preserve"> set up are electricity and the amendment used</w:t>
      </w:r>
      <w:r w:rsidR="00C14ECA" w:rsidRPr="00907FD3">
        <w:t xml:space="preserve"> </w:t>
      </w:r>
      <w:r w:rsidR="00C14ECA" w:rsidRPr="00907FD3">
        <w:fldChar w:fldCharType="begin" w:fldLock="1"/>
      </w:r>
      <w:r w:rsidR="00C14ECA" w:rsidRPr="00907FD3">
        <w:instrText>ADDIN CSL_CITATION { "citationItems" : [ { "id" : "ITEM-1", "itemData" : { "DOI" : "10.1061/(ASCE)0733-9372(1999)125:1(27)", "ISSN" : "0733-9372", "author" : [ { "dropping-particle" : "", "family" : "Alshawabkeh", "given" : "Akram N.", "non-dropping-particle" : "", "parse-names" : false, "suffix" : "" }, { "dropping-particle" : "", "family" : "Yeung", "given" : "Albert T", "non-dropping-particle" : "", "parse-names" : false, "suffix" : "" }, { "dropping-particle" : "", "family" : "Bricka", "given" : "Mark R", "non-dropping-particle" : "", "parse-names" : false, "suffix" : "" } ], "container-title" : "Journal of Environmental Engineering", "id" : "ITEM-1", "issue" : "1", "issued" : { "date-parts" : [ [ "1999", "1" ] ] }, "page" : "27-35", "title" : "Practical Aspects of In-Situ Electrokinetic Extraction", "type" : "article-journal", "volume" : "125" }, "uris" : [ "http://www.mendeley.com/documents/?uuid=5c874d58-07c0-44e0-af11-1aaf34776701" ] }, { "id" : "ITEM-2", "itemData" : { "DOI" : "10.1007/s11356-014-2597-1", "ISBN" : "0944-1344", "ISSN" : "16147499", "PMID" : "24515871", "abstract" : "In this study, an environmental assessment on an electrokinetic (EK) system for the remediation of a multimetal-contaminated real site was conducted using a green and sustainable remediation (GSR) tool. The entire EK process was classified into major four phases consisting of remedial investigations (RIs), remedial action construction (RAC), remedial action operation (RAO), and long-term monitoring (LTM) for environmental assessment. The environmental footprints, including greenhouse gas (GHG) emissions, total energy used, air emissions of criteria pollutants, such as NOx, SOx, and PM10, and water consumption, were calculated, and the relative contribution in each phase was analyzed in the environmental assessment. In the RAC phase, the relative contribution of the GHG emissions, total energy used, and PM10 emissions were 77.3, 67.6, and 70.4\u00a0%, respectively, which were higher than those of the other phases because the material consumption and equipment used for system construction were high. In the RAO phase, the relative contributions of water consumption and NOx and SOx emissions were 94.7, 85.2, and 91.0\u00a0%, respectively, which were higher than those of the other phases, because the water and electricity consumption required for system operation was high. In the RIs and LTM phases, the environmental footprints were negligible because the material and energy consumption was less. In conclusion, the consumable materials and electrical energy consumption might be very important for GSR in the EK remediation process, because the production of consumable materials and electrical energy consumption highly affects the GHG emissions, total energy used, and air emissions such as NOx and SOx.", "author" : [ { "dropping-particle" : "", "family" : "Kim", "given" : "Do Hyung", "non-dropping-particle" : "", "parse-names" : false, "suffix" : "" }, { "dropping-particle" : "", "family" : "Yoo", "given" : "Jong Chan", "non-dropping-particle" : "", "parse-names" : false, "suffix" : "" }, { "dropping-particle" : "", "family" : "Hwang", "given" : "Bo Ram", "non-dropping-particle" : "", "parse-names" : false, "suffix" : "" }, { "dropping-particle" : "", "family" : "Yang", "given" : "Jung Seok", "non-dropping-particle" : "", "parse-names" : false, "suffix" : "" }, { "dropping-particle" : "", "family" : "Baek", "given" : "Kitae", "non-dropping-particle" : "", "parse-names" : false, "suffix" : "" } ], "container-title" : "Environmental Science and Pollution Research", "id" : "ITEM-2", "issue" : "10", "issued" : { "date-parts" : [ [ "2014" ] ] }, "page" : "6751-6758", "title" : "Environmental assessment on electrokinetic remediation of multimetal-contaminated site: A case study", "type" : "article-journal", "volume" : "21" }, "uris" : [ "http://www.mendeley.com/documents/?uuid=9885ea4e-729a-4193-b694-8ed8dca2c6c4" ] } ], "mendeley" : { "formattedCitation" : "(Alshawabkeh, Yeung, &amp; Bricka, 1999; Kim, Yoo, Hwang, Yang, &amp; Baek, 2014)", "manualFormatting" : "(Alshawabkeh et al., 1999; Kim et al., 2014)", "plainTextFormattedCitation" : "(Alshawabkeh, Yeung, &amp; Bricka, 1999; Kim, Yoo, Hwang, Yang, &amp; Baek, 2014)", "previouslyFormattedCitation" : "(Alshawabkeh, Yeung, &amp; Bricka, 1999; Kim, Yoo, Hwang, Yang, &amp; Baek, 2014)" }, "properties" : { "noteIndex" : 0 }, "schema" : "https://github.com/citation-style-language/schema/raw/master/csl-citation.json" }</w:instrText>
      </w:r>
      <w:r w:rsidR="00C14ECA" w:rsidRPr="00907FD3">
        <w:fldChar w:fldCharType="separate"/>
      </w:r>
      <w:r w:rsidR="00C14ECA" w:rsidRPr="00907FD3">
        <w:rPr>
          <w:noProof/>
        </w:rPr>
        <w:t>(Alshawabkeh et al., 1999; Kim et al., 2014)</w:t>
      </w:r>
      <w:r w:rsidR="00C14ECA" w:rsidRPr="00907FD3">
        <w:fldChar w:fldCharType="end"/>
      </w:r>
      <w:r w:rsidRPr="00907FD3">
        <w:t xml:space="preserve">. </w:t>
      </w:r>
      <w:r w:rsidR="000E374C" w:rsidRPr="00907FD3">
        <w:t>Consequently, t</w:t>
      </w:r>
      <w:r w:rsidRPr="00907FD3">
        <w:t xml:space="preserve">here is significant </w:t>
      </w:r>
      <w:r w:rsidRPr="00907FD3">
        <w:lastRenderedPageBreak/>
        <w:t>interest in coupl</w:t>
      </w:r>
      <w:r w:rsidR="00F63DBD" w:rsidRPr="00907FD3">
        <w:t>ing</w:t>
      </w:r>
      <w:r w:rsidRPr="00907FD3">
        <w:t xml:space="preserve"> electrokinetic</w:t>
      </w:r>
      <w:r w:rsidR="00F63DBD" w:rsidRPr="00907FD3">
        <w:t xml:space="preserve">s with other </w:t>
      </w:r>
      <w:r w:rsidRPr="00907FD3">
        <w:t>remediation technologies</w:t>
      </w:r>
      <w:r w:rsidR="000E374C" w:rsidRPr="00907FD3">
        <w:t xml:space="preserve"> and</w:t>
      </w:r>
      <w:r w:rsidRPr="00907FD3">
        <w:t xml:space="preserve"> incorporating it as part of remediation options appraisal will</w:t>
      </w:r>
      <w:r w:rsidR="000E374C" w:rsidRPr="00907FD3">
        <w:t xml:space="preserve"> </w:t>
      </w:r>
      <w:r w:rsidRPr="00907FD3">
        <w:t>further</w:t>
      </w:r>
      <w:r w:rsidR="000E374C" w:rsidRPr="00907FD3">
        <w:t xml:space="preserve"> advance</w:t>
      </w:r>
      <w:r w:rsidRPr="00907FD3">
        <w:t xml:space="preserve"> the state of knowledge.</w:t>
      </w:r>
    </w:p>
    <w:p w14:paraId="3A91DB7D" w14:textId="4E2D425E" w:rsidR="00DA1871" w:rsidRPr="00907FD3" w:rsidRDefault="00DA1871" w:rsidP="00EF00B3">
      <w:pPr>
        <w:spacing w:line="480" w:lineRule="auto"/>
        <w:jc w:val="both"/>
      </w:pPr>
      <w:r w:rsidRPr="00907FD3">
        <w:t>The aim of the study was to assess the sustainability of different remediation options, including</w:t>
      </w:r>
      <w:r w:rsidR="00EB7877" w:rsidRPr="00907FD3">
        <w:t xml:space="preserve"> the feasibility of</w:t>
      </w:r>
      <w:r w:rsidRPr="00907FD3">
        <w:t xml:space="preserve"> EK</w:t>
      </w:r>
      <w:r w:rsidR="000E374C" w:rsidRPr="00907FD3">
        <w:t>-</w:t>
      </w:r>
      <w:r w:rsidRPr="00907FD3">
        <w:t>BIO</w:t>
      </w:r>
      <w:r w:rsidR="000E374C" w:rsidRPr="00907FD3">
        <w:t>,</w:t>
      </w:r>
      <w:r w:rsidRPr="00907FD3">
        <w:t xml:space="preserve"> for a</w:t>
      </w:r>
      <w:r w:rsidR="003F4A50" w:rsidRPr="00907FD3">
        <w:t xml:space="preserve"> gasoline /</w:t>
      </w:r>
      <w:r w:rsidRPr="00907FD3">
        <w:t>M</w:t>
      </w:r>
      <w:r w:rsidR="000E374C" w:rsidRPr="00907FD3">
        <w:t>T</w:t>
      </w:r>
      <w:r w:rsidRPr="00907FD3">
        <w:t xml:space="preserve">BE contaminated site. The objectives </w:t>
      </w:r>
      <w:r w:rsidR="003F4A50" w:rsidRPr="00907FD3">
        <w:t xml:space="preserve">were </w:t>
      </w:r>
      <w:r w:rsidR="000E374C" w:rsidRPr="00907FD3">
        <w:t>to</w:t>
      </w:r>
      <w:r w:rsidRPr="00907FD3">
        <w:t>:</w:t>
      </w:r>
    </w:p>
    <w:p w14:paraId="089E1FC2" w14:textId="27C90427" w:rsidR="00DA1871" w:rsidRPr="00907FD3" w:rsidRDefault="00DA1871" w:rsidP="00EF00B3">
      <w:pPr>
        <w:pStyle w:val="ListParagraph"/>
        <w:numPr>
          <w:ilvl w:val="0"/>
          <w:numId w:val="38"/>
        </w:numPr>
        <w:spacing w:line="480" w:lineRule="auto"/>
        <w:jc w:val="both"/>
      </w:pPr>
      <w:r w:rsidRPr="00907FD3">
        <w:t>Perform Tier 1 and Tier 2 sustainability assessment</w:t>
      </w:r>
      <w:r w:rsidR="003F4A50" w:rsidRPr="00907FD3">
        <w:t>s</w:t>
      </w:r>
      <w:r w:rsidRPr="00907FD3">
        <w:t xml:space="preserve"> on a site contaminated by an </w:t>
      </w:r>
      <w:r w:rsidR="003F4A50" w:rsidRPr="00907FD3">
        <w:t xml:space="preserve">unleaded gasoline </w:t>
      </w:r>
      <w:r w:rsidR="000E374C" w:rsidRPr="00907FD3">
        <w:t xml:space="preserve">release </w:t>
      </w:r>
      <w:r w:rsidRPr="00907FD3">
        <w:t>from a petrol filling station and use the findings to inform a management decision;</w:t>
      </w:r>
    </w:p>
    <w:p w14:paraId="353504AF" w14:textId="77777777" w:rsidR="00DA1871" w:rsidRPr="00907FD3" w:rsidRDefault="00DA1871" w:rsidP="00EF00B3">
      <w:pPr>
        <w:pStyle w:val="ListParagraph"/>
        <w:numPr>
          <w:ilvl w:val="0"/>
          <w:numId w:val="38"/>
        </w:numPr>
        <w:spacing w:line="480" w:lineRule="auto"/>
        <w:jc w:val="both"/>
      </w:pPr>
      <w:r w:rsidRPr="00907FD3">
        <w:t>Include EK</w:t>
      </w:r>
      <w:r w:rsidR="000E374C" w:rsidRPr="00907FD3">
        <w:t>-</w:t>
      </w:r>
      <w:r w:rsidRPr="00907FD3">
        <w:t>BIO in the remediation option appraisal</w:t>
      </w:r>
      <w:r w:rsidR="000E374C" w:rsidRPr="00907FD3">
        <w:t>,</w:t>
      </w:r>
      <w:r w:rsidRPr="00907FD3">
        <w:t xml:space="preserve"> using an electron balance model to inform </w:t>
      </w:r>
      <w:r w:rsidR="000E374C" w:rsidRPr="00907FD3">
        <w:t xml:space="preserve">operational parameters </w:t>
      </w:r>
      <w:r w:rsidRPr="00907FD3">
        <w:t xml:space="preserve">such as treatment duration, </w:t>
      </w:r>
      <w:r w:rsidR="003F4A50" w:rsidRPr="00907FD3">
        <w:t>power (</w:t>
      </w:r>
      <w:r w:rsidRPr="00907FD3">
        <w:t>electricity</w:t>
      </w:r>
      <w:r w:rsidR="003F4A50" w:rsidRPr="00907FD3">
        <w:t>) consumption</w:t>
      </w:r>
      <w:r w:rsidRPr="00907FD3">
        <w:t xml:space="preserve"> and amendment usage; and</w:t>
      </w:r>
    </w:p>
    <w:p w14:paraId="4E0171AF" w14:textId="77777777" w:rsidR="00DA1871" w:rsidRPr="00907FD3" w:rsidRDefault="00DA1871" w:rsidP="00EF00B3">
      <w:pPr>
        <w:pStyle w:val="ListParagraph"/>
        <w:numPr>
          <w:ilvl w:val="0"/>
          <w:numId w:val="38"/>
        </w:numPr>
        <w:spacing w:line="480" w:lineRule="auto"/>
        <w:jc w:val="both"/>
      </w:pPr>
      <w:r w:rsidRPr="00907FD3">
        <w:t>Investigate the effect of incorporating photovoltaics and limiting amendment usage</w:t>
      </w:r>
      <w:r w:rsidR="000E374C" w:rsidRPr="00907FD3">
        <w:t xml:space="preserve"> on</w:t>
      </w:r>
      <w:r w:rsidRPr="00907FD3">
        <w:t xml:space="preserve"> the EK</w:t>
      </w:r>
      <w:r w:rsidR="000E374C" w:rsidRPr="00907FD3">
        <w:t>-</w:t>
      </w:r>
      <w:r w:rsidRPr="00907FD3">
        <w:t>BIO remediation option</w:t>
      </w:r>
      <w:r w:rsidR="000E374C" w:rsidRPr="00907FD3">
        <w:t xml:space="preserve"> using different scenarios relative the base case above.</w:t>
      </w:r>
    </w:p>
    <w:p w14:paraId="287324B0" w14:textId="77777777" w:rsidR="00DA1871" w:rsidRPr="00907FD3" w:rsidRDefault="00DA1871" w:rsidP="00EF00B3">
      <w:pPr>
        <w:spacing w:line="480" w:lineRule="auto"/>
        <w:jc w:val="both"/>
      </w:pPr>
      <w:r w:rsidRPr="00907FD3">
        <w:t xml:space="preserve">Currently there are no </w:t>
      </w:r>
      <w:r w:rsidR="009E656E" w:rsidRPr="00907FD3">
        <w:t xml:space="preserve">reported </w:t>
      </w:r>
      <w:r w:rsidRPr="00907FD3">
        <w:t xml:space="preserve">examples of </w:t>
      </w:r>
      <w:r w:rsidR="009E656E" w:rsidRPr="00907FD3">
        <w:t>using</w:t>
      </w:r>
      <w:r w:rsidRPr="00907FD3">
        <w:t xml:space="preserve"> electrokinetic bioremediation </w:t>
      </w:r>
      <w:r w:rsidR="009E656E" w:rsidRPr="00907FD3">
        <w:t xml:space="preserve">within </w:t>
      </w:r>
      <w:r w:rsidRPr="00907FD3">
        <w:t xml:space="preserve">a sustainability assessment, </w:t>
      </w:r>
      <w:r w:rsidR="009E656E" w:rsidRPr="00907FD3">
        <w:t xml:space="preserve">or </w:t>
      </w:r>
      <w:r w:rsidRPr="00907FD3">
        <w:t>how modifications to the treatment design</w:t>
      </w:r>
      <w:r w:rsidR="009E656E" w:rsidRPr="00907FD3">
        <w:t>,</w:t>
      </w:r>
      <w:r w:rsidRPr="00907FD3">
        <w:t xml:space="preserve"> such as </w:t>
      </w:r>
      <w:r w:rsidR="004D5CFC" w:rsidRPr="00907FD3">
        <w:t xml:space="preserve">inclusion of </w:t>
      </w:r>
      <w:r w:rsidRPr="00907FD3">
        <w:t>photovoltaics</w:t>
      </w:r>
      <w:r w:rsidR="009E656E" w:rsidRPr="00907FD3">
        <w:t>,</w:t>
      </w:r>
      <w:r w:rsidRPr="00907FD3">
        <w:t xml:space="preserve"> </w:t>
      </w:r>
      <w:r w:rsidR="009E656E" w:rsidRPr="00907FD3">
        <w:t>influence the</w:t>
      </w:r>
      <w:r w:rsidRPr="00907FD3">
        <w:t xml:space="preserve"> overall sustainability </w:t>
      </w:r>
      <w:r w:rsidR="004D5CFC" w:rsidRPr="00907FD3">
        <w:t>performance</w:t>
      </w:r>
      <w:r w:rsidRPr="00907FD3">
        <w:t xml:space="preserve">. These are important knowledge gaps </w:t>
      </w:r>
      <w:r w:rsidR="009C1F13" w:rsidRPr="00907FD3">
        <w:t xml:space="preserve">in </w:t>
      </w:r>
      <w:r w:rsidRPr="00907FD3">
        <w:t>the development of electrokinetic remediation.</w:t>
      </w:r>
      <w:r w:rsidR="008B73C6" w:rsidRPr="00907FD3">
        <w:t xml:space="preserve"> Furthermore, this is the first peer-reviewed application of the Surf-UK framework.</w:t>
      </w:r>
    </w:p>
    <w:p w14:paraId="64532CCE" w14:textId="5FEFDBB6" w:rsidR="00DA1871" w:rsidRPr="00907FD3" w:rsidRDefault="008956EC" w:rsidP="008956EC">
      <w:pPr>
        <w:pStyle w:val="Heading1"/>
      </w:pPr>
      <w:r w:rsidRPr="00907FD3">
        <w:t>2.0</w:t>
      </w:r>
      <w:r w:rsidRPr="00907FD3">
        <w:tab/>
      </w:r>
      <w:r w:rsidR="00DA1871" w:rsidRPr="00907FD3">
        <w:t xml:space="preserve">Conceptual </w:t>
      </w:r>
      <w:r w:rsidR="00607021" w:rsidRPr="00907FD3">
        <w:t>s</w:t>
      </w:r>
      <w:r w:rsidR="00DA1871" w:rsidRPr="00907FD3">
        <w:t xml:space="preserve">ite </w:t>
      </w:r>
      <w:r w:rsidR="00607021" w:rsidRPr="00907FD3">
        <w:t>m</w:t>
      </w:r>
      <w:r w:rsidR="00DA1871" w:rsidRPr="00907FD3">
        <w:t>odel</w:t>
      </w:r>
    </w:p>
    <w:p w14:paraId="65EAD5DE" w14:textId="77777777" w:rsidR="00DA1871" w:rsidRPr="00907FD3" w:rsidRDefault="00DA1871" w:rsidP="00EF00B3">
      <w:pPr>
        <w:spacing w:line="480" w:lineRule="auto"/>
        <w:jc w:val="both"/>
      </w:pPr>
      <w:r w:rsidRPr="00907FD3">
        <w:t xml:space="preserve">The focus of this study is a petrol filling station (PFS) site located </w:t>
      </w:r>
      <w:r w:rsidR="000E0F12" w:rsidRPr="00907FD3">
        <w:t>up</w:t>
      </w:r>
      <w:r w:rsidRPr="00907FD3">
        <w:t xml:space="preserve"> hydraulic gradient of a water supply well</w:t>
      </w:r>
      <w:r w:rsidR="002B3561" w:rsidRPr="00907FD3">
        <w:t xml:space="preserve"> (WSW)</w:t>
      </w:r>
      <w:r w:rsidRPr="00907FD3">
        <w:t xml:space="preserve">. </w:t>
      </w:r>
      <w:r w:rsidR="000E0F12" w:rsidRPr="00907FD3">
        <w:t xml:space="preserve">There was </w:t>
      </w:r>
      <w:r w:rsidR="002B3561" w:rsidRPr="00907FD3">
        <w:t>a fuel</w:t>
      </w:r>
      <w:r w:rsidRPr="00907FD3">
        <w:t xml:space="preserve"> </w:t>
      </w:r>
      <w:r w:rsidR="000E0F12" w:rsidRPr="00907FD3">
        <w:t xml:space="preserve">release </w:t>
      </w:r>
      <w:r w:rsidRPr="00907FD3">
        <w:t xml:space="preserve">into the subsurface at the PFS </w:t>
      </w:r>
      <w:r w:rsidR="002B3561" w:rsidRPr="00907FD3">
        <w:t xml:space="preserve">resulting in </w:t>
      </w:r>
      <w:r w:rsidRPr="00907FD3">
        <w:t xml:space="preserve">the </w:t>
      </w:r>
      <w:r w:rsidR="000E0F12" w:rsidRPr="00907FD3">
        <w:t xml:space="preserve">fuel additive </w:t>
      </w:r>
      <w:r w:rsidRPr="00907FD3">
        <w:t>methyl tert butyl ether (M</w:t>
      </w:r>
      <w:r w:rsidR="000E0F12" w:rsidRPr="00907FD3">
        <w:t>T</w:t>
      </w:r>
      <w:r w:rsidRPr="00907FD3">
        <w:t xml:space="preserve">BE) </w:t>
      </w:r>
      <w:r w:rsidR="002B3561" w:rsidRPr="00907FD3">
        <w:t xml:space="preserve">detection </w:t>
      </w:r>
      <w:r w:rsidRPr="00907FD3">
        <w:t xml:space="preserve">in the </w:t>
      </w:r>
      <w:r w:rsidR="002B3561" w:rsidRPr="00907FD3">
        <w:t>WSW</w:t>
      </w:r>
      <w:r w:rsidR="000E0F12" w:rsidRPr="00907FD3">
        <w:t>. T</w:t>
      </w:r>
      <w:r w:rsidRPr="00907FD3">
        <w:t xml:space="preserve">he PFS was </w:t>
      </w:r>
      <w:r w:rsidR="002B3561" w:rsidRPr="00907FD3">
        <w:t>decommissioned,</w:t>
      </w:r>
      <w:r w:rsidRPr="00907FD3">
        <w:t xml:space="preserve"> the </w:t>
      </w:r>
      <w:r w:rsidR="002B3561" w:rsidRPr="00907FD3">
        <w:t xml:space="preserve">fuel </w:t>
      </w:r>
      <w:r w:rsidR="000E0F12" w:rsidRPr="00907FD3">
        <w:t xml:space="preserve">release </w:t>
      </w:r>
      <w:r w:rsidRPr="00907FD3">
        <w:t>stopped</w:t>
      </w:r>
      <w:r w:rsidR="002B3561" w:rsidRPr="00907FD3">
        <w:t>, and investigation and remediation undertaken</w:t>
      </w:r>
      <w:r w:rsidRPr="00907FD3">
        <w:t xml:space="preserve">. </w:t>
      </w:r>
      <w:r w:rsidR="000E0F12" w:rsidRPr="00907FD3">
        <w:t xml:space="preserve">Several </w:t>
      </w:r>
      <w:r w:rsidRPr="00907FD3">
        <w:t xml:space="preserve">groundwater sampling and monitoring events </w:t>
      </w:r>
      <w:r w:rsidR="000E0F12" w:rsidRPr="00907FD3">
        <w:t xml:space="preserve">have been completed at the site </w:t>
      </w:r>
      <w:r w:rsidRPr="00907FD3">
        <w:t>to assess the risk posed by M</w:t>
      </w:r>
      <w:r w:rsidR="000E0F12" w:rsidRPr="00907FD3">
        <w:t>T</w:t>
      </w:r>
      <w:r w:rsidRPr="00907FD3">
        <w:t>BE to the WS</w:t>
      </w:r>
      <w:r w:rsidR="002B3561" w:rsidRPr="00907FD3">
        <w:t>W</w:t>
      </w:r>
      <w:r w:rsidRPr="00907FD3">
        <w:t xml:space="preserve">. Remedial action to date includes the installation of a hydraulic containment system </w:t>
      </w:r>
      <w:r w:rsidR="000E0F12" w:rsidRPr="00907FD3">
        <w:t xml:space="preserve">(HCS) </w:t>
      </w:r>
      <w:r w:rsidRPr="00907FD3">
        <w:t xml:space="preserve">to break the </w:t>
      </w:r>
      <w:r w:rsidRPr="00907FD3">
        <w:lastRenderedPageBreak/>
        <w:t>source-pathway-receptor (SPR) linkage</w:t>
      </w:r>
      <w:r w:rsidR="002B3561" w:rsidRPr="00907FD3">
        <w:t>,</w:t>
      </w:r>
      <w:r w:rsidRPr="00907FD3">
        <w:t xml:space="preserve"> and soil</w:t>
      </w:r>
      <w:r w:rsidRPr="00907FD3">
        <w:rPr>
          <w:lang w:val="en-GB"/>
        </w:rPr>
        <w:t xml:space="preserve"> vapour</w:t>
      </w:r>
      <w:r w:rsidRPr="00907FD3">
        <w:t xml:space="preserve"> extraction (SVE) </w:t>
      </w:r>
      <w:r w:rsidR="002B3561" w:rsidRPr="00907FD3">
        <w:t xml:space="preserve">and multi-phase extraction (MPE) </w:t>
      </w:r>
      <w:r w:rsidRPr="00907FD3">
        <w:t xml:space="preserve">to treat </w:t>
      </w:r>
      <w:r w:rsidR="002B3561" w:rsidRPr="00907FD3">
        <w:t>mobile</w:t>
      </w:r>
      <w:r w:rsidR="000E0F12" w:rsidRPr="00907FD3">
        <w:t xml:space="preserve"> and residual</w:t>
      </w:r>
      <w:r w:rsidR="002B3561" w:rsidRPr="00907FD3">
        <w:t>-</w:t>
      </w:r>
      <w:r w:rsidRPr="00907FD3">
        <w:t>phase</w:t>
      </w:r>
      <w:r w:rsidR="000E0F12" w:rsidRPr="00907FD3">
        <w:t xml:space="preserve"> LNAPL</w:t>
      </w:r>
      <w:r w:rsidR="002B3561" w:rsidRPr="00907FD3">
        <w:t xml:space="preserve"> near the source zone</w:t>
      </w:r>
      <w:r w:rsidRPr="00907FD3">
        <w:t xml:space="preserve">. </w:t>
      </w:r>
    </w:p>
    <w:p w14:paraId="7D1B893A" w14:textId="3A07A2AF" w:rsidR="00DA1871" w:rsidRPr="00907FD3" w:rsidRDefault="008956EC" w:rsidP="008956EC">
      <w:pPr>
        <w:pStyle w:val="Heading2"/>
      </w:pPr>
      <w:r w:rsidRPr="00907FD3">
        <w:t>2.1</w:t>
      </w:r>
      <w:r w:rsidRPr="00907FD3">
        <w:tab/>
      </w:r>
      <w:r w:rsidR="00DA1871" w:rsidRPr="00907FD3">
        <w:t>Site geology and hydrogeology</w:t>
      </w:r>
    </w:p>
    <w:p w14:paraId="246C5F46" w14:textId="295BBC47" w:rsidR="00DA1871" w:rsidRPr="00907FD3" w:rsidRDefault="00250521" w:rsidP="00EF00B3">
      <w:pPr>
        <w:spacing w:line="480" w:lineRule="auto"/>
        <w:jc w:val="both"/>
      </w:pPr>
      <w:r w:rsidRPr="00907FD3">
        <w:rPr>
          <w:noProof/>
          <w:lang w:val="en-GB" w:eastAsia="en-GB"/>
        </w:rPr>
        <mc:AlternateContent>
          <mc:Choice Requires="wps">
            <w:drawing>
              <wp:anchor distT="45720" distB="45720" distL="114300" distR="114300" simplePos="0" relativeHeight="251659264" behindDoc="0" locked="0" layoutInCell="1" allowOverlap="1" wp14:anchorId="3F52B733" wp14:editId="4878C600">
                <wp:simplePos x="0" y="0"/>
                <wp:positionH relativeFrom="column">
                  <wp:posOffset>-38100</wp:posOffset>
                </wp:positionH>
                <wp:positionV relativeFrom="paragraph">
                  <wp:posOffset>3735070</wp:posOffset>
                </wp:positionV>
                <wp:extent cx="5800725" cy="1133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133475"/>
                        </a:xfrm>
                        <a:prstGeom prst="rect">
                          <a:avLst/>
                        </a:prstGeom>
                        <a:solidFill>
                          <a:srgbClr val="FFFFFF"/>
                        </a:solidFill>
                        <a:ln w="9525">
                          <a:noFill/>
                          <a:miter lim="800000"/>
                          <a:headEnd/>
                          <a:tailEnd/>
                        </a:ln>
                      </wps:spPr>
                      <wps:txbx>
                        <w:txbxContent>
                          <w:p w14:paraId="6287F224" w14:textId="6EC8278C" w:rsidR="00BF7A0C" w:rsidRPr="002350B5" w:rsidRDefault="00BF7A0C" w:rsidP="00250521">
                            <w:pPr>
                              <w:pStyle w:val="Caption"/>
                              <w:jc w:val="both"/>
                              <w:rPr>
                                <w:b/>
                              </w:rPr>
                            </w:pPr>
                            <w:bookmarkStart w:id="0" w:name="_Ref423943231"/>
                            <w:r w:rsidRPr="002350B5">
                              <w:t xml:space="preserve">Table </w:t>
                            </w:r>
                            <w:r w:rsidRPr="002350B5">
                              <w:fldChar w:fldCharType="begin"/>
                            </w:r>
                            <w:r w:rsidRPr="002350B5">
                              <w:instrText xml:space="preserve"> SEQ Table \* ARABIC </w:instrText>
                            </w:r>
                            <w:r w:rsidRPr="002350B5">
                              <w:fldChar w:fldCharType="separate"/>
                            </w:r>
                            <w:r>
                              <w:rPr>
                                <w:noProof/>
                              </w:rPr>
                              <w:t>1</w:t>
                            </w:r>
                            <w:r w:rsidRPr="002350B5">
                              <w:fldChar w:fldCharType="end"/>
                            </w:r>
                            <w:bookmarkEnd w:id="0"/>
                            <w:r w:rsidRPr="002350B5">
                              <w:t>. Summary table of the geological units present on site.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5"/>
                              <w:gridCol w:w="3413"/>
                            </w:tblGrid>
                            <w:tr w:rsidR="00BF7A0C" w:rsidRPr="00B5705B" w14:paraId="1F974021" w14:textId="77777777" w:rsidTr="00BF7A0C">
                              <w:trPr>
                                <w:jc w:val="center"/>
                              </w:trPr>
                              <w:tc>
                                <w:tcPr>
                                  <w:tcW w:w="3275" w:type="dxa"/>
                                </w:tcPr>
                                <w:p w14:paraId="1461356F" w14:textId="77777777" w:rsidR="00BF7A0C" w:rsidRPr="00B5705B" w:rsidRDefault="00BF7A0C" w:rsidP="00250521">
                                  <w:pPr>
                                    <w:spacing w:after="0" w:line="240" w:lineRule="auto"/>
                                    <w:jc w:val="center"/>
                                    <w:rPr>
                                      <w:b/>
                                    </w:rPr>
                                  </w:pPr>
                                  <w:r w:rsidRPr="00B5705B">
                                    <w:rPr>
                                      <w:b/>
                                    </w:rPr>
                                    <w:t>Geological Unit</w:t>
                                  </w:r>
                                </w:p>
                              </w:tc>
                              <w:tc>
                                <w:tcPr>
                                  <w:tcW w:w="3413" w:type="dxa"/>
                                </w:tcPr>
                                <w:p w14:paraId="704B9B71" w14:textId="77777777" w:rsidR="00BF7A0C" w:rsidRPr="00B5705B" w:rsidRDefault="00BF7A0C" w:rsidP="00250521">
                                  <w:pPr>
                                    <w:spacing w:after="0" w:line="240" w:lineRule="auto"/>
                                    <w:jc w:val="center"/>
                                    <w:rPr>
                                      <w:b/>
                                    </w:rPr>
                                  </w:pPr>
                                  <w:r w:rsidRPr="00B5705B">
                                    <w:rPr>
                                      <w:b/>
                                    </w:rPr>
                                    <w:t>Hydraulic Conductivities (m s</w:t>
                                  </w:r>
                                  <w:r w:rsidRPr="00B5705B">
                                    <w:rPr>
                                      <w:b/>
                                      <w:vertAlign w:val="superscript"/>
                                    </w:rPr>
                                    <w:t>-1</w:t>
                                  </w:r>
                                  <w:r w:rsidRPr="00B5705B">
                                    <w:rPr>
                                      <w:b/>
                                    </w:rPr>
                                    <w:t>)</w:t>
                                  </w:r>
                                </w:p>
                              </w:tc>
                            </w:tr>
                            <w:tr w:rsidR="00BF7A0C" w:rsidRPr="00B5705B" w14:paraId="4ACB0FF0" w14:textId="77777777" w:rsidTr="00BF7A0C">
                              <w:trPr>
                                <w:jc w:val="center"/>
                              </w:trPr>
                              <w:tc>
                                <w:tcPr>
                                  <w:tcW w:w="3275" w:type="dxa"/>
                                </w:tcPr>
                                <w:p w14:paraId="0883F20E" w14:textId="77777777" w:rsidR="00BF7A0C" w:rsidRPr="00B5705B" w:rsidRDefault="00BF7A0C" w:rsidP="00250521">
                                  <w:pPr>
                                    <w:spacing w:after="0" w:line="240" w:lineRule="auto"/>
                                    <w:jc w:val="center"/>
                                  </w:pPr>
                                  <w:r w:rsidRPr="00B5705B">
                                    <w:t>Channel Sands</w:t>
                                  </w:r>
                                </w:p>
                              </w:tc>
                              <w:tc>
                                <w:tcPr>
                                  <w:tcW w:w="3413" w:type="dxa"/>
                                </w:tcPr>
                                <w:p w14:paraId="48E9C22D" w14:textId="77777777" w:rsidR="00BF7A0C" w:rsidRPr="00B5705B" w:rsidRDefault="00BF7A0C" w:rsidP="00250521">
                                  <w:pPr>
                                    <w:spacing w:after="0" w:line="240" w:lineRule="auto"/>
                                    <w:jc w:val="center"/>
                                  </w:pPr>
                                  <w:r w:rsidRPr="00B5705B">
                                    <w:t>1.5</w:t>
                                  </w:r>
                                  <w:r>
                                    <w:t xml:space="preserve"> </w:t>
                                  </w:r>
                                  <w:r w:rsidRPr="00B5705B">
                                    <w:t>x 10</w:t>
                                  </w:r>
                                  <w:r w:rsidRPr="00B5705B">
                                    <w:rPr>
                                      <w:vertAlign w:val="superscript"/>
                                    </w:rPr>
                                    <w:t>-5</w:t>
                                  </w:r>
                                  <w:r w:rsidRPr="00B5705B">
                                    <w:t xml:space="preserve"> to 1.2 x</w:t>
                                  </w:r>
                                  <w:r>
                                    <w:t xml:space="preserve"> </w:t>
                                  </w:r>
                                  <w:r w:rsidRPr="00B5705B">
                                    <w:t>10</w:t>
                                  </w:r>
                                  <w:r>
                                    <w:rPr>
                                      <w:vertAlign w:val="superscript"/>
                                    </w:rPr>
                                    <w:t>-9</w:t>
                                  </w:r>
                                </w:p>
                              </w:tc>
                            </w:tr>
                            <w:tr w:rsidR="00BF7A0C" w:rsidRPr="00B5705B" w14:paraId="4CF8B087" w14:textId="77777777" w:rsidTr="00BF7A0C">
                              <w:trPr>
                                <w:jc w:val="center"/>
                              </w:trPr>
                              <w:tc>
                                <w:tcPr>
                                  <w:tcW w:w="3275" w:type="dxa"/>
                                </w:tcPr>
                                <w:p w14:paraId="6B2F50FD" w14:textId="77777777" w:rsidR="00BF7A0C" w:rsidRPr="00B5705B" w:rsidRDefault="00BF7A0C" w:rsidP="00250521">
                                  <w:pPr>
                                    <w:spacing w:after="0" w:line="240" w:lineRule="auto"/>
                                    <w:jc w:val="center"/>
                                  </w:pPr>
                                  <w:r>
                                    <w:t>Glacial till</w:t>
                                  </w:r>
                                </w:p>
                              </w:tc>
                              <w:tc>
                                <w:tcPr>
                                  <w:tcW w:w="3413" w:type="dxa"/>
                                </w:tcPr>
                                <w:p w14:paraId="1142DBD8" w14:textId="77777777" w:rsidR="00BF7A0C" w:rsidRPr="00B5705B" w:rsidRDefault="00BF7A0C" w:rsidP="00250521">
                                  <w:pPr>
                                    <w:spacing w:after="0" w:line="240" w:lineRule="auto"/>
                                    <w:jc w:val="center"/>
                                  </w:pPr>
                                  <w:r w:rsidRPr="00B5705B">
                                    <w:t>1.2</w:t>
                                  </w:r>
                                  <w:r>
                                    <w:t xml:space="preserve"> </w:t>
                                  </w:r>
                                  <w:r w:rsidRPr="00B5705B">
                                    <w:t>x</w:t>
                                  </w:r>
                                  <w:r>
                                    <w:t xml:space="preserve"> </w:t>
                                  </w:r>
                                  <w:r w:rsidRPr="00B5705B">
                                    <w:t>10</w:t>
                                  </w:r>
                                  <w:r w:rsidRPr="00B5705B">
                                    <w:rPr>
                                      <w:vertAlign w:val="superscript"/>
                                    </w:rPr>
                                    <w:t>-8</w:t>
                                  </w:r>
                                  <w:r w:rsidRPr="00B5705B">
                                    <w:t xml:space="preserve"> to 1.2</w:t>
                                  </w:r>
                                  <w:r>
                                    <w:t xml:space="preserve"> </w:t>
                                  </w:r>
                                  <w:r w:rsidRPr="00B5705B">
                                    <w:t>x</w:t>
                                  </w:r>
                                  <w:r>
                                    <w:t xml:space="preserve"> </w:t>
                                  </w:r>
                                  <w:r w:rsidRPr="00B5705B">
                                    <w:t>10</w:t>
                                  </w:r>
                                  <w:r w:rsidRPr="00B5705B">
                                    <w:rPr>
                                      <w:vertAlign w:val="superscript"/>
                                    </w:rPr>
                                    <w:t>-12</w:t>
                                  </w:r>
                                </w:p>
                              </w:tc>
                            </w:tr>
                            <w:tr w:rsidR="00BF7A0C" w:rsidRPr="00B5705B" w14:paraId="423C9A94" w14:textId="77777777" w:rsidTr="00BF7A0C">
                              <w:trPr>
                                <w:trHeight w:val="260"/>
                                <w:jc w:val="center"/>
                              </w:trPr>
                              <w:tc>
                                <w:tcPr>
                                  <w:tcW w:w="3275" w:type="dxa"/>
                                </w:tcPr>
                                <w:p w14:paraId="7B991AAF" w14:textId="77777777" w:rsidR="00BF7A0C" w:rsidRPr="00B5705B" w:rsidRDefault="00BF7A0C" w:rsidP="00250521">
                                  <w:pPr>
                                    <w:spacing w:after="0" w:line="240" w:lineRule="auto"/>
                                    <w:jc w:val="center"/>
                                  </w:pPr>
                                  <w:r w:rsidRPr="00B5705B">
                                    <w:t>Chalk</w:t>
                                  </w:r>
                                </w:p>
                              </w:tc>
                              <w:tc>
                                <w:tcPr>
                                  <w:tcW w:w="3413" w:type="dxa"/>
                                </w:tcPr>
                                <w:p w14:paraId="3BA19E24" w14:textId="77777777" w:rsidR="00BF7A0C" w:rsidRPr="00B5705B" w:rsidRDefault="00BF7A0C" w:rsidP="00250521">
                                  <w:pPr>
                                    <w:spacing w:after="0" w:line="240" w:lineRule="auto"/>
                                    <w:jc w:val="center"/>
                                  </w:pPr>
                                  <w:r w:rsidRPr="00B5705B">
                                    <w:t>1.2</w:t>
                                  </w:r>
                                  <w:r>
                                    <w:t xml:space="preserve"> </w:t>
                                  </w:r>
                                  <w:r w:rsidRPr="00B5705B">
                                    <w:t>x</w:t>
                                  </w:r>
                                  <w:r>
                                    <w:t xml:space="preserve"> </w:t>
                                  </w:r>
                                  <w:r w:rsidRPr="00B5705B">
                                    <w:t>10</w:t>
                                  </w:r>
                                  <w:r w:rsidRPr="00B5705B">
                                    <w:rPr>
                                      <w:vertAlign w:val="superscript"/>
                                    </w:rPr>
                                    <w:t>-3</w:t>
                                  </w:r>
                                  <w:r w:rsidRPr="00B5705B">
                                    <w:t xml:space="preserve"> </w:t>
                                  </w:r>
                                  <w:r>
                                    <w:t xml:space="preserve">to </w:t>
                                  </w:r>
                                  <w:r w:rsidRPr="00B5705B">
                                    <w:t>3.5</w:t>
                                  </w:r>
                                  <w:r>
                                    <w:t xml:space="preserve"> </w:t>
                                  </w:r>
                                  <w:r w:rsidRPr="00B5705B">
                                    <w:t>x</w:t>
                                  </w:r>
                                  <w:r>
                                    <w:t xml:space="preserve"> </w:t>
                                  </w:r>
                                  <w:r w:rsidRPr="00B5705B">
                                    <w:t>10</w:t>
                                  </w:r>
                                  <w:r w:rsidRPr="00B5705B">
                                    <w:rPr>
                                      <w:vertAlign w:val="superscript"/>
                                    </w:rPr>
                                    <w:t>-4</w:t>
                                  </w:r>
                                </w:p>
                              </w:tc>
                            </w:tr>
                          </w:tbl>
                          <w:p w14:paraId="50AB12A7" w14:textId="08A2F61B" w:rsidR="00BF7A0C" w:rsidRDefault="00BF7A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2B733" id="_x0000_t202" coordsize="21600,21600" o:spt="202" path="m,l,21600r21600,l21600,xe">
                <v:stroke joinstyle="miter"/>
                <v:path gradientshapeok="t" o:connecttype="rect"/>
              </v:shapetype>
              <v:shape id="Text Box 2" o:spid="_x0000_s1026" type="#_x0000_t202" style="position:absolute;left:0;text-align:left;margin-left:-3pt;margin-top:294.1pt;width:456.75pt;height:8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" stroked="f">
                <v:textbox>
                  <w:txbxContent>
                    <w:p w14:paraId="6287F224" w14:textId="6EC8278C" w:rsidR="00BF7A0C" w:rsidRPr="002350B5" w:rsidRDefault="00BF7A0C" w:rsidP="00250521">
                      <w:pPr>
                        <w:pStyle w:val="Caption"/>
                        <w:jc w:val="both"/>
                        <w:rPr>
                          <w:b/>
                        </w:rPr>
                      </w:pPr>
                      <w:bookmarkStart w:id="1" w:name="_Ref423943231"/>
                      <w:r w:rsidRPr="002350B5">
                        <w:t xml:space="preserve">Table </w:t>
                      </w:r>
                      <w:r w:rsidRPr="002350B5">
                        <w:fldChar w:fldCharType="begin"/>
                      </w:r>
                      <w:r w:rsidRPr="002350B5">
                        <w:instrText xml:space="preserve"> SEQ Table \* ARABIC </w:instrText>
                      </w:r>
                      <w:r w:rsidRPr="002350B5">
                        <w:fldChar w:fldCharType="separate"/>
                      </w:r>
                      <w:r>
                        <w:rPr>
                          <w:noProof/>
                        </w:rPr>
                        <w:t>1</w:t>
                      </w:r>
                      <w:r w:rsidRPr="002350B5">
                        <w:fldChar w:fldCharType="end"/>
                      </w:r>
                      <w:bookmarkEnd w:id="1"/>
                      <w:r w:rsidRPr="002350B5">
                        <w:t>. Summary table of the geological units present on site.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5"/>
                        <w:gridCol w:w="3413"/>
                      </w:tblGrid>
                      <w:tr w:rsidR="00BF7A0C" w:rsidRPr="00B5705B" w14:paraId="1F974021" w14:textId="77777777" w:rsidTr="00BF7A0C">
                        <w:trPr>
                          <w:jc w:val="center"/>
                        </w:trPr>
                        <w:tc>
                          <w:tcPr>
                            <w:tcW w:w="3275" w:type="dxa"/>
                          </w:tcPr>
                          <w:p w14:paraId="1461356F" w14:textId="77777777" w:rsidR="00BF7A0C" w:rsidRPr="00B5705B" w:rsidRDefault="00BF7A0C" w:rsidP="00250521">
                            <w:pPr>
                              <w:spacing w:after="0" w:line="240" w:lineRule="auto"/>
                              <w:jc w:val="center"/>
                              <w:rPr>
                                <w:b/>
                              </w:rPr>
                            </w:pPr>
                            <w:r w:rsidRPr="00B5705B">
                              <w:rPr>
                                <w:b/>
                              </w:rPr>
                              <w:t>Geological Unit</w:t>
                            </w:r>
                          </w:p>
                        </w:tc>
                        <w:tc>
                          <w:tcPr>
                            <w:tcW w:w="3413" w:type="dxa"/>
                          </w:tcPr>
                          <w:p w14:paraId="704B9B71" w14:textId="77777777" w:rsidR="00BF7A0C" w:rsidRPr="00B5705B" w:rsidRDefault="00BF7A0C" w:rsidP="00250521">
                            <w:pPr>
                              <w:spacing w:after="0" w:line="240" w:lineRule="auto"/>
                              <w:jc w:val="center"/>
                              <w:rPr>
                                <w:b/>
                              </w:rPr>
                            </w:pPr>
                            <w:r w:rsidRPr="00B5705B">
                              <w:rPr>
                                <w:b/>
                              </w:rPr>
                              <w:t>Hydraulic Conductivities (m s</w:t>
                            </w:r>
                            <w:r w:rsidRPr="00B5705B">
                              <w:rPr>
                                <w:b/>
                                <w:vertAlign w:val="superscript"/>
                              </w:rPr>
                              <w:t>-1</w:t>
                            </w:r>
                            <w:r w:rsidRPr="00B5705B">
                              <w:rPr>
                                <w:b/>
                              </w:rPr>
                              <w:t>)</w:t>
                            </w:r>
                          </w:p>
                        </w:tc>
                      </w:tr>
                      <w:tr w:rsidR="00BF7A0C" w:rsidRPr="00B5705B" w14:paraId="4ACB0FF0" w14:textId="77777777" w:rsidTr="00BF7A0C">
                        <w:trPr>
                          <w:jc w:val="center"/>
                        </w:trPr>
                        <w:tc>
                          <w:tcPr>
                            <w:tcW w:w="3275" w:type="dxa"/>
                          </w:tcPr>
                          <w:p w14:paraId="0883F20E" w14:textId="77777777" w:rsidR="00BF7A0C" w:rsidRPr="00B5705B" w:rsidRDefault="00BF7A0C" w:rsidP="00250521">
                            <w:pPr>
                              <w:spacing w:after="0" w:line="240" w:lineRule="auto"/>
                              <w:jc w:val="center"/>
                            </w:pPr>
                            <w:r w:rsidRPr="00B5705B">
                              <w:t>Channel Sands</w:t>
                            </w:r>
                          </w:p>
                        </w:tc>
                        <w:tc>
                          <w:tcPr>
                            <w:tcW w:w="3413" w:type="dxa"/>
                          </w:tcPr>
                          <w:p w14:paraId="48E9C22D" w14:textId="77777777" w:rsidR="00BF7A0C" w:rsidRPr="00B5705B" w:rsidRDefault="00BF7A0C" w:rsidP="00250521">
                            <w:pPr>
                              <w:spacing w:after="0" w:line="240" w:lineRule="auto"/>
                              <w:jc w:val="center"/>
                            </w:pPr>
                            <w:r w:rsidRPr="00B5705B">
                              <w:t>1.5</w:t>
                            </w:r>
                            <w:r>
                              <w:t xml:space="preserve"> </w:t>
                            </w:r>
                            <w:r w:rsidRPr="00B5705B">
                              <w:t>x 10</w:t>
                            </w:r>
                            <w:r w:rsidRPr="00B5705B">
                              <w:rPr>
                                <w:vertAlign w:val="superscript"/>
                              </w:rPr>
                              <w:t>-5</w:t>
                            </w:r>
                            <w:r w:rsidRPr="00B5705B">
                              <w:t xml:space="preserve"> to 1.2 x</w:t>
                            </w:r>
                            <w:r>
                              <w:t xml:space="preserve"> </w:t>
                            </w:r>
                            <w:r w:rsidRPr="00B5705B">
                              <w:t>10</w:t>
                            </w:r>
                            <w:r>
                              <w:rPr>
                                <w:vertAlign w:val="superscript"/>
                              </w:rPr>
                              <w:t>-9</w:t>
                            </w:r>
                          </w:p>
                        </w:tc>
                      </w:tr>
                      <w:tr w:rsidR="00BF7A0C" w:rsidRPr="00B5705B" w14:paraId="4CF8B087" w14:textId="77777777" w:rsidTr="00BF7A0C">
                        <w:trPr>
                          <w:jc w:val="center"/>
                        </w:trPr>
                        <w:tc>
                          <w:tcPr>
                            <w:tcW w:w="3275" w:type="dxa"/>
                          </w:tcPr>
                          <w:p w14:paraId="6B2F50FD" w14:textId="77777777" w:rsidR="00BF7A0C" w:rsidRPr="00B5705B" w:rsidRDefault="00BF7A0C" w:rsidP="00250521">
                            <w:pPr>
                              <w:spacing w:after="0" w:line="240" w:lineRule="auto"/>
                              <w:jc w:val="center"/>
                            </w:pPr>
                            <w:r>
                              <w:t>Glacial till</w:t>
                            </w:r>
                          </w:p>
                        </w:tc>
                        <w:tc>
                          <w:tcPr>
                            <w:tcW w:w="3413" w:type="dxa"/>
                          </w:tcPr>
                          <w:p w14:paraId="1142DBD8" w14:textId="77777777" w:rsidR="00BF7A0C" w:rsidRPr="00B5705B" w:rsidRDefault="00BF7A0C" w:rsidP="00250521">
                            <w:pPr>
                              <w:spacing w:after="0" w:line="240" w:lineRule="auto"/>
                              <w:jc w:val="center"/>
                            </w:pPr>
                            <w:r w:rsidRPr="00B5705B">
                              <w:t>1.2</w:t>
                            </w:r>
                            <w:r>
                              <w:t xml:space="preserve"> </w:t>
                            </w:r>
                            <w:r w:rsidRPr="00B5705B">
                              <w:t>x</w:t>
                            </w:r>
                            <w:r>
                              <w:t xml:space="preserve"> </w:t>
                            </w:r>
                            <w:r w:rsidRPr="00B5705B">
                              <w:t>10</w:t>
                            </w:r>
                            <w:r w:rsidRPr="00B5705B">
                              <w:rPr>
                                <w:vertAlign w:val="superscript"/>
                              </w:rPr>
                              <w:t>-8</w:t>
                            </w:r>
                            <w:r w:rsidRPr="00B5705B">
                              <w:t xml:space="preserve"> to 1.2</w:t>
                            </w:r>
                            <w:r>
                              <w:t xml:space="preserve"> </w:t>
                            </w:r>
                            <w:r w:rsidRPr="00B5705B">
                              <w:t>x</w:t>
                            </w:r>
                            <w:r>
                              <w:t xml:space="preserve"> </w:t>
                            </w:r>
                            <w:r w:rsidRPr="00B5705B">
                              <w:t>10</w:t>
                            </w:r>
                            <w:r w:rsidRPr="00B5705B">
                              <w:rPr>
                                <w:vertAlign w:val="superscript"/>
                              </w:rPr>
                              <w:t>-12</w:t>
                            </w:r>
                          </w:p>
                        </w:tc>
                      </w:tr>
                      <w:tr w:rsidR="00BF7A0C" w:rsidRPr="00B5705B" w14:paraId="423C9A94" w14:textId="77777777" w:rsidTr="00BF7A0C">
                        <w:trPr>
                          <w:trHeight w:val="260"/>
                          <w:jc w:val="center"/>
                        </w:trPr>
                        <w:tc>
                          <w:tcPr>
                            <w:tcW w:w="3275" w:type="dxa"/>
                          </w:tcPr>
                          <w:p w14:paraId="7B991AAF" w14:textId="77777777" w:rsidR="00BF7A0C" w:rsidRPr="00B5705B" w:rsidRDefault="00BF7A0C" w:rsidP="00250521">
                            <w:pPr>
                              <w:spacing w:after="0" w:line="240" w:lineRule="auto"/>
                              <w:jc w:val="center"/>
                            </w:pPr>
                            <w:r w:rsidRPr="00B5705B">
                              <w:t>Chalk</w:t>
                            </w:r>
                          </w:p>
                        </w:tc>
                        <w:tc>
                          <w:tcPr>
                            <w:tcW w:w="3413" w:type="dxa"/>
                          </w:tcPr>
                          <w:p w14:paraId="3BA19E24" w14:textId="77777777" w:rsidR="00BF7A0C" w:rsidRPr="00B5705B" w:rsidRDefault="00BF7A0C" w:rsidP="00250521">
                            <w:pPr>
                              <w:spacing w:after="0" w:line="240" w:lineRule="auto"/>
                              <w:jc w:val="center"/>
                            </w:pPr>
                            <w:r w:rsidRPr="00B5705B">
                              <w:t>1.2</w:t>
                            </w:r>
                            <w:r>
                              <w:t xml:space="preserve"> </w:t>
                            </w:r>
                            <w:r w:rsidRPr="00B5705B">
                              <w:t>x</w:t>
                            </w:r>
                            <w:r>
                              <w:t xml:space="preserve"> </w:t>
                            </w:r>
                            <w:r w:rsidRPr="00B5705B">
                              <w:t>10</w:t>
                            </w:r>
                            <w:r w:rsidRPr="00B5705B">
                              <w:rPr>
                                <w:vertAlign w:val="superscript"/>
                              </w:rPr>
                              <w:t>-3</w:t>
                            </w:r>
                            <w:r w:rsidRPr="00B5705B">
                              <w:t xml:space="preserve"> </w:t>
                            </w:r>
                            <w:r>
                              <w:t xml:space="preserve">to </w:t>
                            </w:r>
                            <w:r w:rsidRPr="00B5705B">
                              <w:t>3.5</w:t>
                            </w:r>
                            <w:r>
                              <w:t xml:space="preserve"> </w:t>
                            </w:r>
                            <w:r w:rsidRPr="00B5705B">
                              <w:t>x</w:t>
                            </w:r>
                            <w:r>
                              <w:t xml:space="preserve"> </w:t>
                            </w:r>
                            <w:r w:rsidRPr="00B5705B">
                              <w:t>10</w:t>
                            </w:r>
                            <w:r w:rsidRPr="00B5705B">
                              <w:rPr>
                                <w:vertAlign w:val="superscript"/>
                              </w:rPr>
                              <w:t>-4</w:t>
                            </w:r>
                          </w:p>
                        </w:tc>
                      </w:tr>
                    </w:tbl>
                    <w:p w14:paraId="50AB12A7" w14:textId="08A2F61B" w:rsidR="00BF7A0C" w:rsidRDefault="00BF7A0C"/>
                  </w:txbxContent>
                </v:textbox>
                <w10:wrap type="square"/>
              </v:shape>
            </w:pict>
          </mc:Fallback>
        </mc:AlternateContent>
      </w:r>
      <w:r w:rsidR="00DA1871" w:rsidRPr="00907FD3">
        <w:t xml:space="preserve">The main </w:t>
      </w:r>
      <w:r w:rsidR="002B3561" w:rsidRPr="00907FD3">
        <w:t>hydro</w:t>
      </w:r>
      <w:r w:rsidR="00DA1871" w:rsidRPr="00907FD3">
        <w:t xml:space="preserve">geological units </w:t>
      </w:r>
      <w:r w:rsidR="007D3648" w:rsidRPr="00907FD3">
        <w:t>in the shallow subsurface at the</w:t>
      </w:r>
      <w:r w:rsidR="00DA1871" w:rsidRPr="00907FD3">
        <w:t xml:space="preserve"> site</w:t>
      </w:r>
      <w:r w:rsidR="004E3670" w:rsidRPr="00907FD3">
        <w:t xml:space="preserve"> are</w:t>
      </w:r>
      <w:r w:rsidR="00DA1871" w:rsidRPr="00907FD3">
        <w:rPr>
          <w:lang w:val="en-GB"/>
        </w:rPr>
        <w:t xml:space="preserve"> summarised</w:t>
      </w:r>
      <w:r w:rsidR="00DA1871" w:rsidRPr="00907FD3">
        <w:t xml:space="preserve"> in </w:t>
      </w:r>
      <w:r w:rsidR="00DA1871" w:rsidRPr="00907FD3">
        <w:fldChar w:fldCharType="begin"/>
      </w:r>
      <w:r w:rsidR="00DA1871" w:rsidRPr="00907FD3">
        <w:instrText xml:space="preserve"> REF _Ref423943231 \h  \* MERGEFORMAT </w:instrText>
      </w:r>
      <w:r w:rsidR="00DA1871" w:rsidRPr="00907FD3">
        <w:fldChar w:fldCharType="separate"/>
      </w:r>
      <w:r w:rsidR="0047111A" w:rsidRPr="00907FD3">
        <w:t xml:space="preserve">Table </w:t>
      </w:r>
      <w:r w:rsidR="0047111A" w:rsidRPr="00907FD3">
        <w:rPr>
          <w:noProof/>
        </w:rPr>
        <w:t>1</w:t>
      </w:r>
      <w:r w:rsidR="00DA1871" w:rsidRPr="00907FD3">
        <w:fldChar w:fldCharType="end"/>
      </w:r>
      <w:r w:rsidR="00DA1871" w:rsidRPr="00907FD3">
        <w:t xml:space="preserve"> and a cross section in </w:t>
      </w:r>
      <w:r w:rsidR="00DA1871" w:rsidRPr="00907FD3">
        <w:fldChar w:fldCharType="begin"/>
      </w:r>
      <w:r w:rsidR="00DA1871" w:rsidRPr="00907FD3">
        <w:instrText xml:space="preserve"> REF _Ref423943421 \h  \* MERGEFORMAT </w:instrText>
      </w:r>
      <w:r w:rsidR="00DA1871" w:rsidRPr="00907FD3">
        <w:fldChar w:fldCharType="separate"/>
      </w:r>
      <w:r w:rsidR="0047111A" w:rsidRPr="00907FD3">
        <w:t xml:space="preserve">Figure </w:t>
      </w:r>
      <w:r w:rsidR="0047111A" w:rsidRPr="00907FD3">
        <w:rPr>
          <w:noProof/>
        </w:rPr>
        <w:t>1</w:t>
      </w:r>
      <w:r w:rsidR="00DA1871" w:rsidRPr="00907FD3">
        <w:fldChar w:fldCharType="end"/>
      </w:r>
      <w:r w:rsidR="00DA1871" w:rsidRPr="00907FD3">
        <w:t xml:space="preserve">A. </w:t>
      </w:r>
      <w:r w:rsidR="002B3561" w:rsidRPr="00907FD3">
        <w:t xml:space="preserve">The top of the Cretaceous Chalk aquifer is located at around 20m BGL, and forms a regionally important water supply aquifer. The Chalk is overlain by ca. 20m low permeability clay till, through which a glacial sand channel was cut. </w:t>
      </w:r>
      <w:r w:rsidR="00DA1871" w:rsidRPr="00907FD3">
        <w:t xml:space="preserve">The channel sands are a mix of high permeability sands and gravels interspersed with low permeability silt lenses. </w:t>
      </w:r>
      <w:r w:rsidR="00FB31F3" w:rsidRPr="00907FD3">
        <w:t>Regional</w:t>
      </w:r>
      <w:r w:rsidR="007D3648" w:rsidRPr="00907FD3">
        <w:t xml:space="preserve"> groundwater flow is towards the north east, however, t</w:t>
      </w:r>
      <w:r w:rsidR="00DA1871" w:rsidRPr="00907FD3">
        <w:t xml:space="preserve">he local hydrogeological regime is </w:t>
      </w:r>
      <w:r w:rsidR="007D3648" w:rsidRPr="00907FD3">
        <w:t xml:space="preserve">modified </w:t>
      </w:r>
      <w:r w:rsidR="00DA1871" w:rsidRPr="00907FD3">
        <w:t xml:space="preserve">by </w:t>
      </w:r>
      <w:r w:rsidR="007D3648" w:rsidRPr="00907FD3">
        <w:t>abstraction</w:t>
      </w:r>
      <w:r w:rsidR="00FB31F3" w:rsidRPr="00907FD3">
        <w:t xml:space="preserve"> at the WSW</w:t>
      </w:r>
      <w:r w:rsidR="007D3648" w:rsidRPr="00907FD3">
        <w:t>, which draws Chalk groundwater in an easterly direction</w:t>
      </w:r>
      <w:r w:rsidR="00DA1871" w:rsidRPr="00907FD3">
        <w:t>. When the WS</w:t>
      </w:r>
      <w:r w:rsidR="00FB31F3" w:rsidRPr="00907FD3">
        <w:t>W</w:t>
      </w:r>
      <w:r w:rsidR="00DA1871" w:rsidRPr="00907FD3">
        <w:t xml:space="preserve"> is on groundwater flow in the channel sands and chalk is towards the well, </w:t>
      </w:r>
      <w:r w:rsidR="00C55179" w:rsidRPr="00907FD3">
        <w:t>creating</w:t>
      </w:r>
      <w:r w:rsidR="00DA1871" w:rsidRPr="00907FD3">
        <w:t xml:space="preserve"> a </w:t>
      </w:r>
      <w:r w:rsidR="004816D5" w:rsidRPr="00907FD3">
        <w:t xml:space="preserve">downward </w:t>
      </w:r>
      <w:r w:rsidR="00DA1871" w:rsidRPr="00907FD3">
        <w:t>vertical hydraulic gradient</w:t>
      </w:r>
      <w:r w:rsidR="00C55179" w:rsidRPr="00907FD3">
        <w:t xml:space="preserve"> in the channel sands</w:t>
      </w:r>
      <w:r w:rsidR="00DA1871" w:rsidRPr="00907FD3">
        <w:t>. When the</w:t>
      </w:r>
      <w:r w:rsidR="00C55179" w:rsidRPr="00907FD3">
        <w:t xml:space="preserve"> </w:t>
      </w:r>
      <w:r w:rsidR="00FB31F3" w:rsidRPr="00907FD3">
        <w:t>WSW</w:t>
      </w:r>
      <w:r w:rsidR="00DA1871" w:rsidRPr="00907FD3">
        <w:t xml:space="preserve"> is </w:t>
      </w:r>
      <w:r w:rsidR="002C7B69" w:rsidRPr="00907FD3">
        <w:t xml:space="preserve">not </w:t>
      </w:r>
      <w:r w:rsidR="007D3648" w:rsidRPr="00907FD3">
        <w:t xml:space="preserve">pumping </w:t>
      </w:r>
      <w:r w:rsidR="00DA1871" w:rsidRPr="00907FD3">
        <w:t xml:space="preserve">the regional groundwater flow is dominant and the hydraulic gradient between the channel sands and chalk </w:t>
      </w:r>
      <w:r w:rsidR="00F701EC" w:rsidRPr="00907FD3">
        <w:t xml:space="preserve">aquifer </w:t>
      </w:r>
      <w:r w:rsidR="00DA1871" w:rsidRPr="00907FD3">
        <w:t xml:space="preserve">is reversed. The water table fluctuates </w:t>
      </w:r>
      <w:r w:rsidR="00C55179" w:rsidRPr="00907FD3">
        <w:t>under the influence of</w:t>
      </w:r>
      <w:r w:rsidR="00DA1871" w:rsidRPr="00907FD3">
        <w:t xml:space="preserve"> the </w:t>
      </w:r>
      <w:r w:rsidR="002C7B69" w:rsidRPr="00907FD3">
        <w:t>abstraction</w:t>
      </w:r>
      <w:r w:rsidR="00DA1871" w:rsidRPr="00907FD3">
        <w:t xml:space="preserve"> and seasonal variations.</w:t>
      </w:r>
    </w:p>
    <w:p w14:paraId="55D1DF52" w14:textId="578D5819" w:rsidR="00DA1871" w:rsidRPr="00907FD3" w:rsidRDefault="008956EC" w:rsidP="008956EC">
      <w:pPr>
        <w:pStyle w:val="Heading2"/>
      </w:pPr>
      <w:r w:rsidRPr="00907FD3">
        <w:t>2.2</w:t>
      </w:r>
      <w:r w:rsidRPr="00907FD3">
        <w:tab/>
      </w:r>
      <w:r w:rsidR="00DA1871" w:rsidRPr="00907FD3">
        <w:t xml:space="preserve">Contaminants of </w:t>
      </w:r>
      <w:r w:rsidR="00BE1DFE" w:rsidRPr="00907FD3">
        <w:t xml:space="preserve">potential </w:t>
      </w:r>
      <w:r w:rsidR="00504C5D" w:rsidRPr="00907FD3">
        <w:t>c</w:t>
      </w:r>
      <w:r w:rsidR="00DA1871" w:rsidRPr="00907FD3">
        <w:t>oncern</w:t>
      </w:r>
    </w:p>
    <w:p w14:paraId="6F7132EA" w14:textId="79F5A623" w:rsidR="00DA1871" w:rsidRPr="00907FD3" w:rsidRDefault="00DA1871" w:rsidP="00EF00B3">
      <w:pPr>
        <w:spacing w:line="480" w:lineRule="auto"/>
        <w:jc w:val="both"/>
      </w:pPr>
      <w:r w:rsidRPr="00907FD3">
        <w:t xml:space="preserve">Numerous </w:t>
      </w:r>
      <w:r w:rsidR="00BE1DFE" w:rsidRPr="00907FD3">
        <w:t xml:space="preserve">petroleum </w:t>
      </w:r>
      <w:r w:rsidRPr="00907FD3">
        <w:t>hydrocarbon constituents are present on site. Those exceed</w:t>
      </w:r>
      <w:r w:rsidR="00504C5D" w:rsidRPr="00907FD3">
        <w:t>ing</w:t>
      </w:r>
      <w:r w:rsidRPr="00907FD3">
        <w:t xml:space="preserve"> </w:t>
      </w:r>
      <w:r w:rsidR="006A1BB9" w:rsidRPr="00907FD3">
        <w:t>UK drinking water standard or World Health</w:t>
      </w:r>
      <w:r w:rsidR="006A1BB9" w:rsidRPr="00907FD3">
        <w:rPr>
          <w:lang w:val="en-GB"/>
        </w:rPr>
        <w:t xml:space="preserve"> Organisation</w:t>
      </w:r>
      <w:r w:rsidR="006A1BB9" w:rsidRPr="00907FD3">
        <w:t xml:space="preserve"> appearance taste and</w:t>
      </w:r>
      <w:r w:rsidR="006A1BB9" w:rsidRPr="00907FD3">
        <w:rPr>
          <w:lang w:val="en-GB"/>
        </w:rPr>
        <w:t xml:space="preserve"> odour</w:t>
      </w:r>
      <w:r w:rsidR="006A1BB9" w:rsidRPr="00907FD3">
        <w:t xml:space="preserve"> values </w:t>
      </w:r>
      <w:r w:rsidRPr="00907FD3">
        <w:t>at the highest number of locations incl</w:t>
      </w:r>
      <w:r w:rsidR="00ED0072" w:rsidRPr="00907FD3">
        <w:t>ude benzene, toluene, ethyl-</w:t>
      </w:r>
      <w:r w:rsidRPr="00907FD3">
        <w:t>benzene, xylene</w:t>
      </w:r>
      <w:r w:rsidR="00504C5D" w:rsidRPr="00907FD3">
        <w:t xml:space="preserve"> </w:t>
      </w:r>
      <w:r w:rsidR="004816D5" w:rsidRPr="00907FD3">
        <w:t>(</w:t>
      </w:r>
      <w:r w:rsidR="00504C5D" w:rsidRPr="00907FD3">
        <w:t>BTEX) and</w:t>
      </w:r>
      <w:r w:rsidRPr="00907FD3">
        <w:t xml:space="preserve"> M</w:t>
      </w:r>
      <w:r w:rsidR="00504C5D" w:rsidRPr="00907FD3">
        <w:t>T</w:t>
      </w:r>
      <w:r w:rsidRPr="00907FD3">
        <w:t xml:space="preserve">BE. These compounds are considered the main contaminants of </w:t>
      </w:r>
      <w:r w:rsidR="00BE1DFE" w:rsidRPr="00907FD3">
        <w:t xml:space="preserve">potential </w:t>
      </w:r>
      <w:r w:rsidRPr="00907FD3">
        <w:t>concern</w:t>
      </w:r>
      <w:r w:rsidR="00BE1DFE" w:rsidRPr="00907FD3">
        <w:t xml:space="preserve">, consistent with other gasoline impacted sites </w:t>
      </w:r>
      <w:r w:rsidR="00A4252B" w:rsidRPr="00907FD3">
        <w:fldChar w:fldCharType="begin" w:fldLock="1"/>
      </w:r>
      <w:r w:rsidR="00A4252B" w:rsidRPr="00907FD3">
        <w:instrText>ADDIN CSL_CITATION { "citationItems" : [ { "id" : "ITEM-1", "itemData" : { "DOI" : "10.1144/qjegh2014-005", "ISSN" : "1470-9236", "author" : [ { "dropping-particle" : "", "family" : "Bowers", "given" : "Richard L", "non-dropping-particle" : "", "parse-names" : false, "suffix" : "" }, { "dropping-particle" : "", "family" : "Smith", "given" : "Jonathan W N", "non-dropping-particle" : "", "parse-names" : false, "suffix" : "" } ], "container-title" : "Quarterly Journal of Engineering Geology and Hydrogeology", "id" : "ITEM-1", "issue" : "4", "issued" : { "date-parts" : [ [ "2014", "11", "25" ] ] }, "page" : "363-372", "title" : "Constituents of potential concern for human health risk assessment of petroleum fuel releases", "type" : "article-journal", "volume" : "47" }, "uris" : [ "http://www.mendeley.com/documents/?uuid=374ae7e1-faca-4fcc-9a39-dcb7098a5b7f" ] } ], "mendeley" : { "formattedCitation" : "(Bowers &amp; Smith, 2014)", "manualFormatting" : "(Bowers and Smith, 2014)", "plainTextFormattedCitation" : "(Bowers &amp; Smith, 2014)", "previouslyFormattedCitation" : "(Bowers &amp; Smith, 2014)" }, "properties" : { "noteIndex" : 0 }, "schema" : "https://github.com/citation-style-language/schema/raw/master/csl-citation.json" }</w:instrText>
      </w:r>
      <w:r w:rsidR="00A4252B" w:rsidRPr="00907FD3">
        <w:fldChar w:fldCharType="separate"/>
      </w:r>
      <w:r w:rsidR="00A4252B" w:rsidRPr="00907FD3">
        <w:rPr>
          <w:noProof/>
        </w:rPr>
        <w:t>(Bowers and Smith, 2014)</w:t>
      </w:r>
      <w:r w:rsidR="00A4252B" w:rsidRPr="00907FD3">
        <w:fldChar w:fldCharType="end"/>
      </w:r>
      <w:r w:rsidRPr="00907FD3">
        <w:t xml:space="preserve">. </w:t>
      </w:r>
      <w:r w:rsidR="00BE1DFE" w:rsidRPr="00907FD3">
        <w:t>Hydrocarbons were present in b</w:t>
      </w:r>
      <w:r w:rsidRPr="00907FD3">
        <w:t>oth free phase and dissolved phase</w:t>
      </w:r>
      <w:r w:rsidR="00BE1DFE" w:rsidRPr="00907FD3">
        <w:t>s</w:t>
      </w:r>
      <w:r w:rsidRPr="00907FD3">
        <w:t>. The free-phase has migrated south-east into the channel sands</w:t>
      </w:r>
      <w:r w:rsidR="00504C5D" w:rsidRPr="00907FD3">
        <w:t>,</w:t>
      </w:r>
      <w:r w:rsidRPr="00907FD3">
        <w:t xml:space="preserve"> with significant smearing due to groundwater fluctuation. </w:t>
      </w:r>
      <w:r w:rsidR="00504C5D" w:rsidRPr="00907FD3">
        <w:t>The</w:t>
      </w:r>
      <w:r w:rsidRPr="00907FD3">
        <w:t xml:space="preserve"> dissolved-phase within the channel sand is drawn down </w:t>
      </w:r>
      <w:r w:rsidRPr="00907FD3">
        <w:lastRenderedPageBreak/>
        <w:t xml:space="preserve">by the vertical hydraulic gradient towards the chalk </w:t>
      </w:r>
      <w:r w:rsidR="00504C5D" w:rsidRPr="00907FD3">
        <w:t xml:space="preserve">aquifer </w:t>
      </w:r>
      <w:r w:rsidRPr="00907FD3">
        <w:t>(</w:t>
      </w:r>
      <w:r w:rsidRPr="00907FD3">
        <w:fldChar w:fldCharType="begin"/>
      </w:r>
      <w:r w:rsidRPr="00907FD3">
        <w:instrText xml:space="preserve"> REF _Ref423943421 \h </w:instrText>
      </w:r>
      <w:r w:rsidR="00907FD3">
        <w:instrText xml:space="preserve"> \* MERGEFORMAT </w:instrText>
      </w:r>
      <w:r w:rsidRPr="00907FD3">
        <w:fldChar w:fldCharType="separate"/>
      </w:r>
      <w:r w:rsidR="0047111A" w:rsidRPr="00907FD3">
        <w:t xml:space="preserve">Figure </w:t>
      </w:r>
      <w:r w:rsidR="0047111A" w:rsidRPr="00907FD3">
        <w:rPr>
          <w:noProof/>
        </w:rPr>
        <w:t>1</w:t>
      </w:r>
      <w:r w:rsidRPr="00907FD3">
        <w:fldChar w:fldCharType="end"/>
      </w:r>
      <w:r w:rsidR="007654B2" w:rsidRPr="00907FD3">
        <w:t>A</w:t>
      </w:r>
      <w:r w:rsidR="00A4252B" w:rsidRPr="00907FD3">
        <w:t xml:space="preserve">) and the </w:t>
      </w:r>
      <w:r w:rsidR="00B80E61" w:rsidRPr="00907FD3">
        <w:t>WSW</w:t>
      </w:r>
      <w:r w:rsidR="00A4252B" w:rsidRPr="00907FD3">
        <w:t>, 570 m down gradient</w:t>
      </w:r>
      <w:r w:rsidR="00B80E61" w:rsidRPr="00907FD3">
        <w:t>.</w:t>
      </w:r>
      <w:r w:rsidRPr="00907FD3">
        <w:t xml:space="preserve"> </w:t>
      </w:r>
      <w:r w:rsidR="00A4252B" w:rsidRPr="00907FD3">
        <w:t>The highest observed concentrations for contaminants of concern are 6 m below groundwater level at: benzene</w:t>
      </w:r>
      <w:r w:rsidR="00F26C70" w:rsidRPr="00907FD3">
        <w:t>, 52.6; toluene, 63.2; xylene, 18.9; ethylbenzene, 2.8; and MTBE, 23.5 (values in mg L</w:t>
      </w:r>
      <w:r w:rsidR="00F26C70" w:rsidRPr="00907FD3">
        <w:rPr>
          <w:vertAlign w:val="superscript"/>
        </w:rPr>
        <w:t>-1</w:t>
      </w:r>
      <w:r w:rsidR="00F26C70" w:rsidRPr="00907FD3">
        <w:t>).</w:t>
      </w:r>
      <w:r w:rsidR="003C4912" w:rsidRPr="00907FD3">
        <w:t xml:space="preserve"> </w:t>
      </w:r>
    </w:p>
    <w:p w14:paraId="64BB2AF3" w14:textId="02CCD9EA" w:rsidR="00DA1871" w:rsidRPr="00907FD3" w:rsidRDefault="007971E6" w:rsidP="00AD0AFC">
      <w:pPr>
        <w:spacing w:line="480" w:lineRule="auto"/>
        <w:jc w:val="both"/>
      </w:pPr>
      <w:r w:rsidRPr="00907FD3">
        <w:t>T</w:t>
      </w:r>
      <w:r w:rsidR="00DA1871" w:rsidRPr="00907FD3">
        <w:t xml:space="preserve">he distribution of </w:t>
      </w:r>
      <w:r w:rsidR="00C74593" w:rsidRPr="00907FD3">
        <w:t>dissolved-</w:t>
      </w:r>
      <w:r w:rsidRPr="00907FD3">
        <w:t xml:space="preserve">phase </w:t>
      </w:r>
      <w:r w:rsidR="00C74593" w:rsidRPr="00907FD3">
        <w:t xml:space="preserve">organic </w:t>
      </w:r>
      <w:r w:rsidR="00DA1871" w:rsidRPr="00907FD3">
        <w:t xml:space="preserve">contaminants is </w:t>
      </w:r>
      <w:r w:rsidRPr="00907FD3">
        <w:t>influenced</w:t>
      </w:r>
      <w:r w:rsidR="00DA1871" w:rsidRPr="00907FD3">
        <w:t xml:space="preserve"> by the availability of electron acceptors</w:t>
      </w:r>
      <w:r w:rsidRPr="00907FD3">
        <w:t xml:space="preserve"> supporting biodegradation</w:t>
      </w:r>
      <w:r w:rsidR="00DA1871" w:rsidRPr="00907FD3">
        <w:t xml:space="preserve">. BTEX </w:t>
      </w:r>
      <w:r w:rsidR="00E057D4" w:rsidRPr="00907FD3">
        <w:t xml:space="preserve">and MTBE </w:t>
      </w:r>
      <w:r w:rsidR="00DA1871" w:rsidRPr="00907FD3">
        <w:t xml:space="preserve">are </w:t>
      </w:r>
      <w:r w:rsidRPr="00907FD3">
        <w:t>present within</w:t>
      </w:r>
      <w:r w:rsidR="00DA1871" w:rsidRPr="00907FD3">
        <w:t xml:space="preserve"> the channel sands and up to the boundary with the </w:t>
      </w:r>
      <w:r w:rsidR="00C74593" w:rsidRPr="00907FD3">
        <w:t>C</w:t>
      </w:r>
      <w:r w:rsidR="00DA1871" w:rsidRPr="00907FD3">
        <w:t>halk</w:t>
      </w:r>
      <w:r w:rsidRPr="00907FD3">
        <w:t xml:space="preserve"> aquifer</w:t>
      </w:r>
      <w:r w:rsidR="00DA1871" w:rsidRPr="00907FD3">
        <w:t xml:space="preserve">. </w:t>
      </w:r>
      <w:r w:rsidRPr="00907FD3">
        <w:t xml:space="preserve">Within the channel sands, </w:t>
      </w:r>
      <w:r w:rsidR="003B61F7" w:rsidRPr="00907FD3">
        <w:t>B</w:t>
      </w:r>
      <w:r w:rsidRPr="00907FD3">
        <w:t>TEX are biodegraded using dissolved oxygen, nitrate</w:t>
      </w:r>
      <w:r w:rsidR="00D7574D" w:rsidRPr="00907FD3">
        <w:t>,</w:t>
      </w:r>
      <w:r w:rsidRPr="00907FD3">
        <w:t xml:space="preserve"> sul</w:t>
      </w:r>
      <w:r w:rsidR="00BB0D30" w:rsidRPr="00907FD3">
        <w:t>f</w:t>
      </w:r>
      <w:r w:rsidRPr="00907FD3">
        <w:t>ate</w:t>
      </w:r>
      <w:r w:rsidR="00BB0D30" w:rsidRPr="00907FD3">
        <w:t>, and mineral-derived Fe and Mn oxides</w:t>
      </w:r>
      <w:r w:rsidRPr="00907FD3">
        <w:t xml:space="preserve">, based on the groundwater quality data. </w:t>
      </w:r>
      <w:r w:rsidR="00B91A12" w:rsidRPr="00907FD3">
        <w:t xml:space="preserve">Biodegradation of MTBE </w:t>
      </w:r>
      <w:r w:rsidR="00976A6C" w:rsidRPr="00907FD3">
        <w:t xml:space="preserve">occurs primarily </w:t>
      </w:r>
      <w:r w:rsidR="00AB2CBC" w:rsidRPr="00907FD3">
        <w:t>by aerobic biodegradation</w:t>
      </w:r>
      <w:r w:rsidR="00976A6C" w:rsidRPr="00907FD3">
        <w:t xml:space="preserve"> </w:t>
      </w:r>
      <w:r w:rsidR="0003330B" w:rsidRPr="00907FD3">
        <w:fldChar w:fldCharType="begin" w:fldLock="1"/>
      </w:r>
      <w:r w:rsidR="0003330B" w:rsidRPr="00907FD3">
        <w:instrText>ADDIN CSL_CITATION { "citationItems" : [ { "id" : "ITEM-1", "itemData" : { "DOI" : "10.1016/j.jconhyd.2008.09.022", "ISSN" : "01697722", "author" : [ { "dropping-particle" : "", "family" : "Shah", "given" : "Nadeem W.", "non-dropping-particle" : "", "parse-names" : false, "suffix" : "" }, { "dropping-particle" : "", "family" : "Thornton", "given" : "Steven F.", "non-dropping-particle" : "", "parse-names" : false, "suffix" : "" }, { "dropping-particle" : "", "family" : "Bottrell", "given" : "Simon H.", "non-dropping-particle" : "", "parse-names" : false, "suffix" : "" }, { "dropping-particle" : "", "family" : "Spence", "given" : "Michael J.", "non-dropping-particle" : "", "parse-names" : false, "suffix" : "" } ], "container-title" : "Journal of Contaminant Hydrology", "id" : "ITEM-1", "issue" : "3-4", "issued" : { "date-parts" : [ [ "2009", "1" ] ] }, "page" : "119-133", "title" : "Biodegradation potential of MTBE in a fractured chalk aquifer under aerobic conditions in long-term uncontaminated and contaminated aquifer microcosms", "type" : "article-journal", "volume" : "103" }, "uris" : [ "http://www.mendeley.com/documents/?uuid=01268691-d922-461c-8cf2-45e1cf78cb30" ] } ], "mendeley" : { "formattedCitation" : "(Shah, Thornton, Bottrell, &amp; Spence, 2009)", "manualFormatting" : "(Shah et al., 2009)", "plainTextFormattedCitation" : "(Shah, Thornton, Bottrell, &amp; Spence, 2009)", "previouslyFormattedCitation" : "(Shah, Thornton, Bottrell, &amp; Spence, 2009)" }, "properties" : { "noteIndex" : 0 }, "schema" : "https://github.com/citation-style-language/schema/raw/master/csl-citation.json" }</w:instrText>
      </w:r>
      <w:r w:rsidR="0003330B" w:rsidRPr="00907FD3">
        <w:fldChar w:fldCharType="separate"/>
      </w:r>
      <w:r w:rsidR="0003330B" w:rsidRPr="00907FD3">
        <w:rPr>
          <w:noProof/>
        </w:rPr>
        <w:t>(Shah et al., 2009)</w:t>
      </w:r>
      <w:r w:rsidR="0003330B" w:rsidRPr="00907FD3">
        <w:fldChar w:fldCharType="end"/>
      </w:r>
      <w:r w:rsidR="00976A6C" w:rsidRPr="00907FD3">
        <w:t>, although anaerobic biodegradation has been reported (</w:t>
      </w:r>
      <w:r w:rsidR="000E1C02" w:rsidRPr="00907FD3">
        <w:fldChar w:fldCharType="begin" w:fldLock="1"/>
      </w:r>
      <w:r w:rsidR="000E1C02" w:rsidRPr="00907FD3">
        <w:instrText>ADDIN CSL_CITATION { "citationItems" : [ { "id" : "ITEM-1", "itemData" : { "DOI" : "10.1111/j.1574-6941.2001.tb00873.x", "ISSN" : "01686496", "author" : [ { "dropping-particle" : "", "family" : "Somsamak", "given" : "Piyapawn", "non-dropping-particle" : "", "parse-names" : false, "suffix" : "" }, { "dropping-particle" : "", "family" : "Cowan", "given" : "Robert M.", "non-dropping-particle" : "", "parse-names" : false, "suffix" : "" }, { "dropping-particle" : "", "family" : "H\u00c3\u00a4ggblom", "given" : "Max M.", "non-dropping-particle" : "", "parse-names" : false, "suffix" : "" } ], "container-title" : "FEMS Microbiology Ecology", "id" : "ITEM-1", "issue" : "3", "issued" : { "date-parts" : [ [ "2001", "11" ] ] }, "page" : "259-264", "title" : "Anaerobic biotransformation of fuel oxygenates under sulfate-reducing conditions", "type" : "article-journal", "volume" : "37" }, "uris" : [ "http://www.mendeley.com/documents/?uuid=83779d87-353c-48a3-b417-d97fd91eaeda" ] } ], "mendeley" : { "formattedCitation" : "(Piyapawn Somsamak, Cowan, &amp; H\u00c3\u00a4ggblom, 2001)", "manualFormatting" : "Somsamak et al., 2001", "plainTextFormattedCitation" : "(Piyapawn Somsamak, Cowan, &amp; H\u00c3\u00a4ggblom, 2001)", "previouslyFormattedCitation" : "(Piyapawn Somsamak, Cowan, &amp; H\u00c3\u00a4ggblom, 2001)" }, "properties" : { "noteIndex" : 0 }, "schema" : "https://github.com/citation-style-language/schema/raw/master/csl-citation.json" }</w:instrText>
      </w:r>
      <w:r w:rsidR="000E1C02" w:rsidRPr="00907FD3">
        <w:fldChar w:fldCharType="separate"/>
      </w:r>
      <w:r w:rsidR="000E1C02" w:rsidRPr="00907FD3">
        <w:rPr>
          <w:noProof/>
        </w:rPr>
        <w:t>Somsamak et al., 2001</w:t>
      </w:r>
      <w:r w:rsidR="000E1C02" w:rsidRPr="00907FD3">
        <w:fldChar w:fldCharType="end"/>
      </w:r>
      <w:r w:rsidR="000E1C02" w:rsidRPr="00907FD3">
        <w:t xml:space="preserve">; </w:t>
      </w:r>
      <w:r w:rsidR="000E1C02" w:rsidRPr="00907FD3">
        <w:fldChar w:fldCharType="begin" w:fldLock="1"/>
      </w:r>
      <w:r w:rsidR="000E1C02" w:rsidRPr="00907FD3">
        <w:instrText>ADDIN CSL_CITATION { "citationItems" : [ { "id" : "ITEM-1", "itemData" : { "DOI" : "10.1021/es049368c", "ISSN" : "0013-936X", "author" : [ { "dropping-particle" : "", "family" : "Somsamak", "given" : "Piyapawn", "non-dropping-particle" : "", "parse-names" : false, "suffix" : "" }, { "dropping-particle" : "", "family" : "Richnow", "given" : "Hans H.", "non-dropping-particle" : "", "parse-names" : false, "suffix" : "" }, { "dropping-particle" : "", "family" : "H\u00e4ggblom", "given" : "Max M.", "non-dropping-particle" : "", "parse-names" : false, "suffix" : "" } ], "container-title" : "Environmental Science &amp; Technology", "id" : "ITEM-1", "issue" : "1", "issued" : { "date-parts" : [ [ "2005", "1" ] ] }, "page" : "103-109", "title" : "Carbon Isotopic Fractionation during Anaerobic Biotransformation of Methyl tert -Butyl Ether and tert -Amyl Methyl Ether", "type" : "article-journal", "volume" : "39" }, "uris" : [ "http://www.mendeley.com/documents/?uuid=9069c1cf-36c3-4140-ac80-9cd750fe21e3" ] } ], "mendeley" : { "formattedCitation" : "(Piyapawn Somsamak, Richnow, &amp; H\u00e4ggblom, 2005)", "manualFormatting" : "2005", "plainTextFormattedCitation" : "(Piyapawn Somsamak, Richnow, &amp; H\u00e4ggblom, 2005)", "previouslyFormattedCitation" : "(Piyapawn Somsamak, Richnow, &amp; H\u00e4ggblom, 2005)" }, "properties" : { "noteIndex" : 0 }, "schema" : "https://github.com/citation-style-language/schema/raw/master/csl-citation.json" }</w:instrText>
      </w:r>
      <w:r w:rsidR="000E1C02" w:rsidRPr="00907FD3">
        <w:fldChar w:fldCharType="separate"/>
      </w:r>
      <w:r w:rsidR="000E1C02" w:rsidRPr="00907FD3">
        <w:rPr>
          <w:noProof/>
        </w:rPr>
        <w:t>2005</w:t>
      </w:r>
      <w:r w:rsidR="000E1C02" w:rsidRPr="00907FD3">
        <w:fldChar w:fldCharType="end"/>
      </w:r>
      <w:r w:rsidR="000E1C02" w:rsidRPr="00907FD3">
        <w:t xml:space="preserve">; and </w:t>
      </w:r>
      <w:r w:rsidR="000E1C02" w:rsidRPr="00907FD3">
        <w:fldChar w:fldCharType="begin" w:fldLock="1"/>
      </w:r>
      <w:r w:rsidR="000E1C02" w:rsidRPr="00907FD3">
        <w:instrText>ADDIN CSL_CITATION { "citationItems" : [ { "id" : "ITEM-1", "itemData" : { "DOI" : "10.1128/AEM.72.2.1157-1163.2006", "ISSN" : "0099-2240", "author" : [ { "dropping-particle" : "", "family" : "Somsamak", "given" : "P.", "non-dropping-particle" : "", "parse-names" : false, "suffix" : "" }, { "dropping-particle" : "", "family" : "Richnow", "given" : "H. H.", "non-dropping-particle" : "", "parse-names" : false, "suffix" : "" }, { "dropping-particle" : "", "family" : "Haggblom", "given" : "M. M.", "non-dropping-particle" : "", "parse-names" : false, "suffix" : "" } ], "container-title" : "Applied and Environmental Microbiology", "id" : "ITEM-1", "issue" : "2", "issued" : { "date-parts" : [ [ "2006", "2", "1" ] ] }, "page" : "1157-1163", "title" : "Carbon Isotope Fractionation during Anaerobic Degradation of Methyl tert-Butyl Ether under Sulfate-Reducing and Methanogenic Conditions", "type" : "article-journal", "volume" : "72" }, "uris" : [ "http://www.mendeley.com/documents/?uuid=4a51ea8c-487b-41d1-9f06-cd666a67f5c0" ] } ], "mendeley" : { "formattedCitation" : "(P. Somsamak, Richnow, &amp; Haggblom, 2006)", "manualFormatting" : "2006", "plainTextFormattedCitation" : "(P. Somsamak, Richnow, &amp; Haggblom, 2006)", "previouslyFormattedCitation" : "(P. Somsamak, Richnow, &amp; Haggblom, 2006)" }, "properties" : { "noteIndex" : 0 }, "schema" : "https://github.com/citation-style-language/schema/raw/master/csl-citation.json" }</w:instrText>
      </w:r>
      <w:r w:rsidR="000E1C02" w:rsidRPr="00907FD3">
        <w:fldChar w:fldCharType="separate"/>
      </w:r>
      <w:r w:rsidR="000E1C02" w:rsidRPr="00907FD3">
        <w:rPr>
          <w:noProof/>
        </w:rPr>
        <w:t>2006</w:t>
      </w:r>
      <w:r w:rsidR="000E1C02" w:rsidRPr="00907FD3">
        <w:fldChar w:fldCharType="end"/>
      </w:r>
      <w:r w:rsidR="00BF7A0C" w:rsidRPr="00907FD3">
        <w:t xml:space="preserve">) </w:t>
      </w:r>
      <w:r w:rsidR="00976A6C" w:rsidRPr="00907FD3">
        <w:t>it cannot be deduced in the groundwater quality data</w:t>
      </w:r>
      <w:r w:rsidR="000753E8" w:rsidRPr="00907FD3">
        <w:t>. Thus</w:t>
      </w:r>
      <w:r w:rsidR="00976A6C" w:rsidRPr="00907FD3">
        <w:t xml:space="preserve"> the excess of BTEX</w:t>
      </w:r>
      <w:r w:rsidR="000753E8" w:rsidRPr="00907FD3">
        <w:t>,</w:t>
      </w:r>
      <w:r w:rsidR="005E1620" w:rsidRPr="00907FD3">
        <w:t xml:space="preserve"> which degrades more readily than MTBE under aerobic conditions (Wiedemeier et al, 1999)</w:t>
      </w:r>
      <w:r w:rsidR="000753E8" w:rsidRPr="00907FD3">
        <w:t>, creates competition for dissolved oxygen</w:t>
      </w:r>
      <w:r w:rsidR="00976A6C" w:rsidRPr="00907FD3">
        <w:t>.</w:t>
      </w:r>
      <w:r w:rsidR="000753E8" w:rsidRPr="00907FD3">
        <w:t xml:space="preserve"> </w:t>
      </w:r>
      <w:r w:rsidR="00C74593" w:rsidRPr="00907FD3">
        <w:t>Only MTBE is present in the C</w:t>
      </w:r>
      <w:r w:rsidR="00E057D4" w:rsidRPr="00907FD3">
        <w:t>halk aquifer and is biodegraded aerobically</w:t>
      </w:r>
      <w:r w:rsidR="00A9040B" w:rsidRPr="00907FD3">
        <w:t>,</w:t>
      </w:r>
      <w:r w:rsidR="00E057D4" w:rsidRPr="00907FD3">
        <w:t xml:space="preserve"> </w:t>
      </w:r>
      <w:r w:rsidR="00DA1871" w:rsidRPr="00907FD3">
        <w:t xml:space="preserve">based </w:t>
      </w:r>
      <w:r w:rsidR="00E057D4" w:rsidRPr="00907FD3">
        <w:t xml:space="preserve">on </w:t>
      </w:r>
      <w:r w:rsidR="00C74593" w:rsidRPr="00907FD3">
        <w:t xml:space="preserve">observed </w:t>
      </w:r>
      <w:r w:rsidR="00E057D4" w:rsidRPr="00907FD3">
        <w:t xml:space="preserve">elevated concentrations </w:t>
      </w:r>
      <w:r w:rsidR="00DA1871" w:rsidRPr="00907FD3">
        <w:t xml:space="preserve">of its </w:t>
      </w:r>
      <w:r w:rsidR="00E057D4" w:rsidRPr="00907FD3">
        <w:t>primary bio</w:t>
      </w:r>
      <w:r w:rsidR="00DA1871" w:rsidRPr="00907FD3">
        <w:t>degradation product, tert-butyl alcohol (TBA)</w:t>
      </w:r>
      <w:r w:rsidR="00CE5571" w:rsidRPr="00907FD3">
        <w:t xml:space="preserve"> </w:t>
      </w:r>
      <w:r w:rsidR="0003330B" w:rsidRPr="00907FD3">
        <w:fldChar w:fldCharType="begin" w:fldLock="1"/>
      </w:r>
      <w:r w:rsidR="000E1C02" w:rsidRPr="00907FD3">
        <w:instrText>ADDIN CSL_CITATION { "citationItems" : [ { "id" : "ITEM-1", "itemData" : { "DOI" : "10.1016/j.jconhyd.2008.09.022", "ISSN" : "01697722", "author" : [ { "dropping-particle" : "", "family" : "Shah", "given" : "Nadeem W.", "non-dropping-particle" : "", "parse-names" : false, "suffix" : "" }, { "dropping-particle" : "", "family" : "Thornton", "given" : "Steven F.", "non-dropping-particle" : "", "parse-names" : false, "suffix" : "" }, { "dropping-particle" : "", "family" : "Bottrell", "given" : "Simon H.", "non-dropping-particle" : "", "parse-names" : false, "suffix" : "" }, { "dropping-particle" : "", "family" : "Spence", "given" : "Michael J.", "non-dropping-particle" : "", "parse-names" : false, "suffix" : "" } ], "container-title" : "Journal of Contaminant Hydrology", "id" : "ITEM-1", "issue" : "3-4", "issued" : { "date-parts" : [ [ "2009", "1" ] ] }, "page" : "119-133", "title" : "Biodegradation potential of MTBE in a fractured chalk aquifer under aerobic conditions in long-term uncontaminated and contaminated aquifer microcosms", "type" : "article-journal", "volume" : "103" }, "uris" : [ "http://www.mendeley.com/documents/?uuid=01268691-d922-461c-8cf2-45e1cf78cb30" ] } ], "mendeley" : { "formattedCitation" : "(Shah et al., 2009)", "plainTextFormattedCitation" : "(Shah et al., 2009)", "previouslyFormattedCitation" : "(Shah et al., 2009)" }, "properties" : { "noteIndex" : 0 }, "schema" : "https://github.com/citation-style-language/schema/raw/master/csl-citation.json" }</w:instrText>
      </w:r>
      <w:r w:rsidR="0003330B" w:rsidRPr="00907FD3">
        <w:fldChar w:fldCharType="separate"/>
      </w:r>
      <w:r w:rsidR="0003330B" w:rsidRPr="00907FD3">
        <w:rPr>
          <w:noProof/>
        </w:rPr>
        <w:t>(Shah et al., 2009)</w:t>
      </w:r>
      <w:r w:rsidR="0003330B" w:rsidRPr="00907FD3">
        <w:fldChar w:fldCharType="end"/>
      </w:r>
      <w:r w:rsidR="008E22B6" w:rsidRPr="00907FD3">
        <w:t>, although not at a rate sufficient to mitigate risk</w:t>
      </w:r>
      <w:r w:rsidR="00CE5571" w:rsidRPr="00907FD3">
        <w:t xml:space="preserve">. It is anticipated that if the mass of BTEX is </w:t>
      </w:r>
      <w:r w:rsidR="00BF7A0C" w:rsidRPr="00907FD3">
        <w:t>removed or reduced f</w:t>
      </w:r>
      <w:r w:rsidR="001F618E" w:rsidRPr="00907FD3">
        <w:t>r</w:t>
      </w:r>
      <w:r w:rsidR="00BF7A0C" w:rsidRPr="00907FD3">
        <w:t>o</w:t>
      </w:r>
      <w:r w:rsidR="001F618E" w:rsidRPr="00907FD3">
        <w:t xml:space="preserve">m the channel sands this will </w:t>
      </w:r>
      <w:r w:rsidR="00AD0AFC" w:rsidRPr="00907FD3">
        <w:t xml:space="preserve">reduce the BTEX mass flux into the Chalk aquifer and therefore </w:t>
      </w:r>
      <w:r w:rsidR="00BF7A0C" w:rsidRPr="00907FD3">
        <w:t xml:space="preserve">increase </w:t>
      </w:r>
      <w:r w:rsidR="00AD0AFC" w:rsidRPr="00907FD3">
        <w:t>the aerobic biodegradation of MTBE.</w:t>
      </w:r>
    </w:p>
    <w:p w14:paraId="7B6B9480" w14:textId="5FF39801" w:rsidR="00DA1871" w:rsidRPr="00907FD3" w:rsidRDefault="00250521" w:rsidP="00EF00B3">
      <w:pPr>
        <w:spacing w:line="480" w:lineRule="auto"/>
        <w:jc w:val="both"/>
      </w:pPr>
      <w:r w:rsidRPr="00907FD3">
        <w:rPr>
          <w:noProof/>
          <w:lang w:val="en-GB" w:eastAsia="en-GB"/>
        </w:rPr>
        <mc:AlternateContent>
          <mc:Choice Requires="wps">
            <w:drawing>
              <wp:anchor distT="45720" distB="45720" distL="114300" distR="114300" simplePos="0" relativeHeight="251661312" behindDoc="0" locked="0" layoutInCell="1" allowOverlap="1" wp14:anchorId="1B356492" wp14:editId="3BE3018C">
                <wp:simplePos x="0" y="0"/>
                <wp:positionH relativeFrom="column">
                  <wp:posOffset>-352425</wp:posOffset>
                </wp:positionH>
                <wp:positionV relativeFrom="paragraph">
                  <wp:posOffset>1243330</wp:posOffset>
                </wp:positionV>
                <wp:extent cx="6381750" cy="15430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543050"/>
                        </a:xfrm>
                        <a:prstGeom prst="rect">
                          <a:avLst/>
                        </a:prstGeom>
                        <a:solidFill>
                          <a:srgbClr val="FFFFFF"/>
                        </a:solidFill>
                        <a:ln w="9525">
                          <a:noFill/>
                          <a:miter lim="800000"/>
                          <a:headEnd/>
                          <a:tailEnd/>
                        </a:ln>
                      </wps:spPr>
                      <wps:txbx>
                        <w:txbxContent>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947"/>
                              <w:gridCol w:w="2993"/>
                              <w:gridCol w:w="2693"/>
                              <w:gridCol w:w="2297"/>
                              <w:gridCol w:w="396"/>
                            </w:tblGrid>
                            <w:tr w:rsidR="00BF7A0C" w:rsidRPr="00B5705B" w14:paraId="7372F872" w14:textId="77777777" w:rsidTr="00D81878">
                              <w:trPr>
                                <w:gridBefore w:val="1"/>
                                <w:gridAfter w:val="1"/>
                                <w:wBefore w:w="421" w:type="dxa"/>
                                <w:wAfter w:w="396" w:type="dxa"/>
                              </w:trPr>
                              <w:tc>
                                <w:tcPr>
                                  <w:tcW w:w="8930" w:type="dxa"/>
                                  <w:gridSpan w:val="4"/>
                                  <w:tcBorders>
                                    <w:top w:val="nil"/>
                                    <w:left w:val="nil"/>
                                    <w:bottom w:val="nil"/>
                                    <w:right w:val="nil"/>
                                  </w:tcBorders>
                                </w:tcPr>
                                <w:p w14:paraId="5F87AFDF" w14:textId="46160DAA" w:rsidR="00BF7A0C" w:rsidRPr="00B5705B" w:rsidRDefault="00BF7A0C" w:rsidP="00250521">
                                  <w:pPr>
                                    <w:spacing w:after="0" w:line="240" w:lineRule="auto"/>
                                    <w:jc w:val="both"/>
                                    <w:rPr>
                                      <w:b/>
                                    </w:rPr>
                                  </w:pPr>
                                  <w:bookmarkStart w:id="2" w:name="_Ref425945134"/>
                                  <w:r w:rsidRPr="007B21CA">
                                    <w:t xml:space="preserve">Table </w:t>
                                  </w:r>
                                  <w:r w:rsidRPr="007B21CA">
                                    <w:fldChar w:fldCharType="begin"/>
                                  </w:r>
                                  <w:r w:rsidRPr="007B21CA">
                                    <w:instrText xml:space="preserve"> SEQ Table \* ARABIC </w:instrText>
                                  </w:r>
                                  <w:r w:rsidRPr="007B21CA">
                                    <w:fldChar w:fldCharType="separate"/>
                                  </w:r>
                                  <w:r>
                                    <w:rPr>
                                      <w:noProof/>
                                    </w:rPr>
                                    <w:t>2</w:t>
                                  </w:r>
                                  <w:r w:rsidRPr="007B21CA">
                                    <w:fldChar w:fldCharType="end"/>
                                  </w:r>
                                  <w:bookmarkEnd w:id="2"/>
                                  <w:r w:rsidRPr="007B21CA">
                                    <w:t xml:space="preserve">. The </w:t>
                                  </w:r>
                                  <w:r w:rsidRPr="00291C32">
                                    <w:t>principal SPR linkage</w:t>
                                  </w:r>
                                  <w:r w:rsidRPr="007B21CA">
                                    <w:t xml:space="preserve"> present on site and remedial </w:t>
                                  </w:r>
                                  <w:r>
                                    <w:t>target</w:t>
                                  </w:r>
                                  <w:r w:rsidRPr="007B21CA">
                                    <w:t xml:space="preserve"> for M</w:t>
                                  </w:r>
                                  <w:r>
                                    <w:t>T</w:t>
                                  </w:r>
                                  <w:r w:rsidRPr="007B21CA">
                                    <w:t xml:space="preserve">BE </w:t>
                                  </w:r>
                                  <w:r>
                                    <w:t>as</w:t>
                                  </w:r>
                                  <w:r w:rsidRPr="007B21CA">
                                    <w:t xml:space="preserve"> agreed with the regulator.</w:t>
                                  </w:r>
                                </w:p>
                              </w:tc>
                            </w:tr>
                            <w:tr w:rsidR="00BF7A0C" w:rsidRPr="00B5705B" w14:paraId="3B69AADA" w14:textId="77777777" w:rsidTr="00BF7A0C">
                              <w:tc>
                                <w:tcPr>
                                  <w:tcW w:w="1368" w:type="dxa"/>
                                  <w:gridSpan w:val="2"/>
                                </w:tcPr>
                                <w:p w14:paraId="43CBDE13" w14:textId="77777777" w:rsidR="00BF7A0C" w:rsidRPr="00B5705B" w:rsidRDefault="00BF7A0C" w:rsidP="00250521">
                                  <w:pPr>
                                    <w:spacing w:after="0" w:line="240" w:lineRule="auto"/>
                                    <w:jc w:val="both"/>
                                    <w:rPr>
                                      <w:b/>
                                    </w:rPr>
                                  </w:pPr>
                                  <w:r w:rsidRPr="00B5705B">
                                    <w:rPr>
                                      <w:b/>
                                    </w:rPr>
                                    <w:t>Source</w:t>
                                  </w:r>
                                </w:p>
                              </w:tc>
                              <w:tc>
                                <w:tcPr>
                                  <w:tcW w:w="2993" w:type="dxa"/>
                                </w:tcPr>
                                <w:p w14:paraId="7F136002" w14:textId="77777777" w:rsidR="00BF7A0C" w:rsidRPr="00B5705B" w:rsidRDefault="00BF7A0C" w:rsidP="00250521">
                                  <w:pPr>
                                    <w:spacing w:after="0" w:line="240" w:lineRule="auto"/>
                                    <w:jc w:val="both"/>
                                    <w:rPr>
                                      <w:b/>
                                    </w:rPr>
                                  </w:pPr>
                                  <w:r w:rsidRPr="00B5705B">
                                    <w:rPr>
                                      <w:b/>
                                    </w:rPr>
                                    <w:t>Pathway</w:t>
                                  </w:r>
                                </w:p>
                              </w:tc>
                              <w:tc>
                                <w:tcPr>
                                  <w:tcW w:w="2693" w:type="dxa"/>
                                </w:tcPr>
                                <w:p w14:paraId="25571627" w14:textId="77777777" w:rsidR="00BF7A0C" w:rsidRPr="00B5705B" w:rsidRDefault="00BF7A0C" w:rsidP="00250521">
                                  <w:pPr>
                                    <w:spacing w:after="0" w:line="240" w:lineRule="auto"/>
                                    <w:jc w:val="both"/>
                                    <w:rPr>
                                      <w:b/>
                                    </w:rPr>
                                  </w:pPr>
                                  <w:r w:rsidRPr="00B5705B">
                                    <w:rPr>
                                      <w:b/>
                                    </w:rPr>
                                    <w:t>Receptor</w:t>
                                  </w:r>
                                </w:p>
                              </w:tc>
                              <w:tc>
                                <w:tcPr>
                                  <w:tcW w:w="2693" w:type="dxa"/>
                                  <w:gridSpan w:val="2"/>
                                </w:tcPr>
                                <w:p w14:paraId="18F99F87" w14:textId="77777777" w:rsidR="00BF7A0C" w:rsidRPr="00B5705B" w:rsidRDefault="00BF7A0C" w:rsidP="00250521">
                                  <w:pPr>
                                    <w:spacing w:after="0" w:line="240" w:lineRule="auto"/>
                                    <w:jc w:val="both"/>
                                    <w:rPr>
                                      <w:b/>
                                    </w:rPr>
                                  </w:pPr>
                                  <w:r w:rsidRPr="00B5705B">
                                    <w:rPr>
                                      <w:b/>
                                    </w:rPr>
                                    <w:t>Remedial targets</w:t>
                                  </w:r>
                                </w:p>
                              </w:tc>
                            </w:tr>
                            <w:tr w:rsidR="00BF7A0C" w:rsidRPr="00B5705B" w14:paraId="4549603A" w14:textId="77777777" w:rsidTr="00BF7A0C">
                              <w:tc>
                                <w:tcPr>
                                  <w:tcW w:w="1368" w:type="dxa"/>
                                  <w:gridSpan w:val="2"/>
                                </w:tcPr>
                                <w:p w14:paraId="5FCC387F" w14:textId="77777777" w:rsidR="00BF7A0C" w:rsidRPr="00B5705B" w:rsidRDefault="00BF7A0C" w:rsidP="00250521">
                                  <w:pPr>
                                    <w:spacing w:after="0" w:line="240" w:lineRule="auto"/>
                                    <w:jc w:val="both"/>
                                  </w:pPr>
                                  <w:r w:rsidRPr="00B5705B">
                                    <w:t>Dissolved and free-phase M</w:t>
                                  </w:r>
                                  <w:r>
                                    <w:t>T</w:t>
                                  </w:r>
                                  <w:r w:rsidRPr="00B5705B">
                                    <w:t>BE</w:t>
                                  </w:r>
                                </w:p>
                              </w:tc>
                              <w:tc>
                                <w:tcPr>
                                  <w:tcW w:w="2993" w:type="dxa"/>
                                </w:tcPr>
                                <w:p w14:paraId="38A04F08" w14:textId="77777777" w:rsidR="00BF7A0C" w:rsidRPr="00B5705B" w:rsidRDefault="00BF7A0C" w:rsidP="00250521">
                                  <w:pPr>
                                    <w:spacing w:after="0" w:line="240" w:lineRule="auto"/>
                                    <w:jc w:val="both"/>
                                  </w:pPr>
                                  <w:r w:rsidRPr="00B5705B">
                                    <w:t xml:space="preserve">Dissolution and migration through the saturated channel sand and </w:t>
                                  </w:r>
                                  <w:r>
                                    <w:t>C</w:t>
                                  </w:r>
                                  <w:r w:rsidRPr="00B5705B">
                                    <w:t>halk aquifer.</w:t>
                                  </w:r>
                                </w:p>
                              </w:tc>
                              <w:tc>
                                <w:tcPr>
                                  <w:tcW w:w="2693" w:type="dxa"/>
                                </w:tcPr>
                                <w:p w14:paraId="7904B926" w14:textId="77777777" w:rsidR="00BF7A0C" w:rsidRPr="00B5705B" w:rsidRDefault="00BF7A0C" w:rsidP="00250521">
                                  <w:pPr>
                                    <w:spacing w:after="0" w:line="240" w:lineRule="auto"/>
                                    <w:jc w:val="both"/>
                                  </w:pPr>
                                  <w:r>
                                    <w:t>Taste and</w:t>
                                  </w:r>
                                  <w:r w:rsidRPr="00DD4B02">
                                    <w:rPr>
                                      <w:lang w:val="en-GB"/>
                                    </w:rPr>
                                    <w:t xml:space="preserve"> odour</w:t>
                                  </w:r>
                                  <w:r>
                                    <w:t xml:space="preserve"> impacts</w:t>
                                  </w:r>
                                  <w:r w:rsidRPr="00B5705B">
                                    <w:t xml:space="preserve"> resulting from consumption of water extracted from the </w:t>
                                  </w:r>
                                  <w:r>
                                    <w:t>well</w:t>
                                  </w:r>
                                  <w:r w:rsidRPr="00B5705B">
                                    <w:t>.</w:t>
                                  </w:r>
                                </w:p>
                              </w:tc>
                              <w:tc>
                                <w:tcPr>
                                  <w:tcW w:w="2693" w:type="dxa"/>
                                  <w:gridSpan w:val="2"/>
                                </w:tcPr>
                                <w:p w14:paraId="453FDF70" w14:textId="77777777" w:rsidR="00BF7A0C" w:rsidRPr="00661447" w:rsidRDefault="00BF7A0C" w:rsidP="00250521">
                                  <w:pPr>
                                    <w:spacing w:after="0" w:line="240" w:lineRule="auto"/>
                                    <w:jc w:val="both"/>
                                  </w:pPr>
                                  <w:r w:rsidRPr="00B5705B">
                                    <w:t>M</w:t>
                                  </w:r>
                                  <w:r>
                                    <w:t>T</w:t>
                                  </w:r>
                                  <w:r w:rsidRPr="00B5705B">
                                    <w:t>BE: 3.3 mg L</w:t>
                                  </w:r>
                                  <w:r w:rsidRPr="00B5705B">
                                    <w:rPr>
                                      <w:vertAlign w:val="superscript"/>
                                    </w:rPr>
                                    <w:t>-1</w:t>
                                  </w:r>
                                  <w:r>
                                    <w:t xml:space="preserve"> (at source zone, based on achieving taste and</w:t>
                                  </w:r>
                                  <w:r w:rsidRPr="00DD4B02">
                                    <w:rPr>
                                      <w:lang w:val="en-GB"/>
                                    </w:rPr>
                                    <w:t xml:space="preserve"> odour</w:t>
                                  </w:r>
                                  <w:r>
                                    <w:t xml:space="preserve"> threshold at point of abstraction)</w:t>
                                  </w:r>
                                </w:p>
                                <w:p w14:paraId="3E6BB69C" w14:textId="77777777" w:rsidR="00BF7A0C" w:rsidRPr="00B5705B" w:rsidRDefault="00BF7A0C" w:rsidP="00250521">
                                  <w:pPr>
                                    <w:spacing w:after="0" w:line="240" w:lineRule="auto"/>
                                    <w:jc w:val="both"/>
                                  </w:pPr>
                                </w:p>
                              </w:tc>
                            </w:tr>
                          </w:tbl>
                          <w:p w14:paraId="77740185" w14:textId="696F930B" w:rsidR="00BF7A0C" w:rsidRDefault="00BF7A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56492" id="_x0000_s1027" type="#_x0000_t202" style="position:absolute;left:0;text-align:left;margin-left:-27.75pt;margin-top:97.9pt;width:502.5pt;height:1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" stroked="f">
                <v:textbox>
                  <w:txbxContent>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947"/>
                        <w:gridCol w:w="2993"/>
                        <w:gridCol w:w="2693"/>
                        <w:gridCol w:w="2297"/>
                        <w:gridCol w:w="396"/>
                      </w:tblGrid>
                      <w:tr w:rsidR="00BF7A0C" w:rsidRPr="00B5705B" w14:paraId="7372F872" w14:textId="77777777" w:rsidTr="00D81878">
                        <w:trPr>
                          <w:gridBefore w:val="1"/>
                          <w:gridAfter w:val="1"/>
                          <w:wBefore w:w="421" w:type="dxa"/>
                          <w:wAfter w:w="396" w:type="dxa"/>
                        </w:trPr>
                        <w:tc>
                          <w:tcPr>
                            <w:tcW w:w="8930" w:type="dxa"/>
                            <w:gridSpan w:val="4"/>
                            <w:tcBorders>
                              <w:top w:val="nil"/>
                              <w:left w:val="nil"/>
                              <w:bottom w:val="nil"/>
                              <w:right w:val="nil"/>
                            </w:tcBorders>
                          </w:tcPr>
                          <w:p w14:paraId="5F87AFDF" w14:textId="46160DAA" w:rsidR="00BF7A0C" w:rsidRPr="00B5705B" w:rsidRDefault="00BF7A0C" w:rsidP="00250521">
                            <w:pPr>
                              <w:spacing w:after="0" w:line="240" w:lineRule="auto"/>
                              <w:jc w:val="both"/>
                              <w:rPr>
                                <w:b/>
                              </w:rPr>
                            </w:pPr>
                            <w:bookmarkStart w:id="3" w:name="_Ref425945134"/>
                            <w:r w:rsidRPr="007B21CA">
                              <w:t xml:space="preserve">Table </w:t>
                            </w:r>
                            <w:r w:rsidRPr="007B21CA">
                              <w:fldChar w:fldCharType="begin"/>
                            </w:r>
                            <w:r w:rsidRPr="007B21CA">
                              <w:instrText xml:space="preserve"> SEQ Table \* ARABIC </w:instrText>
                            </w:r>
                            <w:r w:rsidRPr="007B21CA">
                              <w:fldChar w:fldCharType="separate"/>
                            </w:r>
                            <w:r>
                              <w:rPr>
                                <w:noProof/>
                              </w:rPr>
                              <w:t>2</w:t>
                            </w:r>
                            <w:r w:rsidRPr="007B21CA">
                              <w:fldChar w:fldCharType="end"/>
                            </w:r>
                            <w:bookmarkEnd w:id="3"/>
                            <w:r w:rsidRPr="007B21CA">
                              <w:t xml:space="preserve">. The </w:t>
                            </w:r>
                            <w:r w:rsidRPr="00291C32">
                              <w:t>principal SPR linkage</w:t>
                            </w:r>
                            <w:r w:rsidRPr="007B21CA">
                              <w:t xml:space="preserve"> present on site and remedial </w:t>
                            </w:r>
                            <w:r>
                              <w:t>target</w:t>
                            </w:r>
                            <w:r w:rsidRPr="007B21CA">
                              <w:t xml:space="preserve"> for M</w:t>
                            </w:r>
                            <w:r>
                              <w:t>T</w:t>
                            </w:r>
                            <w:r w:rsidRPr="007B21CA">
                              <w:t xml:space="preserve">BE </w:t>
                            </w:r>
                            <w:r>
                              <w:t>as</w:t>
                            </w:r>
                            <w:r w:rsidRPr="007B21CA">
                              <w:t xml:space="preserve"> agreed with the regulator.</w:t>
                            </w:r>
                          </w:p>
                        </w:tc>
                      </w:tr>
                      <w:tr w:rsidR="00BF7A0C" w:rsidRPr="00B5705B" w14:paraId="3B69AADA" w14:textId="77777777" w:rsidTr="00BF7A0C">
                        <w:tc>
                          <w:tcPr>
                            <w:tcW w:w="1368" w:type="dxa"/>
                            <w:gridSpan w:val="2"/>
                          </w:tcPr>
                          <w:p w14:paraId="43CBDE13" w14:textId="77777777" w:rsidR="00BF7A0C" w:rsidRPr="00B5705B" w:rsidRDefault="00BF7A0C" w:rsidP="00250521">
                            <w:pPr>
                              <w:spacing w:after="0" w:line="240" w:lineRule="auto"/>
                              <w:jc w:val="both"/>
                              <w:rPr>
                                <w:b/>
                              </w:rPr>
                            </w:pPr>
                            <w:r w:rsidRPr="00B5705B">
                              <w:rPr>
                                <w:b/>
                              </w:rPr>
                              <w:t>Source</w:t>
                            </w:r>
                          </w:p>
                        </w:tc>
                        <w:tc>
                          <w:tcPr>
                            <w:tcW w:w="2993" w:type="dxa"/>
                          </w:tcPr>
                          <w:p w14:paraId="7F136002" w14:textId="77777777" w:rsidR="00BF7A0C" w:rsidRPr="00B5705B" w:rsidRDefault="00BF7A0C" w:rsidP="00250521">
                            <w:pPr>
                              <w:spacing w:after="0" w:line="240" w:lineRule="auto"/>
                              <w:jc w:val="both"/>
                              <w:rPr>
                                <w:b/>
                              </w:rPr>
                            </w:pPr>
                            <w:r w:rsidRPr="00B5705B">
                              <w:rPr>
                                <w:b/>
                              </w:rPr>
                              <w:t>Pathway</w:t>
                            </w:r>
                          </w:p>
                        </w:tc>
                        <w:tc>
                          <w:tcPr>
                            <w:tcW w:w="2693" w:type="dxa"/>
                          </w:tcPr>
                          <w:p w14:paraId="25571627" w14:textId="77777777" w:rsidR="00BF7A0C" w:rsidRPr="00B5705B" w:rsidRDefault="00BF7A0C" w:rsidP="00250521">
                            <w:pPr>
                              <w:spacing w:after="0" w:line="240" w:lineRule="auto"/>
                              <w:jc w:val="both"/>
                              <w:rPr>
                                <w:b/>
                              </w:rPr>
                            </w:pPr>
                            <w:r w:rsidRPr="00B5705B">
                              <w:rPr>
                                <w:b/>
                              </w:rPr>
                              <w:t>Receptor</w:t>
                            </w:r>
                          </w:p>
                        </w:tc>
                        <w:tc>
                          <w:tcPr>
                            <w:tcW w:w="2693" w:type="dxa"/>
                            <w:gridSpan w:val="2"/>
                          </w:tcPr>
                          <w:p w14:paraId="18F99F87" w14:textId="77777777" w:rsidR="00BF7A0C" w:rsidRPr="00B5705B" w:rsidRDefault="00BF7A0C" w:rsidP="00250521">
                            <w:pPr>
                              <w:spacing w:after="0" w:line="240" w:lineRule="auto"/>
                              <w:jc w:val="both"/>
                              <w:rPr>
                                <w:b/>
                              </w:rPr>
                            </w:pPr>
                            <w:r w:rsidRPr="00B5705B">
                              <w:rPr>
                                <w:b/>
                              </w:rPr>
                              <w:t>Remedial targets</w:t>
                            </w:r>
                          </w:p>
                        </w:tc>
                      </w:tr>
                      <w:tr w:rsidR="00BF7A0C" w:rsidRPr="00B5705B" w14:paraId="4549603A" w14:textId="77777777" w:rsidTr="00BF7A0C">
                        <w:tc>
                          <w:tcPr>
                            <w:tcW w:w="1368" w:type="dxa"/>
                            <w:gridSpan w:val="2"/>
                          </w:tcPr>
                          <w:p w14:paraId="5FCC387F" w14:textId="77777777" w:rsidR="00BF7A0C" w:rsidRPr="00B5705B" w:rsidRDefault="00BF7A0C" w:rsidP="00250521">
                            <w:pPr>
                              <w:spacing w:after="0" w:line="240" w:lineRule="auto"/>
                              <w:jc w:val="both"/>
                            </w:pPr>
                            <w:r w:rsidRPr="00B5705B">
                              <w:t>Dissolved and free-phase M</w:t>
                            </w:r>
                            <w:r>
                              <w:t>T</w:t>
                            </w:r>
                            <w:r w:rsidRPr="00B5705B">
                              <w:t>BE</w:t>
                            </w:r>
                          </w:p>
                        </w:tc>
                        <w:tc>
                          <w:tcPr>
                            <w:tcW w:w="2993" w:type="dxa"/>
                          </w:tcPr>
                          <w:p w14:paraId="38A04F08" w14:textId="77777777" w:rsidR="00BF7A0C" w:rsidRPr="00B5705B" w:rsidRDefault="00BF7A0C" w:rsidP="00250521">
                            <w:pPr>
                              <w:spacing w:after="0" w:line="240" w:lineRule="auto"/>
                              <w:jc w:val="both"/>
                            </w:pPr>
                            <w:r w:rsidRPr="00B5705B">
                              <w:t xml:space="preserve">Dissolution and migration through the saturated channel sand and </w:t>
                            </w:r>
                            <w:r>
                              <w:t>C</w:t>
                            </w:r>
                            <w:r w:rsidRPr="00B5705B">
                              <w:t>halk aquifer.</w:t>
                            </w:r>
                          </w:p>
                        </w:tc>
                        <w:tc>
                          <w:tcPr>
                            <w:tcW w:w="2693" w:type="dxa"/>
                          </w:tcPr>
                          <w:p w14:paraId="7904B926" w14:textId="77777777" w:rsidR="00BF7A0C" w:rsidRPr="00B5705B" w:rsidRDefault="00BF7A0C" w:rsidP="00250521">
                            <w:pPr>
                              <w:spacing w:after="0" w:line="240" w:lineRule="auto"/>
                              <w:jc w:val="both"/>
                            </w:pPr>
                            <w:r>
                              <w:t>Taste and</w:t>
                            </w:r>
                            <w:r w:rsidRPr="00DD4B02">
                              <w:rPr>
                                <w:lang w:val="en-GB"/>
                              </w:rPr>
                              <w:t xml:space="preserve"> odour</w:t>
                            </w:r>
                            <w:r>
                              <w:t xml:space="preserve"> impacts</w:t>
                            </w:r>
                            <w:r w:rsidRPr="00B5705B">
                              <w:t xml:space="preserve"> resulting from consumption of water extracted from the </w:t>
                            </w:r>
                            <w:r>
                              <w:t>well</w:t>
                            </w:r>
                            <w:r w:rsidRPr="00B5705B">
                              <w:t>.</w:t>
                            </w:r>
                          </w:p>
                        </w:tc>
                        <w:tc>
                          <w:tcPr>
                            <w:tcW w:w="2693" w:type="dxa"/>
                            <w:gridSpan w:val="2"/>
                          </w:tcPr>
                          <w:p w14:paraId="453FDF70" w14:textId="77777777" w:rsidR="00BF7A0C" w:rsidRPr="00661447" w:rsidRDefault="00BF7A0C" w:rsidP="00250521">
                            <w:pPr>
                              <w:spacing w:after="0" w:line="240" w:lineRule="auto"/>
                              <w:jc w:val="both"/>
                            </w:pPr>
                            <w:r w:rsidRPr="00B5705B">
                              <w:t>M</w:t>
                            </w:r>
                            <w:r>
                              <w:t>T</w:t>
                            </w:r>
                            <w:r w:rsidRPr="00B5705B">
                              <w:t>BE: 3.3 mg L</w:t>
                            </w:r>
                            <w:r w:rsidRPr="00B5705B">
                              <w:rPr>
                                <w:vertAlign w:val="superscript"/>
                              </w:rPr>
                              <w:t>-1</w:t>
                            </w:r>
                            <w:r>
                              <w:t xml:space="preserve"> (at source zone, based on achieving taste and</w:t>
                            </w:r>
                            <w:r w:rsidRPr="00DD4B02">
                              <w:rPr>
                                <w:lang w:val="en-GB"/>
                              </w:rPr>
                              <w:t xml:space="preserve"> odour</w:t>
                            </w:r>
                            <w:r>
                              <w:t xml:space="preserve"> threshold at point of abstraction)</w:t>
                            </w:r>
                          </w:p>
                          <w:p w14:paraId="3E6BB69C" w14:textId="77777777" w:rsidR="00BF7A0C" w:rsidRPr="00B5705B" w:rsidRDefault="00BF7A0C" w:rsidP="00250521">
                            <w:pPr>
                              <w:spacing w:after="0" w:line="240" w:lineRule="auto"/>
                              <w:jc w:val="both"/>
                            </w:pPr>
                          </w:p>
                        </w:tc>
                      </w:tr>
                    </w:tbl>
                    <w:p w14:paraId="77740185" w14:textId="696F930B" w:rsidR="00BF7A0C" w:rsidRDefault="00BF7A0C"/>
                  </w:txbxContent>
                </v:textbox>
                <w10:wrap type="square"/>
              </v:shape>
            </w:pict>
          </mc:Fallback>
        </mc:AlternateContent>
      </w:r>
      <w:r w:rsidR="00DA1871" w:rsidRPr="00907FD3">
        <w:t>Based on these observations the princip</w:t>
      </w:r>
      <w:r w:rsidR="006644FF" w:rsidRPr="00907FD3">
        <w:t>al</w:t>
      </w:r>
      <w:r w:rsidR="00DA1871" w:rsidRPr="00907FD3">
        <w:t xml:space="preserve"> SPR linkage that drives risk management </w:t>
      </w:r>
      <w:r w:rsidR="00D7574D" w:rsidRPr="00907FD3">
        <w:t>requirements</w:t>
      </w:r>
      <w:r w:rsidR="00661447" w:rsidRPr="00907FD3">
        <w:t xml:space="preserve"> </w:t>
      </w:r>
      <w:r w:rsidR="00DA1871" w:rsidRPr="00907FD3">
        <w:t xml:space="preserve">on site is </w:t>
      </w:r>
      <w:r w:rsidR="00661447" w:rsidRPr="00907FD3">
        <w:t xml:space="preserve">related to </w:t>
      </w:r>
      <w:r w:rsidR="006644FF" w:rsidRPr="00907FD3">
        <w:t>MTBE migration (</w:t>
      </w:r>
      <w:r w:rsidR="00DA1871" w:rsidRPr="00907FD3">
        <w:fldChar w:fldCharType="begin"/>
      </w:r>
      <w:r w:rsidR="00DA1871" w:rsidRPr="00907FD3">
        <w:instrText xml:space="preserve"> REF _Ref425945134 \h </w:instrText>
      </w:r>
      <w:r w:rsidR="00907FD3">
        <w:instrText xml:space="preserve"> \* MERGEFORMAT </w:instrText>
      </w:r>
      <w:r w:rsidR="00DA1871" w:rsidRPr="00907FD3">
        <w:fldChar w:fldCharType="separate"/>
      </w:r>
      <w:r w:rsidR="0047111A" w:rsidRPr="00907FD3">
        <w:t xml:space="preserve">Table </w:t>
      </w:r>
      <w:r w:rsidR="0047111A" w:rsidRPr="00907FD3">
        <w:rPr>
          <w:noProof/>
        </w:rPr>
        <w:t>2</w:t>
      </w:r>
      <w:r w:rsidR="00DA1871" w:rsidRPr="00907FD3">
        <w:fldChar w:fldCharType="end"/>
      </w:r>
      <w:r w:rsidR="006644FF" w:rsidRPr="00907FD3">
        <w:t>)</w:t>
      </w:r>
      <w:r w:rsidR="00DA1871" w:rsidRPr="00907FD3">
        <w:t xml:space="preserve">. Remedial targets for the site consider: 1) </w:t>
      </w:r>
      <w:r w:rsidR="006644FF" w:rsidRPr="00907FD3">
        <w:t>MTBE bio</w:t>
      </w:r>
      <w:r w:rsidR="00DA1871" w:rsidRPr="00907FD3">
        <w:t xml:space="preserve">degradation rates within the </w:t>
      </w:r>
      <w:r w:rsidR="006644FF" w:rsidRPr="00907FD3">
        <w:t>C</w:t>
      </w:r>
      <w:r w:rsidR="00DA1871" w:rsidRPr="00907FD3">
        <w:t xml:space="preserve">halk aquifer; 2) </w:t>
      </w:r>
      <w:r w:rsidR="006644FF" w:rsidRPr="00907FD3">
        <w:t>d</w:t>
      </w:r>
      <w:r w:rsidR="00DA1871" w:rsidRPr="00907FD3">
        <w:t xml:space="preserve">ilution </w:t>
      </w:r>
      <w:r w:rsidR="006644FF" w:rsidRPr="00907FD3">
        <w:t xml:space="preserve">of MTBE </w:t>
      </w:r>
      <w:r w:rsidR="00DA1871" w:rsidRPr="00907FD3">
        <w:t xml:space="preserve">at </w:t>
      </w:r>
      <w:r w:rsidR="006644FF" w:rsidRPr="00907FD3">
        <w:t xml:space="preserve">the </w:t>
      </w:r>
      <w:r w:rsidR="00DA1871" w:rsidRPr="00907FD3">
        <w:t>WS</w:t>
      </w:r>
      <w:r w:rsidR="00D7574D" w:rsidRPr="00907FD3">
        <w:t>W</w:t>
      </w:r>
      <w:r w:rsidR="00DA1871" w:rsidRPr="00907FD3">
        <w:t xml:space="preserve"> and </w:t>
      </w:r>
      <w:r w:rsidR="006644FF" w:rsidRPr="00907FD3">
        <w:t xml:space="preserve">during </w:t>
      </w:r>
      <w:r w:rsidR="00DA1871" w:rsidRPr="00907FD3">
        <w:t xml:space="preserve">migration </w:t>
      </w:r>
      <w:r w:rsidR="00DA1871" w:rsidRPr="00907FD3">
        <w:lastRenderedPageBreak/>
        <w:t xml:space="preserve">between the channel sands and </w:t>
      </w:r>
      <w:r w:rsidR="006644FF" w:rsidRPr="00907FD3">
        <w:t>C</w:t>
      </w:r>
      <w:r w:rsidR="00DA1871" w:rsidRPr="00907FD3">
        <w:t xml:space="preserve">halk aquifer; and 3) an agreed </w:t>
      </w:r>
      <w:r w:rsidR="00661447" w:rsidRPr="00907FD3">
        <w:t>remedial objective for MTBE that prevents taste and</w:t>
      </w:r>
      <w:r w:rsidR="00661447" w:rsidRPr="00907FD3">
        <w:rPr>
          <w:lang w:val="en-GB"/>
        </w:rPr>
        <w:t xml:space="preserve"> odour</w:t>
      </w:r>
      <w:r w:rsidR="00661447" w:rsidRPr="00907FD3">
        <w:t xml:space="preserve"> impact at the abstraction well</w:t>
      </w:r>
      <w:r w:rsidR="00DA1871" w:rsidRPr="00907FD3">
        <w:t>.</w:t>
      </w:r>
    </w:p>
    <w:p w14:paraId="607F3454" w14:textId="1F1B51FB" w:rsidR="00DA1871" w:rsidRPr="00907FD3" w:rsidRDefault="00D81878" w:rsidP="00EF00B3">
      <w:pPr>
        <w:spacing w:line="480" w:lineRule="auto"/>
        <w:jc w:val="both"/>
      </w:pPr>
      <w:r w:rsidRPr="00907FD3">
        <w:rPr>
          <w:noProof/>
          <w:lang w:val="en-GB" w:eastAsia="en-GB"/>
        </w:rPr>
        <mc:AlternateContent>
          <mc:Choice Requires="wps">
            <w:drawing>
              <wp:anchor distT="45720" distB="45720" distL="114300" distR="114300" simplePos="0" relativeHeight="251663360" behindDoc="0" locked="0" layoutInCell="1" allowOverlap="1" wp14:anchorId="61C5E715" wp14:editId="779FAA88">
                <wp:simplePos x="0" y="0"/>
                <wp:positionH relativeFrom="column">
                  <wp:posOffset>9525</wp:posOffset>
                </wp:positionH>
                <wp:positionV relativeFrom="paragraph">
                  <wp:posOffset>2790825</wp:posOffset>
                </wp:positionV>
                <wp:extent cx="5724525" cy="485775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857750"/>
                        </a:xfrm>
                        <a:prstGeom prst="rect">
                          <a:avLst/>
                        </a:prstGeom>
                        <a:solidFill>
                          <a:srgbClr val="FFFFFF"/>
                        </a:solidFill>
                        <a:ln w="9525">
                          <a:noFill/>
                          <a:miter lim="800000"/>
                          <a:headEnd/>
                          <a:tailEnd/>
                        </a:ln>
                      </wps:spPr>
                      <wps:txbx>
                        <w:txbxContent>
                          <w:tbl>
                            <w:tblPr>
                              <w:tblW w:w="10053" w:type="dxa"/>
                              <w:jc w:val="center"/>
                              <w:tblLook w:val="00A0" w:firstRow="1" w:lastRow="0" w:firstColumn="1" w:lastColumn="0" w:noHBand="0" w:noVBand="0"/>
                            </w:tblPr>
                            <w:tblGrid>
                              <w:gridCol w:w="10053"/>
                            </w:tblGrid>
                            <w:tr w:rsidR="00BF7A0C" w:rsidRPr="00B5705B" w14:paraId="647D4CA8" w14:textId="77777777" w:rsidTr="00BF7A0C">
                              <w:trPr>
                                <w:trHeight w:val="2879"/>
                                <w:jc w:val="center"/>
                              </w:trPr>
                              <w:tc>
                                <w:tcPr>
                                  <w:tcW w:w="10053" w:type="dxa"/>
                                </w:tcPr>
                                <w:p w14:paraId="23007B0C" w14:textId="77777777" w:rsidR="00BF7A0C" w:rsidRPr="00B5705B" w:rsidRDefault="00BF7A0C" w:rsidP="00D81878">
                                  <w:pPr>
                                    <w:spacing w:after="0" w:line="240" w:lineRule="auto"/>
                                    <w:jc w:val="center"/>
                                  </w:pPr>
                                  <w:r>
                                    <w:rPr>
                                      <w:noProof/>
                                      <w:lang w:val="en-GB" w:eastAsia="en-GB"/>
                                    </w:rPr>
                                    <w:drawing>
                                      <wp:inline distT="0" distB="0" distL="0" distR="0" wp14:anchorId="1C772862" wp14:editId="2255030E">
                                        <wp:extent cx="5550195" cy="1913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Q4 CSM 1 v2.png"/>
                                                <pic:cNvPicPr/>
                                              </pic:nvPicPr>
                                              <pic:blipFill rotWithShape="1">
                                                <a:blip r:embed="rId8" cstate="print">
                                                  <a:extLst>
                                                    <a:ext uri="{28A0092B-C50C-407E-A947-70E740481C1C}">
                                                      <a14:useLocalDpi xmlns:a14="http://schemas.microsoft.com/office/drawing/2010/main" val="0"/>
                                                    </a:ext>
                                                  </a:extLst>
                                                </a:blip>
                                                <a:srcRect r="9107"/>
                                                <a:stretch/>
                                              </pic:blipFill>
                                              <pic:spPr bwMode="auto">
                                                <a:xfrm>
                                                  <a:off x="0" y="0"/>
                                                  <a:ext cx="5569770" cy="1920003"/>
                                                </a:xfrm>
                                                <a:prstGeom prst="rect">
                                                  <a:avLst/>
                                                </a:prstGeom>
                                                <a:ln>
                                                  <a:noFill/>
                                                </a:ln>
                                                <a:extLst>
                                                  <a:ext uri="{53640926-AAD7-44D8-BBD7-CCE9431645EC}">
                                                    <a14:shadowObscured xmlns:a14="http://schemas.microsoft.com/office/drawing/2010/main"/>
                                                  </a:ext>
                                                </a:extLst>
                                              </pic:spPr>
                                            </pic:pic>
                                          </a:graphicData>
                                        </a:graphic>
                                      </wp:inline>
                                    </w:drawing>
                                  </w:r>
                                </w:p>
                              </w:tc>
                            </w:tr>
                            <w:tr w:rsidR="00BF7A0C" w:rsidRPr="00B5705B" w14:paraId="38D4F162" w14:textId="77777777" w:rsidTr="00BF7A0C">
                              <w:trPr>
                                <w:trHeight w:val="179"/>
                                <w:jc w:val="center"/>
                              </w:trPr>
                              <w:tc>
                                <w:tcPr>
                                  <w:tcW w:w="10053" w:type="dxa"/>
                                </w:tcPr>
                                <w:p w14:paraId="35F2A5F1" w14:textId="77777777" w:rsidR="00BF7A0C" w:rsidRPr="00D81878" w:rsidRDefault="00BF7A0C" w:rsidP="00D81878">
                                  <w:pPr>
                                    <w:pStyle w:val="Caption"/>
                                    <w:spacing w:after="0"/>
                                    <w:jc w:val="center"/>
                                    <w:rPr>
                                      <w:b/>
                                      <w:sz w:val="24"/>
                                      <w:szCs w:val="24"/>
                                    </w:rPr>
                                  </w:pPr>
                                  <w:r w:rsidRPr="00D81878">
                                    <w:rPr>
                                      <w:b/>
                                      <w:sz w:val="24"/>
                                      <w:szCs w:val="24"/>
                                    </w:rPr>
                                    <w:t>A.</w:t>
                                  </w:r>
                                </w:p>
                              </w:tc>
                            </w:tr>
                            <w:tr w:rsidR="00BF7A0C" w:rsidRPr="00B5705B" w14:paraId="2C2E7A45" w14:textId="77777777" w:rsidTr="00BF7A0C">
                              <w:trPr>
                                <w:trHeight w:val="2605"/>
                                <w:jc w:val="center"/>
                              </w:trPr>
                              <w:tc>
                                <w:tcPr>
                                  <w:tcW w:w="10053" w:type="dxa"/>
                                </w:tcPr>
                                <w:p w14:paraId="5C3D067B" w14:textId="77777777" w:rsidR="00BF7A0C" w:rsidRPr="00B5705B" w:rsidRDefault="00BF7A0C" w:rsidP="00D81878">
                                  <w:pPr>
                                    <w:pStyle w:val="Caption"/>
                                    <w:spacing w:after="0"/>
                                    <w:jc w:val="center"/>
                                    <w:rPr>
                                      <w:szCs w:val="22"/>
                                    </w:rPr>
                                  </w:pPr>
                                  <w:r>
                                    <w:rPr>
                                      <w:noProof/>
                                      <w:szCs w:val="22"/>
                                      <w:lang w:val="en-GB" w:eastAsia="en-GB"/>
                                    </w:rPr>
                                    <w:drawing>
                                      <wp:inline distT="0" distB="0" distL="0" distR="0" wp14:anchorId="3263068E" wp14:editId="1BFF4097">
                                        <wp:extent cx="4880344" cy="16261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Q2 CSM 2 v2.png"/>
                                                <pic:cNvPicPr/>
                                              </pic:nvPicPr>
                                              <pic:blipFill rotWithShape="1">
                                                <a:blip r:embed="rId9" cstate="print">
                                                  <a:extLst>
                                                    <a:ext uri="{28A0092B-C50C-407E-A947-70E740481C1C}">
                                                      <a14:useLocalDpi xmlns:a14="http://schemas.microsoft.com/office/drawing/2010/main" val="0"/>
                                                    </a:ext>
                                                  </a:extLst>
                                                </a:blip>
                                                <a:srcRect l="12658" r="12856"/>
                                                <a:stretch/>
                                              </pic:blipFill>
                                              <pic:spPr bwMode="auto">
                                                <a:xfrm>
                                                  <a:off x="0" y="0"/>
                                                  <a:ext cx="4892059" cy="1630096"/>
                                                </a:xfrm>
                                                <a:prstGeom prst="rect">
                                                  <a:avLst/>
                                                </a:prstGeom>
                                                <a:ln>
                                                  <a:noFill/>
                                                </a:ln>
                                                <a:extLst>
                                                  <a:ext uri="{53640926-AAD7-44D8-BBD7-CCE9431645EC}">
                                                    <a14:shadowObscured xmlns:a14="http://schemas.microsoft.com/office/drawing/2010/main"/>
                                                  </a:ext>
                                                </a:extLst>
                                              </pic:spPr>
                                            </pic:pic>
                                          </a:graphicData>
                                        </a:graphic>
                                      </wp:inline>
                                    </w:drawing>
                                  </w:r>
                                </w:p>
                              </w:tc>
                            </w:tr>
                            <w:tr w:rsidR="00BF7A0C" w:rsidRPr="00B5705B" w14:paraId="698B389E" w14:textId="77777777" w:rsidTr="00BF7A0C">
                              <w:trPr>
                                <w:trHeight w:val="197"/>
                                <w:jc w:val="center"/>
                              </w:trPr>
                              <w:tc>
                                <w:tcPr>
                                  <w:tcW w:w="10053" w:type="dxa"/>
                                </w:tcPr>
                                <w:p w14:paraId="0E157DE3" w14:textId="77777777" w:rsidR="00BF7A0C" w:rsidRPr="00D81878" w:rsidRDefault="00BF7A0C" w:rsidP="00D81878">
                                  <w:pPr>
                                    <w:pStyle w:val="Caption"/>
                                    <w:spacing w:after="0"/>
                                    <w:jc w:val="center"/>
                                    <w:rPr>
                                      <w:b/>
                                      <w:sz w:val="24"/>
                                      <w:szCs w:val="24"/>
                                    </w:rPr>
                                  </w:pPr>
                                  <w:r w:rsidRPr="00D81878">
                                    <w:rPr>
                                      <w:b/>
                                      <w:sz w:val="24"/>
                                      <w:szCs w:val="24"/>
                                    </w:rPr>
                                    <w:t>B.</w:t>
                                  </w:r>
                                </w:p>
                              </w:tc>
                            </w:tr>
                            <w:tr w:rsidR="00BF7A0C" w:rsidRPr="00B5705B" w14:paraId="531D0C8C" w14:textId="77777777" w:rsidTr="00BF7A0C">
                              <w:trPr>
                                <w:trHeight w:val="427"/>
                                <w:jc w:val="center"/>
                              </w:trPr>
                              <w:tc>
                                <w:tcPr>
                                  <w:tcW w:w="10053" w:type="dxa"/>
                                </w:tcPr>
                                <w:p w14:paraId="1D07E65C" w14:textId="77777777" w:rsidR="00BF7A0C" w:rsidRPr="00B5705B" w:rsidRDefault="00BF7A0C" w:rsidP="00D81878">
                                  <w:pPr>
                                    <w:pStyle w:val="Caption"/>
                                    <w:spacing w:after="0"/>
                                    <w:jc w:val="both"/>
                                    <w:rPr>
                                      <w:b/>
                                    </w:rPr>
                                  </w:pPr>
                                </w:p>
                              </w:tc>
                            </w:tr>
                          </w:tbl>
                          <w:p w14:paraId="301CF831" w14:textId="77777777" w:rsidR="00BF7A0C" w:rsidRDefault="00BF7A0C" w:rsidP="00D81878">
                            <w:pPr>
                              <w:jc w:val="both"/>
                              <w:rPr>
                                <w:b/>
                              </w:rPr>
                            </w:pPr>
                            <w:bookmarkStart w:id="4" w:name="_Ref423943421"/>
                            <w:r w:rsidRPr="00B5705B">
                              <w:t xml:space="preserve">Figure </w:t>
                            </w:r>
                            <w:r w:rsidRPr="00B5705B">
                              <w:fldChar w:fldCharType="begin"/>
                            </w:r>
                            <w:r w:rsidRPr="00B5705B">
                              <w:instrText xml:space="preserve"> SEQ Figure \* ARABIC </w:instrText>
                            </w:r>
                            <w:r w:rsidRPr="00B5705B">
                              <w:fldChar w:fldCharType="separate"/>
                            </w:r>
                            <w:r>
                              <w:rPr>
                                <w:noProof/>
                              </w:rPr>
                              <w:t>1</w:t>
                            </w:r>
                            <w:r w:rsidRPr="00B5705B">
                              <w:fldChar w:fldCharType="end"/>
                            </w:r>
                            <w:bookmarkEnd w:id="4"/>
                            <w:r w:rsidRPr="00B5705B">
                              <w:t>. Conceptual site model showing A. geological and hydrogeological features and the principle source – pathway – receptor linkage present on site; and B. cross section following the first stage of remedial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5E715" id="_x0000_s1028" type="#_x0000_t202" style="position:absolute;left:0;text-align:left;margin-left:.75pt;margin-top:219.75pt;width:450.75pt;height:3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" stroked="f">
                <v:textbox>
                  <w:txbxContent>
                    <w:tbl>
                      <w:tblPr>
                        <w:tblW w:w="10053" w:type="dxa"/>
                        <w:jc w:val="center"/>
                        <w:tblLook w:val="00A0" w:firstRow="1" w:lastRow="0" w:firstColumn="1" w:lastColumn="0" w:noHBand="0" w:noVBand="0"/>
                      </w:tblPr>
                      <w:tblGrid>
                        <w:gridCol w:w="10053"/>
                      </w:tblGrid>
                      <w:tr w:rsidR="00BF7A0C" w:rsidRPr="00B5705B" w14:paraId="647D4CA8" w14:textId="77777777" w:rsidTr="00BF7A0C">
                        <w:trPr>
                          <w:trHeight w:val="2879"/>
                          <w:jc w:val="center"/>
                        </w:trPr>
                        <w:tc>
                          <w:tcPr>
                            <w:tcW w:w="10053" w:type="dxa"/>
                          </w:tcPr>
                          <w:p w14:paraId="23007B0C" w14:textId="77777777" w:rsidR="00BF7A0C" w:rsidRPr="00B5705B" w:rsidRDefault="00BF7A0C" w:rsidP="00D81878">
                            <w:pPr>
                              <w:spacing w:after="0" w:line="240" w:lineRule="auto"/>
                              <w:jc w:val="center"/>
                            </w:pPr>
                            <w:r>
                              <w:rPr>
                                <w:noProof/>
                                <w:lang w:val="en-GB" w:eastAsia="en-GB"/>
                              </w:rPr>
                              <w:drawing>
                                <wp:inline distT="0" distB="0" distL="0" distR="0" wp14:anchorId="1C772862" wp14:editId="2255030E">
                                  <wp:extent cx="5550195" cy="1913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Q4 CSM 1 v2.png"/>
                                          <pic:cNvPicPr/>
                                        </pic:nvPicPr>
                                        <pic:blipFill rotWithShape="1">
                                          <a:blip r:embed="rId8" cstate="print">
                                            <a:extLst>
                                              <a:ext uri="{28A0092B-C50C-407E-A947-70E740481C1C}">
                                                <a14:useLocalDpi xmlns:a14="http://schemas.microsoft.com/office/drawing/2010/main" val="0"/>
                                              </a:ext>
                                            </a:extLst>
                                          </a:blip>
                                          <a:srcRect r="9107"/>
                                          <a:stretch/>
                                        </pic:blipFill>
                                        <pic:spPr bwMode="auto">
                                          <a:xfrm>
                                            <a:off x="0" y="0"/>
                                            <a:ext cx="5569770" cy="1920003"/>
                                          </a:xfrm>
                                          <a:prstGeom prst="rect">
                                            <a:avLst/>
                                          </a:prstGeom>
                                          <a:ln>
                                            <a:noFill/>
                                          </a:ln>
                                          <a:extLst>
                                            <a:ext uri="{53640926-AAD7-44D8-BBD7-CCE9431645EC}">
                                              <a14:shadowObscured xmlns:a14="http://schemas.microsoft.com/office/drawing/2010/main"/>
                                            </a:ext>
                                          </a:extLst>
                                        </pic:spPr>
                                      </pic:pic>
                                    </a:graphicData>
                                  </a:graphic>
                                </wp:inline>
                              </w:drawing>
                            </w:r>
                          </w:p>
                        </w:tc>
                      </w:tr>
                      <w:tr w:rsidR="00BF7A0C" w:rsidRPr="00B5705B" w14:paraId="38D4F162" w14:textId="77777777" w:rsidTr="00BF7A0C">
                        <w:trPr>
                          <w:trHeight w:val="179"/>
                          <w:jc w:val="center"/>
                        </w:trPr>
                        <w:tc>
                          <w:tcPr>
                            <w:tcW w:w="10053" w:type="dxa"/>
                          </w:tcPr>
                          <w:p w14:paraId="35F2A5F1" w14:textId="77777777" w:rsidR="00BF7A0C" w:rsidRPr="00D81878" w:rsidRDefault="00BF7A0C" w:rsidP="00D81878">
                            <w:pPr>
                              <w:pStyle w:val="Caption"/>
                              <w:spacing w:after="0"/>
                              <w:jc w:val="center"/>
                              <w:rPr>
                                <w:b/>
                                <w:sz w:val="24"/>
                                <w:szCs w:val="24"/>
                              </w:rPr>
                            </w:pPr>
                            <w:r w:rsidRPr="00D81878">
                              <w:rPr>
                                <w:b/>
                                <w:sz w:val="24"/>
                                <w:szCs w:val="24"/>
                              </w:rPr>
                              <w:t>A.</w:t>
                            </w:r>
                          </w:p>
                        </w:tc>
                      </w:tr>
                      <w:tr w:rsidR="00BF7A0C" w:rsidRPr="00B5705B" w14:paraId="2C2E7A45" w14:textId="77777777" w:rsidTr="00BF7A0C">
                        <w:trPr>
                          <w:trHeight w:val="2605"/>
                          <w:jc w:val="center"/>
                        </w:trPr>
                        <w:tc>
                          <w:tcPr>
                            <w:tcW w:w="10053" w:type="dxa"/>
                          </w:tcPr>
                          <w:p w14:paraId="5C3D067B" w14:textId="77777777" w:rsidR="00BF7A0C" w:rsidRPr="00B5705B" w:rsidRDefault="00BF7A0C" w:rsidP="00D81878">
                            <w:pPr>
                              <w:pStyle w:val="Caption"/>
                              <w:spacing w:after="0"/>
                              <w:jc w:val="center"/>
                              <w:rPr>
                                <w:szCs w:val="22"/>
                              </w:rPr>
                            </w:pPr>
                            <w:r>
                              <w:rPr>
                                <w:noProof/>
                                <w:szCs w:val="22"/>
                                <w:lang w:val="en-GB" w:eastAsia="en-GB"/>
                              </w:rPr>
                              <w:drawing>
                                <wp:inline distT="0" distB="0" distL="0" distR="0" wp14:anchorId="3263068E" wp14:editId="1BFF4097">
                                  <wp:extent cx="4880344" cy="16261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Q2 CSM 2 v2.png"/>
                                          <pic:cNvPicPr/>
                                        </pic:nvPicPr>
                                        <pic:blipFill rotWithShape="1">
                                          <a:blip r:embed="rId9" cstate="print">
                                            <a:extLst>
                                              <a:ext uri="{28A0092B-C50C-407E-A947-70E740481C1C}">
                                                <a14:useLocalDpi xmlns:a14="http://schemas.microsoft.com/office/drawing/2010/main" val="0"/>
                                              </a:ext>
                                            </a:extLst>
                                          </a:blip>
                                          <a:srcRect l="12658" r="12856"/>
                                          <a:stretch/>
                                        </pic:blipFill>
                                        <pic:spPr bwMode="auto">
                                          <a:xfrm>
                                            <a:off x="0" y="0"/>
                                            <a:ext cx="4892059" cy="1630096"/>
                                          </a:xfrm>
                                          <a:prstGeom prst="rect">
                                            <a:avLst/>
                                          </a:prstGeom>
                                          <a:ln>
                                            <a:noFill/>
                                          </a:ln>
                                          <a:extLst>
                                            <a:ext uri="{53640926-AAD7-44D8-BBD7-CCE9431645EC}">
                                              <a14:shadowObscured xmlns:a14="http://schemas.microsoft.com/office/drawing/2010/main"/>
                                            </a:ext>
                                          </a:extLst>
                                        </pic:spPr>
                                      </pic:pic>
                                    </a:graphicData>
                                  </a:graphic>
                                </wp:inline>
                              </w:drawing>
                            </w:r>
                          </w:p>
                        </w:tc>
                      </w:tr>
                      <w:tr w:rsidR="00BF7A0C" w:rsidRPr="00B5705B" w14:paraId="698B389E" w14:textId="77777777" w:rsidTr="00BF7A0C">
                        <w:trPr>
                          <w:trHeight w:val="197"/>
                          <w:jc w:val="center"/>
                        </w:trPr>
                        <w:tc>
                          <w:tcPr>
                            <w:tcW w:w="10053" w:type="dxa"/>
                          </w:tcPr>
                          <w:p w14:paraId="0E157DE3" w14:textId="77777777" w:rsidR="00BF7A0C" w:rsidRPr="00D81878" w:rsidRDefault="00BF7A0C" w:rsidP="00D81878">
                            <w:pPr>
                              <w:pStyle w:val="Caption"/>
                              <w:spacing w:after="0"/>
                              <w:jc w:val="center"/>
                              <w:rPr>
                                <w:b/>
                                <w:sz w:val="24"/>
                                <w:szCs w:val="24"/>
                              </w:rPr>
                            </w:pPr>
                            <w:r w:rsidRPr="00D81878">
                              <w:rPr>
                                <w:b/>
                                <w:sz w:val="24"/>
                                <w:szCs w:val="24"/>
                              </w:rPr>
                              <w:t>B.</w:t>
                            </w:r>
                          </w:p>
                        </w:tc>
                      </w:tr>
                      <w:tr w:rsidR="00BF7A0C" w:rsidRPr="00B5705B" w14:paraId="531D0C8C" w14:textId="77777777" w:rsidTr="00BF7A0C">
                        <w:trPr>
                          <w:trHeight w:val="427"/>
                          <w:jc w:val="center"/>
                        </w:trPr>
                        <w:tc>
                          <w:tcPr>
                            <w:tcW w:w="10053" w:type="dxa"/>
                          </w:tcPr>
                          <w:p w14:paraId="1D07E65C" w14:textId="77777777" w:rsidR="00BF7A0C" w:rsidRPr="00B5705B" w:rsidRDefault="00BF7A0C" w:rsidP="00D81878">
                            <w:pPr>
                              <w:pStyle w:val="Caption"/>
                              <w:spacing w:after="0"/>
                              <w:jc w:val="both"/>
                              <w:rPr>
                                <w:b/>
                              </w:rPr>
                            </w:pPr>
                          </w:p>
                        </w:tc>
                      </w:tr>
                    </w:tbl>
                    <w:p w14:paraId="301CF831" w14:textId="77777777" w:rsidR="00BF7A0C" w:rsidRDefault="00BF7A0C" w:rsidP="00D81878">
                      <w:pPr>
                        <w:jc w:val="both"/>
                        <w:rPr>
                          <w:b/>
                        </w:rPr>
                      </w:pPr>
                      <w:bookmarkStart w:id="5" w:name="_Ref423943421"/>
                      <w:r w:rsidRPr="00B5705B">
                        <w:t xml:space="preserve">Figure </w:t>
                      </w:r>
                      <w:r w:rsidRPr="00B5705B">
                        <w:fldChar w:fldCharType="begin"/>
                      </w:r>
                      <w:r w:rsidRPr="00B5705B">
                        <w:instrText xml:space="preserve"> SEQ Figure \* ARABIC </w:instrText>
                      </w:r>
                      <w:r w:rsidRPr="00B5705B">
                        <w:fldChar w:fldCharType="separate"/>
                      </w:r>
                      <w:r>
                        <w:rPr>
                          <w:noProof/>
                        </w:rPr>
                        <w:t>1</w:t>
                      </w:r>
                      <w:r w:rsidRPr="00B5705B">
                        <w:fldChar w:fldCharType="end"/>
                      </w:r>
                      <w:bookmarkEnd w:id="5"/>
                      <w:r w:rsidRPr="00B5705B">
                        <w:t>. Conceptual site model showing A. geological and hydrogeological features and the principle source – pathway – receptor linkage present on site; and B. cross section following the first stage of remedial action.</w:t>
                      </w:r>
                    </w:p>
                  </w:txbxContent>
                </v:textbox>
                <w10:wrap type="square"/>
              </v:shape>
            </w:pict>
          </mc:Fallback>
        </mc:AlternateContent>
      </w:r>
      <w:r w:rsidR="006644FF" w:rsidRPr="00907FD3">
        <w:t>Two remedial actions have been implemented t</w:t>
      </w:r>
      <w:r w:rsidR="00DA1871" w:rsidRPr="00907FD3">
        <w:t>o manage the risk of M</w:t>
      </w:r>
      <w:r w:rsidR="006644FF" w:rsidRPr="00907FD3">
        <w:t>T</w:t>
      </w:r>
      <w:r w:rsidR="00DA1871" w:rsidRPr="00907FD3">
        <w:t>BE to the WS</w:t>
      </w:r>
      <w:r w:rsidR="00291C32" w:rsidRPr="00907FD3">
        <w:t>W</w:t>
      </w:r>
      <w:r w:rsidR="00DA1871" w:rsidRPr="00907FD3">
        <w:t xml:space="preserve"> (</w:t>
      </w:r>
      <w:r w:rsidR="00DA1871" w:rsidRPr="00907FD3">
        <w:fldChar w:fldCharType="begin"/>
      </w:r>
      <w:r w:rsidR="00DA1871" w:rsidRPr="00907FD3">
        <w:instrText xml:space="preserve"> REF _Ref423943421 \h </w:instrText>
      </w:r>
      <w:r w:rsidR="00907FD3">
        <w:instrText xml:space="preserve"> \* MERGEFORMAT </w:instrText>
      </w:r>
      <w:r w:rsidR="00DA1871" w:rsidRPr="00907FD3">
        <w:fldChar w:fldCharType="separate"/>
      </w:r>
      <w:r w:rsidR="0047111A" w:rsidRPr="00907FD3">
        <w:t xml:space="preserve">Figure </w:t>
      </w:r>
      <w:r w:rsidR="0047111A" w:rsidRPr="00907FD3">
        <w:rPr>
          <w:noProof/>
        </w:rPr>
        <w:t>1</w:t>
      </w:r>
      <w:r w:rsidR="00DA1871" w:rsidRPr="00907FD3">
        <w:fldChar w:fldCharType="end"/>
      </w:r>
      <w:r w:rsidR="00DA1871" w:rsidRPr="00907FD3">
        <w:t xml:space="preserve">B). Firstly, a HCS installed </w:t>
      </w:r>
      <w:r w:rsidR="006644FF" w:rsidRPr="00907FD3">
        <w:t>at</w:t>
      </w:r>
      <w:r w:rsidR="00DA1871" w:rsidRPr="00907FD3">
        <w:t xml:space="preserve"> the boundary between the channel sands and </w:t>
      </w:r>
      <w:r w:rsidR="006644FF" w:rsidRPr="00907FD3">
        <w:t>C</w:t>
      </w:r>
      <w:r w:rsidR="00DA1871" w:rsidRPr="00907FD3">
        <w:t xml:space="preserve">halk aquifer to continually extract </w:t>
      </w:r>
      <w:r w:rsidR="00661447" w:rsidRPr="00907FD3">
        <w:t xml:space="preserve">contaminated </w:t>
      </w:r>
      <w:r w:rsidR="00DA1871" w:rsidRPr="00907FD3">
        <w:t xml:space="preserve">water </w:t>
      </w:r>
      <w:r w:rsidR="006644FF" w:rsidRPr="00907FD3">
        <w:t xml:space="preserve">for </w:t>
      </w:r>
      <w:r w:rsidR="00DA1871" w:rsidRPr="00907FD3">
        <w:t xml:space="preserve">discharge </w:t>
      </w:r>
      <w:r w:rsidR="00291C32" w:rsidRPr="00907FD3">
        <w:t xml:space="preserve">and </w:t>
      </w:r>
      <w:r w:rsidR="00661447" w:rsidRPr="00907FD3">
        <w:t>treatment</w:t>
      </w:r>
      <w:r w:rsidR="00DA1871" w:rsidRPr="00907FD3">
        <w:t>. This breaks the SPR linkage</w:t>
      </w:r>
      <w:r w:rsidR="006644FF" w:rsidRPr="00907FD3">
        <w:t>,</w:t>
      </w:r>
      <w:r w:rsidR="00DA1871" w:rsidRPr="00907FD3">
        <w:t xml:space="preserve"> by preventing M</w:t>
      </w:r>
      <w:r w:rsidR="006644FF" w:rsidRPr="00907FD3">
        <w:t>T</w:t>
      </w:r>
      <w:r w:rsidR="00DA1871" w:rsidRPr="00907FD3">
        <w:t xml:space="preserve">BE from entering the </w:t>
      </w:r>
      <w:r w:rsidR="006644FF" w:rsidRPr="00907FD3">
        <w:t>C</w:t>
      </w:r>
      <w:r w:rsidR="00DA1871" w:rsidRPr="00907FD3">
        <w:t>halk aquifer</w:t>
      </w:r>
      <w:r w:rsidR="006644FF" w:rsidRPr="00907FD3">
        <w:t>,</w:t>
      </w:r>
      <w:r w:rsidR="00DA1871" w:rsidRPr="00907FD3">
        <w:t xml:space="preserve"> and </w:t>
      </w:r>
      <w:r w:rsidR="00661447" w:rsidRPr="00907FD3">
        <w:t xml:space="preserve">has been </w:t>
      </w:r>
      <w:r w:rsidR="00DA1871" w:rsidRPr="00907FD3">
        <w:t xml:space="preserve">validated by </w:t>
      </w:r>
      <w:r w:rsidR="00661447" w:rsidRPr="00907FD3">
        <w:t xml:space="preserve">frequent </w:t>
      </w:r>
      <w:r w:rsidR="00DA1871" w:rsidRPr="00907FD3">
        <w:t xml:space="preserve">monitoring events </w:t>
      </w:r>
      <w:r w:rsidR="00661447" w:rsidRPr="00907FD3">
        <w:t>over the four years since</w:t>
      </w:r>
      <w:r w:rsidR="00DA1871" w:rsidRPr="00907FD3">
        <w:t xml:space="preserve"> installation.</w:t>
      </w:r>
      <w:r w:rsidR="00E03342" w:rsidRPr="00907FD3">
        <w:t xml:space="preserve"> Its continued operation is critical to mitigate risk to the WSW.</w:t>
      </w:r>
      <w:r w:rsidR="00DA1871" w:rsidRPr="00907FD3">
        <w:t xml:space="preserve"> Secondly, SVE </w:t>
      </w:r>
      <w:r w:rsidR="00661447" w:rsidRPr="00907FD3">
        <w:t xml:space="preserve">and MPE </w:t>
      </w:r>
      <w:r w:rsidR="00DA1871" w:rsidRPr="00907FD3">
        <w:t>system</w:t>
      </w:r>
      <w:r w:rsidR="00661447" w:rsidRPr="00907FD3">
        <w:t>s</w:t>
      </w:r>
      <w:r w:rsidR="00DA1871" w:rsidRPr="00907FD3">
        <w:t xml:space="preserve"> </w:t>
      </w:r>
      <w:r w:rsidR="00661447" w:rsidRPr="00907FD3">
        <w:t xml:space="preserve">have </w:t>
      </w:r>
      <w:r w:rsidR="00DA1871" w:rsidRPr="00907FD3">
        <w:t xml:space="preserve">been </w:t>
      </w:r>
      <w:r w:rsidR="006644FF" w:rsidRPr="00907FD3">
        <w:t xml:space="preserve">installed </w:t>
      </w:r>
      <w:r w:rsidR="00DA1871" w:rsidRPr="00907FD3">
        <w:t xml:space="preserve">to remove </w:t>
      </w:r>
      <w:r w:rsidR="00661447" w:rsidRPr="00907FD3">
        <w:t>hydrocarbon</w:t>
      </w:r>
      <w:r w:rsidR="006644FF" w:rsidRPr="00907FD3">
        <w:t xml:space="preserve"> </w:t>
      </w:r>
      <w:r w:rsidR="00DA1871" w:rsidRPr="00907FD3">
        <w:t>mass</w:t>
      </w:r>
      <w:r w:rsidR="00661447" w:rsidRPr="00907FD3">
        <w:t xml:space="preserve"> from the source zone</w:t>
      </w:r>
      <w:r w:rsidR="00DA1871" w:rsidRPr="00907FD3">
        <w:t xml:space="preserve">. </w:t>
      </w:r>
      <w:r w:rsidR="006644FF" w:rsidRPr="00907FD3">
        <w:t>The</w:t>
      </w:r>
      <w:r w:rsidR="00DA1871" w:rsidRPr="00907FD3">
        <w:t xml:space="preserve"> sustainability assessment </w:t>
      </w:r>
      <w:r w:rsidR="006644FF" w:rsidRPr="00907FD3">
        <w:t xml:space="preserve">focuses on </w:t>
      </w:r>
      <w:r w:rsidR="00DA1871" w:rsidRPr="00907FD3">
        <w:t>determin</w:t>
      </w:r>
      <w:r w:rsidR="006644FF" w:rsidRPr="00907FD3">
        <w:t>ing</w:t>
      </w:r>
      <w:r w:rsidR="00DA1871" w:rsidRPr="00907FD3">
        <w:t xml:space="preserve"> which techniques </w:t>
      </w:r>
      <w:r w:rsidR="006644FF" w:rsidRPr="00907FD3">
        <w:t xml:space="preserve">are appropriate </w:t>
      </w:r>
      <w:r w:rsidR="00DA1871" w:rsidRPr="00907FD3">
        <w:t xml:space="preserve">to treat the remaining </w:t>
      </w:r>
      <w:r w:rsidR="00661447" w:rsidRPr="00907FD3">
        <w:t xml:space="preserve">residual NAPL and </w:t>
      </w:r>
      <w:r w:rsidR="00DA1871" w:rsidRPr="00907FD3">
        <w:t>dissolved phase contaminants</w:t>
      </w:r>
      <w:r w:rsidR="00661447" w:rsidRPr="00907FD3">
        <w:t xml:space="preserve"> in the source areas</w:t>
      </w:r>
      <w:r w:rsidR="00DA1871" w:rsidRPr="00907FD3">
        <w:t xml:space="preserve">. </w:t>
      </w:r>
      <w:r w:rsidR="00E03342" w:rsidRPr="00907FD3">
        <w:t xml:space="preserve">The rationale is to </w:t>
      </w:r>
      <w:r w:rsidR="00E03342" w:rsidRPr="00907FD3">
        <w:lastRenderedPageBreak/>
        <w:t xml:space="preserve">reduce the magnitude and </w:t>
      </w:r>
      <w:r w:rsidR="005B0F4A" w:rsidRPr="00907FD3">
        <w:t xml:space="preserve">duration of the contaminant flux </w:t>
      </w:r>
      <w:r w:rsidR="00E03342" w:rsidRPr="00907FD3">
        <w:t>into the Chalk aquifer and therefore duration the HCS is active.</w:t>
      </w:r>
    </w:p>
    <w:p w14:paraId="167C581F" w14:textId="2979BFB9" w:rsidR="00DA1871" w:rsidRPr="00907FD3" w:rsidRDefault="008956EC" w:rsidP="008956EC">
      <w:pPr>
        <w:pStyle w:val="Heading2"/>
      </w:pPr>
      <w:r w:rsidRPr="00907FD3">
        <w:t>2.3</w:t>
      </w:r>
      <w:r w:rsidRPr="00907FD3">
        <w:tab/>
      </w:r>
      <w:r w:rsidR="00DA1871" w:rsidRPr="00907FD3">
        <w:t xml:space="preserve">Identified </w:t>
      </w:r>
      <w:r w:rsidR="00607021" w:rsidRPr="00907FD3">
        <w:t>r</w:t>
      </w:r>
      <w:r w:rsidR="00DA1871" w:rsidRPr="00907FD3">
        <w:t xml:space="preserve">emediation </w:t>
      </w:r>
      <w:r w:rsidR="00607021" w:rsidRPr="00907FD3">
        <w:t>o</w:t>
      </w:r>
      <w:r w:rsidR="00DA1871" w:rsidRPr="00907FD3">
        <w:t>ptions</w:t>
      </w:r>
    </w:p>
    <w:p w14:paraId="3B4D4E44" w14:textId="7A728C5F" w:rsidR="00DA1871" w:rsidRPr="00907FD3" w:rsidRDefault="004B6321" w:rsidP="00EC07A3">
      <w:pPr>
        <w:spacing w:line="480" w:lineRule="auto"/>
        <w:jc w:val="both"/>
      </w:pPr>
      <w:r w:rsidRPr="00907FD3">
        <w:t>The zone of contamination covers a surface area of 1500 m</w:t>
      </w:r>
      <w:r w:rsidR="00DA73A3" w:rsidRPr="00907FD3">
        <w:rPr>
          <w:vertAlign w:val="superscript"/>
        </w:rPr>
        <w:t>2</w:t>
      </w:r>
      <w:r w:rsidRPr="00907FD3">
        <w:t xml:space="preserve"> </w:t>
      </w:r>
      <w:r w:rsidR="0093747B" w:rsidRPr="00907FD3">
        <w:t xml:space="preserve">(75 m x 20 m) </w:t>
      </w:r>
      <w:r w:rsidRPr="00907FD3">
        <w:t xml:space="preserve">and extends 6 m below the water table (ca. 7.5 mbgl). </w:t>
      </w:r>
      <w:r w:rsidR="00DA1871" w:rsidRPr="00907FD3">
        <w:t xml:space="preserve">Four </w:t>
      </w:r>
      <w:r w:rsidR="00DA1871" w:rsidRPr="00907FD3">
        <w:rPr>
          <w:i/>
        </w:rPr>
        <w:t>in situ</w:t>
      </w:r>
      <w:r w:rsidR="00DA1871" w:rsidRPr="00907FD3">
        <w:t xml:space="preserve"> remediation technologies have been identified for appraisal, all run concurrently with the HCS:</w:t>
      </w:r>
    </w:p>
    <w:p w14:paraId="1FC0589A" w14:textId="29AEF91D" w:rsidR="00DA1871" w:rsidRPr="00907FD3" w:rsidRDefault="00DA1871" w:rsidP="00EC07A3">
      <w:pPr>
        <w:pStyle w:val="ListParagraph"/>
        <w:numPr>
          <w:ilvl w:val="0"/>
          <w:numId w:val="9"/>
        </w:numPr>
        <w:spacing w:line="480" w:lineRule="auto"/>
        <w:jc w:val="both"/>
      </w:pPr>
      <w:r w:rsidRPr="00907FD3">
        <w:rPr>
          <w:i/>
        </w:rPr>
        <w:t>Monitored Natural Attenuation (MNA)</w:t>
      </w:r>
      <w:r w:rsidRPr="00907FD3">
        <w:t xml:space="preserve"> - MNA </w:t>
      </w:r>
      <w:r w:rsidR="007D7247" w:rsidRPr="00907FD3">
        <w:t>i</w:t>
      </w:r>
      <w:r w:rsidRPr="00907FD3">
        <w:t xml:space="preserve">s the least intensive technique. It is justified on this site as biodegradation </w:t>
      </w:r>
      <w:r w:rsidR="007D7247" w:rsidRPr="00907FD3">
        <w:t xml:space="preserve">of the BTEX and MTBE </w:t>
      </w:r>
      <w:r w:rsidRPr="00907FD3">
        <w:t>is observed in the channel sands aquifer</w:t>
      </w:r>
      <w:r w:rsidR="00854086" w:rsidRPr="00907FD3">
        <w:t xml:space="preserve"> and HCS provides protection to the abstraction well</w:t>
      </w:r>
      <w:r w:rsidRPr="00907FD3">
        <w:t>. Treatment design includes</w:t>
      </w:r>
      <w:r w:rsidRPr="00907FD3">
        <w:rPr>
          <w:lang w:val="en-GB"/>
        </w:rPr>
        <w:t xml:space="preserve"> utili</w:t>
      </w:r>
      <w:r w:rsidR="007D7247" w:rsidRPr="00907FD3">
        <w:rPr>
          <w:lang w:val="en-GB"/>
        </w:rPr>
        <w:t>s</w:t>
      </w:r>
      <w:r w:rsidRPr="00907FD3">
        <w:rPr>
          <w:lang w:val="en-GB"/>
        </w:rPr>
        <w:t>ing</w:t>
      </w:r>
      <w:r w:rsidRPr="00907FD3">
        <w:t xml:space="preserve"> </w:t>
      </w:r>
      <w:r w:rsidR="007D7247" w:rsidRPr="00907FD3">
        <w:t xml:space="preserve">existing </w:t>
      </w:r>
      <w:r w:rsidRPr="00907FD3">
        <w:t>monitoring wells</w:t>
      </w:r>
      <w:r w:rsidR="007D7247" w:rsidRPr="00907FD3">
        <w:t xml:space="preserve">, </w:t>
      </w:r>
      <w:r w:rsidRPr="00907FD3">
        <w:t xml:space="preserve">with four monitoring events in the first year, followed by one </w:t>
      </w:r>
      <w:r w:rsidR="007D7247" w:rsidRPr="00907FD3">
        <w:t xml:space="preserve">in </w:t>
      </w:r>
      <w:r w:rsidRPr="00907FD3">
        <w:t>each subsequent year of operation</w:t>
      </w:r>
      <w:r w:rsidR="00854086" w:rsidRPr="00907FD3">
        <w:t xml:space="preserve">, adopting a lines-of-evidence approach in line with good practice regulatory guidance </w:t>
      </w:r>
      <w:r w:rsidR="001C736A" w:rsidRPr="00907FD3">
        <w:fldChar w:fldCharType="begin" w:fldLock="1"/>
      </w:r>
      <w:r w:rsidR="00C10589" w:rsidRPr="00907FD3">
        <w:instrText>ADDIN CSL_CITATION { "citationItems" : [ { "id" : "ITEM-1", "itemData" : { "ISBN" : "1857052632", "author" : [ { "dropping-particle" : "", "family" : "Carey", "given" : "M. A.", "non-dropping-particle" : "", "parse-names" : false, "suffix" : "" }, { "dropping-particle" : "", "family" : "Finnamore", "given" : "J. R.", "non-dropping-particle" : "", "parse-names" : false, "suffix" : "" }, { "dropping-particle" : "", "family" : "Morrey", "given" : "M. J.", "non-dropping-particle" : "", "parse-names" : false, "suffix" : "" }, { "dropping-particle" : "", "family" : "Marsland", "given" : "P. A.", "non-dropping-particle" : "", "parse-names" : false, "suffix" : "" } ], "container-title" : "Environment Agency", "id" : "ITEM-1", "issued" : { "date-parts" : [ [ "2000" ] ] }, "publisher-place" : "Bristol", "title" : "Guidance on the Assessment and Monitoring of Natural Attentuation of Contaminants in Groundwater", "type" : "report" }, "uris" : [ "http://www.mendeley.com/documents/?uuid=731b48ed-8445-4c44-821f-dcea6614b25a" ] } ], "mendeley" : { "formattedCitation" : "(Carey, Finnamore, Morrey, &amp; Marsland, 2000)", "manualFormatting" : "(EA, 2000)", "plainTextFormattedCitation" : "(Carey, Finnamore, Morrey, &amp; Marsland, 2000)", "previouslyFormattedCitation" : "(Carey, Finnamore, Morrey, &amp; Marsland, 2000)" }, "properties" : { "noteIndex" : 0 }, "schema" : "https://github.com/citation-style-language/schema/raw/master/csl-citation.json" }</w:instrText>
      </w:r>
      <w:r w:rsidR="001C736A" w:rsidRPr="00907FD3">
        <w:fldChar w:fldCharType="separate"/>
      </w:r>
      <w:r w:rsidR="001C736A" w:rsidRPr="00907FD3">
        <w:rPr>
          <w:noProof/>
        </w:rPr>
        <w:t>(EA, 2000)</w:t>
      </w:r>
      <w:r w:rsidR="001C736A" w:rsidRPr="00907FD3">
        <w:fldChar w:fldCharType="end"/>
      </w:r>
    </w:p>
    <w:p w14:paraId="3113D3E1" w14:textId="469AAE63" w:rsidR="00DA1871" w:rsidRPr="00907FD3" w:rsidRDefault="00DA1871" w:rsidP="00F32C65">
      <w:pPr>
        <w:pStyle w:val="ListParagraph"/>
        <w:numPr>
          <w:ilvl w:val="0"/>
          <w:numId w:val="9"/>
        </w:numPr>
        <w:spacing w:line="480" w:lineRule="auto"/>
        <w:jc w:val="both"/>
      </w:pPr>
      <w:r w:rsidRPr="00907FD3">
        <w:rPr>
          <w:i/>
        </w:rPr>
        <w:t xml:space="preserve">Electrokinetic Enhanced Bioremediation (EK-BIO) - </w:t>
      </w:r>
      <w:r w:rsidRPr="00907FD3">
        <w:t xml:space="preserve">The EK-BIO technique is suitable for application to this site due to the physical heterogeneity over the specified range of hydraulic conductivities in the contaminated channel sands aquifer (Gill et al., 2015). The aim is to </w:t>
      </w:r>
      <w:r w:rsidR="00E50BF5" w:rsidRPr="00907FD3">
        <w:t xml:space="preserve">introduce nitrate to supplement the global supply of electron acceptors and directly address the limitation on anaerobic BTEX degradation. </w:t>
      </w:r>
      <w:r w:rsidR="00626633" w:rsidRPr="00907FD3">
        <w:t>This will restrict the mass and dimensions of the BTEX plume and reduce the competition with MTBE for electron acceptors</w:t>
      </w:r>
      <w:r w:rsidR="00EC73DC" w:rsidRPr="00907FD3">
        <w:t xml:space="preserve"> leading to lower mass flux of MTBE into the Chalk aquifer</w:t>
      </w:r>
      <w:r w:rsidR="00626633" w:rsidRPr="00907FD3">
        <w:t xml:space="preserve">. </w:t>
      </w:r>
      <w:r w:rsidRPr="00907FD3">
        <w:t>Electrodes are arranged in a bidirectional configuration with a line of cathodes in the</w:t>
      </w:r>
      <w:r w:rsidRPr="00907FD3">
        <w:rPr>
          <w:lang w:val="en-GB"/>
        </w:rPr>
        <w:t xml:space="preserve"> centre</w:t>
      </w:r>
      <w:r w:rsidRPr="00907FD3">
        <w:t xml:space="preserve"> between two rows of anodes </w:t>
      </w:r>
      <w:r w:rsidR="00DA73A3" w:rsidRPr="00907FD3">
        <w:t xml:space="preserve">(see Figure S.1, and S.2 supporting information) </w:t>
      </w:r>
      <w:r w:rsidRPr="00907FD3">
        <w:t>(Gill et al., 2014). The treatment will be conducted in three phases to accommodate optimal electrode distances. A constant voltage gradient of 50 V m</w:t>
      </w:r>
      <w:r w:rsidRPr="00907FD3">
        <w:rPr>
          <w:vertAlign w:val="superscript"/>
        </w:rPr>
        <w:t>-1</w:t>
      </w:r>
      <w:r w:rsidRPr="00907FD3">
        <w:t xml:space="preserve"> is assumed with a drop </w:t>
      </w:r>
      <w:r w:rsidR="007D7247" w:rsidRPr="00907FD3">
        <w:t xml:space="preserve">of 60% </w:t>
      </w:r>
      <w:r w:rsidRPr="00907FD3">
        <w:t xml:space="preserve">in the zone adjacent to the cathode due to the increase in electrical conductivity from the amendment </w:t>
      </w:r>
      <w:r w:rsidRPr="00907FD3">
        <w:fldChar w:fldCharType="begin" w:fldLock="1"/>
      </w:r>
      <w:r w:rsidR="00C10589" w:rsidRPr="00907FD3">
        <w:instrText>ADDIN CSL_CITATION { "citationItems" : [ { "id" : "ITEM-1", "itemData" : { "DOI" : "10.1016/j.advwatres.2011.11.004", "ISSN" : "03091708", "author" : [ { "dropping-particle" : "", "family" : "Wu", "given" : "Ming Zhi", "non-dropping-particle" : "", "parse-names" : false, "suffix" : "" }, { "dropping-particle" : "", "family" : "Reynolds", "given" : "David a.", "non-dropping-particle" : "", "parse-names" : false, "suffix" : "" }, { "dropping-particle" : "", "family" : "Prommer", "given" : "Henning", "non-dropping-particle" : "", "parse-names" : false, "suffix" : "" }, { "dropping-particle" : "", "family" : "Fourie", "given" : "Andy", "non-dropping-particle" : "", "parse-names" : false, "suffix" : "" }, { "dropping-particle" : "", "family" : "Thomas", "given" : "David G.", "non-dropping-particle" : "", "parse-names" : false, "suffix" : "" } ], "container-title" : "Advances in Water Resources", "id" : "ITEM-1", "issued" : { "date-parts" : [ [ "2012", "3" ] ] }, "note" : "2012b\nmodel accounts for multiple species in the system\nsize of model varies (1m, 10, 25m)\nlinear voltage of 1 Vcm-1 is applied\nV drops at cathode due to high e conductivity = drop in emig - needs to be adjusted to prevent V drop below linear line\n\n\nlag period before V grad drops", "page" : "60-69", "publisher" : "Elsevier Ltd", "title" : "Numerical evaluation of voltage gradient constraints on electrokinetic injection of amendments", "type" : "article-journal", "volume" : "38" }, "uris" : [ "http://www.mendeley.com/documents/?uuid=5f806bb0-5c19-412c-95d9-6140b1049338" ] } ], "mendeley" : { "formattedCitation" : "(M. Z. Wu, Reynolds, Prommer, Fourie, &amp; Thomas, 2012)", "manualFormatting" : "(Wu et al., 2012)", "plainTextFormattedCitation" : "(M. Z. Wu, Reynolds, Prommer, Fourie, &amp; Thomas, 2012)", "previouslyFormattedCitation" : "(M. Z. Wu, Reynolds, Prommer, Fourie, &amp; Thomas, 2012)" }, "properties" : { "noteIndex" : 0 }, "schema" : "https://github.com/citation-style-language/schema/raw/master/csl-citation.json" }</w:instrText>
      </w:r>
      <w:r w:rsidRPr="00907FD3">
        <w:fldChar w:fldCharType="separate"/>
      </w:r>
      <w:r w:rsidRPr="00907FD3">
        <w:rPr>
          <w:noProof/>
        </w:rPr>
        <w:t>(Wu et al., 2012)</w:t>
      </w:r>
      <w:r w:rsidRPr="00907FD3">
        <w:fldChar w:fldCharType="end"/>
      </w:r>
      <w:r w:rsidRPr="00907FD3">
        <w:t xml:space="preserve">. Subsequently, the voltage gradient drop will control the amendment flux </w:t>
      </w:r>
      <w:r w:rsidR="001C736A" w:rsidRPr="00907FD3">
        <w:t>into</w:t>
      </w:r>
      <w:r w:rsidR="00854086" w:rsidRPr="00907FD3">
        <w:t xml:space="preserve"> the system</w:t>
      </w:r>
      <w:r w:rsidRPr="00907FD3">
        <w:t>.</w:t>
      </w:r>
    </w:p>
    <w:p w14:paraId="60B42099" w14:textId="77777777" w:rsidR="00DA1871" w:rsidRPr="00907FD3" w:rsidRDefault="00DA1871" w:rsidP="00EC07A3">
      <w:pPr>
        <w:pStyle w:val="ListParagraph"/>
        <w:numPr>
          <w:ilvl w:val="0"/>
          <w:numId w:val="9"/>
        </w:numPr>
        <w:spacing w:line="480" w:lineRule="auto"/>
        <w:jc w:val="both"/>
      </w:pPr>
      <w:r w:rsidRPr="00907FD3">
        <w:rPr>
          <w:i/>
        </w:rPr>
        <w:lastRenderedPageBreak/>
        <w:t>Air</w:t>
      </w:r>
      <w:r w:rsidRPr="00907FD3">
        <w:rPr>
          <w:i/>
          <w:lang w:val="en-GB"/>
        </w:rPr>
        <w:t xml:space="preserve"> Sparge</w:t>
      </w:r>
      <w:r w:rsidRPr="00907FD3">
        <w:rPr>
          <w:i/>
        </w:rPr>
        <w:t xml:space="preserve"> / Soil</w:t>
      </w:r>
      <w:r w:rsidRPr="00907FD3">
        <w:rPr>
          <w:i/>
          <w:lang w:val="en-GB"/>
        </w:rPr>
        <w:t xml:space="preserve"> Vapour</w:t>
      </w:r>
      <w:r w:rsidRPr="00907FD3">
        <w:rPr>
          <w:i/>
        </w:rPr>
        <w:t xml:space="preserve"> Extraction (AS/SVE) </w:t>
      </w:r>
      <w:r w:rsidRPr="00907FD3">
        <w:t xml:space="preserve">– This technique is suitable because of </w:t>
      </w:r>
      <w:r w:rsidR="00B70796" w:rsidRPr="00907FD3">
        <w:t xml:space="preserve">the </w:t>
      </w:r>
      <w:r w:rsidRPr="00907FD3">
        <w:t>existing SVE infrastructure and pilot</w:t>
      </w:r>
      <w:r w:rsidR="00B70796" w:rsidRPr="00907FD3">
        <w:t>-</w:t>
      </w:r>
      <w:r w:rsidRPr="00907FD3">
        <w:t>scale testing of the AS system indicate the treatment could be effective</w:t>
      </w:r>
      <w:r w:rsidR="001C736A" w:rsidRPr="00907FD3">
        <w:t xml:space="preserve"> for treating the high-K zones on site</w:t>
      </w:r>
      <w:r w:rsidRPr="00907FD3">
        <w:t>. The treatment will be conducted in two phases to accommodate the short AS well radius of influence (</w:t>
      </w:r>
      <w:r w:rsidR="00854086" w:rsidRPr="00907FD3">
        <w:t xml:space="preserve">ca. </w:t>
      </w:r>
      <w:r w:rsidRPr="00907FD3">
        <w:t>3.3 m) and subsequent high number of treatment wells. The treatment module associated with the AS/SVE system is a catalytic oxid</w:t>
      </w:r>
      <w:r w:rsidR="00854086" w:rsidRPr="00907FD3">
        <w:t>ation unit</w:t>
      </w:r>
      <w:r w:rsidRPr="00907FD3">
        <w:t>.</w:t>
      </w:r>
    </w:p>
    <w:p w14:paraId="795380D2" w14:textId="72238519" w:rsidR="00DA1871" w:rsidRPr="00907FD3" w:rsidRDefault="00DA1871" w:rsidP="00EC07A3">
      <w:pPr>
        <w:pStyle w:val="ListParagraph"/>
        <w:numPr>
          <w:ilvl w:val="0"/>
          <w:numId w:val="9"/>
        </w:numPr>
        <w:spacing w:line="480" w:lineRule="auto"/>
        <w:jc w:val="both"/>
      </w:pPr>
      <w:r w:rsidRPr="00907FD3">
        <w:rPr>
          <w:i/>
        </w:rPr>
        <w:t>Pump and Treat (PT)</w:t>
      </w:r>
      <w:r w:rsidRPr="00907FD3">
        <w:t xml:space="preserve"> - This technique is suitable due to the </w:t>
      </w:r>
      <w:r w:rsidR="00B70796" w:rsidRPr="00907FD3">
        <w:t xml:space="preserve">relatively </w:t>
      </w:r>
      <w:r w:rsidRPr="00907FD3">
        <w:t xml:space="preserve">high hydraulic conductivity </w:t>
      </w:r>
      <w:r w:rsidR="00B70796" w:rsidRPr="00907FD3">
        <w:t>of the channel sands and Chalk aquifers</w:t>
      </w:r>
      <w:r w:rsidRPr="00907FD3">
        <w:t>. In addition, M</w:t>
      </w:r>
      <w:r w:rsidR="00B70796" w:rsidRPr="00907FD3">
        <w:t>T</w:t>
      </w:r>
      <w:r w:rsidRPr="00907FD3">
        <w:t>BE is more soluble than other contaminants</w:t>
      </w:r>
      <w:r w:rsidR="00B70796" w:rsidRPr="00907FD3">
        <w:t>, with limited</w:t>
      </w:r>
      <w:r w:rsidRPr="00907FD3">
        <w:t xml:space="preserve"> retardation </w:t>
      </w:r>
      <w:r w:rsidR="00B70796" w:rsidRPr="00907FD3">
        <w:t>by sorption to the aquifer matrix</w:t>
      </w:r>
      <w:r w:rsidRPr="00907FD3">
        <w:t xml:space="preserve">. Two pumping wells with a radius of influence of 20 m </w:t>
      </w:r>
      <w:r w:rsidR="00754A85" w:rsidRPr="00907FD3">
        <w:t xml:space="preserve">are </w:t>
      </w:r>
      <w:r w:rsidRPr="00907FD3">
        <w:t>sufficient to cover the treatment area</w:t>
      </w:r>
      <w:r w:rsidR="0093747B" w:rsidRPr="00907FD3">
        <w:t>, assuming a drawdown of 5% and hydraulic conductivity of 1.5 x 10</w:t>
      </w:r>
      <w:r w:rsidR="0093747B" w:rsidRPr="00907FD3">
        <w:rPr>
          <w:vertAlign w:val="superscript"/>
        </w:rPr>
        <w:t>-5</w:t>
      </w:r>
      <w:r w:rsidR="0093747B" w:rsidRPr="00907FD3">
        <w:t xml:space="preserve"> consistent with the most permeable sections of the channel sands</w:t>
      </w:r>
      <w:r w:rsidRPr="00907FD3">
        <w:t xml:space="preserve">. The treatment modules associated with the PT system </w:t>
      </w:r>
      <w:r w:rsidR="00754A85" w:rsidRPr="00907FD3">
        <w:t xml:space="preserve">comprise </w:t>
      </w:r>
      <w:r w:rsidRPr="00907FD3">
        <w:t>an oil/water separator, air stripper and granulated activated carbon unit.</w:t>
      </w:r>
    </w:p>
    <w:p w14:paraId="1381E011" w14:textId="48AD7980" w:rsidR="005F687A" w:rsidRPr="00907FD3" w:rsidRDefault="00754A85" w:rsidP="00EC07A3">
      <w:pPr>
        <w:spacing w:line="480" w:lineRule="auto"/>
        <w:jc w:val="both"/>
      </w:pPr>
      <w:r w:rsidRPr="00907FD3">
        <w:t>R</w:t>
      </w:r>
      <w:r w:rsidR="00DA1871" w:rsidRPr="00907FD3">
        <w:t>ealistic treatment durations for each technique</w:t>
      </w:r>
      <w:r w:rsidRPr="00907FD3">
        <w:t xml:space="preserve"> have been assigned using sources from site-specific reports and literature values</w:t>
      </w:r>
      <w:r w:rsidR="00DA1871" w:rsidRPr="00907FD3">
        <w:t xml:space="preserve">. </w:t>
      </w:r>
      <w:r w:rsidRPr="00907FD3">
        <w:t>These include</w:t>
      </w:r>
      <w:r w:rsidR="00DA1871" w:rsidRPr="00907FD3">
        <w:t xml:space="preserve"> minimum, medium and maximum value</w:t>
      </w:r>
      <w:r w:rsidRPr="00907FD3">
        <w:t>s</w:t>
      </w:r>
      <w:r w:rsidR="00DA1871" w:rsidRPr="00907FD3">
        <w:t xml:space="preserve"> </w:t>
      </w:r>
      <w:r w:rsidRPr="00907FD3">
        <w:t>(</w:t>
      </w:r>
      <w:r w:rsidR="00DA1871" w:rsidRPr="00907FD3">
        <w:fldChar w:fldCharType="begin"/>
      </w:r>
      <w:r w:rsidR="00DA1871" w:rsidRPr="00907FD3">
        <w:instrText xml:space="preserve"> REF _Ref425235586 \h  \* MERGEFORMAT </w:instrText>
      </w:r>
      <w:r w:rsidR="00DA1871" w:rsidRPr="00907FD3">
        <w:fldChar w:fldCharType="separate"/>
      </w:r>
      <w:r w:rsidR="0047111A" w:rsidRPr="00907FD3">
        <w:t xml:space="preserve">Table </w:t>
      </w:r>
      <w:r w:rsidR="0047111A" w:rsidRPr="00907FD3">
        <w:rPr>
          <w:noProof/>
        </w:rPr>
        <w:t>3</w:t>
      </w:r>
      <w:r w:rsidR="00DA1871" w:rsidRPr="00907FD3">
        <w:fldChar w:fldCharType="end"/>
      </w:r>
      <w:r w:rsidRPr="00907FD3">
        <w:t>)</w:t>
      </w:r>
      <w:r w:rsidR="00B42307" w:rsidRPr="00907FD3">
        <w:t xml:space="preserve">. </w:t>
      </w:r>
      <w:r w:rsidR="00DA1871" w:rsidRPr="00907FD3">
        <w:t xml:space="preserve">A simple electron balance model </w:t>
      </w:r>
      <w:r w:rsidR="00C02FB5" w:rsidRPr="00907FD3">
        <w:t xml:space="preserve">(EBM) </w:t>
      </w:r>
      <w:r w:rsidR="00DA1871" w:rsidRPr="00907FD3">
        <w:t xml:space="preserve">was developed </w:t>
      </w:r>
      <w:r w:rsidR="00C02FB5" w:rsidRPr="00907FD3">
        <w:t xml:space="preserve">(similar to the one in Gill et al. 2014) </w:t>
      </w:r>
      <w:r w:rsidR="00C54069" w:rsidRPr="00907FD3">
        <w:t xml:space="preserve">to inform </w:t>
      </w:r>
      <w:r w:rsidR="006A1BB9" w:rsidRPr="00907FD3">
        <w:t xml:space="preserve">EK-BIO </w:t>
      </w:r>
      <w:r w:rsidR="00C54069" w:rsidRPr="00907FD3">
        <w:t xml:space="preserve">treatment durations and </w:t>
      </w:r>
      <w:r w:rsidR="00B42307" w:rsidRPr="00907FD3">
        <w:t xml:space="preserve">other operational parameters </w:t>
      </w:r>
      <w:r w:rsidRPr="00907FD3">
        <w:t xml:space="preserve">as </w:t>
      </w:r>
      <w:r w:rsidR="00DA1871" w:rsidRPr="00907FD3">
        <w:t>currently no field data</w:t>
      </w:r>
      <w:r w:rsidRPr="00907FD3">
        <w:t xml:space="preserve"> exist</w:t>
      </w:r>
      <w:r w:rsidR="00DA1871" w:rsidRPr="00907FD3">
        <w:t xml:space="preserve"> in the literature </w:t>
      </w:r>
      <w:r w:rsidRPr="00907FD3">
        <w:t xml:space="preserve">for </w:t>
      </w:r>
      <w:r w:rsidR="00DA1871" w:rsidRPr="00907FD3">
        <w:t xml:space="preserve">its application to dissolved phase LNAPL contaminants. </w:t>
      </w:r>
      <w:r w:rsidR="008A558C" w:rsidRPr="00907FD3">
        <w:t xml:space="preserve">An EBM determines the length of time required for </w:t>
      </w:r>
      <w:r w:rsidR="00C54069" w:rsidRPr="00907FD3">
        <w:t xml:space="preserve">the number of </w:t>
      </w:r>
      <w:r w:rsidR="008A558C" w:rsidRPr="00907FD3">
        <w:t>electron acceptors to equal electron donors</w:t>
      </w:r>
      <w:r w:rsidR="00B42307" w:rsidRPr="00907FD3">
        <w:t xml:space="preserve"> (Thornton et al. 2001)</w:t>
      </w:r>
      <w:r w:rsidR="008A558C" w:rsidRPr="00907FD3">
        <w:t xml:space="preserve">, in this example, the nitrate amendment and BTEX and MTBE contaminants represent the electron acceptors and </w:t>
      </w:r>
      <w:r w:rsidR="00B42307" w:rsidRPr="00907FD3">
        <w:t xml:space="preserve">electron </w:t>
      </w:r>
      <w:r w:rsidR="008A558C" w:rsidRPr="00907FD3">
        <w:t>donors respectively.</w:t>
      </w:r>
      <w:r w:rsidR="00C54069" w:rsidRPr="00907FD3">
        <w:t xml:space="preserve"> </w:t>
      </w:r>
      <w:r w:rsidR="00B03B77" w:rsidRPr="00907FD3">
        <w:t>The number of electrons accepted or donated depends on the stoichiometry of each half reaction</w:t>
      </w:r>
      <w:r w:rsidR="00DA73A3" w:rsidRPr="00907FD3">
        <w:t xml:space="preserve"> (see T</w:t>
      </w:r>
      <w:r w:rsidR="001B57E7" w:rsidRPr="00907FD3">
        <w:t>able S.1</w:t>
      </w:r>
      <w:r w:rsidR="003C4912" w:rsidRPr="00907FD3">
        <w:t xml:space="preserve"> in supporting information</w:t>
      </w:r>
      <w:r w:rsidR="001B57E7" w:rsidRPr="00907FD3">
        <w:t>)</w:t>
      </w:r>
      <w:r w:rsidR="00B03B77" w:rsidRPr="00907FD3">
        <w:t>.</w:t>
      </w:r>
      <w:r w:rsidR="003C4912" w:rsidRPr="00907FD3">
        <w:t xml:space="preserve"> </w:t>
      </w:r>
      <w:r w:rsidR="00C54069" w:rsidRPr="00907FD3">
        <w:t>One-dimensional electromigration mass flux equations were applied to simulate nitrate transport into the treatment domain until a sufficient amount had been added to</w:t>
      </w:r>
      <w:r w:rsidR="00C54069" w:rsidRPr="00907FD3">
        <w:rPr>
          <w:lang w:val="en-GB"/>
        </w:rPr>
        <w:t xml:space="preserve"> equalise</w:t>
      </w:r>
      <w:r w:rsidR="00C54069" w:rsidRPr="00907FD3">
        <w:t xml:space="preserve"> the electron donor mass</w:t>
      </w:r>
      <w:r w:rsidR="00DA73A3" w:rsidRPr="00907FD3">
        <w:t xml:space="preserve"> (see Table S.2 and S.3 supporting information)</w:t>
      </w:r>
      <w:r w:rsidR="00C54069" w:rsidRPr="00907FD3">
        <w:t xml:space="preserve"> (Acar and Alshawabkeh 19993). This duration was then added to the length of time required for nitrate to migrate through the treatment domain (Alshawabkeh et al., </w:t>
      </w:r>
      <w:r w:rsidR="00C54069" w:rsidRPr="00907FD3">
        <w:lastRenderedPageBreak/>
        <w:t>1999).</w:t>
      </w:r>
      <w:r w:rsidR="00B42307" w:rsidRPr="00907FD3">
        <w:t xml:space="preserve"> The treatment domain was split into three layers to represent the heterogeneity observed on site, material properties were taken from Gill et al. (2015). </w:t>
      </w:r>
      <w:r w:rsidR="00757416" w:rsidRPr="00907FD3">
        <w:t xml:space="preserve">In the electron balance model BTEX </w:t>
      </w:r>
      <w:r w:rsidR="00190032" w:rsidRPr="00907FD3">
        <w:t>in the channel sands aquifer is</w:t>
      </w:r>
      <w:r w:rsidR="00757416" w:rsidRPr="00907FD3">
        <w:t xml:space="preserve"> assumed to be biodegraded anaerobically using nitrate</w:t>
      </w:r>
      <w:r w:rsidR="00190032" w:rsidRPr="00907FD3">
        <w:t xml:space="preserve"> </w:t>
      </w:r>
      <w:r w:rsidR="005236C0" w:rsidRPr="00907FD3">
        <w:fldChar w:fldCharType="begin" w:fldLock="1"/>
      </w:r>
      <w:r w:rsidR="005236C0" w:rsidRPr="00907FD3">
        <w:instrText>ADDIN CSL_CITATION { "citationItems" : [ { "id" : "ITEM-1", "itemData" : { "author" : [ { "dropping-particle" : "", "family" : "Wiedemeier", "given" : "T.H.", "non-dropping-particle" : "", "parse-names" : false, "suffix" : "" }, { "dropping-particle" : "", "family" : "Rifai", "given" : "H.S.", "non-dropping-particle" : "", "parse-names" : false, "suffix" : "" }, { "dropping-particle" : "", "family" : "Newell", "given" : "C.J.", "non-dropping-particle" : "", "parse-names" : false, "suffix" : "" }, { "dropping-particle" : "", "family" : "Wilson", "given" : "J.T.", "non-dropping-particle" : "", "parse-names" : false, "suffix" : "" } ], "id" : "ITEM-1", "issued" : { "date-parts" : [ [ "1999" ] ] }, "publisher" : "John Wiley &amp; Sons", "publisher-place" : "New York", "title" : "Natural Attenuation of Fuels and Chlorinated Solvents in the Subsurface", "type" : "book" }, "uris" : [ "http://www.mendeley.com/documents/?uuid=7e719f04-06bb-42d5-b106-b2f8fedc88b4" ] } ], "mendeley" : { "formattedCitation" : "(Wiedemeier, Rifai, Newell, &amp; Wilson, 1999)", "manualFormatting" : "(Wiedemeier et al., 1999)", "plainTextFormattedCitation" : "(Wiedemeier, Rifai, Newell, &amp; Wilson, 1999)", "previouslyFormattedCitation" : "(Wiedemeier, Rifai, Newell, &amp; Wilson, 1999)" }, "properties" : { "noteIndex" : 0 }, "schema" : "https://github.com/citation-style-language/schema/raw/master/csl-citation.json" }</w:instrText>
      </w:r>
      <w:r w:rsidR="005236C0" w:rsidRPr="00907FD3">
        <w:fldChar w:fldCharType="separate"/>
      </w:r>
      <w:r w:rsidR="005236C0" w:rsidRPr="00907FD3">
        <w:rPr>
          <w:noProof/>
        </w:rPr>
        <w:t>(Wiedemeier et al., 1999)</w:t>
      </w:r>
      <w:r w:rsidR="005236C0" w:rsidRPr="00907FD3">
        <w:fldChar w:fldCharType="end"/>
      </w:r>
      <w:r w:rsidR="00757416" w:rsidRPr="00907FD3">
        <w:t>.</w:t>
      </w:r>
      <w:r w:rsidR="00190032" w:rsidRPr="00907FD3">
        <w:t xml:space="preserve"> A</w:t>
      </w:r>
      <w:r w:rsidR="00757416" w:rsidRPr="00907FD3">
        <w:t xml:space="preserve">naerobic respiration of MTBE using nitrate </w:t>
      </w:r>
      <w:r w:rsidR="00190032" w:rsidRPr="00907FD3">
        <w:t xml:space="preserve">has been demonstrated </w:t>
      </w:r>
      <w:r w:rsidR="005236C0" w:rsidRPr="00907FD3">
        <w:fldChar w:fldCharType="begin" w:fldLock="1"/>
      </w:r>
      <w:r w:rsidR="005236C0" w:rsidRPr="00907FD3">
        <w:instrText>ADDIN CSL_CITATION { "citationItems" : [ { "id" : "ITEM-1", "itemData" : { "DOI" : "10.1021/es990062t", "ISBN" : "0013-936X", "ISSN" : "0013936X", "abstract" : "Microorganisms indigenous to the stream-bed sediments at two gasoline-contaminated groundwater sites demonstrated significant mineralization of the fuel oxygenates, methyl tert-butyl ether (MTBE) and tert-butyl alcohol (TBA). Up to 73% of [U-C-14]-MTBE and 84% of [U-C-14]-TBA were degraded to (CO2)-C-14 under mixed aerobic/anaerobic conditions. No significant mineralization was observed under strictly anaerobic conditions. The results indicate that, under the mixed aerobic/anaerobic conditions characteristic of stream-bed sediments, microbial processes may provide a significant environmental sink for MTBE and TBA delivered to surface water bodies by contaminated groundwater or by other sources.", "author" : [ { "dropping-particle" : "", "family" : "Bradley", "given" : "Paul M.", "non-dropping-particle" : "", "parse-names" : false, "suffix" : "" }, { "dropping-particle" : "", "family" : "Landmeyer", "given" : "James E.", "non-dropping-particle" : "", "parse-names" : false, "suffix" : "" }, { "dropping-particle" : "", "family" : "Chapelle", "given" : "Francis H.", "non-dropping-particle" : "", "parse-names" : false, "suffix" : "" } ], "container-title" : "Environmental Science and Technology", "id" : "ITEM-1", "issue" : "11", "issued" : { "date-parts" : [ [ "1999" ] ] }, "page" : "1877-1879", "title" : "Aerobic mineralization of MTBE and tert-butyl alcohol by stream-bed sediment microorganisms", "type" : "article-journal", "volume" : "33" }, "uris" : [ "http://www.mendeley.com/documents/?uuid=06aeb4dc-e8ed-4832-80d0-7861560a3239" ] }, { "id" : "ITEM-2", "itemData" : { "DOI" : "10.1021/es010794x", "ISBN" : "0013-936X", "ISSN" : "0013-936X", "PMID" : "11770765", "abstract" : "Microbial degradation of methyl tert-butyl ether (MTBE) was observed in surface water-sediment microcosms under anaerobic conditions. The efficiency and products of anaerobic MTBE biodegradation were dependent on the predominant terminal electron-accepting conditions. In the presence of substantial methanogenic activity, MTBE biodegradation was nominal and involved reduction of MTBE to the toxic product, tert-butyl alcohol (TBA). In the absence of significant methanogenic activity, accumulation of [C-14]TBA generally decreased, and mineralization of [U-C-14]MTBE to (CO2)-C-14 generally increased as the oxidative potential of the predominant terminal electron acceptor increased in the order of SO4, Fe(III), Mn(IV) &lt; NO3 &lt; O-2. Microbial mineralization of MTBE to CO2 under Mn(IV)or SO4-reducing conditions has not been reported previously. The results of this study indicate that microorganisms inhabiting the sediments of streams and lakes can degrade MTBE effectively under a range of anaerobic terminal electron-accepting conditions. Thus, anaerobic bed sediment microbial processes may provide a significant environmental sink for MTBE in surface water systems throughout the United States.", "author" : [ { "dropping-particle" : "", "family" : "Bradley", "given" : "Paul M", "non-dropping-particle" : "", "parse-names" : false, "suffix" : "" }, { "dropping-particle" : "", "family" : "Chapelle", "given" : "Francis H", "non-dropping-particle" : "", "parse-names" : false, "suffix" : "" }, { "dropping-particle" : "", "family" : "Landmeyer", "given" : "James E", "non-dropping-particle" : "", "parse-names" : false, "suffix" : "" } ], "container-title" : "Environmental Science &amp; Technology", "id" : "ITEM-2", "issue" : "23", "issued" : { "date-parts" : [ [ "2001" ] ] }, "page" : "4643-4647", "title" : "Effect of Redox Conditions on MTBE Biodegradation in Surface Water Sediments", "type" : "article-journal", "volume" : "35" }, "uris" : [ "http://www.mendeley.com/documents/?uuid=568877a5-c740-4651-ab0d-dddf1f5f4aeb" ] } ], "mendeley" : { "formattedCitation" : "(Bradley, Chapelle, &amp; Landmeyer, 2001; Bradley, Landmeyer, &amp; Chapelle, 1999)", "manualFormatting" : "(Bradley et al., 2001; Bradley et al., 1999)", "plainTextFormattedCitation" : "(Bradley, Chapelle, &amp; Landmeyer, 2001; Bradley, Landmeyer, &amp; Chapelle, 1999)", "previouslyFormattedCitation" : "(Bradley, Chapelle, &amp; Landmeyer, 2001; Bradley, Landmeyer, &amp; Chapelle, 1999)" }, "properties" : { "noteIndex" : 0 }, "schema" : "https://github.com/citation-style-language/schema/raw/master/csl-citation.json" }</w:instrText>
      </w:r>
      <w:r w:rsidR="005236C0" w:rsidRPr="00907FD3">
        <w:fldChar w:fldCharType="separate"/>
      </w:r>
      <w:r w:rsidR="005236C0" w:rsidRPr="00907FD3">
        <w:rPr>
          <w:noProof/>
        </w:rPr>
        <w:t>(Bradley et al., 2001; Bradley et al., 1999)</w:t>
      </w:r>
      <w:r w:rsidR="005236C0" w:rsidRPr="00907FD3">
        <w:fldChar w:fldCharType="end"/>
      </w:r>
      <w:r w:rsidR="00190032" w:rsidRPr="00907FD3">
        <w:t>, but</w:t>
      </w:r>
      <w:r w:rsidR="00757416" w:rsidRPr="00907FD3">
        <w:t xml:space="preserve"> cannot be proven at the site</w:t>
      </w:r>
      <w:r w:rsidR="00190032" w:rsidRPr="00907FD3">
        <w:t xml:space="preserve"> from the groundwater quality data</w:t>
      </w:r>
      <w:r w:rsidR="00757416" w:rsidRPr="00907FD3">
        <w:t>. Instead, MTBE is assumed to be aerobically biodegraded to TBA in the Chal</w:t>
      </w:r>
      <w:r w:rsidR="00E526B5" w:rsidRPr="00907FD3">
        <w:t>k</w:t>
      </w:r>
      <w:r w:rsidR="00757416" w:rsidRPr="00907FD3">
        <w:t xml:space="preserve"> aquifer</w:t>
      </w:r>
      <w:r w:rsidR="00190032" w:rsidRPr="00907FD3">
        <w:t xml:space="preserve"> </w:t>
      </w:r>
      <w:r w:rsidR="005F687A" w:rsidRPr="00907FD3">
        <w:fldChar w:fldCharType="begin" w:fldLock="1"/>
      </w:r>
      <w:r w:rsidR="005F687A" w:rsidRPr="00907FD3">
        <w:instrText>ADDIN CSL_CITATION { "citationItems" : [ { "id" : "ITEM-1", "itemData" : { "DOI" : "10.1016/j.jconhyd.2005.06.003", "ISSN" : "0169-7722", "PMID" : "16076511", "abstract" : "Hydrochemical data, compound specific carbon isotope analysis and isotopic enrichment trends in dissolved hydrocarbons and residual electron acceptors have been used to deduce BTEX and MTBE degradation pathways in a fractured chalk aquifer. BTEX compounds are mineralised sequentially within specific redox environments, with changes in electron acceptor utilisation being defined by the exhaustion of specific BTEX components. A zone of oxygen and nitrate exhaustion extends approximately 100 m downstream from the plume source, with residual sulphate, toluene, ethylbenzene and xylene. Within this zone complete removal of the TEX components occurs by bacterial sulphate reduction, with sulphur and oxygen isotopic enrichment of residual sulphate (epsilon(s) = -14.4 per thousand to -16.0 per thousand). Towards the plume margins and at greater distance along the plume flow path nitrate concentrations increase with delta15N values of up to +40 per thousand indicating extensive denitrification. Benzene and MTBE persist into the denitrification zone, with carbon isotope enrichment of benzene indicating biodegradation along the flow path. A Rayleigh kinetic isotope enrichment model for 13C-enrichment of residual benzene gives an apparent epsilon value of -0.66 per thousand. MTBE shows no significant isotopic enrichment (delta13C = -29.3 per thousand to -30.7 per thousand) and is isotopically similar to a refinery sample (delta13C = -30.1 per thousand). No significant isotopic variation in dissolved MTBE implies that either the magnitude of any biodegradation-induced isotopic fractionation is small, or that relatively little degradation has taken place in the presence of BTEX hydrocarbons. It is possible, however, that MTBE degradation occurs under aerobic conditions in the absence of BTEX since no groundwater samples were taken with co-existing MTBE and oxygen. Low benzene delta13C values are correlated with high sulphate delta34S, indicating that little benzene degradation has occurred in the sulphate reduction zone. Benzene degradation may be associated with denitrification since increased benzene delta13C is associated with increased delta15N in residual nitrate. Re-supply of electron acceptors by diffusion from the matrix into fractures and dispersive mixing is an important constraint on degradation rates and natural attenuation capacity in this dual-porosity aquifer.", "author" : [ { "dropping-particle" : "", "family" : "Spence", "given" : "Michael J", "non-dropping-particle" : "", "parse-names" : false, "suffix" : "" }, { "dropping-particle" : "", "family" : "Bottrell", "given" : "Simon H", "non-dropping-particle" : "", "parse-names" : false, "suffix" : "" }, { "dropping-particle" : "", "family" : "Thornton", "given" : "Steven F", "non-dropping-particle" : "", "parse-names" : false, "suffix" : "" }, { "dropping-particle" : "", "family" : "Richnow", "given" : "Hans H", "non-dropping-particle" : "", "parse-names" : false, "suffix" : "" }, { "dropping-particle" : "", "family" : "Spence", "given" : "Keith H", "non-dropping-particle" : "", "parse-names" : false, "suffix" : "" } ], "container-title" : "Journal of contaminant hydrology", "id" : "ITEM-1", "issue" : "1-2", "issued" : { "date-parts" : [ [ "2005", "9" ] ] }, "page" : "67-88", "title" : "Hydrochemical and isotopic effects associated with petroleum fuel biodegradation pathways in a chalk aquifer.", "type" : "article-journal", "volume" : "79" }, "uris" : [ "http://www.mendeley.com/documents/?uuid=f0936e80-e356-4ab7-9109-f53e32fbad08" ] } ], "mendeley" : { "formattedCitation" : "(Spence, Bottrell, Thornton, Richnow, &amp; Spence, 2005)", "manualFormatting" : "(Spence et al., 2005)", "plainTextFormattedCitation" : "(Spence, Bottrell, Thornton, Richnow, &amp; Spence, 2005)", "previouslyFormattedCitation" : "(Spence, Bottrell, Thornton, Richnow, &amp; Spence, 2005)" }, "properties" : { "noteIndex" : 0 }, "schema" : "https://github.com/citation-style-language/schema/raw/master/csl-citation.json" }</w:instrText>
      </w:r>
      <w:r w:rsidR="005F687A" w:rsidRPr="00907FD3">
        <w:fldChar w:fldCharType="separate"/>
      </w:r>
      <w:r w:rsidR="005F687A" w:rsidRPr="00907FD3">
        <w:rPr>
          <w:noProof/>
        </w:rPr>
        <w:t>(Spence et al., 2005)</w:t>
      </w:r>
      <w:r w:rsidR="005F687A" w:rsidRPr="00907FD3">
        <w:fldChar w:fldCharType="end"/>
      </w:r>
      <w:r w:rsidR="00757416" w:rsidRPr="00907FD3">
        <w:t>. In this way, the EK-BIO treatment is used to enhance the nitrate flux for BTEX biodegradation, allowing aerobic respiration of MTBE further down</w:t>
      </w:r>
      <w:r w:rsidR="007B40B5" w:rsidRPr="00907FD3">
        <w:t>-</w:t>
      </w:r>
      <w:r w:rsidR="00757416" w:rsidRPr="00907FD3">
        <w:t xml:space="preserve">gradient in the </w:t>
      </w:r>
      <w:r w:rsidR="00E526B5" w:rsidRPr="00907FD3">
        <w:t>sand and Chalk</w:t>
      </w:r>
      <w:r w:rsidR="00757416" w:rsidRPr="00907FD3">
        <w:t xml:space="preserve"> aquifer</w:t>
      </w:r>
      <w:r w:rsidR="00E526B5" w:rsidRPr="00907FD3">
        <w:t>s</w:t>
      </w:r>
      <w:r w:rsidR="00757416" w:rsidRPr="00907FD3">
        <w:t xml:space="preserve">. </w:t>
      </w:r>
    </w:p>
    <w:p w14:paraId="787DB5AD" w14:textId="31CB1F7A" w:rsidR="00DA1871" w:rsidRPr="00907FD3" w:rsidRDefault="00D81878" w:rsidP="00EC07A3">
      <w:pPr>
        <w:spacing w:line="480" w:lineRule="auto"/>
        <w:jc w:val="both"/>
      </w:pPr>
      <w:r w:rsidRPr="00907FD3">
        <w:rPr>
          <w:noProof/>
          <w:lang w:val="en-GB" w:eastAsia="en-GB"/>
        </w:rPr>
        <mc:AlternateContent>
          <mc:Choice Requires="wps">
            <w:drawing>
              <wp:anchor distT="45720" distB="45720" distL="114300" distR="114300" simplePos="0" relativeHeight="251665408" behindDoc="0" locked="0" layoutInCell="1" allowOverlap="1" wp14:anchorId="2EDDA2B8" wp14:editId="5310E034">
                <wp:simplePos x="0" y="0"/>
                <wp:positionH relativeFrom="column">
                  <wp:posOffset>-47625</wp:posOffset>
                </wp:positionH>
                <wp:positionV relativeFrom="paragraph">
                  <wp:posOffset>2345055</wp:posOffset>
                </wp:positionV>
                <wp:extent cx="5829300" cy="23241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324100"/>
                        </a:xfrm>
                        <a:prstGeom prst="rect">
                          <a:avLst/>
                        </a:prstGeom>
                        <a:solidFill>
                          <a:srgbClr val="FFFFFF"/>
                        </a:solidFill>
                        <a:ln w="9525">
                          <a:noFill/>
                          <a:miter lim="800000"/>
                          <a:headEnd/>
                          <a:tailEnd/>
                        </a:ln>
                      </wps:spPr>
                      <wps:txbx>
                        <w:txbxContent>
                          <w:p w14:paraId="273878F7" w14:textId="4DFE39CA" w:rsidR="00BF7A0C" w:rsidRPr="00EC07A3" w:rsidRDefault="00BF7A0C" w:rsidP="00D81878">
                            <w:pPr>
                              <w:pStyle w:val="Caption"/>
                              <w:rPr>
                                <w:b/>
                              </w:rPr>
                            </w:pPr>
                            <w:bookmarkStart w:id="6" w:name="_Ref425235586"/>
                            <w:r w:rsidRPr="00EC07A3">
                              <w:t xml:space="preserve">Table </w:t>
                            </w:r>
                            <w:r w:rsidRPr="00EC07A3">
                              <w:rPr>
                                <w:b/>
                              </w:rPr>
                              <w:fldChar w:fldCharType="begin"/>
                            </w:r>
                            <w:r w:rsidRPr="00EC07A3">
                              <w:instrText xml:space="preserve"> SEQ Table \* ARABIC </w:instrText>
                            </w:r>
                            <w:r w:rsidRPr="00EC07A3">
                              <w:rPr>
                                <w:b/>
                              </w:rPr>
                              <w:fldChar w:fldCharType="separate"/>
                            </w:r>
                            <w:r>
                              <w:rPr>
                                <w:noProof/>
                              </w:rPr>
                              <w:t>3</w:t>
                            </w:r>
                            <w:r w:rsidRPr="00EC07A3">
                              <w:rPr>
                                <w:b/>
                              </w:rPr>
                              <w:fldChar w:fldCharType="end"/>
                            </w:r>
                            <w:bookmarkEnd w:id="6"/>
                            <w:r w:rsidRPr="00EC07A3">
                              <w:t>. Summary of treatment durations and calculation method used to inform the sustainability assessment.</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
                              <w:gridCol w:w="1469"/>
                              <w:gridCol w:w="904"/>
                              <w:gridCol w:w="990"/>
                              <w:gridCol w:w="874"/>
                              <w:gridCol w:w="3147"/>
                            </w:tblGrid>
                            <w:tr w:rsidR="00BF7A0C" w:rsidRPr="00B5705B" w14:paraId="06316D39" w14:textId="77777777" w:rsidTr="00D81878">
                              <w:trPr>
                                <w:trHeight w:val="170"/>
                                <w:jc w:val="center"/>
                              </w:trPr>
                              <w:tc>
                                <w:tcPr>
                                  <w:tcW w:w="975" w:type="dxa"/>
                                  <w:vMerge w:val="restart"/>
                                </w:tcPr>
                                <w:p w14:paraId="3C8571C0" w14:textId="77777777" w:rsidR="00BF7A0C" w:rsidRPr="00B5705B" w:rsidRDefault="00BF7A0C" w:rsidP="00D81878">
                                  <w:pPr>
                                    <w:spacing w:after="0" w:line="240" w:lineRule="auto"/>
                                    <w:jc w:val="both"/>
                                    <w:rPr>
                                      <w:b/>
                                    </w:rPr>
                                  </w:pPr>
                                  <w:r w:rsidRPr="00B5705B">
                                    <w:rPr>
                                      <w:b/>
                                    </w:rPr>
                                    <w:t>Option Number</w:t>
                                  </w:r>
                                </w:p>
                              </w:tc>
                              <w:tc>
                                <w:tcPr>
                                  <w:tcW w:w="1469" w:type="dxa"/>
                                  <w:vMerge w:val="restart"/>
                                </w:tcPr>
                                <w:p w14:paraId="6669A5CE" w14:textId="77777777" w:rsidR="00BF7A0C" w:rsidRPr="00B5705B" w:rsidRDefault="00BF7A0C" w:rsidP="00D81878">
                                  <w:pPr>
                                    <w:spacing w:after="0" w:line="240" w:lineRule="auto"/>
                                    <w:jc w:val="both"/>
                                    <w:rPr>
                                      <w:b/>
                                    </w:rPr>
                                  </w:pPr>
                                  <w:r w:rsidRPr="00B5705B">
                                    <w:rPr>
                                      <w:b/>
                                    </w:rPr>
                                    <w:t>Remediation Option</w:t>
                                  </w:r>
                                </w:p>
                              </w:tc>
                              <w:tc>
                                <w:tcPr>
                                  <w:tcW w:w="2768" w:type="dxa"/>
                                  <w:gridSpan w:val="3"/>
                                </w:tcPr>
                                <w:p w14:paraId="7E0ACA44" w14:textId="77777777" w:rsidR="00BF7A0C" w:rsidRPr="00B5705B" w:rsidRDefault="00BF7A0C" w:rsidP="00D81878">
                                  <w:pPr>
                                    <w:spacing w:after="0" w:line="240" w:lineRule="auto"/>
                                    <w:jc w:val="center"/>
                                    <w:rPr>
                                      <w:b/>
                                    </w:rPr>
                                  </w:pPr>
                                  <w:r w:rsidRPr="00B5705B">
                                    <w:rPr>
                                      <w:b/>
                                    </w:rPr>
                                    <w:t>Treatment Duration Range</w:t>
                                  </w:r>
                                  <w:r>
                                    <w:rPr>
                                      <w:b/>
                                    </w:rPr>
                                    <w:t xml:space="preserve"> (years)</w:t>
                                  </w:r>
                                </w:p>
                              </w:tc>
                              <w:tc>
                                <w:tcPr>
                                  <w:tcW w:w="3147" w:type="dxa"/>
                                  <w:vMerge w:val="restart"/>
                                </w:tcPr>
                                <w:p w14:paraId="7EFE8B42" w14:textId="77777777" w:rsidR="00BF7A0C" w:rsidRPr="00B5705B" w:rsidRDefault="00BF7A0C" w:rsidP="00D81878">
                                  <w:pPr>
                                    <w:spacing w:after="0" w:line="240" w:lineRule="auto"/>
                                    <w:jc w:val="both"/>
                                    <w:rPr>
                                      <w:b/>
                                    </w:rPr>
                                  </w:pPr>
                                  <w:r w:rsidRPr="00B5705B">
                                    <w:rPr>
                                      <w:b/>
                                    </w:rPr>
                                    <w:t>Calculation method</w:t>
                                  </w:r>
                                </w:p>
                              </w:tc>
                            </w:tr>
                            <w:tr w:rsidR="00BF7A0C" w:rsidRPr="00B5705B" w14:paraId="53E1C607" w14:textId="77777777" w:rsidTr="00D81878">
                              <w:trPr>
                                <w:trHeight w:val="93"/>
                                <w:jc w:val="center"/>
                              </w:trPr>
                              <w:tc>
                                <w:tcPr>
                                  <w:tcW w:w="975" w:type="dxa"/>
                                  <w:vMerge/>
                                </w:tcPr>
                                <w:p w14:paraId="3137DC21" w14:textId="77777777" w:rsidR="00BF7A0C" w:rsidRPr="00B5705B" w:rsidRDefault="00BF7A0C" w:rsidP="00D81878">
                                  <w:pPr>
                                    <w:spacing w:after="0" w:line="240" w:lineRule="auto"/>
                                    <w:jc w:val="both"/>
                                  </w:pPr>
                                </w:p>
                              </w:tc>
                              <w:tc>
                                <w:tcPr>
                                  <w:tcW w:w="1469" w:type="dxa"/>
                                  <w:vMerge/>
                                </w:tcPr>
                                <w:p w14:paraId="4704AF36" w14:textId="77777777" w:rsidR="00BF7A0C" w:rsidRPr="00B5705B" w:rsidRDefault="00BF7A0C" w:rsidP="00D81878">
                                  <w:pPr>
                                    <w:spacing w:after="0" w:line="240" w:lineRule="auto"/>
                                    <w:jc w:val="both"/>
                                  </w:pPr>
                                </w:p>
                              </w:tc>
                              <w:tc>
                                <w:tcPr>
                                  <w:tcW w:w="904" w:type="dxa"/>
                                </w:tcPr>
                                <w:p w14:paraId="19C28090" w14:textId="77777777" w:rsidR="00BF7A0C" w:rsidRPr="00B5705B" w:rsidRDefault="00BF7A0C" w:rsidP="00D81878">
                                  <w:pPr>
                                    <w:spacing w:after="0" w:line="240" w:lineRule="auto"/>
                                    <w:jc w:val="both"/>
                                    <w:rPr>
                                      <w:b/>
                                    </w:rPr>
                                  </w:pPr>
                                  <w:r w:rsidRPr="00B5705B">
                                    <w:rPr>
                                      <w:b/>
                                    </w:rPr>
                                    <w:t>Min</w:t>
                                  </w:r>
                                </w:p>
                              </w:tc>
                              <w:tc>
                                <w:tcPr>
                                  <w:tcW w:w="990" w:type="dxa"/>
                                </w:tcPr>
                                <w:p w14:paraId="55CAD4E6" w14:textId="77777777" w:rsidR="00BF7A0C" w:rsidRPr="00B5705B" w:rsidRDefault="00BF7A0C" w:rsidP="00D81878">
                                  <w:pPr>
                                    <w:spacing w:after="0" w:line="240" w:lineRule="auto"/>
                                    <w:jc w:val="both"/>
                                    <w:rPr>
                                      <w:b/>
                                    </w:rPr>
                                  </w:pPr>
                                  <w:r w:rsidRPr="00B5705B">
                                    <w:rPr>
                                      <w:b/>
                                    </w:rPr>
                                    <w:t>Med</w:t>
                                  </w:r>
                                </w:p>
                              </w:tc>
                              <w:tc>
                                <w:tcPr>
                                  <w:tcW w:w="874" w:type="dxa"/>
                                </w:tcPr>
                                <w:p w14:paraId="61566B6C" w14:textId="77777777" w:rsidR="00BF7A0C" w:rsidRPr="00B5705B" w:rsidRDefault="00BF7A0C" w:rsidP="00D81878">
                                  <w:pPr>
                                    <w:spacing w:after="0" w:line="240" w:lineRule="auto"/>
                                    <w:jc w:val="both"/>
                                    <w:rPr>
                                      <w:b/>
                                    </w:rPr>
                                  </w:pPr>
                                  <w:r w:rsidRPr="00B5705B">
                                    <w:rPr>
                                      <w:b/>
                                    </w:rPr>
                                    <w:t>Max</w:t>
                                  </w:r>
                                </w:p>
                              </w:tc>
                              <w:tc>
                                <w:tcPr>
                                  <w:tcW w:w="3147" w:type="dxa"/>
                                  <w:vMerge/>
                                </w:tcPr>
                                <w:p w14:paraId="4B63EF57" w14:textId="77777777" w:rsidR="00BF7A0C" w:rsidRPr="00B5705B" w:rsidRDefault="00BF7A0C" w:rsidP="00D81878">
                                  <w:pPr>
                                    <w:spacing w:after="0" w:line="240" w:lineRule="auto"/>
                                    <w:jc w:val="both"/>
                                  </w:pPr>
                                </w:p>
                              </w:tc>
                            </w:tr>
                            <w:tr w:rsidR="00BF7A0C" w:rsidRPr="00B5705B" w14:paraId="5A7DD2C3" w14:textId="77777777" w:rsidTr="00D81878">
                              <w:trPr>
                                <w:trHeight w:val="347"/>
                                <w:jc w:val="center"/>
                              </w:trPr>
                              <w:tc>
                                <w:tcPr>
                                  <w:tcW w:w="975" w:type="dxa"/>
                                </w:tcPr>
                                <w:p w14:paraId="1776EA30" w14:textId="77777777" w:rsidR="00BF7A0C" w:rsidRPr="00B5705B" w:rsidRDefault="00BF7A0C" w:rsidP="00D81878">
                                  <w:pPr>
                                    <w:spacing w:after="0" w:line="240" w:lineRule="auto"/>
                                    <w:jc w:val="both"/>
                                  </w:pPr>
                                  <w:r w:rsidRPr="00B5705B">
                                    <w:t>1</w:t>
                                  </w:r>
                                </w:p>
                              </w:tc>
                              <w:tc>
                                <w:tcPr>
                                  <w:tcW w:w="1469" w:type="dxa"/>
                                </w:tcPr>
                                <w:p w14:paraId="4802FFA4" w14:textId="77777777" w:rsidR="00BF7A0C" w:rsidRPr="00B5705B" w:rsidRDefault="00BF7A0C" w:rsidP="00D81878">
                                  <w:pPr>
                                    <w:spacing w:after="0" w:line="240" w:lineRule="auto"/>
                                    <w:jc w:val="both"/>
                                  </w:pPr>
                                  <w:r w:rsidRPr="00B5705B">
                                    <w:t>MNA + HCS</w:t>
                                  </w:r>
                                </w:p>
                              </w:tc>
                              <w:tc>
                                <w:tcPr>
                                  <w:tcW w:w="904" w:type="dxa"/>
                                </w:tcPr>
                                <w:p w14:paraId="36160601" w14:textId="77777777" w:rsidR="00BF7A0C" w:rsidRPr="00B5705B" w:rsidRDefault="00BF7A0C" w:rsidP="00D81878">
                                  <w:pPr>
                                    <w:spacing w:after="0" w:line="240" w:lineRule="auto"/>
                                    <w:jc w:val="both"/>
                                  </w:pPr>
                                  <w:r w:rsidRPr="00B5705B">
                                    <w:t>15</w:t>
                                  </w:r>
                                </w:p>
                              </w:tc>
                              <w:tc>
                                <w:tcPr>
                                  <w:tcW w:w="990" w:type="dxa"/>
                                </w:tcPr>
                                <w:p w14:paraId="05F11C86" w14:textId="77777777" w:rsidR="00BF7A0C" w:rsidRPr="00B5705B" w:rsidRDefault="00BF7A0C" w:rsidP="00D81878">
                                  <w:pPr>
                                    <w:spacing w:after="0" w:line="240" w:lineRule="auto"/>
                                    <w:jc w:val="both"/>
                                  </w:pPr>
                                  <w:r w:rsidRPr="00B5705B">
                                    <w:t>20</w:t>
                                  </w:r>
                                </w:p>
                              </w:tc>
                              <w:tc>
                                <w:tcPr>
                                  <w:tcW w:w="874" w:type="dxa"/>
                                </w:tcPr>
                                <w:p w14:paraId="0DDFF116" w14:textId="77777777" w:rsidR="00BF7A0C" w:rsidRPr="00B5705B" w:rsidRDefault="00BF7A0C" w:rsidP="00D81878">
                                  <w:pPr>
                                    <w:spacing w:after="0" w:line="240" w:lineRule="auto"/>
                                    <w:jc w:val="both"/>
                                  </w:pPr>
                                  <w:r w:rsidRPr="00B5705B">
                                    <w:t>25</w:t>
                                  </w:r>
                                </w:p>
                              </w:tc>
                              <w:tc>
                                <w:tcPr>
                                  <w:tcW w:w="3147" w:type="dxa"/>
                                </w:tcPr>
                                <w:p w14:paraId="63309981" w14:textId="77777777" w:rsidR="00BF7A0C" w:rsidRPr="00B5705B" w:rsidRDefault="00BF7A0C" w:rsidP="00D81878">
                                  <w:pPr>
                                    <w:spacing w:after="0" w:line="240" w:lineRule="auto"/>
                                    <w:jc w:val="both"/>
                                  </w:pPr>
                                  <w:r w:rsidRPr="00B5705B">
                                    <w:t>Site reports and modelling study</w:t>
                                  </w:r>
                                </w:p>
                              </w:tc>
                            </w:tr>
                            <w:tr w:rsidR="00BF7A0C" w:rsidRPr="00B5705B" w14:paraId="32F76C96" w14:textId="77777777" w:rsidTr="00D81878">
                              <w:trPr>
                                <w:trHeight w:val="257"/>
                                <w:jc w:val="center"/>
                              </w:trPr>
                              <w:tc>
                                <w:tcPr>
                                  <w:tcW w:w="975" w:type="dxa"/>
                                </w:tcPr>
                                <w:p w14:paraId="280B6812" w14:textId="77777777" w:rsidR="00BF7A0C" w:rsidRPr="00B5705B" w:rsidRDefault="00BF7A0C" w:rsidP="00D81878">
                                  <w:pPr>
                                    <w:spacing w:after="0" w:line="240" w:lineRule="auto"/>
                                    <w:jc w:val="both"/>
                                  </w:pPr>
                                  <w:r w:rsidRPr="00B5705B">
                                    <w:t>2</w:t>
                                  </w:r>
                                </w:p>
                              </w:tc>
                              <w:tc>
                                <w:tcPr>
                                  <w:tcW w:w="1469" w:type="dxa"/>
                                </w:tcPr>
                                <w:p w14:paraId="58A43D39" w14:textId="77777777" w:rsidR="00BF7A0C" w:rsidRPr="00B5705B" w:rsidRDefault="00BF7A0C" w:rsidP="00D81878">
                                  <w:pPr>
                                    <w:spacing w:after="0" w:line="240" w:lineRule="auto"/>
                                    <w:jc w:val="both"/>
                                  </w:pPr>
                                  <w:r w:rsidRPr="00B5705B">
                                    <w:t>EK</w:t>
                                  </w:r>
                                  <w:r>
                                    <w:t>-</w:t>
                                  </w:r>
                                  <w:r w:rsidRPr="00B5705B">
                                    <w:t>BIO + HCS</w:t>
                                  </w:r>
                                </w:p>
                              </w:tc>
                              <w:tc>
                                <w:tcPr>
                                  <w:tcW w:w="904" w:type="dxa"/>
                                </w:tcPr>
                                <w:p w14:paraId="2FCDA6E0" w14:textId="77777777" w:rsidR="00BF7A0C" w:rsidRPr="00B5705B" w:rsidRDefault="00BF7A0C" w:rsidP="00D81878">
                                  <w:pPr>
                                    <w:spacing w:after="0" w:line="240" w:lineRule="auto"/>
                                    <w:jc w:val="both"/>
                                  </w:pPr>
                                  <w:r w:rsidRPr="00B5705B">
                                    <w:t>3.4</w:t>
                                  </w:r>
                                </w:p>
                              </w:tc>
                              <w:tc>
                                <w:tcPr>
                                  <w:tcW w:w="990" w:type="dxa"/>
                                </w:tcPr>
                                <w:p w14:paraId="7F8799D1" w14:textId="77777777" w:rsidR="00BF7A0C" w:rsidRPr="00B5705B" w:rsidRDefault="00BF7A0C" w:rsidP="00D81878">
                                  <w:pPr>
                                    <w:spacing w:after="0" w:line="240" w:lineRule="auto"/>
                                    <w:jc w:val="both"/>
                                  </w:pPr>
                                  <w:r w:rsidRPr="00B5705B">
                                    <w:t>6.0</w:t>
                                  </w:r>
                                </w:p>
                              </w:tc>
                              <w:tc>
                                <w:tcPr>
                                  <w:tcW w:w="874" w:type="dxa"/>
                                </w:tcPr>
                                <w:p w14:paraId="1024DAD8" w14:textId="77777777" w:rsidR="00BF7A0C" w:rsidRPr="00B5705B" w:rsidRDefault="00BF7A0C" w:rsidP="00D81878">
                                  <w:pPr>
                                    <w:spacing w:after="0" w:line="240" w:lineRule="auto"/>
                                    <w:jc w:val="both"/>
                                  </w:pPr>
                                  <w:r w:rsidRPr="00B5705B">
                                    <w:t>7.3</w:t>
                                  </w:r>
                                </w:p>
                              </w:tc>
                              <w:tc>
                                <w:tcPr>
                                  <w:tcW w:w="3147" w:type="dxa"/>
                                </w:tcPr>
                                <w:p w14:paraId="70EC43F1" w14:textId="77777777" w:rsidR="00BF7A0C" w:rsidRPr="00B5705B" w:rsidRDefault="00BF7A0C" w:rsidP="00D81878">
                                  <w:pPr>
                                    <w:spacing w:after="0" w:line="240" w:lineRule="auto"/>
                                    <w:jc w:val="both"/>
                                  </w:pPr>
                                  <w:r w:rsidRPr="00B5705B">
                                    <w:t>Electron balance model</w:t>
                                  </w:r>
                                </w:p>
                              </w:tc>
                            </w:tr>
                            <w:tr w:rsidR="00BF7A0C" w:rsidRPr="00B5705B" w14:paraId="328D8022" w14:textId="77777777" w:rsidTr="00D81878">
                              <w:trPr>
                                <w:trHeight w:val="347"/>
                                <w:jc w:val="center"/>
                              </w:trPr>
                              <w:tc>
                                <w:tcPr>
                                  <w:tcW w:w="975" w:type="dxa"/>
                                </w:tcPr>
                                <w:p w14:paraId="590D9008" w14:textId="77777777" w:rsidR="00BF7A0C" w:rsidRPr="00B5705B" w:rsidRDefault="00BF7A0C" w:rsidP="00D81878">
                                  <w:pPr>
                                    <w:spacing w:after="0" w:line="240" w:lineRule="auto"/>
                                    <w:jc w:val="both"/>
                                  </w:pPr>
                                  <w:r w:rsidRPr="00B5705B">
                                    <w:t>3</w:t>
                                  </w:r>
                                </w:p>
                              </w:tc>
                              <w:tc>
                                <w:tcPr>
                                  <w:tcW w:w="1469" w:type="dxa"/>
                                </w:tcPr>
                                <w:p w14:paraId="785B5F11" w14:textId="77777777" w:rsidR="00BF7A0C" w:rsidRPr="00B5705B" w:rsidRDefault="00BF7A0C" w:rsidP="00D81878">
                                  <w:pPr>
                                    <w:spacing w:after="0" w:line="240" w:lineRule="auto"/>
                                    <w:jc w:val="both"/>
                                  </w:pPr>
                                  <w:r w:rsidRPr="00B5705B">
                                    <w:t>AS/SVE + HCS</w:t>
                                  </w:r>
                                </w:p>
                              </w:tc>
                              <w:tc>
                                <w:tcPr>
                                  <w:tcW w:w="904" w:type="dxa"/>
                                </w:tcPr>
                                <w:p w14:paraId="645AF90C" w14:textId="77777777" w:rsidR="00BF7A0C" w:rsidRPr="00B5705B" w:rsidRDefault="00BF7A0C" w:rsidP="00D81878">
                                  <w:pPr>
                                    <w:spacing w:after="0" w:line="240" w:lineRule="auto"/>
                                    <w:jc w:val="both"/>
                                  </w:pPr>
                                  <w:r w:rsidRPr="00B5705B">
                                    <w:t>3.8</w:t>
                                  </w:r>
                                </w:p>
                              </w:tc>
                              <w:tc>
                                <w:tcPr>
                                  <w:tcW w:w="990" w:type="dxa"/>
                                </w:tcPr>
                                <w:p w14:paraId="11113487" w14:textId="77777777" w:rsidR="00BF7A0C" w:rsidRPr="00B5705B" w:rsidRDefault="00BF7A0C" w:rsidP="00D81878">
                                  <w:pPr>
                                    <w:spacing w:after="0" w:line="240" w:lineRule="auto"/>
                                    <w:jc w:val="both"/>
                                  </w:pPr>
                                  <w:r w:rsidRPr="00B5705B">
                                    <w:t>5.0</w:t>
                                  </w:r>
                                </w:p>
                              </w:tc>
                              <w:tc>
                                <w:tcPr>
                                  <w:tcW w:w="874" w:type="dxa"/>
                                </w:tcPr>
                                <w:p w14:paraId="5C18D97C" w14:textId="77777777" w:rsidR="00BF7A0C" w:rsidRPr="00B5705B" w:rsidRDefault="00BF7A0C" w:rsidP="00D81878">
                                  <w:pPr>
                                    <w:spacing w:after="0" w:line="240" w:lineRule="auto"/>
                                    <w:jc w:val="both"/>
                                  </w:pPr>
                                  <w:r w:rsidRPr="00B5705B">
                                    <w:t>7.5</w:t>
                                  </w:r>
                                </w:p>
                              </w:tc>
                              <w:tc>
                                <w:tcPr>
                                  <w:tcW w:w="3147" w:type="dxa"/>
                                </w:tcPr>
                                <w:p w14:paraId="405C5DF6" w14:textId="77777777" w:rsidR="00BF7A0C" w:rsidRPr="00B5705B" w:rsidRDefault="00BF7A0C" w:rsidP="00D81878">
                                  <w:pPr>
                                    <w:spacing w:after="0" w:line="240" w:lineRule="auto"/>
                                    <w:jc w:val="both"/>
                                  </w:pPr>
                                  <w:r w:rsidRPr="00B5705B">
                                    <w:t>Site reports from pilot test</w:t>
                                  </w:r>
                                </w:p>
                              </w:tc>
                            </w:tr>
                            <w:tr w:rsidR="00BF7A0C" w:rsidRPr="00B5705B" w14:paraId="768C5FD4" w14:textId="77777777" w:rsidTr="00D81878">
                              <w:trPr>
                                <w:trHeight w:val="557"/>
                                <w:jc w:val="center"/>
                              </w:trPr>
                              <w:tc>
                                <w:tcPr>
                                  <w:tcW w:w="975" w:type="dxa"/>
                                </w:tcPr>
                                <w:p w14:paraId="7979630D" w14:textId="77777777" w:rsidR="00BF7A0C" w:rsidRPr="00653023" w:rsidRDefault="00BF7A0C" w:rsidP="00D81878">
                                  <w:pPr>
                                    <w:spacing w:after="0" w:line="240" w:lineRule="auto"/>
                                    <w:jc w:val="both"/>
                                  </w:pPr>
                                  <w:r w:rsidRPr="00653023">
                                    <w:t>4</w:t>
                                  </w:r>
                                </w:p>
                              </w:tc>
                              <w:tc>
                                <w:tcPr>
                                  <w:tcW w:w="1469" w:type="dxa"/>
                                </w:tcPr>
                                <w:p w14:paraId="40D9ED99" w14:textId="77777777" w:rsidR="00BF7A0C" w:rsidRPr="00653023" w:rsidRDefault="00BF7A0C" w:rsidP="00D81878">
                                  <w:pPr>
                                    <w:spacing w:after="0" w:line="240" w:lineRule="auto"/>
                                    <w:jc w:val="both"/>
                                  </w:pPr>
                                  <w:r w:rsidRPr="00653023">
                                    <w:t>PT + HCS</w:t>
                                  </w:r>
                                </w:p>
                              </w:tc>
                              <w:tc>
                                <w:tcPr>
                                  <w:tcW w:w="904" w:type="dxa"/>
                                </w:tcPr>
                                <w:p w14:paraId="037CD470" w14:textId="77777777" w:rsidR="00BF7A0C" w:rsidRPr="00653023" w:rsidRDefault="00BF7A0C" w:rsidP="00D81878">
                                  <w:pPr>
                                    <w:spacing w:after="0" w:line="240" w:lineRule="auto"/>
                                    <w:jc w:val="both"/>
                                  </w:pPr>
                                  <w:r w:rsidRPr="00653023">
                                    <w:t>5.2</w:t>
                                  </w:r>
                                </w:p>
                              </w:tc>
                              <w:tc>
                                <w:tcPr>
                                  <w:tcW w:w="990" w:type="dxa"/>
                                </w:tcPr>
                                <w:p w14:paraId="66EE7599" w14:textId="77777777" w:rsidR="00BF7A0C" w:rsidRPr="00653023" w:rsidRDefault="00BF7A0C" w:rsidP="00D81878">
                                  <w:pPr>
                                    <w:spacing w:after="0" w:line="240" w:lineRule="auto"/>
                                    <w:jc w:val="both"/>
                                  </w:pPr>
                                  <w:r w:rsidRPr="00653023">
                                    <w:t>6.4</w:t>
                                  </w:r>
                                </w:p>
                              </w:tc>
                              <w:tc>
                                <w:tcPr>
                                  <w:tcW w:w="874" w:type="dxa"/>
                                </w:tcPr>
                                <w:p w14:paraId="65224F2A" w14:textId="77777777" w:rsidR="00BF7A0C" w:rsidRPr="00653023" w:rsidRDefault="00BF7A0C" w:rsidP="00D81878">
                                  <w:pPr>
                                    <w:spacing w:after="0" w:line="240" w:lineRule="auto"/>
                                    <w:jc w:val="both"/>
                                  </w:pPr>
                                  <w:r w:rsidRPr="00653023">
                                    <w:t>7.0</w:t>
                                  </w:r>
                                </w:p>
                              </w:tc>
                              <w:tc>
                                <w:tcPr>
                                  <w:tcW w:w="3147" w:type="dxa"/>
                                </w:tcPr>
                                <w:p w14:paraId="7043DD44" w14:textId="77777777" w:rsidR="00BF7A0C" w:rsidRPr="00653023" w:rsidRDefault="00BF7A0C" w:rsidP="00D81878">
                                  <w:pPr>
                                    <w:spacing w:after="0" w:line="240" w:lineRule="auto"/>
                                    <w:jc w:val="both"/>
                                  </w:pPr>
                                  <w:r w:rsidRPr="00653023">
                                    <w:t>Literature data based</w:t>
                                  </w:r>
                                  <w:r>
                                    <w:t xml:space="preserve"> on</w:t>
                                  </w:r>
                                  <w:r w:rsidRPr="00653023">
                                    <w:t xml:space="preserve"> multiple active MTBE sites (McHugh et al. 2013)</w:t>
                                  </w:r>
                                </w:p>
                              </w:tc>
                            </w:tr>
                          </w:tbl>
                          <w:p w14:paraId="435E257B" w14:textId="32ED2055" w:rsidR="00BF7A0C" w:rsidRDefault="00BF7A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DA2B8" id="_x0000_s1029" type="#_x0000_t202" style="position:absolute;left:0;text-align:left;margin-left:-3.75pt;margin-top:184.65pt;width:459pt;height:18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" stroked="f">
                <v:textbox>
                  <w:txbxContent>
                    <w:p w14:paraId="273878F7" w14:textId="4DFE39CA" w:rsidR="00BF7A0C" w:rsidRPr="00EC07A3" w:rsidRDefault="00BF7A0C" w:rsidP="00D81878">
                      <w:pPr>
                        <w:pStyle w:val="Caption"/>
                        <w:rPr>
                          <w:b/>
                        </w:rPr>
                      </w:pPr>
                      <w:bookmarkStart w:id="7" w:name="_Ref425235586"/>
                      <w:r w:rsidRPr="00EC07A3">
                        <w:t xml:space="preserve">Table </w:t>
                      </w:r>
                      <w:r w:rsidRPr="00EC07A3">
                        <w:rPr>
                          <w:b/>
                        </w:rPr>
                        <w:fldChar w:fldCharType="begin"/>
                      </w:r>
                      <w:r w:rsidRPr="00EC07A3">
                        <w:instrText xml:space="preserve"> SEQ Table \* ARABIC </w:instrText>
                      </w:r>
                      <w:r w:rsidRPr="00EC07A3">
                        <w:rPr>
                          <w:b/>
                        </w:rPr>
                        <w:fldChar w:fldCharType="separate"/>
                      </w:r>
                      <w:r>
                        <w:rPr>
                          <w:noProof/>
                        </w:rPr>
                        <w:t>3</w:t>
                      </w:r>
                      <w:r w:rsidRPr="00EC07A3">
                        <w:rPr>
                          <w:b/>
                        </w:rPr>
                        <w:fldChar w:fldCharType="end"/>
                      </w:r>
                      <w:bookmarkEnd w:id="7"/>
                      <w:r w:rsidRPr="00EC07A3">
                        <w:t>. Summary of treatment durations and calculation method used to inform the sustainability assessment.</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
                        <w:gridCol w:w="1469"/>
                        <w:gridCol w:w="904"/>
                        <w:gridCol w:w="990"/>
                        <w:gridCol w:w="874"/>
                        <w:gridCol w:w="3147"/>
                      </w:tblGrid>
                      <w:tr w:rsidR="00BF7A0C" w:rsidRPr="00B5705B" w14:paraId="06316D39" w14:textId="77777777" w:rsidTr="00D81878">
                        <w:trPr>
                          <w:trHeight w:val="170"/>
                          <w:jc w:val="center"/>
                        </w:trPr>
                        <w:tc>
                          <w:tcPr>
                            <w:tcW w:w="975" w:type="dxa"/>
                            <w:vMerge w:val="restart"/>
                          </w:tcPr>
                          <w:p w14:paraId="3C8571C0" w14:textId="77777777" w:rsidR="00BF7A0C" w:rsidRPr="00B5705B" w:rsidRDefault="00BF7A0C" w:rsidP="00D81878">
                            <w:pPr>
                              <w:spacing w:after="0" w:line="240" w:lineRule="auto"/>
                              <w:jc w:val="both"/>
                              <w:rPr>
                                <w:b/>
                              </w:rPr>
                            </w:pPr>
                            <w:r w:rsidRPr="00B5705B">
                              <w:rPr>
                                <w:b/>
                              </w:rPr>
                              <w:t>Option Number</w:t>
                            </w:r>
                          </w:p>
                        </w:tc>
                        <w:tc>
                          <w:tcPr>
                            <w:tcW w:w="1469" w:type="dxa"/>
                            <w:vMerge w:val="restart"/>
                          </w:tcPr>
                          <w:p w14:paraId="6669A5CE" w14:textId="77777777" w:rsidR="00BF7A0C" w:rsidRPr="00B5705B" w:rsidRDefault="00BF7A0C" w:rsidP="00D81878">
                            <w:pPr>
                              <w:spacing w:after="0" w:line="240" w:lineRule="auto"/>
                              <w:jc w:val="both"/>
                              <w:rPr>
                                <w:b/>
                              </w:rPr>
                            </w:pPr>
                            <w:r w:rsidRPr="00B5705B">
                              <w:rPr>
                                <w:b/>
                              </w:rPr>
                              <w:t>Remediation Option</w:t>
                            </w:r>
                          </w:p>
                        </w:tc>
                        <w:tc>
                          <w:tcPr>
                            <w:tcW w:w="2768" w:type="dxa"/>
                            <w:gridSpan w:val="3"/>
                          </w:tcPr>
                          <w:p w14:paraId="7E0ACA44" w14:textId="77777777" w:rsidR="00BF7A0C" w:rsidRPr="00B5705B" w:rsidRDefault="00BF7A0C" w:rsidP="00D81878">
                            <w:pPr>
                              <w:spacing w:after="0" w:line="240" w:lineRule="auto"/>
                              <w:jc w:val="center"/>
                              <w:rPr>
                                <w:b/>
                              </w:rPr>
                            </w:pPr>
                            <w:r w:rsidRPr="00B5705B">
                              <w:rPr>
                                <w:b/>
                              </w:rPr>
                              <w:t>Treatment Duration Range</w:t>
                            </w:r>
                            <w:r>
                              <w:rPr>
                                <w:b/>
                              </w:rPr>
                              <w:t xml:space="preserve"> (years)</w:t>
                            </w:r>
                          </w:p>
                        </w:tc>
                        <w:tc>
                          <w:tcPr>
                            <w:tcW w:w="3147" w:type="dxa"/>
                            <w:vMerge w:val="restart"/>
                          </w:tcPr>
                          <w:p w14:paraId="7EFE8B42" w14:textId="77777777" w:rsidR="00BF7A0C" w:rsidRPr="00B5705B" w:rsidRDefault="00BF7A0C" w:rsidP="00D81878">
                            <w:pPr>
                              <w:spacing w:after="0" w:line="240" w:lineRule="auto"/>
                              <w:jc w:val="both"/>
                              <w:rPr>
                                <w:b/>
                              </w:rPr>
                            </w:pPr>
                            <w:r w:rsidRPr="00B5705B">
                              <w:rPr>
                                <w:b/>
                              </w:rPr>
                              <w:t>Calculation method</w:t>
                            </w:r>
                          </w:p>
                        </w:tc>
                      </w:tr>
                      <w:tr w:rsidR="00BF7A0C" w:rsidRPr="00B5705B" w14:paraId="53E1C607" w14:textId="77777777" w:rsidTr="00D81878">
                        <w:trPr>
                          <w:trHeight w:val="93"/>
                          <w:jc w:val="center"/>
                        </w:trPr>
                        <w:tc>
                          <w:tcPr>
                            <w:tcW w:w="975" w:type="dxa"/>
                            <w:vMerge/>
                          </w:tcPr>
                          <w:p w14:paraId="3137DC21" w14:textId="77777777" w:rsidR="00BF7A0C" w:rsidRPr="00B5705B" w:rsidRDefault="00BF7A0C" w:rsidP="00D81878">
                            <w:pPr>
                              <w:spacing w:after="0" w:line="240" w:lineRule="auto"/>
                              <w:jc w:val="both"/>
                            </w:pPr>
                          </w:p>
                        </w:tc>
                        <w:tc>
                          <w:tcPr>
                            <w:tcW w:w="1469" w:type="dxa"/>
                            <w:vMerge/>
                          </w:tcPr>
                          <w:p w14:paraId="4704AF36" w14:textId="77777777" w:rsidR="00BF7A0C" w:rsidRPr="00B5705B" w:rsidRDefault="00BF7A0C" w:rsidP="00D81878">
                            <w:pPr>
                              <w:spacing w:after="0" w:line="240" w:lineRule="auto"/>
                              <w:jc w:val="both"/>
                            </w:pPr>
                          </w:p>
                        </w:tc>
                        <w:tc>
                          <w:tcPr>
                            <w:tcW w:w="904" w:type="dxa"/>
                          </w:tcPr>
                          <w:p w14:paraId="19C28090" w14:textId="77777777" w:rsidR="00BF7A0C" w:rsidRPr="00B5705B" w:rsidRDefault="00BF7A0C" w:rsidP="00D81878">
                            <w:pPr>
                              <w:spacing w:after="0" w:line="240" w:lineRule="auto"/>
                              <w:jc w:val="both"/>
                              <w:rPr>
                                <w:b/>
                              </w:rPr>
                            </w:pPr>
                            <w:r w:rsidRPr="00B5705B">
                              <w:rPr>
                                <w:b/>
                              </w:rPr>
                              <w:t>Min</w:t>
                            </w:r>
                          </w:p>
                        </w:tc>
                        <w:tc>
                          <w:tcPr>
                            <w:tcW w:w="990" w:type="dxa"/>
                          </w:tcPr>
                          <w:p w14:paraId="55CAD4E6" w14:textId="77777777" w:rsidR="00BF7A0C" w:rsidRPr="00B5705B" w:rsidRDefault="00BF7A0C" w:rsidP="00D81878">
                            <w:pPr>
                              <w:spacing w:after="0" w:line="240" w:lineRule="auto"/>
                              <w:jc w:val="both"/>
                              <w:rPr>
                                <w:b/>
                              </w:rPr>
                            </w:pPr>
                            <w:r w:rsidRPr="00B5705B">
                              <w:rPr>
                                <w:b/>
                              </w:rPr>
                              <w:t>Med</w:t>
                            </w:r>
                          </w:p>
                        </w:tc>
                        <w:tc>
                          <w:tcPr>
                            <w:tcW w:w="874" w:type="dxa"/>
                          </w:tcPr>
                          <w:p w14:paraId="61566B6C" w14:textId="77777777" w:rsidR="00BF7A0C" w:rsidRPr="00B5705B" w:rsidRDefault="00BF7A0C" w:rsidP="00D81878">
                            <w:pPr>
                              <w:spacing w:after="0" w:line="240" w:lineRule="auto"/>
                              <w:jc w:val="both"/>
                              <w:rPr>
                                <w:b/>
                              </w:rPr>
                            </w:pPr>
                            <w:r w:rsidRPr="00B5705B">
                              <w:rPr>
                                <w:b/>
                              </w:rPr>
                              <w:t>Max</w:t>
                            </w:r>
                          </w:p>
                        </w:tc>
                        <w:tc>
                          <w:tcPr>
                            <w:tcW w:w="3147" w:type="dxa"/>
                            <w:vMerge/>
                          </w:tcPr>
                          <w:p w14:paraId="4B63EF57" w14:textId="77777777" w:rsidR="00BF7A0C" w:rsidRPr="00B5705B" w:rsidRDefault="00BF7A0C" w:rsidP="00D81878">
                            <w:pPr>
                              <w:spacing w:after="0" w:line="240" w:lineRule="auto"/>
                              <w:jc w:val="both"/>
                            </w:pPr>
                          </w:p>
                        </w:tc>
                      </w:tr>
                      <w:tr w:rsidR="00BF7A0C" w:rsidRPr="00B5705B" w14:paraId="5A7DD2C3" w14:textId="77777777" w:rsidTr="00D81878">
                        <w:trPr>
                          <w:trHeight w:val="347"/>
                          <w:jc w:val="center"/>
                        </w:trPr>
                        <w:tc>
                          <w:tcPr>
                            <w:tcW w:w="975" w:type="dxa"/>
                          </w:tcPr>
                          <w:p w14:paraId="1776EA30" w14:textId="77777777" w:rsidR="00BF7A0C" w:rsidRPr="00B5705B" w:rsidRDefault="00BF7A0C" w:rsidP="00D81878">
                            <w:pPr>
                              <w:spacing w:after="0" w:line="240" w:lineRule="auto"/>
                              <w:jc w:val="both"/>
                            </w:pPr>
                            <w:r w:rsidRPr="00B5705B">
                              <w:t>1</w:t>
                            </w:r>
                          </w:p>
                        </w:tc>
                        <w:tc>
                          <w:tcPr>
                            <w:tcW w:w="1469" w:type="dxa"/>
                          </w:tcPr>
                          <w:p w14:paraId="4802FFA4" w14:textId="77777777" w:rsidR="00BF7A0C" w:rsidRPr="00B5705B" w:rsidRDefault="00BF7A0C" w:rsidP="00D81878">
                            <w:pPr>
                              <w:spacing w:after="0" w:line="240" w:lineRule="auto"/>
                              <w:jc w:val="both"/>
                            </w:pPr>
                            <w:r w:rsidRPr="00B5705B">
                              <w:t>MNA + HCS</w:t>
                            </w:r>
                          </w:p>
                        </w:tc>
                        <w:tc>
                          <w:tcPr>
                            <w:tcW w:w="904" w:type="dxa"/>
                          </w:tcPr>
                          <w:p w14:paraId="36160601" w14:textId="77777777" w:rsidR="00BF7A0C" w:rsidRPr="00B5705B" w:rsidRDefault="00BF7A0C" w:rsidP="00D81878">
                            <w:pPr>
                              <w:spacing w:after="0" w:line="240" w:lineRule="auto"/>
                              <w:jc w:val="both"/>
                            </w:pPr>
                            <w:r w:rsidRPr="00B5705B">
                              <w:t>15</w:t>
                            </w:r>
                          </w:p>
                        </w:tc>
                        <w:tc>
                          <w:tcPr>
                            <w:tcW w:w="990" w:type="dxa"/>
                          </w:tcPr>
                          <w:p w14:paraId="05F11C86" w14:textId="77777777" w:rsidR="00BF7A0C" w:rsidRPr="00B5705B" w:rsidRDefault="00BF7A0C" w:rsidP="00D81878">
                            <w:pPr>
                              <w:spacing w:after="0" w:line="240" w:lineRule="auto"/>
                              <w:jc w:val="both"/>
                            </w:pPr>
                            <w:r w:rsidRPr="00B5705B">
                              <w:t>20</w:t>
                            </w:r>
                          </w:p>
                        </w:tc>
                        <w:tc>
                          <w:tcPr>
                            <w:tcW w:w="874" w:type="dxa"/>
                          </w:tcPr>
                          <w:p w14:paraId="0DDFF116" w14:textId="77777777" w:rsidR="00BF7A0C" w:rsidRPr="00B5705B" w:rsidRDefault="00BF7A0C" w:rsidP="00D81878">
                            <w:pPr>
                              <w:spacing w:after="0" w:line="240" w:lineRule="auto"/>
                              <w:jc w:val="both"/>
                            </w:pPr>
                            <w:r w:rsidRPr="00B5705B">
                              <w:t>25</w:t>
                            </w:r>
                          </w:p>
                        </w:tc>
                        <w:tc>
                          <w:tcPr>
                            <w:tcW w:w="3147" w:type="dxa"/>
                          </w:tcPr>
                          <w:p w14:paraId="63309981" w14:textId="77777777" w:rsidR="00BF7A0C" w:rsidRPr="00B5705B" w:rsidRDefault="00BF7A0C" w:rsidP="00D81878">
                            <w:pPr>
                              <w:spacing w:after="0" w:line="240" w:lineRule="auto"/>
                              <w:jc w:val="both"/>
                            </w:pPr>
                            <w:r w:rsidRPr="00B5705B">
                              <w:t>Site reports and modelling study</w:t>
                            </w:r>
                          </w:p>
                        </w:tc>
                      </w:tr>
                      <w:tr w:rsidR="00BF7A0C" w:rsidRPr="00B5705B" w14:paraId="32F76C96" w14:textId="77777777" w:rsidTr="00D81878">
                        <w:trPr>
                          <w:trHeight w:val="257"/>
                          <w:jc w:val="center"/>
                        </w:trPr>
                        <w:tc>
                          <w:tcPr>
                            <w:tcW w:w="975" w:type="dxa"/>
                          </w:tcPr>
                          <w:p w14:paraId="280B6812" w14:textId="77777777" w:rsidR="00BF7A0C" w:rsidRPr="00B5705B" w:rsidRDefault="00BF7A0C" w:rsidP="00D81878">
                            <w:pPr>
                              <w:spacing w:after="0" w:line="240" w:lineRule="auto"/>
                              <w:jc w:val="both"/>
                            </w:pPr>
                            <w:r w:rsidRPr="00B5705B">
                              <w:t>2</w:t>
                            </w:r>
                          </w:p>
                        </w:tc>
                        <w:tc>
                          <w:tcPr>
                            <w:tcW w:w="1469" w:type="dxa"/>
                          </w:tcPr>
                          <w:p w14:paraId="58A43D39" w14:textId="77777777" w:rsidR="00BF7A0C" w:rsidRPr="00B5705B" w:rsidRDefault="00BF7A0C" w:rsidP="00D81878">
                            <w:pPr>
                              <w:spacing w:after="0" w:line="240" w:lineRule="auto"/>
                              <w:jc w:val="both"/>
                            </w:pPr>
                            <w:r w:rsidRPr="00B5705B">
                              <w:t>EK</w:t>
                            </w:r>
                            <w:r>
                              <w:t>-</w:t>
                            </w:r>
                            <w:r w:rsidRPr="00B5705B">
                              <w:t>BIO + HCS</w:t>
                            </w:r>
                          </w:p>
                        </w:tc>
                        <w:tc>
                          <w:tcPr>
                            <w:tcW w:w="904" w:type="dxa"/>
                          </w:tcPr>
                          <w:p w14:paraId="2FCDA6E0" w14:textId="77777777" w:rsidR="00BF7A0C" w:rsidRPr="00B5705B" w:rsidRDefault="00BF7A0C" w:rsidP="00D81878">
                            <w:pPr>
                              <w:spacing w:after="0" w:line="240" w:lineRule="auto"/>
                              <w:jc w:val="both"/>
                            </w:pPr>
                            <w:r w:rsidRPr="00B5705B">
                              <w:t>3.4</w:t>
                            </w:r>
                          </w:p>
                        </w:tc>
                        <w:tc>
                          <w:tcPr>
                            <w:tcW w:w="990" w:type="dxa"/>
                          </w:tcPr>
                          <w:p w14:paraId="7F8799D1" w14:textId="77777777" w:rsidR="00BF7A0C" w:rsidRPr="00B5705B" w:rsidRDefault="00BF7A0C" w:rsidP="00D81878">
                            <w:pPr>
                              <w:spacing w:after="0" w:line="240" w:lineRule="auto"/>
                              <w:jc w:val="both"/>
                            </w:pPr>
                            <w:r w:rsidRPr="00B5705B">
                              <w:t>6.0</w:t>
                            </w:r>
                          </w:p>
                        </w:tc>
                        <w:tc>
                          <w:tcPr>
                            <w:tcW w:w="874" w:type="dxa"/>
                          </w:tcPr>
                          <w:p w14:paraId="1024DAD8" w14:textId="77777777" w:rsidR="00BF7A0C" w:rsidRPr="00B5705B" w:rsidRDefault="00BF7A0C" w:rsidP="00D81878">
                            <w:pPr>
                              <w:spacing w:after="0" w:line="240" w:lineRule="auto"/>
                              <w:jc w:val="both"/>
                            </w:pPr>
                            <w:r w:rsidRPr="00B5705B">
                              <w:t>7.3</w:t>
                            </w:r>
                          </w:p>
                        </w:tc>
                        <w:tc>
                          <w:tcPr>
                            <w:tcW w:w="3147" w:type="dxa"/>
                          </w:tcPr>
                          <w:p w14:paraId="70EC43F1" w14:textId="77777777" w:rsidR="00BF7A0C" w:rsidRPr="00B5705B" w:rsidRDefault="00BF7A0C" w:rsidP="00D81878">
                            <w:pPr>
                              <w:spacing w:after="0" w:line="240" w:lineRule="auto"/>
                              <w:jc w:val="both"/>
                            </w:pPr>
                            <w:r w:rsidRPr="00B5705B">
                              <w:t>Electron balance model</w:t>
                            </w:r>
                          </w:p>
                        </w:tc>
                      </w:tr>
                      <w:tr w:rsidR="00BF7A0C" w:rsidRPr="00B5705B" w14:paraId="328D8022" w14:textId="77777777" w:rsidTr="00D81878">
                        <w:trPr>
                          <w:trHeight w:val="347"/>
                          <w:jc w:val="center"/>
                        </w:trPr>
                        <w:tc>
                          <w:tcPr>
                            <w:tcW w:w="975" w:type="dxa"/>
                          </w:tcPr>
                          <w:p w14:paraId="590D9008" w14:textId="77777777" w:rsidR="00BF7A0C" w:rsidRPr="00B5705B" w:rsidRDefault="00BF7A0C" w:rsidP="00D81878">
                            <w:pPr>
                              <w:spacing w:after="0" w:line="240" w:lineRule="auto"/>
                              <w:jc w:val="both"/>
                            </w:pPr>
                            <w:r w:rsidRPr="00B5705B">
                              <w:t>3</w:t>
                            </w:r>
                          </w:p>
                        </w:tc>
                        <w:tc>
                          <w:tcPr>
                            <w:tcW w:w="1469" w:type="dxa"/>
                          </w:tcPr>
                          <w:p w14:paraId="785B5F11" w14:textId="77777777" w:rsidR="00BF7A0C" w:rsidRPr="00B5705B" w:rsidRDefault="00BF7A0C" w:rsidP="00D81878">
                            <w:pPr>
                              <w:spacing w:after="0" w:line="240" w:lineRule="auto"/>
                              <w:jc w:val="both"/>
                            </w:pPr>
                            <w:r w:rsidRPr="00B5705B">
                              <w:t>AS/SVE + HCS</w:t>
                            </w:r>
                          </w:p>
                        </w:tc>
                        <w:tc>
                          <w:tcPr>
                            <w:tcW w:w="904" w:type="dxa"/>
                          </w:tcPr>
                          <w:p w14:paraId="645AF90C" w14:textId="77777777" w:rsidR="00BF7A0C" w:rsidRPr="00B5705B" w:rsidRDefault="00BF7A0C" w:rsidP="00D81878">
                            <w:pPr>
                              <w:spacing w:after="0" w:line="240" w:lineRule="auto"/>
                              <w:jc w:val="both"/>
                            </w:pPr>
                            <w:r w:rsidRPr="00B5705B">
                              <w:t>3.8</w:t>
                            </w:r>
                          </w:p>
                        </w:tc>
                        <w:tc>
                          <w:tcPr>
                            <w:tcW w:w="990" w:type="dxa"/>
                          </w:tcPr>
                          <w:p w14:paraId="11113487" w14:textId="77777777" w:rsidR="00BF7A0C" w:rsidRPr="00B5705B" w:rsidRDefault="00BF7A0C" w:rsidP="00D81878">
                            <w:pPr>
                              <w:spacing w:after="0" w:line="240" w:lineRule="auto"/>
                              <w:jc w:val="both"/>
                            </w:pPr>
                            <w:r w:rsidRPr="00B5705B">
                              <w:t>5.0</w:t>
                            </w:r>
                          </w:p>
                        </w:tc>
                        <w:tc>
                          <w:tcPr>
                            <w:tcW w:w="874" w:type="dxa"/>
                          </w:tcPr>
                          <w:p w14:paraId="5C18D97C" w14:textId="77777777" w:rsidR="00BF7A0C" w:rsidRPr="00B5705B" w:rsidRDefault="00BF7A0C" w:rsidP="00D81878">
                            <w:pPr>
                              <w:spacing w:after="0" w:line="240" w:lineRule="auto"/>
                              <w:jc w:val="both"/>
                            </w:pPr>
                            <w:r w:rsidRPr="00B5705B">
                              <w:t>7.5</w:t>
                            </w:r>
                          </w:p>
                        </w:tc>
                        <w:tc>
                          <w:tcPr>
                            <w:tcW w:w="3147" w:type="dxa"/>
                          </w:tcPr>
                          <w:p w14:paraId="405C5DF6" w14:textId="77777777" w:rsidR="00BF7A0C" w:rsidRPr="00B5705B" w:rsidRDefault="00BF7A0C" w:rsidP="00D81878">
                            <w:pPr>
                              <w:spacing w:after="0" w:line="240" w:lineRule="auto"/>
                              <w:jc w:val="both"/>
                            </w:pPr>
                            <w:r w:rsidRPr="00B5705B">
                              <w:t>Site reports from pilot test</w:t>
                            </w:r>
                          </w:p>
                        </w:tc>
                      </w:tr>
                      <w:tr w:rsidR="00BF7A0C" w:rsidRPr="00B5705B" w14:paraId="768C5FD4" w14:textId="77777777" w:rsidTr="00D81878">
                        <w:trPr>
                          <w:trHeight w:val="557"/>
                          <w:jc w:val="center"/>
                        </w:trPr>
                        <w:tc>
                          <w:tcPr>
                            <w:tcW w:w="975" w:type="dxa"/>
                          </w:tcPr>
                          <w:p w14:paraId="7979630D" w14:textId="77777777" w:rsidR="00BF7A0C" w:rsidRPr="00653023" w:rsidRDefault="00BF7A0C" w:rsidP="00D81878">
                            <w:pPr>
                              <w:spacing w:after="0" w:line="240" w:lineRule="auto"/>
                              <w:jc w:val="both"/>
                            </w:pPr>
                            <w:r w:rsidRPr="00653023">
                              <w:t>4</w:t>
                            </w:r>
                          </w:p>
                        </w:tc>
                        <w:tc>
                          <w:tcPr>
                            <w:tcW w:w="1469" w:type="dxa"/>
                          </w:tcPr>
                          <w:p w14:paraId="40D9ED99" w14:textId="77777777" w:rsidR="00BF7A0C" w:rsidRPr="00653023" w:rsidRDefault="00BF7A0C" w:rsidP="00D81878">
                            <w:pPr>
                              <w:spacing w:after="0" w:line="240" w:lineRule="auto"/>
                              <w:jc w:val="both"/>
                            </w:pPr>
                            <w:r w:rsidRPr="00653023">
                              <w:t>PT + HCS</w:t>
                            </w:r>
                          </w:p>
                        </w:tc>
                        <w:tc>
                          <w:tcPr>
                            <w:tcW w:w="904" w:type="dxa"/>
                          </w:tcPr>
                          <w:p w14:paraId="037CD470" w14:textId="77777777" w:rsidR="00BF7A0C" w:rsidRPr="00653023" w:rsidRDefault="00BF7A0C" w:rsidP="00D81878">
                            <w:pPr>
                              <w:spacing w:after="0" w:line="240" w:lineRule="auto"/>
                              <w:jc w:val="both"/>
                            </w:pPr>
                            <w:r w:rsidRPr="00653023">
                              <w:t>5.2</w:t>
                            </w:r>
                          </w:p>
                        </w:tc>
                        <w:tc>
                          <w:tcPr>
                            <w:tcW w:w="990" w:type="dxa"/>
                          </w:tcPr>
                          <w:p w14:paraId="66EE7599" w14:textId="77777777" w:rsidR="00BF7A0C" w:rsidRPr="00653023" w:rsidRDefault="00BF7A0C" w:rsidP="00D81878">
                            <w:pPr>
                              <w:spacing w:after="0" w:line="240" w:lineRule="auto"/>
                              <w:jc w:val="both"/>
                            </w:pPr>
                            <w:r w:rsidRPr="00653023">
                              <w:t>6.4</w:t>
                            </w:r>
                          </w:p>
                        </w:tc>
                        <w:tc>
                          <w:tcPr>
                            <w:tcW w:w="874" w:type="dxa"/>
                          </w:tcPr>
                          <w:p w14:paraId="65224F2A" w14:textId="77777777" w:rsidR="00BF7A0C" w:rsidRPr="00653023" w:rsidRDefault="00BF7A0C" w:rsidP="00D81878">
                            <w:pPr>
                              <w:spacing w:after="0" w:line="240" w:lineRule="auto"/>
                              <w:jc w:val="both"/>
                            </w:pPr>
                            <w:r w:rsidRPr="00653023">
                              <w:t>7.0</w:t>
                            </w:r>
                          </w:p>
                        </w:tc>
                        <w:tc>
                          <w:tcPr>
                            <w:tcW w:w="3147" w:type="dxa"/>
                          </w:tcPr>
                          <w:p w14:paraId="7043DD44" w14:textId="77777777" w:rsidR="00BF7A0C" w:rsidRPr="00653023" w:rsidRDefault="00BF7A0C" w:rsidP="00D81878">
                            <w:pPr>
                              <w:spacing w:after="0" w:line="240" w:lineRule="auto"/>
                              <w:jc w:val="both"/>
                            </w:pPr>
                            <w:r w:rsidRPr="00653023">
                              <w:t>Literature data based</w:t>
                            </w:r>
                            <w:r>
                              <w:t xml:space="preserve"> on</w:t>
                            </w:r>
                            <w:r w:rsidRPr="00653023">
                              <w:t xml:space="preserve"> multiple active MTBE sites (McHugh et al. 2013)</w:t>
                            </w:r>
                          </w:p>
                        </w:tc>
                      </w:tr>
                    </w:tbl>
                    <w:p w14:paraId="435E257B" w14:textId="32ED2055" w:rsidR="00BF7A0C" w:rsidRDefault="00BF7A0C"/>
                  </w:txbxContent>
                </v:textbox>
                <w10:wrap type="square"/>
              </v:shape>
            </w:pict>
          </mc:Fallback>
        </mc:AlternateContent>
      </w:r>
      <w:r w:rsidR="005F687A" w:rsidRPr="00907FD3">
        <w:t xml:space="preserve">The minimum, medium and maximum duration ranges were calculated using a range of sources. </w:t>
      </w:r>
      <w:r w:rsidR="008A1294" w:rsidRPr="00907FD3">
        <w:t>For MNA a range of durations is taken from site specific modelling reports; for EK-BIO the transport properties of the materials simulated in the EBM were varied according to literature values (Gill et al., 2015); for AS/SVE a range of volatile organic carbon extraction rates were taken from pilot trials</w:t>
      </w:r>
      <w:r w:rsidR="00DA73A3" w:rsidRPr="00907FD3">
        <w:t xml:space="preserve"> (Table S.4 and S.5 supporting information)</w:t>
      </w:r>
      <w:r w:rsidR="008A1294" w:rsidRPr="00907FD3">
        <w:t xml:space="preserve">; and PT a range of attenuation rates from MTBE contaminated sites were used </w:t>
      </w:r>
      <w:r w:rsidR="00DA73A3" w:rsidRPr="00907FD3">
        <w:t xml:space="preserve">(Table S.6 and S.7 supporting information) </w:t>
      </w:r>
      <w:r w:rsidR="008A1294" w:rsidRPr="00907FD3">
        <w:t xml:space="preserve">(McHugh et al., 2013). </w:t>
      </w:r>
      <w:r w:rsidR="00DA1871" w:rsidRPr="00907FD3">
        <w:t>Further details o</w:t>
      </w:r>
      <w:r w:rsidR="00E16F5D" w:rsidRPr="00907FD3">
        <w:t>f</w:t>
      </w:r>
      <w:r w:rsidR="00DA1871" w:rsidRPr="00907FD3">
        <w:t xml:space="preserve"> treatment design </w:t>
      </w:r>
      <w:r w:rsidR="00E16F5D" w:rsidRPr="00907FD3">
        <w:t xml:space="preserve">specifications </w:t>
      </w:r>
      <w:r w:rsidR="00DA1871" w:rsidRPr="00907FD3">
        <w:t xml:space="preserve">and associated </w:t>
      </w:r>
      <w:r w:rsidR="001B57E7" w:rsidRPr="00907FD3">
        <w:t>assumptions are given in the supporting information.</w:t>
      </w:r>
    </w:p>
    <w:p w14:paraId="7C3B6218" w14:textId="5E9A7791" w:rsidR="00DA1871" w:rsidRPr="00907FD3" w:rsidRDefault="00DA1871" w:rsidP="008956EC">
      <w:pPr>
        <w:pStyle w:val="Heading1"/>
      </w:pPr>
      <w:r w:rsidRPr="00907FD3">
        <w:t>3.0</w:t>
      </w:r>
      <w:r w:rsidR="008956EC" w:rsidRPr="00907FD3">
        <w:tab/>
      </w:r>
      <w:r w:rsidRPr="00907FD3">
        <w:t xml:space="preserve">Sustainability </w:t>
      </w:r>
      <w:r w:rsidR="00607021" w:rsidRPr="00907FD3">
        <w:t>a</w:t>
      </w:r>
      <w:r w:rsidRPr="00907FD3">
        <w:t xml:space="preserve">ssessment </w:t>
      </w:r>
      <w:r w:rsidR="00607021" w:rsidRPr="00907FD3">
        <w:t>f</w:t>
      </w:r>
      <w:r w:rsidRPr="00907FD3">
        <w:t>ramework</w:t>
      </w:r>
    </w:p>
    <w:p w14:paraId="0D2F2583" w14:textId="66E9D522" w:rsidR="00DA1871" w:rsidRPr="00907FD3" w:rsidRDefault="00DA1871" w:rsidP="008956EC">
      <w:pPr>
        <w:pStyle w:val="Heading2"/>
      </w:pPr>
      <w:r w:rsidRPr="00907FD3">
        <w:t xml:space="preserve">3.1 </w:t>
      </w:r>
      <w:r w:rsidR="008956EC" w:rsidRPr="00907FD3">
        <w:tab/>
      </w:r>
      <w:r w:rsidRPr="00907FD3">
        <w:t>Remediation objectives and stakeholder engagement</w:t>
      </w:r>
    </w:p>
    <w:p w14:paraId="64BED08E" w14:textId="77777777" w:rsidR="00DA1871" w:rsidRPr="00907FD3" w:rsidRDefault="00DA1871" w:rsidP="00C877CB">
      <w:pPr>
        <w:spacing w:line="480" w:lineRule="auto"/>
        <w:jc w:val="both"/>
      </w:pPr>
      <w:r w:rsidRPr="00907FD3">
        <w:t>Th</w:t>
      </w:r>
      <w:r w:rsidR="008C0510" w:rsidRPr="00907FD3">
        <w:t>e</w:t>
      </w:r>
      <w:r w:rsidRPr="00907FD3">
        <w:t xml:space="preserve"> sustainability assessment cover</w:t>
      </w:r>
      <w:r w:rsidR="008C0510" w:rsidRPr="00907FD3">
        <w:t>s</w:t>
      </w:r>
      <w:r w:rsidRPr="00907FD3">
        <w:t xml:space="preserve"> Stage B of the SuRF-UK framework</w:t>
      </w:r>
      <w:r w:rsidR="008C0510" w:rsidRPr="00907FD3">
        <w:t>, with the</w:t>
      </w:r>
      <w:r w:rsidRPr="00907FD3">
        <w:t xml:space="preserve"> overall task </w:t>
      </w:r>
      <w:r w:rsidR="008C0510" w:rsidRPr="00907FD3">
        <w:t xml:space="preserve">of </w:t>
      </w:r>
      <w:r w:rsidRPr="00907FD3">
        <w:t>select</w:t>
      </w:r>
      <w:r w:rsidR="008C0510" w:rsidRPr="00907FD3">
        <w:t>ing</w:t>
      </w:r>
      <w:r w:rsidRPr="00907FD3">
        <w:t xml:space="preserve"> the most sustainable remedial option to deliver project objectives (SuRF-UK, 2010). </w:t>
      </w:r>
      <w:r w:rsidR="008C0510" w:rsidRPr="00907FD3">
        <w:t xml:space="preserve">The </w:t>
      </w:r>
      <w:r w:rsidRPr="00907FD3">
        <w:lastRenderedPageBreak/>
        <w:t xml:space="preserve">remedial objectives are: 1) to achieve </w:t>
      </w:r>
      <w:r w:rsidR="00E526B5" w:rsidRPr="00907FD3">
        <w:t xml:space="preserve">risk-based </w:t>
      </w:r>
      <w:r w:rsidRPr="00907FD3">
        <w:t xml:space="preserve">close out </w:t>
      </w:r>
      <w:r w:rsidR="00E526B5" w:rsidRPr="00907FD3">
        <w:t>criteria for</w:t>
      </w:r>
      <w:r w:rsidRPr="00907FD3">
        <w:t xml:space="preserve"> </w:t>
      </w:r>
      <w:r w:rsidR="008C0510" w:rsidRPr="00907FD3">
        <w:t>MTBE</w:t>
      </w:r>
      <w:r w:rsidR="00E526B5" w:rsidRPr="00907FD3">
        <w:t xml:space="preserve"> in groundwater</w:t>
      </w:r>
      <w:r w:rsidRPr="00907FD3">
        <w:t xml:space="preserve">; and 2) return properties </w:t>
      </w:r>
      <w:r w:rsidR="008C0510" w:rsidRPr="00907FD3">
        <w:t xml:space="preserve">adjacent </w:t>
      </w:r>
      <w:r w:rsidRPr="00907FD3">
        <w:t>to the source area back into beneficial use. The stakeholders in this project include</w:t>
      </w:r>
      <w:r w:rsidR="00E526B5" w:rsidRPr="00907FD3">
        <w:t>d</w:t>
      </w:r>
      <w:r w:rsidRPr="00907FD3">
        <w:t xml:space="preserve"> the local authority, </w:t>
      </w:r>
      <w:r w:rsidR="00E526B5" w:rsidRPr="00907FD3">
        <w:t xml:space="preserve">Environment Agency, water abstraction owner, </w:t>
      </w:r>
      <w:r w:rsidRPr="00907FD3">
        <w:t>the site owner</w:t>
      </w:r>
      <w:r w:rsidR="00E526B5" w:rsidRPr="00907FD3">
        <w:t xml:space="preserve"> and their professional advisors</w:t>
      </w:r>
      <w:r w:rsidRPr="00907FD3">
        <w:t>.</w:t>
      </w:r>
    </w:p>
    <w:p w14:paraId="0753B9BF" w14:textId="2E32419D" w:rsidR="00DA1871" w:rsidRPr="00907FD3" w:rsidRDefault="00DA1871" w:rsidP="008956EC">
      <w:pPr>
        <w:pStyle w:val="Heading2"/>
      </w:pPr>
      <w:r w:rsidRPr="00907FD3">
        <w:t xml:space="preserve">3.2 </w:t>
      </w:r>
      <w:r w:rsidR="008956EC" w:rsidRPr="00907FD3">
        <w:tab/>
      </w:r>
      <w:r w:rsidRPr="00907FD3">
        <w:t>Assessment boundaries</w:t>
      </w:r>
    </w:p>
    <w:p w14:paraId="16C5CD6B" w14:textId="10E7B99F" w:rsidR="00DA1871" w:rsidRPr="00907FD3" w:rsidRDefault="00DA1871" w:rsidP="008F24E5">
      <w:pPr>
        <w:spacing w:line="480" w:lineRule="auto"/>
        <w:jc w:val="both"/>
      </w:pPr>
      <w:r w:rsidRPr="00907FD3">
        <w:t>This sustainability assessment is constrained by four types of boundary conditions. Firstly, system boundaries; the processes associated with remedial operations to</w:t>
      </w:r>
      <w:r w:rsidR="00AF0314" w:rsidRPr="00907FD3">
        <w:t xml:space="preserve"> </w:t>
      </w:r>
      <w:r w:rsidRPr="00907FD3">
        <w:t>achieve the risk management objectives. An example from the PT option includes establishing site infrastructure, drilling pumping wells, extracti</w:t>
      </w:r>
      <w:r w:rsidR="00AF0314" w:rsidRPr="00907FD3">
        <w:t>ng</w:t>
      </w:r>
      <w:r w:rsidRPr="00907FD3">
        <w:t xml:space="preserve"> groundwater etc. System boundaries are shown in </w:t>
      </w:r>
      <w:r w:rsidR="008F24E5" w:rsidRPr="00907FD3">
        <w:t xml:space="preserve">supporting information, Figure S.3 </w:t>
      </w:r>
      <w:r w:rsidRPr="00907FD3">
        <w:t>as solid boxes. Secondly, life</w:t>
      </w:r>
      <w:r w:rsidR="008E088C" w:rsidRPr="00907FD3">
        <w:t>-</w:t>
      </w:r>
      <w:r w:rsidRPr="00907FD3">
        <w:t>cycle boundaries; the materials and energy inputs required for a step in the remediation process, as well as the outputs from that step</w:t>
      </w:r>
      <w:r w:rsidR="00AF0314" w:rsidRPr="00907FD3">
        <w:t xml:space="preserve">, </w:t>
      </w:r>
      <w:r w:rsidRPr="00907FD3">
        <w:t>such as air emissions from transport or remedia</w:t>
      </w:r>
      <w:r w:rsidR="00AF0314" w:rsidRPr="00907FD3">
        <w:t>tion</w:t>
      </w:r>
      <w:r w:rsidRPr="00907FD3">
        <w:t xml:space="preserve"> activity. The analysis excludes manufacture of remediation equipment; it is assumed to be rented from a supplier or purchased with the aim of future use. The lifecycles associated with the four options are shown in </w:t>
      </w:r>
      <w:r w:rsidR="008F24E5" w:rsidRPr="00907FD3">
        <w:t xml:space="preserve">FigureS.3 </w:t>
      </w:r>
      <w:r w:rsidRPr="00907FD3">
        <w:t xml:space="preserve">as dashed boxes. </w:t>
      </w:r>
      <w:r w:rsidR="00AF0314" w:rsidRPr="00907FD3">
        <w:t>I</w:t>
      </w:r>
      <w:r w:rsidRPr="00907FD3">
        <w:t>nputs and outputs are shown for each step in the technique. Thirdly, spatial boundaries extend to the area around the site</w:t>
      </w:r>
      <w:r w:rsidR="00AF0314" w:rsidRPr="00907FD3">
        <w:t>,</w:t>
      </w:r>
      <w:r w:rsidRPr="00907FD3">
        <w:t xml:space="preserve"> with the footprint of the dissolved phase plume and transport to and from site. Fourthly, temporal boundaries exist as long as the pollutant linkages and risk management options are required</w:t>
      </w:r>
      <w:r w:rsidR="00AF0314" w:rsidRPr="00907FD3">
        <w:t>,</w:t>
      </w:r>
      <w:r w:rsidRPr="00907FD3">
        <w:t xml:space="preserve"> or as long as the dissolved phase plume in the channel sands aquifer </w:t>
      </w:r>
      <w:r w:rsidR="00AF0314" w:rsidRPr="00907FD3">
        <w:t>exists</w:t>
      </w:r>
      <w:r w:rsidRPr="00907FD3">
        <w:t xml:space="preserve">. This is </w:t>
      </w:r>
      <w:r w:rsidR="00AF0314" w:rsidRPr="00907FD3">
        <w:t xml:space="preserve">shown </w:t>
      </w:r>
      <w:r w:rsidRPr="00907FD3">
        <w:t xml:space="preserve">in </w:t>
      </w:r>
      <w:r w:rsidR="008F24E5" w:rsidRPr="00907FD3">
        <w:t xml:space="preserve">Figure S.3 </w:t>
      </w:r>
      <w:r w:rsidRPr="00907FD3">
        <w:t>as the diamond</w:t>
      </w:r>
      <w:r w:rsidR="00AF0314" w:rsidRPr="00907FD3">
        <w:t>-</w:t>
      </w:r>
      <w:r w:rsidRPr="00907FD3">
        <w:t>shaped decision box.</w:t>
      </w:r>
      <w:r w:rsidR="00AF0314" w:rsidRPr="00907FD3">
        <w:t xml:space="preserve"> </w:t>
      </w:r>
      <w:r w:rsidRPr="00907FD3">
        <w:t xml:space="preserve">Some aspects of remediation techniques are not included in the overall analysis as they are </w:t>
      </w:r>
      <w:r w:rsidR="00C05C05" w:rsidRPr="00907FD3">
        <w:t xml:space="preserve">assumed to be </w:t>
      </w:r>
      <w:r w:rsidRPr="00907FD3">
        <w:t>in place at the start of the remediation option appraisal</w:t>
      </w:r>
      <w:r w:rsidR="00D74DFD" w:rsidRPr="00907FD3">
        <w:t xml:space="preserve">. </w:t>
      </w:r>
      <w:r w:rsidRPr="00907FD3">
        <w:t xml:space="preserve">These include </w:t>
      </w:r>
      <w:r w:rsidR="00C05C05" w:rsidRPr="00907FD3">
        <w:t>drilling monitoring boreholes</w:t>
      </w:r>
      <w:r w:rsidR="00D74DFD" w:rsidRPr="00907FD3">
        <w:t xml:space="preserve"> and establishing site infrastructure and </w:t>
      </w:r>
      <w:r w:rsidR="00C05C05" w:rsidRPr="00907FD3">
        <w:t>drillin</w:t>
      </w:r>
      <w:r w:rsidR="00D74DFD" w:rsidRPr="00907FD3">
        <w:t xml:space="preserve">g treatment boreholes for the SVE and </w:t>
      </w:r>
      <w:r w:rsidR="00C05C05" w:rsidRPr="00907FD3">
        <w:t>HCS</w:t>
      </w:r>
      <w:r w:rsidR="00D74DFD" w:rsidRPr="00907FD3">
        <w:t xml:space="preserve"> systems. </w:t>
      </w:r>
    </w:p>
    <w:p w14:paraId="3D664EBF" w14:textId="1DE67C10" w:rsidR="00DA1871" w:rsidRPr="00907FD3" w:rsidRDefault="00DA1871" w:rsidP="008956EC">
      <w:pPr>
        <w:pStyle w:val="Heading2"/>
      </w:pPr>
      <w:r w:rsidRPr="00907FD3">
        <w:t xml:space="preserve">3.3 </w:t>
      </w:r>
      <w:r w:rsidR="008956EC" w:rsidRPr="00907FD3">
        <w:tab/>
      </w:r>
      <w:r w:rsidRPr="00907FD3">
        <w:t>Scope of assessment</w:t>
      </w:r>
    </w:p>
    <w:p w14:paraId="7DA0138B" w14:textId="339BFD54" w:rsidR="00FF74A8" w:rsidRPr="00907FD3" w:rsidRDefault="00DA1871" w:rsidP="00205B5E">
      <w:pPr>
        <w:spacing w:line="480" w:lineRule="auto"/>
        <w:jc w:val="both"/>
      </w:pPr>
      <w:r w:rsidRPr="00907FD3">
        <w:t>Th</w:t>
      </w:r>
      <w:r w:rsidR="002F63CD" w:rsidRPr="00907FD3">
        <w:t>e</w:t>
      </w:r>
      <w:r w:rsidRPr="00907FD3">
        <w:t xml:space="preserve"> sustainability assessment covers the fifteen indicator</w:t>
      </w:r>
      <w:r w:rsidR="00834978" w:rsidRPr="00907FD3">
        <w:t xml:space="preserve"> categories</w:t>
      </w:r>
      <w:r w:rsidR="005D777D" w:rsidRPr="00907FD3">
        <w:t xml:space="preserve"> (ICs)</w:t>
      </w:r>
      <w:r w:rsidRPr="00907FD3">
        <w:t xml:space="preserve"> described in SuRF-UK documentation across the three ‘pillars’ of sustainability </w:t>
      </w:r>
      <w:r w:rsidRPr="00907FD3">
        <w:fldChar w:fldCharType="begin" w:fldLock="1"/>
      </w:r>
      <w:r w:rsidRPr="00907FD3">
        <w:instrText>ADDIN CSL_CITATION { "citationItems" : [ { "id" : "ITEM-1", "itemData" : { "ISBN" : "9781905046195", "author" : [ { "dropping-particle" : "", "family" : "SuRF-UK", "given" : "", "non-dropping-particle" : "", "parse-names" : false, "suffix" : "" } ], "id" : "ITEM-1", "issue" : "November", "issued" : { "date-parts" : [ [ "2011" ] ] }, "title" : "Annex 1: The SuRF-UK Inicator Set for Sutainable Remediation Assessment", "type" : "report" }, "uris" : [ "http://www.mendeley.com/documents/?uuid=8e0d2933-ba1d-413d-bb2c-fe0b255f62c2" ] } ], "mendeley" : { "formattedCitation" : "(SuRF-UK, 2011)", "plainTextFormattedCitation" : "(SuRF-UK, 2011)", "previouslyFormattedCitation" : "(SuRF-UK, 2011)" }, "properties" : { "noteIndex" : 0 }, "schema" : "https://github.com/citation-style-language/schema/raw/master/csl-citation.json" }</w:instrText>
      </w:r>
      <w:r w:rsidRPr="00907FD3">
        <w:fldChar w:fldCharType="separate"/>
      </w:r>
      <w:r w:rsidRPr="00907FD3">
        <w:rPr>
          <w:noProof/>
        </w:rPr>
        <w:t>(SuRF-UK, 2011)</w:t>
      </w:r>
      <w:r w:rsidRPr="00907FD3">
        <w:fldChar w:fldCharType="end"/>
      </w:r>
      <w:r w:rsidRPr="00907FD3">
        <w:t xml:space="preserve">. The purpose of the indicator </w:t>
      </w:r>
      <w:r w:rsidRPr="00907FD3">
        <w:lastRenderedPageBreak/>
        <w:t>set is to make the sustainability assessment more transparent to assessors and stakeholders</w:t>
      </w:r>
      <w:r w:rsidR="002F63CD" w:rsidRPr="00907FD3">
        <w:t>,</w:t>
      </w:r>
      <w:r w:rsidRPr="00907FD3">
        <w:t xml:space="preserve"> as well as facilitating both a Tier 1 and Tier 2 assessment. All fifteen </w:t>
      </w:r>
      <w:r w:rsidR="005D777D" w:rsidRPr="00907FD3">
        <w:t>IC</w:t>
      </w:r>
      <w:r w:rsidRPr="00907FD3">
        <w:t xml:space="preserve">s are included to provide the most holistic view. </w:t>
      </w:r>
      <w:r w:rsidR="005D777D" w:rsidRPr="00907FD3">
        <w:t>IC</w:t>
      </w:r>
      <w:r w:rsidRPr="00907FD3">
        <w:t xml:space="preserve">s considered to be a priority were identified </w:t>
      </w:r>
      <w:r w:rsidR="002F63CD" w:rsidRPr="00907FD3">
        <w:t>by consultation</w:t>
      </w:r>
      <w:r w:rsidRPr="00907FD3">
        <w:t xml:space="preserve"> with stakeholders</w:t>
      </w:r>
      <w:r w:rsidR="002F63CD" w:rsidRPr="00907FD3">
        <w:t>,</w:t>
      </w:r>
      <w:r w:rsidRPr="00907FD3">
        <w:t xml:space="preserve"> who selected </w:t>
      </w:r>
      <w:r w:rsidR="00D41D45" w:rsidRPr="00907FD3">
        <w:t xml:space="preserve">two </w:t>
      </w:r>
      <w:r w:rsidR="00E526B5" w:rsidRPr="00907FD3">
        <w:t>priority</w:t>
      </w:r>
      <w:r w:rsidRPr="00907FD3">
        <w:t xml:space="preserve"> </w:t>
      </w:r>
      <w:r w:rsidR="005D777D" w:rsidRPr="00907FD3">
        <w:t>IC</w:t>
      </w:r>
      <w:r w:rsidR="00E526B5" w:rsidRPr="00907FD3">
        <w:t>s</w:t>
      </w:r>
      <w:r w:rsidRPr="00907FD3">
        <w:t xml:space="preserve"> </w:t>
      </w:r>
      <w:r w:rsidR="00D41D45" w:rsidRPr="00907FD3">
        <w:t>from each pillar</w:t>
      </w:r>
      <w:r w:rsidRPr="00907FD3">
        <w:t>.</w:t>
      </w:r>
      <w:r w:rsidR="00D41D45" w:rsidRPr="00907FD3">
        <w:t xml:space="preserve"> The two </w:t>
      </w:r>
      <w:r w:rsidR="005D777D" w:rsidRPr="00907FD3">
        <w:t>IC</w:t>
      </w:r>
      <w:r w:rsidR="00D41D45" w:rsidRPr="00907FD3">
        <w:t xml:space="preserve">s from each pillar with the most number of priority selections are highlighted </w:t>
      </w:r>
      <w:r w:rsidR="00927CD7" w:rsidRPr="00907FD3">
        <w:t>with an asterisk (*)</w:t>
      </w:r>
      <w:r w:rsidRPr="00907FD3">
        <w:t xml:space="preserve"> </w:t>
      </w:r>
      <w:r w:rsidR="00D41D45" w:rsidRPr="00907FD3">
        <w:t>(</w:t>
      </w:r>
      <w:r w:rsidR="0047111A" w:rsidRPr="00907FD3">
        <w:t>Table 4</w:t>
      </w:r>
      <w:r w:rsidR="00D41D45" w:rsidRPr="00907FD3">
        <w:t xml:space="preserve">). </w:t>
      </w:r>
      <w:r w:rsidRPr="00907FD3">
        <w:t xml:space="preserve">The semi-quantitative Tier 2 assessment </w:t>
      </w:r>
      <w:r w:rsidR="00390EC4" w:rsidRPr="00907FD3">
        <w:rPr>
          <w:noProof/>
          <w:lang w:val="en-GB" w:eastAsia="en-GB"/>
        </w:rPr>
        <mc:AlternateContent>
          <mc:Choice Requires="wps">
            <w:drawing>
              <wp:anchor distT="45720" distB="45720" distL="114300" distR="114300" simplePos="0" relativeHeight="251667456" behindDoc="0" locked="0" layoutInCell="1" allowOverlap="1" wp14:anchorId="1DE499B3" wp14:editId="594A3525">
                <wp:simplePos x="0" y="0"/>
                <wp:positionH relativeFrom="column">
                  <wp:posOffset>0</wp:posOffset>
                </wp:positionH>
                <wp:positionV relativeFrom="paragraph">
                  <wp:posOffset>2132965</wp:posOffset>
                </wp:positionV>
                <wp:extent cx="5810250" cy="6696075"/>
                <wp:effectExtent l="0" t="0" r="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6696075"/>
                        </a:xfrm>
                        <a:prstGeom prst="rect">
                          <a:avLst/>
                        </a:prstGeom>
                        <a:solidFill>
                          <a:srgbClr val="FFFFFF"/>
                        </a:solidFill>
                        <a:ln w="9525">
                          <a:noFill/>
                          <a:miter lim="800000"/>
                          <a:headEnd/>
                          <a:tailEnd/>
                        </a:ln>
                      </wps:spPr>
                      <wps:txbx>
                        <w:txbxContent>
                          <w:p w14:paraId="36DF99CE" w14:textId="3D5D65E6" w:rsidR="00BF7A0C" w:rsidRPr="00964FCC" w:rsidRDefault="00BF7A0C" w:rsidP="00390EC4">
                            <w:pPr>
                              <w:pStyle w:val="Caption"/>
                              <w:rPr>
                                <w:b/>
                              </w:rPr>
                            </w:pPr>
                            <w:bookmarkStart w:id="8" w:name="_Ref445891984"/>
                            <w:r>
                              <w:t xml:space="preserve">Table </w:t>
                            </w:r>
                            <w:r>
                              <w:fldChar w:fldCharType="begin"/>
                            </w:r>
                            <w:r>
                              <w:instrText xml:space="preserve"> SEQ Table \* ARABIC </w:instrText>
                            </w:r>
                            <w:r>
                              <w:fldChar w:fldCharType="separate"/>
                            </w:r>
                            <w:r>
                              <w:rPr>
                                <w:noProof/>
                              </w:rPr>
                              <w:t>4</w:t>
                            </w:r>
                            <w:r>
                              <w:fldChar w:fldCharType="end"/>
                            </w:r>
                            <w:bookmarkEnd w:id="8"/>
                            <w:r w:rsidRPr="00964FCC">
                              <w:t xml:space="preserve">. Indicator set with identified priority </w:t>
                            </w:r>
                            <w:r>
                              <w:t>IC</w:t>
                            </w:r>
                            <w:r w:rsidRPr="00964FCC">
                              <w:t xml:space="preserve">s. </w:t>
                            </w:r>
                            <w:r>
                              <w:t>IC</w:t>
                            </w:r>
                            <w:r w:rsidRPr="00964FCC">
                              <w:t xml:space="preserve">s used in the Tier 1 qualitative </w:t>
                            </w:r>
                            <w:r>
                              <w:t>assessment</w:t>
                            </w:r>
                            <w:r w:rsidRPr="00964FCC">
                              <w:t xml:space="preserve"> and Tier 2 semi-quanti</w:t>
                            </w:r>
                            <w:r>
                              <w:t>t</w:t>
                            </w:r>
                            <w:r w:rsidRPr="00964FCC">
                              <w:t xml:space="preserve">ative </w:t>
                            </w:r>
                            <w:r>
                              <w:t>assessment are shown.</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7"/>
                              <w:gridCol w:w="2267"/>
                              <w:gridCol w:w="961"/>
                              <w:gridCol w:w="897"/>
                              <w:gridCol w:w="2137"/>
                              <w:gridCol w:w="1012"/>
                            </w:tblGrid>
                            <w:tr w:rsidR="00BF7A0C" w:rsidRPr="00B5705B" w14:paraId="7AFC637B" w14:textId="77777777" w:rsidTr="00BF7A0C">
                              <w:trPr>
                                <w:trHeight w:val="533"/>
                                <w:jc w:val="center"/>
                              </w:trPr>
                              <w:tc>
                                <w:tcPr>
                                  <w:tcW w:w="1267" w:type="dxa"/>
                                </w:tcPr>
                                <w:p w14:paraId="3B1C4881" w14:textId="77777777" w:rsidR="00BF7A0C" w:rsidRPr="00B5705B" w:rsidRDefault="00BF7A0C" w:rsidP="00390EC4">
                                  <w:pPr>
                                    <w:spacing w:after="0" w:line="240" w:lineRule="auto"/>
                                    <w:jc w:val="both"/>
                                    <w:rPr>
                                      <w:b/>
                                    </w:rPr>
                                  </w:pPr>
                                  <w:r w:rsidRPr="00B5705B">
                                    <w:rPr>
                                      <w:b/>
                                    </w:rPr>
                                    <w:t>Criteria</w:t>
                                  </w:r>
                                </w:p>
                              </w:tc>
                              <w:tc>
                                <w:tcPr>
                                  <w:tcW w:w="2267" w:type="dxa"/>
                                </w:tcPr>
                                <w:p w14:paraId="47166071" w14:textId="77777777" w:rsidR="00BF7A0C" w:rsidRPr="00B5705B" w:rsidRDefault="00BF7A0C" w:rsidP="00390EC4">
                                  <w:pPr>
                                    <w:spacing w:after="0" w:line="240" w:lineRule="auto"/>
                                    <w:jc w:val="both"/>
                                    <w:rPr>
                                      <w:b/>
                                    </w:rPr>
                                  </w:pPr>
                                  <w:r>
                                    <w:rPr>
                                      <w:b/>
                                    </w:rPr>
                                    <w:t>Indicator Category</w:t>
                                  </w:r>
                                </w:p>
                              </w:tc>
                              <w:tc>
                                <w:tcPr>
                                  <w:tcW w:w="961" w:type="dxa"/>
                                </w:tcPr>
                                <w:p w14:paraId="407EB840" w14:textId="77777777" w:rsidR="00BF7A0C" w:rsidRPr="00B5705B" w:rsidRDefault="00BF7A0C" w:rsidP="00390EC4">
                                  <w:pPr>
                                    <w:spacing w:after="0" w:line="240" w:lineRule="auto"/>
                                    <w:jc w:val="center"/>
                                    <w:rPr>
                                      <w:b/>
                                    </w:rPr>
                                  </w:pPr>
                                  <w:r w:rsidRPr="00B5705B">
                                    <w:rPr>
                                      <w:b/>
                                    </w:rPr>
                                    <w:t>Label</w:t>
                                  </w:r>
                                </w:p>
                              </w:tc>
                              <w:tc>
                                <w:tcPr>
                                  <w:tcW w:w="897" w:type="dxa"/>
                                </w:tcPr>
                                <w:p w14:paraId="586F49FD" w14:textId="77777777" w:rsidR="00BF7A0C" w:rsidRPr="00B5705B" w:rsidRDefault="00BF7A0C" w:rsidP="00390EC4">
                                  <w:pPr>
                                    <w:spacing w:after="0" w:line="240" w:lineRule="auto"/>
                                    <w:jc w:val="center"/>
                                    <w:rPr>
                                      <w:b/>
                                    </w:rPr>
                                  </w:pPr>
                                  <w:r w:rsidRPr="00B5705B">
                                    <w:rPr>
                                      <w:b/>
                                    </w:rPr>
                                    <w:t>Priority</w:t>
                                  </w:r>
                                </w:p>
                              </w:tc>
                              <w:tc>
                                <w:tcPr>
                                  <w:tcW w:w="2137" w:type="dxa"/>
                                </w:tcPr>
                                <w:p w14:paraId="4076477A" w14:textId="77777777" w:rsidR="00BF7A0C" w:rsidRPr="00B5705B" w:rsidRDefault="00BF7A0C" w:rsidP="00390EC4">
                                  <w:pPr>
                                    <w:spacing w:after="0" w:line="240" w:lineRule="auto"/>
                                    <w:jc w:val="center"/>
                                    <w:rPr>
                                      <w:b/>
                                    </w:rPr>
                                  </w:pPr>
                                  <w:r w:rsidRPr="00B5705B">
                                    <w:rPr>
                                      <w:b/>
                                    </w:rPr>
                                    <w:t>Tier 2 Metric</w:t>
                                  </w:r>
                                </w:p>
                              </w:tc>
                              <w:tc>
                                <w:tcPr>
                                  <w:tcW w:w="1012" w:type="dxa"/>
                                </w:tcPr>
                                <w:p w14:paraId="14A0E1A0" w14:textId="77777777" w:rsidR="00BF7A0C" w:rsidRPr="00B5705B" w:rsidRDefault="00BF7A0C" w:rsidP="00390EC4">
                                  <w:pPr>
                                    <w:spacing w:after="0" w:line="240" w:lineRule="auto"/>
                                    <w:jc w:val="center"/>
                                    <w:rPr>
                                      <w:b/>
                                    </w:rPr>
                                  </w:pPr>
                                  <w:r w:rsidRPr="00B5705B">
                                    <w:rPr>
                                      <w:b/>
                                    </w:rPr>
                                    <w:t>Unit</w:t>
                                  </w:r>
                                </w:p>
                              </w:tc>
                            </w:tr>
                            <w:tr w:rsidR="00BF7A0C" w:rsidRPr="00B5705B" w14:paraId="3A1F8940" w14:textId="77777777" w:rsidTr="00BF7A0C">
                              <w:trPr>
                                <w:trHeight w:val="247"/>
                                <w:jc w:val="center"/>
                              </w:trPr>
                              <w:tc>
                                <w:tcPr>
                                  <w:tcW w:w="1267" w:type="dxa"/>
                                  <w:vMerge w:val="restart"/>
                                  <w:vAlign w:val="center"/>
                                </w:tcPr>
                                <w:p w14:paraId="3F8153E7" w14:textId="77777777" w:rsidR="00BF7A0C" w:rsidRPr="00B5705B" w:rsidRDefault="00BF7A0C" w:rsidP="00390EC4">
                                  <w:pPr>
                                    <w:spacing w:after="0" w:line="240" w:lineRule="auto"/>
                                    <w:jc w:val="center"/>
                                    <w:rPr>
                                      <w:rFonts w:cs="Calibri"/>
                                      <w:sz w:val="20"/>
                                      <w:szCs w:val="20"/>
                                    </w:rPr>
                                  </w:pPr>
                                  <w:r w:rsidRPr="00B5705B">
                                    <w:rPr>
                                      <w:rFonts w:cs="Calibri"/>
                                      <w:sz w:val="20"/>
                                      <w:szCs w:val="20"/>
                                    </w:rPr>
                                    <w:t>Environment</w:t>
                                  </w:r>
                                </w:p>
                              </w:tc>
                              <w:tc>
                                <w:tcPr>
                                  <w:tcW w:w="2267" w:type="dxa"/>
                                  <w:vAlign w:val="center"/>
                                </w:tcPr>
                                <w:p w14:paraId="5F7CA640" w14:textId="77777777" w:rsidR="00BF7A0C" w:rsidRPr="00B5705B" w:rsidRDefault="00BF7A0C" w:rsidP="00390EC4">
                                  <w:pPr>
                                    <w:spacing w:after="0" w:line="240" w:lineRule="auto"/>
                                    <w:rPr>
                                      <w:rFonts w:cs="Calibri"/>
                                      <w:sz w:val="20"/>
                                      <w:szCs w:val="20"/>
                                    </w:rPr>
                                  </w:pPr>
                                  <w:r w:rsidRPr="00B5705B">
                                    <w:rPr>
                                      <w:rFonts w:cs="Calibri"/>
                                      <w:sz w:val="20"/>
                                      <w:szCs w:val="20"/>
                                    </w:rPr>
                                    <w:t>Emissions to air</w:t>
                                  </w:r>
                                </w:p>
                              </w:tc>
                              <w:tc>
                                <w:tcPr>
                                  <w:tcW w:w="961" w:type="dxa"/>
                                  <w:vAlign w:val="center"/>
                                </w:tcPr>
                                <w:p w14:paraId="4C02BD37" w14:textId="77777777" w:rsidR="00BF7A0C" w:rsidRPr="00B5705B" w:rsidRDefault="00BF7A0C" w:rsidP="00390EC4">
                                  <w:pPr>
                                    <w:spacing w:after="0" w:line="240" w:lineRule="auto"/>
                                    <w:rPr>
                                      <w:rFonts w:cs="Calibri"/>
                                      <w:sz w:val="20"/>
                                      <w:szCs w:val="20"/>
                                    </w:rPr>
                                  </w:pPr>
                                  <w:r w:rsidRPr="00B5705B">
                                    <w:rPr>
                                      <w:rFonts w:cs="Calibri"/>
                                      <w:sz w:val="20"/>
                                      <w:szCs w:val="20"/>
                                    </w:rPr>
                                    <w:t>ENV 1</w:t>
                                  </w:r>
                                </w:p>
                              </w:tc>
                              <w:tc>
                                <w:tcPr>
                                  <w:tcW w:w="897" w:type="dxa"/>
                                  <w:vAlign w:val="center"/>
                                </w:tcPr>
                                <w:p w14:paraId="2021CA43" w14:textId="77777777" w:rsidR="00BF7A0C" w:rsidRPr="00B5705B" w:rsidRDefault="00BF7A0C" w:rsidP="00390EC4">
                                  <w:pPr>
                                    <w:spacing w:after="0" w:line="240" w:lineRule="auto"/>
                                    <w:jc w:val="center"/>
                                    <w:rPr>
                                      <w:rFonts w:cs="Calibri"/>
                                      <w:sz w:val="20"/>
                                      <w:szCs w:val="20"/>
                                    </w:rPr>
                                  </w:pPr>
                                  <w:r>
                                    <w:rPr>
                                      <w:rFonts w:cs="Calibri"/>
                                      <w:sz w:val="20"/>
                                      <w:szCs w:val="20"/>
                                    </w:rPr>
                                    <w:t>*</w:t>
                                  </w:r>
                                </w:p>
                              </w:tc>
                              <w:tc>
                                <w:tcPr>
                                  <w:tcW w:w="2137" w:type="dxa"/>
                                </w:tcPr>
                                <w:p w14:paraId="4B5939AA" w14:textId="77777777" w:rsidR="00BF7A0C" w:rsidRPr="00B5705B" w:rsidRDefault="00BF7A0C" w:rsidP="00390EC4">
                                  <w:pPr>
                                    <w:spacing w:after="0" w:line="240" w:lineRule="auto"/>
                                    <w:rPr>
                                      <w:rFonts w:cs="Calibri"/>
                                      <w:sz w:val="20"/>
                                      <w:szCs w:val="20"/>
                                    </w:rPr>
                                  </w:pPr>
                                  <w:r w:rsidRPr="00B5705B">
                                    <w:rPr>
                                      <w:rFonts w:cs="Calibri"/>
                                      <w:sz w:val="20"/>
                                      <w:szCs w:val="20"/>
                                    </w:rPr>
                                    <w:t>Total CO</w:t>
                                  </w:r>
                                  <w:r w:rsidRPr="00B5705B">
                                    <w:rPr>
                                      <w:rFonts w:cs="Calibri"/>
                                      <w:sz w:val="20"/>
                                      <w:szCs w:val="20"/>
                                      <w:vertAlign w:val="subscript"/>
                                    </w:rPr>
                                    <w:t>2</w:t>
                                  </w:r>
                                  <w:r w:rsidRPr="00B5705B">
                                    <w:rPr>
                                      <w:rFonts w:cs="Calibri"/>
                                      <w:sz w:val="20"/>
                                      <w:szCs w:val="20"/>
                                    </w:rPr>
                                    <w:t xml:space="preserve"> emissions</w:t>
                                  </w:r>
                                </w:p>
                              </w:tc>
                              <w:tc>
                                <w:tcPr>
                                  <w:tcW w:w="1012" w:type="dxa"/>
                                </w:tcPr>
                                <w:p w14:paraId="390619FB" w14:textId="77777777" w:rsidR="00BF7A0C" w:rsidRPr="00B5705B" w:rsidRDefault="00BF7A0C" w:rsidP="00390EC4">
                                  <w:pPr>
                                    <w:spacing w:after="0" w:line="240" w:lineRule="auto"/>
                                    <w:rPr>
                                      <w:rFonts w:cs="Calibri"/>
                                      <w:sz w:val="20"/>
                                      <w:szCs w:val="20"/>
                                    </w:rPr>
                                  </w:pPr>
                                  <w:r w:rsidRPr="00B5705B">
                                    <w:rPr>
                                      <w:rFonts w:cs="Calibri"/>
                                      <w:sz w:val="20"/>
                                      <w:szCs w:val="20"/>
                                    </w:rPr>
                                    <w:t>kg CO</w:t>
                                  </w:r>
                                  <w:r w:rsidRPr="00B5705B">
                                    <w:rPr>
                                      <w:rFonts w:cs="Calibri"/>
                                      <w:sz w:val="20"/>
                                      <w:szCs w:val="20"/>
                                      <w:vertAlign w:val="subscript"/>
                                    </w:rPr>
                                    <w:t>2</w:t>
                                  </w:r>
                                  <w:r w:rsidRPr="00B5705B">
                                    <w:rPr>
                                      <w:rFonts w:cs="Calibri"/>
                                      <w:sz w:val="20"/>
                                      <w:szCs w:val="20"/>
                                    </w:rPr>
                                    <w:t>-e</w:t>
                                  </w:r>
                                </w:p>
                              </w:tc>
                            </w:tr>
                            <w:tr w:rsidR="00BF7A0C" w:rsidRPr="00B5705B" w14:paraId="7A7885BD" w14:textId="77777777" w:rsidTr="00BF7A0C">
                              <w:trPr>
                                <w:trHeight w:val="139"/>
                                <w:jc w:val="center"/>
                              </w:trPr>
                              <w:tc>
                                <w:tcPr>
                                  <w:tcW w:w="1267" w:type="dxa"/>
                                  <w:vMerge/>
                                  <w:vAlign w:val="center"/>
                                </w:tcPr>
                                <w:p w14:paraId="66E138A2" w14:textId="77777777" w:rsidR="00BF7A0C" w:rsidRPr="00B5705B" w:rsidRDefault="00BF7A0C" w:rsidP="00390EC4">
                                  <w:pPr>
                                    <w:spacing w:after="0" w:line="240" w:lineRule="auto"/>
                                    <w:jc w:val="center"/>
                                    <w:rPr>
                                      <w:rFonts w:cs="Calibri"/>
                                      <w:sz w:val="20"/>
                                      <w:szCs w:val="20"/>
                                    </w:rPr>
                                  </w:pPr>
                                </w:p>
                              </w:tc>
                              <w:tc>
                                <w:tcPr>
                                  <w:tcW w:w="2267" w:type="dxa"/>
                                  <w:vAlign w:val="center"/>
                                </w:tcPr>
                                <w:p w14:paraId="69469DA1" w14:textId="77777777" w:rsidR="00BF7A0C" w:rsidRPr="00B5705B" w:rsidRDefault="00BF7A0C" w:rsidP="00390EC4">
                                  <w:pPr>
                                    <w:spacing w:after="0" w:line="240" w:lineRule="auto"/>
                                    <w:rPr>
                                      <w:rFonts w:cs="Calibri"/>
                                      <w:sz w:val="20"/>
                                      <w:szCs w:val="20"/>
                                    </w:rPr>
                                  </w:pPr>
                                  <w:r w:rsidRPr="00B5705B">
                                    <w:rPr>
                                      <w:rFonts w:cs="Calibri"/>
                                      <w:sz w:val="20"/>
                                      <w:szCs w:val="20"/>
                                    </w:rPr>
                                    <w:t>Soil and ground conditions</w:t>
                                  </w:r>
                                </w:p>
                              </w:tc>
                              <w:tc>
                                <w:tcPr>
                                  <w:tcW w:w="961" w:type="dxa"/>
                                  <w:vAlign w:val="center"/>
                                </w:tcPr>
                                <w:p w14:paraId="551A1037" w14:textId="77777777" w:rsidR="00BF7A0C" w:rsidRPr="00B5705B" w:rsidRDefault="00BF7A0C" w:rsidP="00390EC4">
                                  <w:pPr>
                                    <w:spacing w:after="0" w:line="240" w:lineRule="auto"/>
                                    <w:rPr>
                                      <w:rFonts w:cs="Calibri"/>
                                      <w:sz w:val="20"/>
                                      <w:szCs w:val="20"/>
                                    </w:rPr>
                                  </w:pPr>
                                  <w:r w:rsidRPr="00B5705B">
                                    <w:rPr>
                                      <w:rFonts w:cs="Calibri"/>
                                      <w:sz w:val="20"/>
                                      <w:szCs w:val="20"/>
                                    </w:rPr>
                                    <w:t>ENV 2</w:t>
                                  </w:r>
                                </w:p>
                              </w:tc>
                              <w:tc>
                                <w:tcPr>
                                  <w:tcW w:w="897" w:type="dxa"/>
                                  <w:vAlign w:val="center"/>
                                </w:tcPr>
                                <w:p w14:paraId="63ECE8F1" w14:textId="77777777" w:rsidR="00BF7A0C" w:rsidRPr="00B5705B" w:rsidRDefault="00BF7A0C" w:rsidP="00390EC4">
                                  <w:pPr>
                                    <w:spacing w:after="0" w:line="240" w:lineRule="auto"/>
                                    <w:jc w:val="center"/>
                                    <w:rPr>
                                      <w:rFonts w:cs="Calibri"/>
                                      <w:sz w:val="20"/>
                                      <w:szCs w:val="20"/>
                                    </w:rPr>
                                  </w:pPr>
                                </w:p>
                              </w:tc>
                              <w:tc>
                                <w:tcPr>
                                  <w:tcW w:w="2137" w:type="dxa"/>
                                </w:tcPr>
                                <w:p w14:paraId="12B15306" w14:textId="77777777" w:rsidR="00BF7A0C" w:rsidRPr="00B5705B" w:rsidRDefault="00BF7A0C" w:rsidP="00390EC4">
                                  <w:pPr>
                                    <w:spacing w:after="0" w:line="240" w:lineRule="auto"/>
                                    <w:rPr>
                                      <w:rFonts w:cs="Calibri"/>
                                      <w:sz w:val="20"/>
                                      <w:szCs w:val="20"/>
                                    </w:rPr>
                                  </w:pPr>
                                  <w:r w:rsidRPr="00B5705B">
                                    <w:rPr>
                                      <w:rFonts w:cs="Calibri"/>
                                      <w:sz w:val="20"/>
                                      <w:szCs w:val="20"/>
                                    </w:rPr>
                                    <w:t>Qualitative (Tier 1)</w:t>
                                  </w:r>
                                </w:p>
                              </w:tc>
                              <w:tc>
                                <w:tcPr>
                                  <w:tcW w:w="1012" w:type="dxa"/>
                                </w:tcPr>
                                <w:p w14:paraId="37CACF1E" w14:textId="77777777" w:rsidR="00BF7A0C" w:rsidRPr="00B5705B" w:rsidRDefault="00BF7A0C" w:rsidP="00390EC4">
                                  <w:pPr>
                                    <w:spacing w:after="0" w:line="240" w:lineRule="auto"/>
                                    <w:rPr>
                                      <w:rFonts w:cs="Calibri"/>
                                      <w:sz w:val="20"/>
                                      <w:szCs w:val="20"/>
                                    </w:rPr>
                                  </w:pPr>
                                  <w:r w:rsidRPr="00B5705B">
                                    <w:rPr>
                                      <w:rFonts w:cs="Calibri"/>
                                      <w:sz w:val="20"/>
                                      <w:szCs w:val="20"/>
                                    </w:rPr>
                                    <w:t>n/a</w:t>
                                  </w:r>
                                </w:p>
                              </w:tc>
                            </w:tr>
                            <w:tr w:rsidR="00BF7A0C" w:rsidRPr="00B5705B" w14:paraId="624C5A30" w14:textId="77777777" w:rsidTr="00BF7A0C">
                              <w:trPr>
                                <w:trHeight w:val="108"/>
                                <w:jc w:val="center"/>
                              </w:trPr>
                              <w:tc>
                                <w:tcPr>
                                  <w:tcW w:w="1267" w:type="dxa"/>
                                  <w:vMerge/>
                                  <w:vAlign w:val="center"/>
                                </w:tcPr>
                                <w:p w14:paraId="7CAFADAD" w14:textId="77777777" w:rsidR="00BF7A0C" w:rsidRPr="00B5705B" w:rsidRDefault="00BF7A0C" w:rsidP="00390EC4">
                                  <w:pPr>
                                    <w:spacing w:after="0" w:line="240" w:lineRule="auto"/>
                                    <w:jc w:val="center"/>
                                    <w:rPr>
                                      <w:rFonts w:cs="Calibri"/>
                                      <w:sz w:val="20"/>
                                      <w:szCs w:val="20"/>
                                    </w:rPr>
                                  </w:pPr>
                                </w:p>
                              </w:tc>
                              <w:tc>
                                <w:tcPr>
                                  <w:tcW w:w="2267" w:type="dxa"/>
                                  <w:vMerge w:val="restart"/>
                                  <w:vAlign w:val="center"/>
                                </w:tcPr>
                                <w:p w14:paraId="7AA6B629" w14:textId="77777777" w:rsidR="00BF7A0C" w:rsidRPr="00927CD7" w:rsidRDefault="00BF7A0C" w:rsidP="00390EC4">
                                  <w:pPr>
                                    <w:spacing w:after="0" w:line="240" w:lineRule="auto"/>
                                    <w:rPr>
                                      <w:rFonts w:cs="Calibri"/>
                                      <w:sz w:val="20"/>
                                      <w:szCs w:val="20"/>
                                    </w:rPr>
                                  </w:pPr>
                                  <w:r w:rsidRPr="00927CD7">
                                    <w:rPr>
                                      <w:rFonts w:cs="Calibri"/>
                                      <w:sz w:val="20"/>
                                      <w:szCs w:val="20"/>
                                    </w:rPr>
                                    <w:t>Groundwater quality</w:t>
                                  </w:r>
                                </w:p>
                              </w:tc>
                              <w:tc>
                                <w:tcPr>
                                  <w:tcW w:w="961" w:type="dxa"/>
                                  <w:vMerge w:val="restart"/>
                                  <w:vAlign w:val="center"/>
                                </w:tcPr>
                                <w:p w14:paraId="68A74DE2" w14:textId="77777777" w:rsidR="00BF7A0C" w:rsidRPr="00927CD7" w:rsidRDefault="00BF7A0C" w:rsidP="00390EC4">
                                  <w:pPr>
                                    <w:spacing w:after="0" w:line="240" w:lineRule="auto"/>
                                    <w:rPr>
                                      <w:rFonts w:cs="Calibri"/>
                                      <w:sz w:val="20"/>
                                      <w:szCs w:val="20"/>
                                    </w:rPr>
                                  </w:pPr>
                                  <w:r w:rsidRPr="00927CD7">
                                    <w:rPr>
                                      <w:rFonts w:cs="Calibri"/>
                                      <w:sz w:val="20"/>
                                      <w:szCs w:val="20"/>
                                    </w:rPr>
                                    <w:t>ENV 3</w:t>
                                  </w:r>
                                </w:p>
                              </w:tc>
                              <w:tc>
                                <w:tcPr>
                                  <w:tcW w:w="897" w:type="dxa"/>
                                  <w:vMerge w:val="restart"/>
                                  <w:vAlign w:val="center"/>
                                </w:tcPr>
                                <w:p w14:paraId="7563D534" w14:textId="77777777" w:rsidR="00BF7A0C" w:rsidRPr="00927CD7" w:rsidRDefault="00BF7A0C" w:rsidP="00390EC4">
                                  <w:pPr>
                                    <w:spacing w:after="0" w:line="240" w:lineRule="auto"/>
                                    <w:jc w:val="center"/>
                                    <w:rPr>
                                      <w:rFonts w:cs="Calibri"/>
                                      <w:sz w:val="20"/>
                                      <w:szCs w:val="20"/>
                                    </w:rPr>
                                  </w:pPr>
                                  <w:r w:rsidRPr="00927CD7">
                                    <w:rPr>
                                      <w:rFonts w:cs="Calibri"/>
                                      <w:sz w:val="20"/>
                                      <w:szCs w:val="20"/>
                                    </w:rPr>
                                    <w:t>*</w:t>
                                  </w:r>
                                </w:p>
                              </w:tc>
                              <w:tc>
                                <w:tcPr>
                                  <w:tcW w:w="2137" w:type="dxa"/>
                                </w:tcPr>
                                <w:p w14:paraId="11F720A2" w14:textId="77777777" w:rsidR="00BF7A0C" w:rsidRPr="00B5705B" w:rsidRDefault="00BF7A0C" w:rsidP="00390EC4">
                                  <w:pPr>
                                    <w:spacing w:after="0" w:line="240" w:lineRule="auto"/>
                                    <w:rPr>
                                      <w:rFonts w:cs="Calibri"/>
                                      <w:sz w:val="20"/>
                                      <w:szCs w:val="20"/>
                                    </w:rPr>
                                  </w:pPr>
                                  <w:r w:rsidRPr="00B5705B">
                                    <w:rPr>
                                      <w:rFonts w:cs="Calibri"/>
                                      <w:sz w:val="20"/>
                                      <w:szCs w:val="20"/>
                                    </w:rPr>
                                    <w:t>Value of water lost to HCS extraction</w:t>
                                  </w:r>
                                </w:p>
                              </w:tc>
                              <w:tc>
                                <w:tcPr>
                                  <w:tcW w:w="1012" w:type="dxa"/>
                                </w:tcPr>
                                <w:p w14:paraId="50AB9A54" w14:textId="77777777" w:rsidR="00BF7A0C" w:rsidRPr="00B5705B" w:rsidRDefault="00BF7A0C" w:rsidP="00390EC4">
                                  <w:pPr>
                                    <w:spacing w:after="0" w:line="240" w:lineRule="auto"/>
                                    <w:rPr>
                                      <w:rFonts w:cs="Calibri"/>
                                      <w:sz w:val="20"/>
                                      <w:szCs w:val="20"/>
                                    </w:rPr>
                                  </w:pPr>
                                  <w:r w:rsidRPr="00B5705B">
                                    <w:rPr>
                                      <w:rFonts w:cs="Calibri"/>
                                      <w:sz w:val="20"/>
                                      <w:szCs w:val="20"/>
                                    </w:rPr>
                                    <w:t>GBP</w:t>
                                  </w:r>
                                </w:p>
                              </w:tc>
                            </w:tr>
                            <w:tr w:rsidR="00BF7A0C" w:rsidRPr="00B5705B" w14:paraId="4761B341" w14:textId="77777777" w:rsidTr="00BF7A0C">
                              <w:trPr>
                                <w:trHeight w:val="107"/>
                                <w:jc w:val="center"/>
                              </w:trPr>
                              <w:tc>
                                <w:tcPr>
                                  <w:tcW w:w="1267" w:type="dxa"/>
                                  <w:vMerge/>
                                  <w:vAlign w:val="center"/>
                                </w:tcPr>
                                <w:p w14:paraId="262CBCD4" w14:textId="77777777" w:rsidR="00BF7A0C" w:rsidRPr="00B5705B" w:rsidRDefault="00BF7A0C" w:rsidP="00390EC4">
                                  <w:pPr>
                                    <w:spacing w:after="0" w:line="240" w:lineRule="auto"/>
                                    <w:jc w:val="center"/>
                                    <w:rPr>
                                      <w:rFonts w:cs="Calibri"/>
                                      <w:sz w:val="20"/>
                                      <w:szCs w:val="20"/>
                                    </w:rPr>
                                  </w:pPr>
                                </w:p>
                              </w:tc>
                              <w:tc>
                                <w:tcPr>
                                  <w:tcW w:w="2267" w:type="dxa"/>
                                  <w:vMerge/>
                                  <w:vAlign w:val="center"/>
                                </w:tcPr>
                                <w:p w14:paraId="1D54DF3E" w14:textId="77777777" w:rsidR="00BF7A0C" w:rsidRPr="00B5705B" w:rsidRDefault="00BF7A0C" w:rsidP="00390EC4">
                                  <w:pPr>
                                    <w:spacing w:after="0" w:line="240" w:lineRule="auto"/>
                                    <w:rPr>
                                      <w:rFonts w:cs="Calibri"/>
                                      <w:sz w:val="20"/>
                                      <w:szCs w:val="20"/>
                                    </w:rPr>
                                  </w:pPr>
                                </w:p>
                              </w:tc>
                              <w:tc>
                                <w:tcPr>
                                  <w:tcW w:w="961" w:type="dxa"/>
                                  <w:vMerge/>
                                  <w:vAlign w:val="center"/>
                                </w:tcPr>
                                <w:p w14:paraId="5C051946" w14:textId="77777777" w:rsidR="00BF7A0C" w:rsidRPr="00B5705B" w:rsidRDefault="00BF7A0C" w:rsidP="00390EC4">
                                  <w:pPr>
                                    <w:spacing w:after="0" w:line="240" w:lineRule="auto"/>
                                    <w:rPr>
                                      <w:rFonts w:cs="Calibri"/>
                                      <w:sz w:val="20"/>
                                      <w:szCs w:val="20"/>
                                    </w:rPr>
                                  </w:pPr>
                                </w:p>
                              </w:tc>
                              <w:tc>
                                <w:tcPr>
                                  <w:tcW w:w="897" w:type="dxa"/>
                                  <w:vMerge/>
                                  <w:vAlign w:val="center"/>
                                </w:tcPr>
                                <w:p w14:paraId="4AA784C5" w14:textId="77777777" w:rsidR="00BF7A0C" w:rsidRPr="00B5705B" w:rsidRDefault="00BF7A0C" w:rsidP="00390EC4">
                                  <w:pPr>
                                    <w:spacing w:after="0" w:line="240" w:lineRule="auto"/>
                                    <w:jc w:val="center"/>
                                    <w:rPr>
                                      <w:rFonts w:cs="Calibri"/>
                                      <w:sz w:val="20"/>
                                      <w:szCs w:val="20"/>
                                    </w:rPr>
                                  </w:pPr>
                                </w:p>
                              </w:tc>
                              <w:tc>
                                <w:tcPr>
                                  <w:tcW w:w="2137" w:type="dxa"/>
                                </w:tcPr>
                                <w:p w14:paraId="179D5A74" w14:textId="77777777" w:rsidR="00BF7A0C" w:rsidRPr="00B5705B" w:rsidRDefault="00BF7A0C" w:rsidP="00390EC4">
                                  <w:pPr>
                                    <w:spacing w:after="0" w:line="240" w:lineRule="auto"/>
                                    <w:rPr>
                                      <w:rFonts w:cs="Calibri"/>
                                      <w:sz w:val="20"/>
                                      <w:szCs w:val="20"/>
                                    </w:rPr>
                                  </w:pPr>
                                  <w:r w:rsidRPr="00B5705B">
                                    <w:rPr>
                                      <w:rFonts w:cs="Calibri"/>
                                      <w:sz w:val="20"/>
                                      <w:szCs w:val="20"/>
                                    </w:rPr>
                                    <w:t>Qualitative (Tier 1)</w:t>
                                  </w:r>
                                </w:p>
                              </w:tc>
                              <w:tc>
                                <w:tcPr>
                                  <w:tcW w:w="1012" w:type="dxa"/>
                                </w:tcPr>
                                <w:p w14:paraId="0AA3C24D" w14:textId="77777777" w:rsidR="00BF7A0C" w:rsidRPr="00B5705B" w:rsidRDefault="00BF7A0C" w:rsidP="00390EC4">
                                  <w:pPr>
                                    <w:spacing w:after="0" w:line="240" w:lineRule="auto"/>
                                    <w:rPr>
                                      <w:rFonts w:cs="Calibri"/>
                                      <w:sz w:val="20"/>
                                      <w:szCs w:val="20"/>
                                    </w:rPr>
                                  </w:pPr>
                                  <w:r w:rsidRPr="00B5705B">
                                    <w:rPr>
                                      <w:rFonts w:cs="Calibri"/>
                                      <w:sz w:val="20"/>
                                      <w:szCs w:val="20"/>
                                    </w:rPr>
                                    <w:t>n/a</w:t>
                                  </w:r>
                                </w:p>
                              </w:tc>
                            </w:tr>
                            <w:tr w:rsidR="00BF7A0C" w:rsidRPr="00B5705B" w14:paraId="03E94D0A" w14:textId="77777777" w:rsidTr="00BF7A0C">
                              <w:trPr>
                                <w:trHeight w:val="139"/>
                                <w:jc w:val="center"/>
                              </w:trPr>
                              <w:tc>
                                <w:tcPr>
                                  <w:tcW w:w="1267" w:type="dxa"/>
                                  <w:vMerge/>
                                  <w:vAlign w:val="center"/>
                                </w:tcPr>
                                <w:p w14:paraId="0A268FB2" w14:textId="77777777" w:rsidR="00BF7A0C" w:rsidRPr="00B5705B" w:rsidRDefault="00BF7A0C" w:rsidP="00390EC4">
                                  <w:pPr>
                                    <w:spacing w:after="0" w:line="240" w:lineRule="auto"/>
                                    <w:jc w:val="center"/>
                                    <w:rPr>
                                      <w:rFonts w:cs="Calibri"/>
                                      <w:sz w:val="20"/>
                                      <w:szCs w:val="20"/>
                                    </w:rPr>
                                  </w:pPr>
                                </w:p>
                              </w:tc>
                              <w:tc>
                                <w:tcPr>
                                  <w:tcW w:w="2267" w:type="dxa"/>
                                  <w:vAlign w:val="center"/>
                                </w:tcPr>
                                <w:p w14:paraId="0463534B" w14:textId="77777777" w:rsidR="00BF7A0C" w:rsidRPr="00B5705B" w:rsidRDefault="00BF7A0C" w:rsidP="00390EC4">
                                  <w:pPr>
                                    <w:spacing w:after="0" w:line="240" w:lineRule="auto"/>
                                    <w:rPr>
                                      <w:rFonts w:cs="Calibri"/>
                                      <w:sz w:val="20"/>
                                      <w:szCs w:val="20"/>
                                    </w:rPr>
                                  </w:pPr>
                                  <w:r w:rsidRPr="00B5705B">
                                    <w:rPr>
                                      <w:rFonts w:cs="Calibri"/>
                                      <w:sz w:val="20"/>
                                      <w:szCs w:val="20"/>
                                    </w:rPr>
                                    <w:t>Ecology</w:t>
                                  </w:r>
                                </w:p>
                              </w:tc>
                              <w:tc>
                                <w:tcPr>
                                  <w:tcW w:w="961" w:type="dxa"/>
                                  <w:vAlign w:val="center"/>
                                </w:tcPr>
                                <w:p w14:paraId="717F1D7D" w14:textId="77777777" w:rsidR="00BF7A0C" w:rsidRPr="00B5705B" w:rsidRDefault="00BF7A0C" w:rsidP="00390EC4">
                                  <w:pPr>
                                    <w:spacing w:after="0" w:line="240" w:lineRule="auto"/>
                                    <w:rPr>
                                      <w:rFonts w:cs="Calibri"/>
                                      <w:sz w:val="20"/>
                                      <w:szCs w:val="20"/>
                                    </w:rPr>
                                  </w:pPr>
                                  <w:r w:rsidRPr="00B5705B">
                                    <w:rPr>
                                      <w:rFonts w:cs="Calibri"/>
                                      <w:sz w:val="20"/>
                                      <w:szCs w:val="20"/>
                                    </w:rPr>
                                    <w:t>ENV 4</w:t>
                                  </w:r>
                                </w:p>
                              </w:tc>
                              <w:tc>
                                <w:tcPr>
                                  <w:tcW w:w="897" w:type="dxa"/>
                                  <w:vAlign w:val="center"/>
                                </w:tcPr>
                                <w:p w14:paraId="349B3BEC" w14:textId="77777777" w:rsidR="00BF7A0C" w:rsidRPr="00B5705B" w:rsidRDefault="00BF7A0C" w:rsidP="00390EC4">
                                  <w:pPr>
                                    <w:spacing w:after="0" w:line="240" w:lineRule="auto"/>
                                    <w:jc w:val="center"/>
                                    <w:rPr>
                                      <w:rFonts w:cs="Calibri"/>
                                      <w:sz w:val="20"/>
                                      <w:szCs w:val="20"/>
                                    </w:rPr>
                                  </w:pPr>
                                </w:p>
                              </w:tc>
                              <w:tc>
                                <w:tcPr>
                                  <w:tcW w:w="2137" w:type="dxa"/>
                                </w:tcPr>
                                <w:p w14:paraId="42569BC9" w14:textId="77777777" w:rsidR="00BF7A0C" w:rsidRPr="00B5705B" w:rsidRDefault="00BF7A0C" w:rsidP="00390EC4">
                                  <w:pPr>
                                    <w:spacing w:after="0" w:line="240" w:lineRule="auto"/>
                                    <w:rPr>
                                      <w:rFonts w:cs="Calibri"/>
                                      <w:sz w:val="20"/>
                                      <w:szCs w:val="20"/>
                                    </w:rPr>
                                  </w:pPr>
                                  <w:r w:rsidRPr="00B5705B">
                                    <w:rPr>
                                      <w:rFonts w:cs="Calibri"/>
                                      <w:sz w:val="20"/>
                                      <w:szCs w:val="20"/>
                                    </w:rPr>
                                    <w:t>Qualitative (Tier 1)</w:t>
                                  </w:r>
                                </w:p>
                              </w:tc>
                              <w:tc>
                                <w:tcPr>
                                  <w:tcW w:w="1012" w:type="dxa"/>
                                </w:tcPr>
                                <w:p w14:paraId="0FA339B3" w14:textId="77777777" w:rsidR="00BF7A0C" w:rsidRPr="00B5705B" w:rsidRDefault="00BF7A0C" w:rsidP="00390EC4">
                                  <w:pPr>
                                    <w:spacing w:after="0" w:line="240" w:lineRule="auto"/>
                                    <w:rPr>
                                      <w:rFonts w:cs="Calibri"/>
                                      <w:sz w:val="20"/>
                                      <w:szCs w:val="20"/>
                                    </w:rPr>
                                  </w:pPr>
                                  <w:r w:rsidRPr="00B5705B">
                                    <w:rPr>
                                      <w:rFonts w:cs="Calibri"/>
                                      <w:sz w:val="20"/>
                                      <w:szCs w:val="20"/>
                                    </w:rPr>
                                    <w:t>n/a</w:t>
                                  </w:r>
                                </w:p>
                              </w:tc>
                            </w:tr>
                            <w:tr w:rsidR="00BF7A0C" w:rsidRPr="00B5705B" w14:paraId="2B42FC62" w14:textId="77777777" w:rsidTr="00BF7A0C">
                              <w:trPr>
                                <w:trHeight w:val="73"/>
                                <w:jc w:val="center"/>
                              </w:trPr>
                              <w:tc>
                                <w:tcPr>
                                  <w:tcW w:w="1267" w:type="dxa"/>
                                  <w:vMerge/>
                                  <w:vAlign w:val="center"/>
                                </w:tcPr>
                                <w:p w14:paraId="283D3746" w14:textId="77777777" w:rsidR="00BF7A0C" w:rsidRPr="00B5705B" w:rsidRDefault="00BF7A0C" w:rsidP="00390EC4">
                                  <w:pPr>
                                    <w:spacing w:after="0" w:line="240" w:lineRule="auto"/>
                                    <w:jc w:val="center"/>
                                    <w:rPr>
                                      <w:rFonts w:cs="Calibri"/>
                                      <w:sz w:val="20"/>
                                      <w:szCs w:val="20"/>
                                    </w:rPr>
                                  </w:pPr>
                                </w:p>
                              </w:tc>
                              <w:tc>
                                <w:tcPr>
                                  <w:tcW w:w="2267" w:type="dxa"/>
                                  <w:vMerge w:val="restart"/>
                                  <w:vAlign w:val="center"/>
                                </w:tcPr>
                                <w:p w14:paraId="4F7E4C93" w14:textId="77777777" w:rsidR="00BF7A0C" w:rsidRPr="00B5705B" w:rsidRDefault="00BF7A0C" w:rsidP="00390EC4">
                                  <w:pPr>
                                    <w:spacing w:after="0" w:line="240" w:lineRule="auto"/>
                                    <w:rPr>
                                      <w:rFonts w:cs="Calibri"/>
                                      <w:sz w:val="20"/>
                                      <w:szCs w:val="20"/>
                                    </w:rPr>
                                  </w:pPr>
                                  <w:r w:rsidRPr="00B5705B">
                                    <w:rPr>
                                      <w:rFonts w:cs="Calibri"/>
                                      <w:sz w:val="20"/>
                                      <w:szCs w:val="20"/>
                                    </w:rPr>
                                    <w:t>Natural resources and waste</w:t>
                                  </w:r>
                                </w:p>
                              </w:tc>
                              <w:tc>
                                <w:tcPr>
                                  <w:tcW w:w="961" w:type="dxa"/>
                                  <w:vMerge w:val="restart"/>
                                  <w:vAlign w:val="center"/>
                                </w:tcPr>
                                <w:p w14:paraId="3B4C7C91" w14:textId="77777777" w:rsidR="00BF7A0C" w:rsidRPr="00B5705B" w:rsidRDefault="00BF7A0C" w:rsidP="00390EC4">
                                  <w:pPr>
                                    <w:spacing w:after="0" w:line="240" w:lineRule="auto"/>
                                    <w:rPr>
                                      <w:rFonts w:cs="Calibri"/>
                                      <w:sz w:val="20"/>
                                      <w:szCs w:val="20"/>
                                    </w:rPr>
                                  </w:pPr>
                                  <w:r w:rsidRPr="00B5705B">
                                    <w:rPr>
                                      <w:rFonts w:cs="Calibri"/>
                                      <w:sz w:val="20"/>
                                      <w:szCs w:val="20"/>
                                    </w:rPr>
                                    <w:t>ENV 5</w:t>
                                  </w:r>
                                </w:p>
                              </w:tc>
                              <w:tc>
                                <w:tcPr>
                                  <w:tcW w:w="897" w:type="dxa"/>
                                  <w:vMerge w:val="restart"/>
                                  <w:vAlign w:val="center"/>
                                </w:tcPr>
                                <w:p w14:paraId="0053A65D" w14:textId="77777777" w:rsidR="00BF7A0C" w:rsidRPr="00B5705B" w:rsidRDefault="00BF7A0C" w:rsidP="00390EC4">
                                  <w:pPr>
                                    <w:spacing w:after="0" w:line="240" w:lineRule="auto"/>
                                    <w:jc w:val="center"/>
                                    <w:rPr>
                                      <w:rFonts w:cs="Calibri"/>
                                      <w:sz w:val="20"/>
                                      <w:szCs w:val="20"/>
                                    </w:rPr>
                                  </w:pPr>
                                </w:p>
                              </w:tc>
                              <w:tc>
                                <w:tcPr>
                                  <w:tcW w:w="2137" w:type="dxa"/>
                                </w:tcPr>
                                <w:p w14:paraId="2421EF8A" w14:textId="77777777" w:rsidR="00BF7A0C" w:rsidRPr="00B5705B" w:rsidRDefault="00BF7A0C" w:rsidP="00390EC4">
                                  <w:pPr>
                                    <w:spacing w:after="0" w:line="240" w:lineRule="auto"/>
                                    <w:rPr>
                                      <w:rFonts w:cs="Calibri"/>
                                      <w:sz w:val="20"/>
                                      <w:szCs w:val="20"/>
                                    </w:rPr>
                                  </w:pPr>
                                  <w:r w:rsidRPr="00B5705B">
                                    <w:rPr>
                                      <w:rFonts w:cs="Calibri"/>
                                      <w:sz w:val="20"/>
                                      <w:szCs w:val="20"/>
                                    </w:rPr>
                                    <w:t>Water discharge from remediation treatment only</w:t>
                                  </w:r>
                                </w:p>
                              </w:tc>
                              <w:tc>
                                <w:tcPr>
                                  <w:tcW w:w="1012" w:type="dxa"/>
                                </w:tcPr>
                                <w:p w14:paraId="44EF4BFD" w14:textId="77777777" w:rsidR="00BF7A0C" w:rsidRPr="00B5705B" w:rsidRDefault="00BF7A0C" w:rsidP="00390EC4">
                                  <w:pPr>
                                    <w:spacing w:after="0" w:line="240" w:lineRule="auto"/>
                                    <w:rPr>
                                      <w:rFonts w:cs="Calibri"/>
                                      <w:sz w:val="20"/>
                                      <w:szCs w:val="20"/>
                                    </w:rPr>
                                  </w:pPr>
                                  <w:r w:rsidRPr="00B5705B">
                                    <w:rPr>
                                      <w:rFonts w:cs="Calibri"/>
                                      <w:sz w:val="20"/>
                                      <w:szCs w:val="20"/>
                                    </w:rPr>
                                    <w:t>m</w:t>
                                  </w:r>
                                  <w:r w:rsidRPr="007F5485">
                                    <w:rPr>
                                      <w:rFonts w:cs="Calibri"/>
                                      <w:sz w:val="20"/>
                                      <w:szCs w:val="20"/>
                                      <w:vertAlign w:val="superscript"/>
                                    </w:rPr>
                                    <w:t>3</w:t>
                                  </w:r>
                                </w:p>
                              </w:tc>
                            </w:tr>
                            <w:tr w:rsidR="00BF7A0C" w:rsidRPr="00B5705B" w14:paraId="4B664CA3" w14:textId="77777777" w:rsidTr="00BF7A0C">
                              <w:trPr>
                                <w:trHeight w:val="71"/>
                                <w:jc w:val="center"/>
                              </w:trPr>
                              <w:tc>
                                <w:tcPr>
                                  <w:tcW w:w="1267" w:type="dxa"/>
                                  <w:vMerge/>
                                  <w:vAlign w:val="center"/>
                                </w:tcPr>
                                <w:p w14:paraId="43D8FC6A" w14:textId="77777777" w:rsidR="00BF7A0C" w:rsidRPr="00B5705B" w:rsidRDefault="00BF7A0C" w:rsidP="00390EC4">
                                  <w:pPr>
                                    <w:spacing w:after="0" w:line="240" w:lineRule="auto"/>
                                    <w:jc w:val="center"/>
                                    <w:rPr>
                                      <w:rFonts w:cs="Calibri"/>
                                      <w:sz w:val="20"/>
                                      <w:szCs w:val="20"/>
                                    </w:rPr>
                                  </w:pPr>
                                </w:p>
                              </w:tc>
                              <w:tc>
                                <w:tcPr>
                                  <w:tcW w:w="2267" w:type="dxa"/>
                                  <w:vMerge/>
                                  <w:vAlign w:val="center"/>
                                </w:tcPr>
                                <w:p w14:paraId="76584CEA" w14:textId="77777777" w:rsidR="00BF7A0C" w:rsidRPr="00B5705B" w:rsidRDefault="00BF7A0C" w:rsidP="00390EC4">
                                  <w:pPr>
                                    <w:spacing w:after="0" w:line="240" w:lineRule="auto"/>
                                    <w:rPr>
                                      <w:rFonts w:cs="Calibri"/>
                                      <w:sz w:val="20"/>
                                      <w:szCs w:val="20"/>
                                    </w:rPr>
                                  </w:pPr>
                                </w:p>
                              </w:tc>
                              <w:tc>
                                <w:tcPr>
                                  <w:tcW w:w="961" w:type="dxa"/>
                                  <w:vMerge/>
                                  <w:vAlign w:val="center"/>
                                </w:tcPr>
                                <w:p w14:paraId="348BA81E" w14:textId="77777777" w:rsidR="00BF7A0C" w:rsidRPr="00B5705B" w:rsidRDefault="00BF7A0C" w:rsidP="00390EC4">
                                  <w:pPr>
                                    <w:spacing w:after="0" w:line="240" w:lineRule="auto"/>
                                    <w:rPr>
                                      <w:rFonts w:cs="Calibri"/>
                                      <w:sz w:val="20"/>
                                      <w:szCs w:val="20"/>
                                    </w:rPr>
                                  </w:pPr>
                                </w:p>
                              </w:tc>
                              <w:tc>
                                <w:tcPr>
                                  <w:tcW w:w="897" w:type="dxa"/>
                                  <w:vMerge/>
                                  <w:vAlign w:val="center"/>
                                </w:tcPr>
                                <w:p w14:paraId="6CBD4B28" w14:textId="77777777" w:rsidR="00BF7A0C" w:rsidRPr="00B5705B" w:rsidRDefault="00BF7A0C" w:rsidP="00390EC4">
                                  <w:pPr>
                                    <w:spacing w:after="0" w:line="240" w:lineRule="auto"/>
                                    <w:jc w:val="center"/>
                                    <w:rPr>
                                      <w:rFonts w:cs="Calibri"/>
                                      <w:sz w:val="20"/>
                                      <w:szCs w:val="20"/>
                                    </w:rPr>
                                  </w:pPr>
                                </w:p>
                              </w:tc>
                              <w:tc>
                                <w:tcPr>
                                  <w:tcW w:w="2137" w:type="dxa"/>
                                </w:tcPr>
                                <w:p w14:paraId="34F92994" w14:textId="77777777" w:rsidR="00BF7A0C" w:rsidRPr="00B5705B" w:rsidRDefault="00BF7A0C" w:rsidP="00390EC4">
                                  <w:pPr>
                                    <w:spacing w:after="0" w:line="240" w:lineRule="auto"/>
                                    <w:rPr>
                                      <w:rFonts w:cs="Calibri"/>
                                      <w:sz w:val="20"/>
                                      <w:szCs w:val="20"/>
                                    </w:rPr>
                                  </w:pPr>
                                  <w:r w:rsidRPr="00B5705B">
                                    <w:rPr>
                                      <w:rFonts w:cs="Calibri"/>
                                      <w:sz w:val="20"/>
                                      <w:szCs w:val="20"/>
                                    </w:rPr>
                                    <w:t>Volume displaced soil material</w:t>
                                  </w:r>
                                </w:p>
                              </w:tc>
                              <w:tc>
                                <w:tcPr>
                                  <w:tcW w:w="1012" w:type="dxa"/>
                                </w:tcPr>
                                <w:p w14:paraId="55BCE9E8" w14:textId="77777777" w:rsidR="00BF7A0C" w:rsidRPr="00B5705B" w:rsidRDefault="00BF7A0C" w:rsidP="00390EC4">
                                  <w:pPr>
                                    <w:spacing w:after="0" w:line="240" w:lineRule="auto"/>
                                    <w:rPr>
                                      <w:rFonts w:cs="Calibri"/>
                                      <w:sz w:val="20"/>
                                      <w:szCs w:val="20"/>
                                    </w:rPr>
                                  </w:pPr>
                                  <w:r w:rsidRPr="00B5705B">
                                    <w:rPr>
                                      <w:rFonts w:cs="Calibri"/>
                                      <w:sz w:val="20"/>
                                      <w:szCs w:val="20"/>
                                    </w:rPr>
                                    <w:t>m</w:t>
                                  </w:r>
                                  <w:r w:rsidRPr="007F5485">
                                    <w:rPr>
                                      <w:rFonts w:cs="Calibri"/>
                                      <w:sz w:val="20"/>
                                      <w:szCs w:val="20"/>
                                      <w:vertAlign w:val="superscript"/>
                                    </w:rPr>
                                    <w:t>3</w:t>
                                  </w:r>
                                </w:p>
                              </w:tc>
                            </w:tr>
                            <w:tr w:rsidR="00BF7A0C" w:rsidRPr="00B5705B" w14:paraId="5EA31920" w14:textId="77777777" w:rsidTr="00BF7A0C">
                              <w:trPr>
                                <w:trHeight w:val="108"/>
                                <w:jc w:val="center"/>
                              </w:trPr>
                              <w:tc>
                                <w:tcPr>
                                  <w:tcW w:w="1267" w:type="dxa"/>
                                  <w:vMerge/>
                                  <w:vAlign w:val="center"/>
                                </w:tcPr>
                                <w:p w14:paraId="2E96DD83" w14:textId="77777777" w:rsidR="00BF7A0C" w:rsidRPr="00B5705B" w:rsidRDefault="00BF7A0C" w:rsidP="00390EC4">
                                  <w:pPr>
                                    <w:spacing w:after="0" w:line="240" w:lineRule="auto"/>
                                    <w:jc w:val="center"/>
                                    <w:rPr>
                                      <w:rFonts w:cs="Calibri"/>
                                      <w:sz w:val="20"/>
                                      <w:szCs w:val="20"/>
                                    </w:rPr>
                                  </w:pPr>
                                </w:p>
                              </w:tc>
                              <w:tc>
                                <w:tcPr>
                                  <w:tcW w:w="2267" w:type="dxa"/>
                                  <w:vMerge/>
                                  <w:vAlign w:val="center"/>
                                </w:tcPr>
                                <w:p w14:paraId="6CBCAB53" w14:textId="77777777" w:rsidR="00BF7A0C" w:rsidRPr="00B5705B" w:rsidRDefault="00BF7A0C" w:rsidP="00390EC4">
                                  <w:pPr>
                                    <w:spacing w:after="0" w:line="240" w:lineRule="auto"/>
                                    <w:rPr>
                                      <w:rFonts w:cs="Calibri"/>
                                      <w:sz w:val="20"/>
                                      <w:szCs w:val="20"/>
                                    </w:rPr>
                                  </w:pPr>
                                </w:p>
                              </w:tc>
                              <w:tc>
                                <w:tcPr>
                                  <w:tcW w:w="961" w:type="dxa"/>
                                  <w:vMerge/>
                                  <w:vAlign w:val="center"/>
                                </w:tcPr>
                                <w:p w14:paraId="1D058CF6" w14:textId="77777777" w:rsidR="00BF7A0C" w:rsidRPr="00B5705B" w:rsidRDefault="00BF7A0C" w:rsidP="00390EC4">
                                  <w:pPr>
                                    <w:spacing w:after="0" w:line="240" w:lineRule="auto"/>
                                    <w:rPr>
                                      <w:rFonts w:cs="Calibri"/>
                                      <w:sz w:val="20"/>
                                      <w:szCs w:val="20"/>
                                    </w:rPr>
                                  </w:pPr>
                                </w:p>
                              </w:tc>
                              <w:tc>
                                <w:tcPr>
                                  <w:tcW w:w="897" w:type="dxa"/>
                                  <w:vMerge/>
                                  <w:vAlign w:val="center"/>
                                </w:tcPr>
                                <w:p w14:paraId="78FD6BF1" w14:textId="77777777" w:rsidR="00BF7A0C" w:rsidRPr="00B5705B" w:rsidRDefault="00BF7A0C" w:rsidP="00390EC4">
                                  <w:pPr>
                                    <w:spacing w:after="0" w:line="240" w:lineRule="auto"/>
                                    <w:jc w:val="center"/>
                                    <w:rPr>
                                      <w:rFonts w:cs="Calibri"/>
                                      <w:sz w:val="20"/>
                                      <w:szCs w:val="20"/>
                                    </w:rPr>
                                  </w:pPr>
                                </w:p>
                              </w:tc>
                              <w:tc>
                                <w:tcPr>
                                  <w:tcW w:w="2137" w:type="dxa"/>
                                </w:tcPr>
                                <w:p w14:paraId="2D22EDB2" w14:textId="77777777" w:rsidR="00BF7A0C" w:rsidRPr="00B5705B" w:rsidRDefault="00BF7A0C" w:rsidP="00390EC4">
                                  <w:pPr>
                                    <w:spacing w:after="0" w:line="240" w:lineRule="auto"/>
                                    <w:rPr>
                                      <w:rFonts w:cs="Calibri"/>
                                      <w:sz w:val="20"/>
                                      <w:szCs w:val="20"/>
                                    </w:rPr>
                                  </w:pPr>
                                  <w:r w:rsidRPr="00B5705B">
                                    <w:rPr>
                                      <w:rFonts w:cs="Calibri"/>
                                      <w:sz w:val="20"/>
                                      <w:szCs w:val="20"/>
                                    </w:rPr>
                                    <w:t>Raw materials used in well construction</w:t>
                                  </w:r>
                                </w:p>
                              </w:tc>
                              <w:tc>
                                <w:tcPr>
                                  <w:tcW w:w="1012" w:type="dxa"/>
                                </w:tcPr>
                                <w:p w14:paraId="300583EE" w14:textId="77777777" w:rsidR="00BF7A0C" w:rsidRPr="00B5705B" w:rsidRDefault="00BF7A0C" w:rsidP="00390EC4">
                                  <w:pPr>
                                    <w:spacing w:after="0" w:line="240" w:lineRule="auto"/>
                                    <w:rPr>
                                      <w:rFonts w:cs="Calibri"/>
                                      <w:sz w:val="20"/>
                                      <w:szCs w:val="20"/>
                                    </w:rPr>
                                  </w:pPr>
                                  <w:r w:rsidRPr="00B5705B">
                                    <w:rPr>
                                      <w:rFonts w:cs="Calibri"/>
                                      <w:sz w:val="20"/>
                                      <w:szCs w:val="20"/>
                                    </w:rPr>
                                    <w:t>kg PVC</w:t>
                                  </w:r>
                                </w:p>
                              </w:tc>
                            </w:tr>
                            <w:tr w:rsidR="00BF7A0C" w:rsidRPr="00B5705B" w14:paraId="70C3E727" w14:textId="77777777" w:rsidTr="00BF7A0C">
                              <w:trPr>
                                <w:trHeight w:val="107"/>
                                <w:jc w:val="center"/>
                              </w:trPr>
                              <w:tc>
                                <w:tcPr>
                                  <w:tcW w:w="1267" w:type="dxa"/>
                                  <w:vMerge/>
                                  <w:vAlign w:val="center"/>
                                </w:tcPr>
                                <w:p w14:paraId="3207CE65" w14:textId="77777777" w:rsidR="00BF7A0C" w:rsidRPr="00B5705B" w:rsidRDefault="00BF7A0C" w:rsidP="00390EC4">
                                  <w:pPr>
                                    <w:spacing w:after="0" w:line="240" w:lineRule="auto"/>
                                    <w:jc w:val="center"/>
                                    <w:rPr>
                                      <w:rFonts w:cs="Calibri"/>
                                      <w:sz w:val="20"/>
                                      <w:szCs w:val="20"/>
                                    </w:rPr>
                                  </w:pPr>
                                </w:p>
                              </w:tc>
                              <w:tc>
                                <w:tcPr>
                                  <w:tcW w:w="2267" w:type="dxa"/>
                                  <w:vMerge/>
                                  <w:vAlign w:val="center"/>
                                </w:tcPr>
                                <w:p w14:paraId="7085D680" w14:textId="77777777" w:rsidR="00BF7A0C" w:rsidRPr="00B5705B" w:rsidRDefault="00BF7A0C" w:rsidP="00390EC4">
                                  <w:pPr>
                                    <w:spacing w:after="0" w:line="240" w:lineRule="auto"/>
                                    <w:rPr>
                                      <w:rFonts w:cs="Calibri"/>
                                      <w:sz w:val="20"/>
                                      <w:szCs w:val="20"/>
                                    </w:rPr>
                                  </w:pPr>
                                </w:p>
                              </w:tc>
                              <w:tc>
                                <w:tcPr>
                                  <w:tcW w:w="961" w:type="dxa"/>
                                  <w:vMerge/>
                                  <w:vAlign w:val="center"/>
                                </w:tcPr>
                                <w:p w14:paraId="5982D639" w14:textId="77777777" w:rsidR="00BF7A0C" w:rsidRPr="00B5705B" w:rsidRDefault="00BF7A0C" w:rsidP="00390EC4">
                                  <w:pPr>
                                    <w:spacing w:after="0" w:line="240" w:lineRule="auto"/>
                                    <w:rPr>
                                      <w:rFonts w:cs="Calibri"/>
                                      <w:sz w:val="20"/>
                                      <w:szCs w:val="20"/>
                                    </w:rPr>
                                  </w:pPr>
                                </w:p>
                              </w:tc>
                              <w:tc>
                                <w:tcPr>
                                  <w:tcW w:w="897" w:type="dxa"/>
                                  <w:vMerge/>
                                  <w:vAlign w:val="center"/>
                                </w:tcPr>
                                <w:p w14:paraId="0B612DF0" w14:textId="77777777" w:rsidR="00BF7A0C" w:rsidRPr="00B5705B" w:rsidRDefault="00BF7A0C" w:rsidP="00390EC4">
                                  <w:pPr>
                                    <w:spacing w:after="0" w:line="240" w:lineRule="auto"/>
                                    <w:jc w:val="center"/>
                                    <w:rPr>
                                      <w:rFonts w:cs="Calibri"/>
                                      <w:sz w:val="20"/>
                                      <w:szCs w:val="20"/>
                                    </w:rPr>
                                  </w:pPr>
                                </w:p>
                              </w:tc>
                              <w:tc>
                                <w:tcPr>
                                  <w:tcW w:w="2137" w:type="dxa"/>
                                </w:tcPr>
                                <w:p w14:paraId="2A2C12E0" w14:textId="77777777" w:rsidR="00BF7A0C" w:rsidRPr="00B5705B" w:rsidRDefault="00BF7A0C" w:rsidP="00390EC4">
                                  <w:pPr>
                                    <w:spacing w:after="0" w:line="240" w:lineRule="auto"/>
                                    <w:rPr>
                                      <w:rFonts w:cs="Calibri"/>
                                      <w:sz w:val="20"/>
                                      <w:szCs w:val="20"/>
                                    </w:rPr>
                                  </w:pPr>
                                  <w:r w:rsidRPr="00B5705B">
                                    <w:rPr>
                                      <w:rFonts w:cs="Calibri"/>
                                      <w:sz w:val="20"/>
                                      <w:szCs w:val="20"/>
                                    </w:rPr>
                                    <w:t>Volume of petrol consumed</w:t>
                                  </w:r>
                                </w:p>
                              </w:tc>
                              <w:tc>
                                <w:tcPr>
                                  <w:tcW w:w="1012" w:type="dxa"/>
                                </w:tcPr>
                                <w:p w14:paraId="77DCE82C" w14:textId="77777777" w:rsidR="00BF7A0C" w:rsidRPr="00B5705B" w:rsidRDefault="00BF7A0C" w:rsidP="00390EC4">
                                  <w:pPr>
                                    <w:spacing w:after="0" w:line="240" w:lineRule="auto"/>
                                    <w:rPr>
                                      <w:rFonts w:cs="Calibri"/>
                                      <w:sz w:val="20"/>
                                      <w:szCs w:val="20"/>
                                    </w:rPr>
                                  </w:pPr>
                                  <w:r w:rsidRPr="00B5705B">
                                    <w:rPr>
                                      <w:rFonts w:cs="Calibri"/>
                                      <w:sz w:val="20"/>
                                      <w:szCs w:val="20"/>
                                    </w:rPr>
                                    <w:t>m</w:t>
                                  </w:r>
                                  <w:r w:rsidRPr="007F5485">
                                    <w:rPr>
                                      <w:rFonts w:cs="Calibri"/>
                                      <w:sz w:val="20"/>
                                      <w:szCs w:val="20"/>
                                      <w:vertAlign w:val="superscript"/>
                                    </w:rPr>
                                    <w:t>3</w:t>
                                  </w:r>
                                </w:p>
                              </w:tc>
                            </w:tr>
                            <w:tr w:rsidR="00BF7A0C" w:rsidRPr="00B5705B" w14:paraId="6148762C" w14:textId="77777777" w:rsidTr="00BF7A0C">
                              <w:trPr>
                                <w:trHeight w:val="268"/>
                                <w:jc w:val="center"/>
                              </w:trPr>
                              <w:tc>
                                <w:tcPr>
                                  <w:tcW w:w="1267" w:type="dxa"/>
                                  <w:vMerge w:val="restart"/>
                                  <w:vAlign w:val="center"/>
                                </w:tcPr>
                                <w:p w14:paraId="2687B715" w14:textId="77777777" w:rsidR="00BF7A0C" w:rsidRPr="00B5705B" w:rsidRDefault="00BF7A0C" w:rsidP="00390EC4">
                                  <w:pPr>
                                    <w:spacing w:after="0" w:line="240" w:lineRule="auto"/>
                                    <w:jc w:val="center"/>
                                    <w:rPr>
                                      <w:rFonts w:cs="Calibri"/>
                                      <w:sz w:val="20"/>
                                      <w:szCs w:val="20"/>
                                    </w:rPr>
                                  </w:pPr>
                                  <w:r w:rsidRPr="00B5705B">
                                    <w:rPr>
                                      <w:rFonts w:cs="Calibri"/>
                                      <w:sz w:val="20"/>
                                      <w:szCs w:val="20"/>
                                    </w:rPr>
                                    <w:t>Economic</w:t>
                                  </w:r>
                                </w:p>
                              </w:tc>
                              <w:tc>
                                <w:tcPr>
                                  <w:tcW w:w="2267" w:type="dxa"/>
                                  <w:vAlign w:val="center"/>
                                </w:tcPr>
                                <w:p w14:paraId="3F877A78" w14:textId="77777777" w:rsidR="00BF7A0C" w:rsidRPr="00B5705B" w:rsidRDefault="00BF7A0C" w:rsidP="00390EC4">
                                  <w:pPr>
                                    <w:spacing w:after="0" w:line="240" w:lineRule="auto"/>
                                    <w:rPr>
                                      <w:rFonts w:cs="Calibri"/>
                                      <w:sz w:val="20"/>
                                      <w:szCs w:val="20"/>
                                    </w:rPr>
                                  </w:pPr>
                                  <w:r w:rsidRPr="00B5705B">
                                    <w:rPr>
                                      <w:rFonts w:cs="Calibri"/>
                                      <w:sz w:val="20"/>
                                      <w:szCs w:val="20"/>
                                    </w:rPr>
                                    <w:t>Direct economic costs</w:t>
                                  </w:r>
                                </w:p>
                              </w:tc>
                              <w:tc>
                                <w:tcPr>
                                  <w:tcW w:w="961" w:type="dxa"/>
                                  <w:vAlign w:val="center"/>
                                </w:tcPr>
                                <w:p w14:paraId="4B721F44" w14:textId="77777777" w:rsidR="00BF7A0C" w:rsidRPr="00B5705B" w:rsidRDefault="00BF7A0C" w:rsidP="00390EC4">
                                  <w:pPr>
                                    <w:spacing w:after="0" w:line="240" w:lineRule="auto"/>
                                    <w:rPr>
                                      <w:rFonts w:cs="Calibri"/>
                                      <w:sz w:val="20"/>
                                      <w:szCs w:val="20"/>
                                    </w:rPr>
                                  </w:pPr>
                                  <w:r w:rsidRPr="00B5705B">
                                    <w:rPr>
                                      <w:rFonts w:cs="Calibri"/>
                                      <w:sz w:val="20"/>
                                      <w:szCs w:val="20"/>
                                    </w:rPr>
                                    <w:t>ECON 1</w:t>
                                  </w:r>
                                </w:p>
                              </w:tc>
                              <w:tc>
                                <w:tcPr>
                                  <w:tcW w:w="897" w:type="dxa"/>
                                  <w:vAlign w:val="center"/>
                                </w:tcPr>
                                <w:p w14:paraId="74264D17" w14:textId="77777777" w:rsidR="00BF7A0C" w:rsidRPr="00B5705B" w:rsidRDefault="00BF7A0C" w:rsidP="00390EC4">
                                  <w:pPr>
                                    <w:spacing w:after="0" w:line="240" w:lineRule="auto"/>
                                    <w:jc w:val="center"/>
                                    <w:rPr>
                                      <w:rFonts w:cs="Calibri"/>
                                      <w:sz w:val="20"/>
                                      <w:szCs w:val="20"/>
                                    </w:rPr>
                                  </w:pPr>
                                  <w:r w:rsidRPr="00B5705B">
                                    <w:rPr>
                                      <w:rFonts w:cs="Calibri"/>
                                      <w:sz w:val="20"/>
                                      <w:szCs w:val="20"/>
                                    </w:rPr>
                                    <w:t>*</w:t>
                                  </w:r>
                                </w:p>
                              </w:tc>
                              <w:tc>
                                <w:tcPr>
                                  <w:tcW w:w="2137" w:type="dxa"/>
                                </w:tcPr>
                                <w:p w14:paraId="7C685FF1" w14:textId="77777777" w:rsidR="00BF7A0C" w:rsidRPr="00B5705B" w:rsidRDefault="00BF7A0C" w:rsidP="00390EC4">
                                  <w:pPr>
                                    <w:spacing w:after="0" w:line="240" w:lineRule="auto"/>
                                    <w:rPr>
                                      <w:rFonts w:cs="Calibri"/>
                                      <w:sz w:val="20"/>
                                      <w:szCs w:val="20"/>
                                    </w:rPr>
                                  </w:pPr>
                                  <w:r w:rsidRPr="00B5705B">
                                    <w:rPr>
                                      <w:rFonts w:cs="Calibri"/>
                                      <w:sz w:val="20"/>
                                      <w:szCs w:val="20"/>
                                    </w:rPr>
                                    <w:t>Total economic cost</w:t>
                                  </w:r>
                                </w:p>
                              </w:tc>
                              <w:tc>
                                <w:tcPr>
                                  <w:tcW w:w="1012" w:type="dxa"/>
                                </w:tcPr>
                                <w:p w14:paraId="4B3592AB" w14:textId="77777777" w:rsidR="00BF7A0C" w:rsidRPr="00B5705B" w:rsidRDefault="00BF7A0C" w:rsidP="00390EC4">
                                  <w:pPr>
                                    <w:spacing w:after="0" w:line="240" w:lineRule="auto"/>
                                    <w:rPr>
                                      <w:rFonts w:cs="Calibri"/>
                                      <w:sz w:val="20"/>
                                      <w:szCs w:val="20"/>
                                    </w:rPr>
                                  </w:pPr>
                                  <w:r w:rsidRPr="00B5705B">
                                    <w:rPr>
                                      <w:rFonts w:cs="Calibri"/>
                                      <w:sz w:val="20"/>
                                      <w:szCs w:val="20"/>
                                    </w:rPr>
                                    <w:t>GBP</w:t>
                                  </w:r>
                                </w:p>
                              </w:tc>
                            </w:tr>
                            <w:tr w:rsidR="00BF7A0C" w:rsidRPr="00B5705B" w14:paraId="235D607A" w14:textId="77777777" w:rsidTr="00BF7A0C">
                              <w:trPr>
                                <w:trHeight w:val="139"/>
                                <w:jc w:val="center"/>
                              </w:trPr>
                              <w:tc>
                                <w:tcPr>
                                  <w:tcW w:w="1267" w:type="dxa"/>
                                  <w:vMerge/>
                                  <w:vAlign w:val="center"/>
                                </w:tcPr>
                                <w:p w14:paraId="33EA5DD6" w14:textId="77777777" w:rsidR="00BF7A0C" w:rsidRPr="00B5705B" w:rsidRDefault="00BF7A0C" w:rsidP="00390EC4">
                                  <w:pPr>
                                    <w:spacing w:after="0" w:line="240" w:lineRule="auto"/>
                                    <w:jc w:val="center"/>
                                    <w:rPr>
                                      <w:rFonts w:cs="Calibri"/>
                                      <w:sz w:val="20"/>
                                      <w:szCs w:val="20"/>
                                    </w:rPr>
                                  </w:pPr>
                                </w:p>
                              </w:tc>
                              <w:tc>
                                <w:tcPr>
                                  <w:tcW w:w="2267" w:type="dxa"/>
                                  <w:vAlign w:val="center"/>
                                </w:tcPr>
                                <w:p w14:paraId="411EAB24" w14:textId="77777777" w:rsidR="00BF7A0C" w:rsidRPr="00B5705B" w:rsidRDefault="00BF7A0C" w:rsidP="00390EC4">
                                  <w:pPr>
                                    <w:spacing w:after="0" w:line="240" w:lineRule="auto"/>
                                    <w:rPr>
                                      <w:rFonts w:cs="Calibri"/>
                                      <w:sz w:val="20"/>
                                      <w:szCs w:val="20"/>
                                    </w:rPr>
                                  </w:pPr>
                                  <w:r w:rsidRPr="00B5705B">
                                    <w:rPr>
                                      <w:rFonts w:cs="Calibri"/>
                                      <w:sz w:val="20"/>
                                      <w:szCs w:val="20"/>
                                    </w:rPr>
                                    <w:t>Indirect economic costs and benefits</w:t>
                                  </w:r>
                                </w:p>
                              </w:tc>
                              <w:tc>
                                <w:tcPr>
                                  <w:tcW w:w="961" w:type="dxa"/>
                                  <w:vAlign w:val="center"/>
                                </w:tcPr>
                                <w:p w14:paraId="50985A18" w14:textId="77777777" w:rsidR="00BF7A0C" w:rsidRPr="00B5705B" w:rsidRDefault="00BF7A0C" w:rsidP="00390EC4">
                                  <w:pPr>
                                    <w:spacing w:after="0" w:line="240" w:lineRule="auto"/>
                                    <w:rPr>
                                      <w:rFonts w:cs="Calibri"/>
                                      <w:sz w:val="20"/>
                                      <w:szCs w:val="20"/>
                                    </w:rPr>
                                  </w:pPr>
                                  <w:r w:rsidRPr="00B5705B">
                                    <w:rPr>
                                      <w:rFonts w:cs="Calibri"/>
                                      <w:sz w:val="20"/>
                                      <w:szCs w:val="20"/>
                                    </w:rPr>
                                    <w:t>ECON 2</w:t>
                                  </w:r>
                                </w:p>
                              </w:tc>
                              <w:tc>
                                <w:tcPr>
                                  <w:tcW w:w="897" w:type="dxa"/>
                                  <w:vAlign w:val="center"/>
                                </w:tcPr>
                                <w:p w14:paraId="7FC538A3" w14:textId="77777777" w:rsidR="00BF7A0C" w:rsidRPr="00B5705B" w:rsidRDefault="00BF7A0C" w:rsidP="00390EC4">
                                  <w:pPr>
                                    <w:spacing w:after="0" w:line="240" w:lineRule="auto"/>
                                    <w:jc w:val="center"/>
                                    <w:rPr>
                                      <w:rFonts w:cs="Calibri"/>
                                      <w:sz w:val="20"/>
                                      <w:szCs w:val="20"/>
                                    </w:rPr>
                                  </w:pPr>
                                </w:p>
                              </w:tc>
                              <w:tc>
                                <w:tcPr>
                                  <w:tcW w:w="2137" w:type="dxa"/>
                                </w:tcPr>
                                <w:p w14:paraId="4C1AB0F6" w14:textId="77777777" w:rsidR="00BF7A0C" w:rsidRPr="00B5705B" w:rsidRDefault="00BF7A0C" w:rsidP="00390EC4">
                                  <w:pPr>
                                    <w:spacing w:after="0" w:line="240" w:lineRule="auto"/>
                                    <w:rPr>
                                      <w:rFonts w:cs="Calibri"/>
                                      <w:sz w:val="20"/>
                                      <w:szCs w:val="20"/>
                                    </w:rPr>
                                  </w:pPr>
                                  <w:r w:rsidRPr="00B5705B">
                                    <w:rPr>
                                      <w:rFonts w:cs="Calibri"/>
                                      <w:sz w:val="20"/>
                                      <w:szCs w:val="20"/>
                                    </w:rPr>
                                    <w:t>Net present value of housing on site</w:t>
                                  </w:r>
                                </w:p>
                              </w:tc>
                              <w:tc>
                                <w:tcPr>
                                  <w:tcW w:w="1012" w:type="dxa"/>
                                </w:tcPr>
                                <w:p w14:paraId="3703AF00" w14:textId="77777777" w:rsidR="00BF7A0C" w:rsidRPr="00B5705B" w:rsidRDefault="00BF7A0C" w:rsidP="00390EC4">
                                  <w:pPr>
                                    <w:spacing w:after="0" w:line="240" w:lineRule="auto"/>
                                    <w:rPr>
                                      <w:rFonts w:cs="Calibri"/>
                                      <w:sz w:val="20"/>
                                      <w:szCs w:val="20"/>
                                    </w:rPr>
                                  </w:pPr>
                                  <w:r w:rsidRPr="00B5705B">
                                    <w:rPr>
                                      <w:rFonts w:cs="Calibri"/>
                                      <w:sz w:val="20"/>
                                      <w:szCs w:val="20"/>
                                    </w:rPr>
                                    <w:t>GBP</w:t>
                                  </w:r>
                                </w:p>
                              </w:tc>
                            </w:tr>
                            <w:tr w:rsidR="00BF7A0C" w:rsidRPr="00B5705B" w14:paraId="0E98DF9B" w14:textId="77777777" w:rsidTr="00BF7A0C">
                              <w:trPr>
                                <w:trHeight w:val="139"/>
                                <w:jc w:val="center"/>
                              </w:trPr>
                              <w:tc>
                                <w:tcPr>
                                  <w:tcW w:w="1267" w:type="dxa"/>
                                  <w:vMerge/>
                                  <w:vAlign w:val="center"/>
                                </w:tcPr>
                                <w:p w14:paraId="504AFB1E" w14:textId="77777777" w:rsidR="00BF7A0C" w:rsidRPr="00B5705B" w:rsidRDefault="00BF7A0C" w:rsidP="00390EC4">
                                  <w:pPr>
                                    <w:spacing w:after="0" w:line="240" w:lineRule="auto"/>
                                    <w:jc w:val="center"/>
                                    <w:rPr>
                                      <w:rFonts w:cs="Calibri"/>
                                      <w:sz w:val="20"/>
                                      <w:szCs w:val="20"/>
                                    </w:rPr>
                                  </w:pPr>
                                </w:p>
                              </w:tc>
                              <w:tc>
                                <w:tcPr>
                                  <w:tcW w:w="2267" w:type="dxa"/>
                                  <w:vAlign w:val="center"/>
                                </w:tcPr>
                                <w:p w14:paraId="67907CB9" w14:textId="77777777" w:rsidR="00BF7A0C" w:rsidRPr="00B5705B" w:rsidRDefault="00BF7A0C" w:rsidP="00390EC4">
                                  <w:pPr>
                                    <w:spacing w:after="0" w:line="240" w:lineRule="auto"/>
                                    <w:rPr>
                                      <w:rFonts w:cs="Calibri"/>
                                      <w:sz w:val="20"/>
                                      <w:szCs w:val="20"/>
                                    </w:rPr>
                                  </w:pPr>
                                  <w:r w:rsidRPr="00B5705B">
                                    <w:rPr>
                                      <w:rFonts w:cs="Calibri"/>
                                      <w:sz w:val="20"/>
                                      <w:szCs w:val="20"/>
                                    </w:rPr>
                                    <w:t>Employment and employment capacity</w:t>
                                  </w:r>
                                </w:p>
                              </w:tc>
                              <w:tc>
                                <w:tcPr>
                                  <w:tcW w:w="961" w:type="dxa"/>
                                  <w:vAlign w:val="center"/>
                                </w:tcPr>
                                <w:p w14:paraId="2D0DA258" w14:textId="77777777" w:rsidR="00BF7A0C" w:rsidRPr="00B5705B" w:rsidRDefault="00BF7A0C" w:rsidP="00390EC4">
                                  <w:pPr>
                                    <w:spacing w:after="0" w:line="240" w:lineRule="auto"/>
                                    <w:rPr>
                                      <w:rFonts w:cs="Calibri"/>
                                      <w:sz w:val="20"/>
                                      <w:szCs w:val="20"/>
                                    </w:rPr>
                                  </w:pPr>
                                  <w:r w:rsidRPr="00B5705B">
                                    <w:rPr>
                                      <w:rFonts w:cs="Calibri"/>
                                      <w:sz w:val="20"/>
                                      <w:szCs w:val="20"/>
                                    </w:rPr>
                                    <w:t>ECON 3</w:t>
                                  </w:r>
                                </w:p>
                              </w:tc>
                              <w:tc>
                                <w:tcPr>
                                  <w:tcW w:w="897" w:type="dxa"/>
                                  <w:vAlign w:val="center"/>
                                </w:tcPr>
                                <w:p w14:paraId="7F19DB56" w14:textId="77777777" w:rsidR="00BF7A0C" w:rsidRPr="00B5705B" w:rsidRDefault="00BF7A0C" w:rsidP="00390EC4">
                                  <w:pPr>
                                    <w:spacing w:after="0" w:line="240" w:lineRule="auto"/>
                                    <w:jc w:val="center"/>
                                    <w:rPr>
                                      <w:rFonts w:cs="Calibri"/>
                                      <w:sz w:val="20"/>
                                      <w:szCs w:val="20"/>
                                    </w:rPr>
                                  </w:pPr>
                                </w:p>
                              </w:tc>
                              <w:tc>
                                <w:tcPr>
                                  <w:tcW w:w="2137" w:type="dxa"/>
                                </w:tcPr>
                                <w:p w14:paraId="1E007C7D" w14:textId="77777777" w:rsidR="00BF7A0C" w:rsidRPr="00B5705B" w:rsidRDefault="00BF7A0C" w:rsidP="00390EC4">
                                  <w:pPr>
                                    <w:spacing w:after="0" w:line="240" w:lineRule="auto"/>
                                    <w:rPr>
                                      <w:rFonts w:cs="Calibri"/>
                                      <w:sz w:val="20"/>
                                      <w:szCs w:val="20"/>
                                    </w:rPr>
                                  </w:pPr>
                                  <w:r w:rsidRPr="00B5705B">
                                    <w:rPr>
                                      <w:rFonts w:cs="Calibri"/>
                                      <w:sz w:val="20"/>
                                      <w:szCs w:val="20"/>
                                    </w:rPr>
                                    <w:t>Qualitative (Tier 1)</w:t>
                                  </w:r>
                                </w:p>
                              </w:tc>
                              <w:tc>
                                <w:tcPr>
                                  <w:tcW w:w="1012" w:type="dxa"/>
                                </w:tcPr>
                                <w:p w14:paraId="13B47FD6" w14:textId="77777777" w:rsidR="00BF7A0C" w:rsidRPr="00B5705B" w:rsidRDefault="00BF7A0C" w:rsidP="00390EC4">
                                  <w:pPr>
                                    <w:spacing w:after="0" w:line="240" w:lineRule="auto"/>
                                    <w:rPr>
                                      <w:rFonts w:cs="Calibri"/>
                                      <w:sz w:val="20"/>
                                      <w:szCs w:val="20"/>
                                    </w:rPr>
                                  </w:pPr>
                                  <w:r w:rsidRPr="00B5705B">
                                    <w:rPr>
                                      <w:rFonts w:cs="Calibri"/>
                                      <w:sz w:val="20"/>
                                      <w:szCs w:val="20"/>
                                    </w:rPr>
                                    <w:t>n/a</w:t>
                                  </w:r>
                                </w:p>
                              </w:tc>
                            </w:tr>
                            <w:tr w:rsidR="00BF7A0C" w:rsidRPr="00B5705B" w14:paraId="1B66240C" w14:textId="77777777" w:rsidTr="00BF7A0C">
                              <w:trPr>
                                <w:trHeight w:val="139"/>
                                <w:jc w:val="center"/>
                              </w:trPr>
                              <w:tc>
                                <w:tcPr>
                                  <w:tcW w:w="1267" w:type="dxa"/>
                                  <w:vMerge/>
                                  <w:vAlign w:val="center"/>
                                </w:tcPr>
                                <w:p w14:paraId="19C6ECE4" w14:textId="77777777" w:rsidR="00BF7A0C" w:rsidRPr="00B5705B" w:rsidRDefault="00BF7A0C" w:rsidP="00390EC4">
                                  <w:pPr>
                                    <w:spacing w:after="0" w:line="240" w:lineRule="auto"/>
                                    <w:jc w:val="center"/>
                                    <w:rPr>
                                      <w:rFonts w:cs="Calibri"/>
                                      <w:sz w:val="20"/>
                                      <w:szCs w:val="20"/>
                                    </w:rPr>
                                  </w:pPr>
                                </w:p>
                              </w:tc>
                              <w:tc>
                                <w:tcPr>
                                  <w:tcW w:w="2267" w:type="dxa"/>
                                  <w:vAlign w:val="center"/>
                                </w:tcPr>
                                <w:p w14:paraId="7F7AA76A" w14:textId="77777777" w:rsidR="00BF7A0C" w:rsidRPr="00B5705B" w:rsidRDefault="00BF7A0C" w:rsidP="00390EC4">
                                  <w:pPr>
                                    <w:spacing w:after="0" w:line="240" w:lineRule="auto"/>
                                    <w:rPr>
                                      <w:rFonts w:cs="Calibri"/>
                                      <w:sz w:val="20"/>
                                      <w:szCs w:val="20"/>
                                    </w:rPr>
                                  </w:pPr>
                                  <w:r w:rsidRPr="00B5705B">
                                    <w:rPr>
                                      <w:rFonts w:cs="Calibri"/>
                                      <w:sz w:val="20"/>
                                      <w:szCs w:val="20"/>
                                    </w:rPr>
                                    <w:t>Induced economic costs and benefits</w:t>
                                  </w:r>
                                </w:p>
                              </w:tc>
                              <w:tc>
                                <w:tcPr>
                                  <w:tcW w:w="961" w:type="dxa"/>
                                  <w:vAlign w:val="center"/>
                                </w:tcPr>
                                <w:p w14:paraId="1F757D61" w14:textId="77777777" w:rsidR="00BF7A0C" w:rsidRPr="00B5705B" w:rsidRDefault="00BF7A0C" w:rsidP="00390EC4">
                                  <w:pPr>
                                    <w:spacing w:after="0" w:line="240" w:lineRule="auto"/>
                                    <w:rPr>
                                      <w:rFonts w:cs="Calibri"/>
                                      <w:sz w:val="20"/>
                                      <w:szCs w:val="20"/>
                                    </w:rPr>
                                  </w:pPr>
                                  <w:r w:rsidRPr="00B5705B">
                                    <w:rPr>
                                      <w:rFonts w:cs="Calibri"/>
                                      <w:sz w:val="20"/>
                                      <w:szCs w:val="20"/>
                                    </w:rPr>
                                    <w:t>ECON 4</w:t>
                                  </w:r>
                                </w:p>
                              </w:tc>
                              <w:tc>
                                <w:tcPr>
                                  <w:tcW w:w="897" w:type="dxa"/>
                                  <w:vAlign w:val="center"/>
                                </w:tcPr>
                                <w:p w14:paraId="7957AD0E" w14:textId="77777777" w:rsidR="00BF7A0C" w:rsidRPr="00B5705B" w:rsidRDefault="00BF7A0C" w:rsidP="00390EC4">
                                  <w:pPr>
                                    <w:spacing w:after="0" w:line="240" w:lineRule="auto"/>
                                    <w:jc w:val="center"/>
                                    <w:rPr>
                                      <w:rFonts w:cs="Calibri"/>
                                      <w:sz w:val="20"/>
                                      <w:szCs w:val="20"/>
                                    </w:rPr>
                                  </w:pPr>
                                </w:p>
                              </w:tc>
                              <w:tc>
                                <w:tcPr>
                                  <w:tcW w:w="2137" w:type="dxa"/>
                                </w:tcPr>
                                <w:p w14:paraId="3396E27B" w14:textId="77777777" w:rsidR="00BF7A0C" w:rsidRPr="00B5705B" w:rsidRDefault="00BF7A0C" w:rsidP="00390EC4">
                                  <w:pPr>
                                    <w:spacing w:after="0" w:line="240" w:lineRule="auto"/>
                                    <w:rPr>
                                      <w:rFonts w:cs="Calibri"/>
                                      <w:sz w:val="20"/>
                                      <w:szCs w:val="20"/>
                                    </w:rPr>
                                  </w:pPr>
                                  <w:r w:rsidRPr="00B5705B">
                                    <w:rPr>
                                      <w:rFonts w:cs="Calibri"/>
                                      <w:sz w:val="20"/>
                                      <w:szCs w:val="20"/>
                                    </w:rPr>
                                    <w:t>Net present value of petrol filling station</w:t>
                                  </w:r>
                                </w:p>
                              </w:tc>
                              <w:tc>
                                <w:tcPr>
                                  <w:tcW w:w="1012" w:type="dxa"/>
                                </w:tcPr>
                                <w:p w14:paraId="3E7B4DD8" w14:textId="77777777" w:rsidR="00BF7A0C" w:rsidRPr="00B5705B" w:rsidRDefault="00BF7A0C" w:rsidP="00390EC4">
                                  <w:pPr>
                                    <w:spacing w:after="0" w:line="240" w:lineRule="auto"/>
                                    <w:rPr>
                                      <w:rFonts w:cs="Calibri"/>
                                      <w:sz w:val="20"/>
                                      <w:szCs w:val="20"/>
                                    </w:rPr>
                                  </w:pPr>
                                  <w:r w:rsidRPr="00B5705B">
                                    <w:rPr>
                                      <w:rFonts w:cs="Calibri"/>
                                      <w:sz w:val="20"/>
                                      <w:szCs w:val="20"/>
                                    </w:rPr>
                                    <w:t>GBP</w:t>
                                  </w:r>
                                </w:p>
                              </w:tc>
                            </w:tr>
                            <w:tr w:rsidR="00BF7A0C" w:rsidRPr="00B5705B" w14:paraId="0B330A80" w14:textId="77777777" w:rsidTr="00BF7A0C">
                              <w:trPr>
                                <w:trHeight w:val="139"/>
                                <w:jc w:val="center"/>
                              </w:trPr>
                              <w:tc>
                                <w:tcPr>
                                  <w:tcW w:w="1267" w:type="dxa"/>
                                  <w:vMerge/>
                                  <w:vAlign w:val="center"/>
                                </w:tcPr>
                                <w:p w14:paraId="3881AC43" w14:textId="77777777" w:rsidR="00BF7A0C" w:rsidRPr="00B5705B" w:rsidRDefault="00BF7A0C" w:rsidP="00390EC4">
                                  <w:pPr>
                                    <w:spacing w:after="0" w:line="240" w:lineRule="auto"/>
                                    <w:jc w:val="center"/>
                                    <w:rPr>
                                      <w:rFonts w:cs="Calibri"/>
                                      <w:sz w:val="20"/>
                                      <w:szCs w:val="20"/>
                                    </w:rPr>
                                  </w:pPr>
                                </w:p>
                              </w:tc>
                              <w:tc>
                                <w:tcPr>
                                  <w:tcW w:w="2267" w:type="dxa"/>
                                  <w:vAlign w:val="center"/>
                                </w:tcPr>
                                <w:p w14:paraId="61BA6041" w14:textId="77777777" w:rsidR="00BF7A0C" w:rsidRPr="00B5705B" w:rsidRDefault="00BF7A0C" w:rsidP="00390EC4">
                                  <w:pPr>
                                    <w:spacing w:after="0" w:line="240" w:lineRule="auto"/>
                                    <w:rPr>
                                      <w:rFonts w:cs="Calibri"/>
                                      <w:sz w:val="20"/>
                                      <w:szCs w:val="20"/>
                                    </w:rPr>
                                  </w:pPr>
                                  <w:r w:rsidRPr="00B5705B">
                                    <w:rPr>
                                      <w:rFonts w:cs="Calibri"/>
                                      <w:sz w:val="20"/>
                                      <w:szCs w:val="20"/>
                                    </w:rPr>
                                    <w:t>Project lifespan and flexibility</w:t>
                                  </w:r>
                                </w:p>
                              </w:tc>
                              <w:tc>
                                <w:tcPr>
                                  <w:tcW w:w="961" w:type="dxa"/>
                                  <w:vAlign w:val="center"/>
                                </w:tcPr>
                                <w:p w14:paraId="460B7641" w14:textId="77777777" w:rsidR="00BF7A0C" w:rsidRPr="00B5705B" w:rsidRDefault="00BF7A0C" w:rsidP="00390EC4">
                                  <w:pPr>
                                    <w:spacing w:after="0" w:line="240" w:lineRule="auto"/>
                                    <w:rPr>
                                      <w:rFonts w:cs="Calibri"/>
                                      <w:sz w:val="20"/>
                                      <w:szCs w:val="20"/>
                                    </w:rPr>
                                  </w:pPr>
                                  <w:r w:rsidRPr="00B5705B">
                                    <w:rPr>
                                      <w:rFonts w:cs="Calibri"/>
                                      <w:sz w:val="20"/>
                                      <w:szCs w:val="20"/>
                                    </w:rPr>
                                    <w:t>ECON 5</w:t>
                                  </w:r>
                                </w:p>
                              </w:tc>
                              <w:tc>
                                <w:tcPr>
                                  <w:tcW w:w="897" w:type="dxa"/>
                                  <w:vAlign w:val="center"/>
                                </w:tcPr>
                                <w:p w14:paraId="40C470E2" w14:textId="77777777" w:rsidR="00BF7A0C" w:rsidRPr="00B5705B" w:rsidRDefault="00BF7A0C" w:rsidP="00390EC4">
                                  <w:pPr>
                                    <w:spacing w:after="0" w:line="240" w:lineRule="auto"/>
                                    <w:jc w:val="center"/>
                                    <w:rPr>
                                      <w:rFonts w:cs="Calibri"/>
                                      <w:sz w:val="20"/>
                                      <w:szCs w:val="20"/>
                                    </w:rPr>
                                  </w:pPr>
                                  <w:r w:rsidRPr="00B5705B">
                                    <w:rPr>
                                      <w:rFonts w:cs="Calibri"/>
                                      <w:sz w:val="20"/>
                                      <w:szCs w:val="20"/>
                                    </w:rPr>
                                    <w:t>*</w:t>
                                  </w:r>
                                </w:p>
                              </w:tc>
                              <w:tc>
                                <w:tcPr>
                                  <w:tcW w:w="2137" w:type="dxa"/>
                                </w:tcPr>
                                <w:p w14:paraId="4B2B5CB3" w14:textId="77777777" w:rsidR="00BF7A0C" w:rsidRPr="00B5705B" w:rsidRDefault="00BF7A0C" w:rsidP="00390EC4">
                                  <w:pPr>
                                    <w:spacing w:after="0" w:line="240" w:lineRule="auto"/>
                                    <w:rPr>
                                      <w:rFonts w:cs="Calibri"/>
                                      <w:sz w:val="20"/>
                                      <w:szCs w:val="20"/>
                                    </w:rPr>
                                  </w:pPr>
                                  <w:r w:rsidRPr="00B5705B">
                                    <w:rPr>
                                      <w:rFonts w:cs="Calibri"/>
                                      <w:sz w:val="20"/>
                                      <w:szCs w:val="20"/>
                                    </w:rPr>
                                    <w:t>Duration of treatment</w:t>
                                  </w:r>
                                </w:p>
                              </w:tc>
                              <w:tc>
                                <w:tcPr>
                                  <w:tcW w:w="1012" w:type="dxa"/>
                                </w:tcPr>
                                <w:p w14:paraId="59902D9F" w14:textId="77777777" w:rsidR="00BF7A0C" w:rsidRPr="00B5705B" w:rsidRDefault="00BF7A0C" w:rsidP="00390EC4">
                                  <w:pPr>
                                    <w:spacing w:after="0" w:line="240" w:lineRule="auto"/>
                                    <w:rPr>
                                      <w:rFonts w:cs="Calibri"/>
                                      <w:sz w:val="20"/>
                                      <w:szCs w:val="20"/>
                                    </w:rPr>
                                  </w:pPr>
                                  <w:r w:rsidRPr="00B5705B">
                                    <w:rPr>
                                      <w:rFonts w:cs="Calibri"/>
                                      <w:sz w:val="20"/>
                                      <w:szCs w:val="20"/>
                                    </w:rPr>
                                    <w:t>Years</w:t>
                                  </w:r>
                                </w:p>
                              </w:tc>
                            </w:tr>
                            <w:tr w:rsidR="00BF7A0C" w:rsidRPr="00B5705B" w14:paraId="3A585E1E" w14:textId="77777777" w:rsidTr="00BF7A0C">
                              <w:trPr>
                                <w:trHeight w:val="108"/>
                                <w:jc w:val="center"/>
                              </w:trPr>
                              <w:tc>
                                <w:tcPr>
                                  <w:tcW w:w="1267" w:type="dxa"/>
                                  <w:vMerge w:val="restart"/>
                                  <w:vAlign w:val="center"/>
                                </w:tcPr>
                                <w:p w14:paraId="40268CE4" w14:textId="77777777" w:rsidR="00BF7A0C" w:rsidRPr="00B5705B" w:rsidRDefault="00BF7A0C" w:rsidP="00390EC4">
                                  <w:pPr>
                                    <w:spacing w:after="0" w:line="240" w:lineRule="auto"/>
                                    <w:jc w:val="center"/>
                                    <w:rPr>
                                      <w:rFonts w:cs="Calibri"/>
                                      <w:sz w:val="20"/>
                                      <w:szCs w:val="20"/>
                                    </w:rPr>
                                  </w:pPr>
                                  <w:r w:rsidRPr="00B5705B">
                                    <w:rPr>
                                      <w:rFonts w:cs="Calibri"/>
                                      <w:sz w:val="20"/>
                                      <w:szCs w:val="20"/>
                                    </w:rPr>
                                    <w:t>Social</w:t>
                                  </w:r>
                                </w:p>
                              </w:tc>
                              <w:tc>
                                <w:tcPr>
                                  <w:tcW w:w="2267" w:type="dxa"/>
                                  <w:vMerge w:val="restart"/>
                                  <w:vAlign w:val="center"/>
                                </w:tcPr>
                                <w:p w14:paraId="21F7F01B" w14:textId="77777777" w:rsidR="00BF7A0C" w:rsidRPr="00B5705B" w:rsidRDefault="00BF7A0C" w:rsidP="00390EC4">
                                  <w:pPr>
                                    <w:spacing w:after="0" w:line="240" w:lineRule="auto"/>
                                    <w:rPr>
                                      <w:rFonts w:cs="Calibri"/>
                                      <w:sz w:val="20"/>
                                      <w:szCs w:val="20"/>
                                    </w:rPr>
                                  </w:pPr>
                                  <w:r w:rsidRPr="00B5705B">
                                    <w:rPr>
                                      <w:rFonts w:cs="Calibri"/>
                                      <w:sz w:val="20"/>
                                      <w:szCs w:val="20"/>
                                    </w:rPr>
                                    <w:t>Human health and safety</w:t>
                                  </w:r>
                                </w:p>
                              </w:tc>
                              <w:tc>
                                <w:tcPr>
                                  <w:tcW w:w="961" w:type="dxa"/>
                                  <w:vMerge w:val="restart"/>
                                  <w:vAlign w:val="center"/>
                                </w:tcPr>
                                <w:p w14:paraId="3FC2F727" w14:textId="77777777" w:rsidR="00BF7A0C" w:rsidRPr="00B5705B" w:rsidRDefault="00BF7A0C" w:rsidP="00390EC4">
                                  <w:pPr>
                                    <w:spacing w:after="0" w:line="240" w:lineRule="auto"/>
                                    <w:rPr>
                                      <w:rFonts w:cs="Calibri"/>
                                      <w:sz w:val="20"/>
                                      <w:szCs w:val="20"/>
                                    </w:rPr>
                                  </w:pPr>
                                  <w:r w:rsidRPr="00B5705B">
                                    <w:rPr>
                                      <w:rFonts w:cs="Calibri"/>
                                      <w:sz w:val="20"/>
                                      <w:szCs w:val="20"/>
                                    </w:rPr>
                                    <w:t>SOC 1</w:t>
                                  </w:r>
                                </w:p>
                              </w:tc>
                              <w:tc>
                                <w:tcPr>
                                  <w:tcW w:w="897" w:type="dxa"/>
                                  <w:vMerge w:val="restart"/>
                                  <w:vAlign w:val="center"/>
                                </w:tcPr>
                                <w:p w14:paraId="3590679D" w14:textId="77777777" w:rsidR="00BF7A0C" w:rsidRPr="00B5705B" w:rsidRDefault="00BF7A0C" w:rsidP="00390EC4">
                                  <w:pPr>
                                    <w:spacing w:after="0" w:line="240" w:lineRule="auto"/>
                                    <w:jc w:val="center"/>
                                    <w:rPr>
                                      <w:rFonts w:cs="Calibri"/>
                                      <w:sz w:val="20"/>
                                      <w:szCs w:val="20"/>
                                    </w:rPr>
                                  </w:pPr>
                                  <w:r w:rsidRPr="00B5705B">
                                    <w:rPr>
                                      <w:rFonts w:cs="Calibri"/>
                                      <w:sz w:val="20"/>
                                      <w:szCs w:val="20"/>
                                    </w:rPr>
                                    <w:t>*</w:t>
                                  </w:r>
                                </w:p>
                              </w:tc>
                              <w:tc>
                                <w:tcPr>
                                  <w:tcW w:w="2137" w:type="dxa"/>
                                </w:tcPr>
                                <w:p w14:paraId="7FE3C0B5" w14:textId="77777777" w:rsidR="00BF7A0C" w:rsidRPr="00B5705B" w:rsidRDefault="00BF7A0C" w:rsidP="00390EC4">
                                  <w:pPr>
                                    <w:spacing w:after="0" w:line="240" w:lineRule="auto"/>
                                    <w:rPr>
                                      <w:rFonts w:cs="Calibri"/>
                                      <w:sz w:val="20"/>
                                      <w:szCs w:val="20"/>
                                    </w:rPr>
                                  </w:pPr>
                                  <w:r w:rsidRPr="00B5705B">
                                    <w:rPr>
                                      <w:rFonts w:cs="Calibri"/>
                                      <w:sz w:val="20"/>
                                      <w:szCs w:val="20"/>
                                    </w:rPr>
                                    <w:t>Time lost due to injury from operation</w:t>
                                  </w:r>
                                </w:p>
                              </w:tc>
                              <w:tc>
                                <w:tcPr>
                                  <w:tcW w:w="1012" w:type="dxa"/>
                                </w:tcPr>
                                <w:p w14:paraId="5F64D551" w14:textId="77777777" w:rsidR="00BF7A0C" w:rsidRPr="00B5705B" w:rsidRDefault="00BF7A0C" w:rsidP="00390EC4">
                                  <w:pPr>
                                    <w:spacing w:after="0" w:line="240" w:lineRule="auto"/>
                                    <w:rPr>
                                      <w:rFonts w:cs="Calibri"/>
                                      <w:sz w:val="20"/>
                                      <w:szCs w:val="20"/>
                                    </w:rPr>
                                  </w:pPr>
                                  <w:r w:rsidRPr="00B5705B">
                                    <w:rPr>
                                      <w:rFonts w:cs="Calibri"/>
                                      <w:sz w:val="20"/>
                                      <w:szCs w:val="20"/>
                                    </w:rPr>
                                    <w:t>Hours</w:t>
                                  </w:r>
                                </w:p>
                              </w:tc>
                            </w:tr>
                            <w:tr w:rsidR="00BF7A0C" w:rsidRPr="00B5705B" w14:paraId="5EC86281" w14:textId="77777777" w:rsidTr="00BF7A0C">
                              <w:trPr>
                                <w:trHeight w:val="107"/>
                                <w:jc w:val="center"/>
                              </w:trPr>
                              <w:tc>
                                <w:tcPr>
                                  <w:tcW w:w="1267" w:type="dxa"/>
                                  <w:vMerge/>
                                  <w:vAlign w:val="center"/>
                                </w:tcPr>
                                <w:p w14:paraId="6B1F68A2" w14:textId="77777777" w:rsidR="00BF7A0C" w:rsidRPr="00B5705B" w:rsidRDefault="00BF7A0C" w:rsidP="00390EC4">
                                  <w:pPr>
                                    <w:spacing w:after="0" w:line="240" w:lineRule="auto"/>
                                    <w:jc w:val="center"/>
                                    <w:rPr>
                                      <w:rFonts w:cs="Calibri"/>
                                      <w:sz w:val="20"/>
                                      <w:szCs w:val="20"/>
                                    </w:rPr>
                                  </w:pPr>
                                </w:p>
                              </w:tc>
                              <w:tc>
                                <w:tcPr>
                                  <w:tcW w:w="2267" w:type="dxa"/>
                                  <w:vMerge/>
                                  <w:vAlign w:val="center"/>
                                </w:tcPr>
                                <w:p w14:paraId="2EFDF07C" w14:textId="77777777" w:rsidR="00BF7A0C" w:rsidRPr="00B5705B" w:rsidRDefault="00BF7A0C" w:rsidP="00390EC4">
                                  <w:pPr>
                                    <w:spacing w:after="0" w:line="240" w:lineRule="auto"/>
                                    <w:rPr>
                                      <w:rFonts w:cs="Calibri"/>
                                      <w:sz w:val="20"/>
                                      <w:szCs w:val="20"/>
                                    </w:rPr>
                                  </w:pPr>
                                </w:p>
                              </w:tc>
                              <w:tc>
                                <w:tcPr>
                                  <w:tcW w:w="961" w:type="dxa"/>
                                  <w:vMerge/>
                                  <w:vAlign w:val="center"/>
                                </w:tcPr>
                                <w:p w14:paraId="5EFF9299" w14:textId="77777777" w:rsidR="00BF7A0C" w:rsidRPr="00B5705B" w:rsidRDefault="00BF7A0C" w:rsidP="00390EC4">
                                  <w:pPr>
                                    <w:spacing w:after="0" w:line="240" w:lineRule="auto"/>
                                    <w:rPr>
                                      <w:rFonts w:cs="Calibri"/>
                                      <w:sz w:val="20"/>
                                      <w:szCs w:val="20"/>
                                    </w:rPr>
                                  </w:pPr>
                                </w:p>
                              </w:tc>
                              <w:tc>
                                <w:tcPr>
                                  <w:tcW w:w="897" w:type="dxa"/>
                                  <w:vMerge/>
                                  <w:vAlign w:val="center"/>
                                </w:tcPr>
                                <w:p w14:paraId="0DA7D159" w14:textId="77777777" w:rsidR="00BF7A0C" w:rsidRPr="00B5705B" w:rsidRDefault="00BF7A0C" w:rsidP="00390EC4">
                                  <w:pPr>
                                    <w:spacing w:after="0" w:line="240" w:lineRule="auto"/>
                                    <w:jc w:val="center"/>
                                    <w:rPr>
                                      <w:rFonts w:cs="Calibri"/>
                                      <w:sz w:val="20"/>
                                      <w:szCs w:val="20"/>
                                    </w:rPr>
                                  </w:pPr>
                                </w:p>
                              </w:tc>
                              <w:tc>
                                <w:tcPr>
                                  <w:tcW w:w="2137" w:type="dxa"/>
                                </w:tcPr>
                                <w:p w14:paraId="7A170E08" w14:textId="77777777" w:rsidR="00BF7A0C" w:rsidRPr="00B5705B" w:rsidRDefault="00BF7A0C" w:rsidP="00390EC4">
                                  <w:pPr>
                                    <w:spacing w:after="0" w:line="240" w:lineRule="auto"/>
                                    <w:rPr>
                                      <w:rFonts w:cs="Calibri"/>
                                      <w:sz w:val="20"/>
                                      <w:szCs w:val="20"/>
                                    </w:rPr>
                                  </w:pPr>
                                  <w:r w:rsidRPr="00B5705B">
                                    <w:rPr>
                                      <w:rFonts w:cs="Calibri"/>
                                      <w:sz w:val="20"/>
                                      <w:szCs w:val="20"/>
                                    </w:rPr>
                                    <w:t>Time lost due to injury from traffic accidents</w:t>
                                  </w:r>
                                </w:p>
                              </w:tc>
                              <w:tc>
                                <w:tcPr>
                                  <w:tcW w:w="1012" w:type="dxa"/>
                                </w:tcPr>
                                <w:p w14:paraId="61824CC7" w14:textId="77777777" w:rsidR="00BF7A0C" w:rsidRPr="00B5705B" w:rsidRDefault="00BF7A0C" w:rsidP="00390EC4">
                                  <w:pPr>
                                    <w:spacing w:after="0" w:line="240" w:lineRule="auto"/>
                                    <w:rPr>
                                      <w:rFonts w:cs="Calibri"/>
                                      <w:sz w:val="20"/>
                                      <w:szCs w:val="20"/>
                                    </w:rPr>
                                  </w:pPr>
                                  <w:r w:rsidRPr="00B5705B">
                                    <w:rPr>
                                      <w:rFonts w:cs="Calibri"/>
                                      <w:sz w:val="20"/>
                                      <w:szCs w:val="20"/>
                                    </w:rPr>
                                    <w:t>Hours</w:t>
                                  </w:r>
                                </w:p>
                              </w:tc>
                            </w:tr>
                            <w:tr w:rsidR="00BF7A0C" w:rsidRPr="00B5705B" w14:paraId="27341ADF" w14:textId="77777777" w:rsidTr="00BF7A0C">
                              <w:trPr>
                                <w:trHeight w:val="139"/>
                                <w:jc w:val="center"/>
                              </w:trPr>
                              <w:tc>
                                <w:tcPr>
                                  <w:tcW w:w="1267" w:type="dxa"/>
                                  <w:vMerge/>
                                </w:tcPr>
                                <w:p w14:paraId="4877E480" w14:textId="77777777" w:rsidR="00BF7A0C" w:rsidRPr="00B5705B" w:rsidRDefault="00BF7A0C" w:rsidP="00390EC4">
                                  <w:pPr>
                                    <w:spacing w:after="0" w:line="240" w:lineRule="auto"/>
                                    <w:jc w:val="both"/>
                                    <w:rPr>
                                      <w:rFonts w:cs="Calibri"/>
                                      <w:sz w:val="20"/>
                                      <w:szCs w:val="20"/>
                                    </w:rPr>
                                  </w:pPr>
                                </w:p>
                              </w:tc>
                              <w:tc>
                                <w:tcPr>
                                  <w:tcW w:w="2267" w:type="dxa"/>
                                  <w:vAlign w:val="center"/>
                                </w:tcPr>
                                <w:p w14:paraId="3A85E315" w14:textId="77777777" w:rsidR="00BF7A0C" w:rsidRPr="00B5705B" w:rsidRDefault="00BF7A0C" w:rsidP="00390EC4">
                                  <w:pPr>
                                    <w:spacing w:after="0" w:line="240" w:lineRule="auto"/>
                                    <w:rPr>
                                      <w:rFonts w:cs="Calibri"/>
                                      <w:sz w:val="20"/>
                                      <w:szCs w:val="20"/>
                                    </w:rPr>
                                  </w:pPr>
                                  <w:r w:rsidRPr="00B5705B">
                                    <w:rPr>
                                      <w:rFonts w:cs="Calibri"/>
                                      <w:sz w:val="20"/>
                                      <w:szCs w:val="20"/>
                                    </w:rPr>
                                    <w:t>Ethics and equality</w:t>
                                  </w:r>
                                </w:p>
                              </w:tc>
                              <w:tc>
                                <w:tcPr>
                                  <w:tcW w:w="961" w:type="dxa"/>
                                  <w:vAlign w:val="center"/>
                                </w:tcPr>
                                <w:p w14:paraId="3D657BA3" w14:textId="77777777" w:rsidR="00BF7A0C" w:rsidRPr="00B5705B" w:rsidRDefault="00BF7A0C" w:rsidP="00390EC4">
                                  <w:pPr>
                                    <w:spacing w:after="0" w:line="240" w:lineRule="auto"/>
                                    <w:rPr>
                                      <w:rFonts w:cs="Calibri"/>
                                      <w:sz w:val="20"/>
                                      <w:szCs w:val="20"/>
                                    </w:rPr>
                                  </w:pPr>
                                  <w:r w:rsidRPr="00B5705B">
                                    <w:rPr>
                                      <w:rFonts w:cs="Calibri"/>
                                      <w:sz w:val="20"/>
                                      <w:szCs w:val="20"/>
                                    </w:rPr>
                                    <w:t>SOC 2</w:t>
                                  </w:r>
                                </w:p>
                              </w:tc>
                              <w:tc>
                                <w:tcPr>
                                  <w:tcW w:w="897" w:type="dxa"/>
                                  <w:vAlign w:val="center"/>
                                </w:tcPr>
                                <w:p w14:paraId="79450257" w14:textId="77777777" w:rsidR="00BF7A0C" w:rsidRPr="00B5705B" w:rsidRDefault="00BF7A0C" w:rsidP="00390EC4">
                                  <w:pPr>
                                    <w:spacing w:after="0" w:line="240" w:lineRule="auto"/>
                                    <w:jc w:val="center"/>
                                    <w:rPr>
                                      <w:rFonts w:cs="Calibri"/>
                                      <w:sz w:val="20"/>
                                      <w:szCs w:val="20"/>
                                    </w:rPr>
                                  </w:pPr>
                                </w:p>
                              </w:tc>
                              <w:tc>
                                <w:tcPr>
                                  <w:tcW w:w="2137" w:type="dxa"/>
                                </w:tcPr>
                                <w:p w14:paraId="6777B38C" w14:textId="77777777" w:rsidR="00BF7A0C" w:rsidRPr="00B5705B" w:rsidRDefault="00BF7A0C" w:rsidP="00390EC4">
                                  <w:pPr>
                                    <w:spacing w:after="0" w:line="240" w:lineRule="auto"/>
                                  </w:pPr>
                                  <w:r w:rsidRPr="00B5705B">
                                    <w:rPr>
                                      <w:rFonts w:cs="Calibri"/>
                                      <w:sz w:val="20"/>
                                      <w:szCs w:val="20"/>
                                    </w:rPr>
                                    <w:t>Qualitative (Tier 1)</w:t>
                                  </w:r>
                                </w:p>
                              </w:tc>
                              <w:tc>
                                <w:tcPr>
                                  <w:tcW w:w="1012" w:type="dxa"/>
                                </w:tcPr>
                                <w:p w14:paraId="762FEA15" w14:textId="77777777" w:rsidR="00BF7A0C" w:rsidRPr="00B5705B" w:rsidRDefault="00BF7A0C" w:rsidP="00390EC4">
                                  <w:pPr>
                                    <w:spacing w:after="0" w:line="240" w:lineRule="auto"/>
                                  </w:pPr>
                                  <w:r w:rsidRPr="00B5705B">
                                    <w:rPr>
                                      <w:rFonts w:cs="Calibri"/>
                                      <w:sz w:val="20"/>
                                      <w:szCs w:val="20"/>
                                    </w:rPr>
                                    <w:t>n/a</w:t>
                                  </w:r>
                                </w:p>
                              </w:tc>
                            </w:tr>
                            <w:tr w:rsidR="00BF7A0C" w:rsidRPr="00B5705B" w14:paraId="70E021B1" w14:textId="77777777" w:rsidTr="00BF7A0C">
                              <w:trPr>
                                <w:trHeight w:val="139"/>
                                <w:jc w:val="center"/>
                              </w:trPr>
                              <w:tc>
                                <w:tcPr>
                                  <w:tcW w:w="1267" w:type="dxa"/>
                                  <w:vMerge/>
                                </w:tcPr>
                                <w:p w14:paraId="14F79E94" w14:textId="77777777" w:rsidR="00BF7A0C" w:rsidRPr="00B5705B" w:rsidRDefault="00BF7A0C" w:rsidP="00390EC4">
                                  <w:pPr>
                                    <w:spacing w:after="0" w:line="240" w:lineRule="auto"/>
                                    <w:jc w:val="both"/>
                                    <w:rPr>
                                      <w:rFonts w:cs="Calibri"/>
                                      <w:sz w:val="20"/>
                                      <w:szCs w:val="20"/>
                                    </w:rPr>
                                  </w:pPr>
                                </w:p>
                              </w:tc>
                              <w:tc>
                                <w:tcPr>
                                  <w:tcW w:w="2267" w:type="dxa"/>
                                  <w:vAlign w:val="center"/>
                                </w:tcPr>
                                <w:p w14:paraId="7A8B44C4" w14:textId="77777777" w:rsidR="00BF7A0C" w:rsidRPr="00B5705B" w:rsidRDefault="00BF7A0C" w:rsidP="00390EC4">
                                  <w:pPr>
                                    <w:spacing w:after="0" w:line="240" w:lineRule="auto"/>
                                    <w:rPr>
                                      <w:rFonts w:cs="Calibri"/>
                                      <w:sz w:val="20"/>
                                      <w:szCs w:val="20"/>
                                    </w:rPr>
                                  </w:pPr>
                                  <w:r w:rsidRPr="00B5705B">
                                    <w:rPr>
                                      <w:rFonts w:cs="Calibri"/>
                                      <w:sz w:val="20"/>
                                      <w:szCs w:val="20"/>
                                    </w:rPr>
                                    <w:t>Neighborhoods and locality</w:t>
                                  </w:r>
                                </w:p>
                              </w:tc>
                              <w:tc>
                                <w:tcPr>
                                  <w:tcW w:w="961" w:type="dxa"/>
                                  <w:vAlign w:val="center"/>
                                </w:tcPr>
                                <w:p w14:paraId="4BDA0B76" w14:textId="77777777" w:rsidR="00BF7A0C" w:rsidRPr="00B5705B" w:rsidRDefault="00BF7A0C" w:rsidP="00390EC4">
                                  <w:pPr>
                                    <w:spacing w:after="0" w:line="240" w:lineRule="auto"/>
                                    <w:rPr>
                                      <w:rFonts w:cs="Calibri"/>
                                      <w:sz w:val="20"/>
                                      <w:szCs w:val="20"/>
                                    </w:rPr>
                                  </w:pPr>
                                  <w:r w:rsidRPr="00B5705B">
                                    <w:rPr>
                                      <w:rFonts w:cs="Calibri"/>
                                      <w:sz w:val="20"/>
                                      <w:szCs w:val="20"/>
                                    </w:rPr>
                                    <w:t>SOC 3</w:t>
                                  </w:r>
                                </w:p>
                              </w:tc>
                              <w:tc>
                                <w:tcPr>
                                  <w:tcW w:w="897" w:type="dxa"/>
                                  <w:vAlign w:val="center"/>
                                </w:tcPr>
                                <w:p w14:paraId="06F69C3E" w14:textId="77777777" w:rsidR="00BF7A0C" w:rsidRPr="00B5705B" w:rsidRDefault="00BF7A0C" w:rsidP="00390EC4">
                                  <w:pPr>
                                    <w:spacing w:after="0" w:line="240" w:lineRule="auto"/>
                                    <w:jc w:val="center"/>
                                    <w:rPr>
                                      <w:rFonts w:cs="Calibri"/>
                                      <w:sz w:val="20"/>
                                      <w:szCs w:val="20"/>
                                    </w:rPr>
                                  </w:pPr>
                                  <w:r w:rsidRPr="00B5705B">
                                    <w:rPr>
                                      <w:rFonts w:cs="Calibri"/>
                                      <w:sz w:val="20"/>
                                      <w:szCs w:val="20"/>
                                    </w:rPr>
                                    <w:t>*</w:t>
                                  </w:r>
                                </w:p>
                              </w:tc>
                              <w:tc>
                                <w:tcPr>
                                  <w:tcW w:w="2137" w:type="dxa"/>
                                </w:tcPr>
                                <w:p w14:paraId="3DD498FE" w14:textId="77777777" w:rsidR="00BF7A0C" w:rsidRPr="00B5705B" w:rsidRDefault="00BF7A0C" w:rsidP="00390EC4">
                                  <w:pPr>
                                    <w:spacing w:after="0" w:line="240" w:lineRule="auto"/>
                                  </w:pPr>
                                  <w:r w:rsidRPr="00B5705B">
                                    <w:rPr>
                                      <w:rFonts w:cs="Calibri"/>
                                      <w:sz w:val="20"/>
                                      <w:szCs w:val="20"/>
                                    </w:rPr>
                                    <w:t>Qualitative (Tier 1)</w:t>
                                  </w:r>
                                </w:p>
                              </w:tc>
                              <w:tc>
                                <w:tcPr>
                                  <w:tcW w:w="1012" w:type="dxa"/>
                                </w:tcPr>
                                <w:p w14:paraId="1FFE1108" w14:textId="77777777" w:rsidR="00BF7A0C" w:rsidRPr="00B5705B" w:rsidRDefault="00BF7A0C" w:rsidP="00390EC4">
                                  <w:pPr>
                                    <w:spacing w:after="0" w:line="240" w:lineRule="auto"/>
                                  </w:pPr>
                                  <w:r w:rsidRPr="00B5705B">
                                    <w:rPr>
                                      <w:rFonts w:cs="Calibri"/>
                                      <w:sz w:val="20"/>
                                      <w:szCs w:val="20"/>
                                    </w:rPr>
                                    <w:t>n/a</w:t>
                                  </w:r>
                                </w:p>
                              </w:tc>
                            </w:tr>
                            <w:tr w:rsidR="00BF7A0C" w:rsidRPr="00B5705B" w14:paraId="6E6549AA" w14:textId="77777777" w:rsidTr="00BF7A0C">
                              <w:trPr>
                                <w:trHeight w:val="139"/>
                                <w:jc w:val="center"/>
                              </w:trPr>
                              <w:tc>
                                <w:tcPr>
                                  <w:tcW w:w="1267" w:type="dxa"/>
                                  <w:vMerge/>
                                </w:tcPr>
                                <w:p w14:paraId="61796F92" w14:textId="77777777" w:rsidR="00BF7A0C" w:rsidRPr="00B5705B" w:rsidRDefault="00BF7A0C" w:rsidP="00390EC4">
                                  <w:pPr>
                                    <w:spacing w:after="0" w:line="240" w:lineRule="auto"/>
                                    <w:jc w:val="both"/>
                                    <w:rPr>
                                      <w:rFonts w:cs="Calibri"/>
                                      <w:sz w:val="20"/>
                                      <w:szCs w:val="20"/>
                                    </w:rPr>
                                  </w:pPr>
                                </w:p>
                              </w:tc>
                              <w:tc>
                                <w:tcPr>
                                  <w:tcW w:w="2267" w:type="dxa"/>
                                  <w:vAlign w:val="center"/>
                                </w:tcPr>
                                <w:p w14:paraId="0ABA2004" w14:textId="77777777" w:rsidR="00BF7A0C" w:rsidRPr="00B5705B" w:rsidRDefault="00BF7A0C" w:rsidP="00390EC4">
                                  <w:pPr>
                                    <w:spacing w:after="0" w:line="240" w:lineRule="auto"/>
                                    <w:rPr>
                                      <w:rFonts w:cs="Calibri"/>
                                      <w:sz w:val="20"/>
                                      <w:szCs w:val="20"/>
                                    </w:rPr>
                                  </w:pPr>
                                  <w:r w:rsidRPr="00B5705B">
                                    <w:rPr>
                                      <w:rFonts w:cs="Calibri"/>
                                      <w:sz w:val="20"/>
                                      <w:szCs w:val="20"/>
                                    </w:rPr>
                                    <w:t>Communities and community involvement</w:t>
                                  </w:r>
                                </w:p>
                              </w:tc>
                              <w:tc>
                                <w:tcPr>
                                  <w:tcW w:w="961" w:type="dxa"/>
                                  <w:vAlign w:val="center"/>
                                </w:tcPr>
                                <w:p w14:paraId="216AE31E" w14:textId="77777777" w:rsidR="00BF7A0C" w:rsidRPr="00B5705B" w:rsidRDefault="00BF7A0C" w:rsidP="00390EC4">
                                  <w:pPr>
                                    <w:spacing w:after="0" w:line="240" w:lineRule="auto"/>
                                    <w:rPr>
                                      <w:rFonts w:cs="Calibri"/>
                                      <w:sz w:val="20"/>
                                      <w:szCs w:val="20"/>
                                    </w:rPr>
                                  </w:pPr>
                                  <w:r w:rsidRPr="00B5705B">
                                    <w:rPr>
                                      <w:rFonts w:cs="Calibri"/>
                                      <w:sz w:val="20"/>
                                      <w:szCs w:val="20"/>
                                    </w:rPr>
                                    <w:t>SOC 4</w:t>
                                  </w:r>
                                </w:p>
                              </w:tc>
                              <w:tc>
                                <w:tcPr>
                                  <w:tcW w:w="897" w:type="dxa"/>
                                  <w:vAlign w:val="center"/>
                                </w:tcPr>
                                <w:p w14:paraId="1C97A914" w14:textId="77777777" w:rsidR="00BF7A0C" w:rsidRPr="00B5705B" w:rsidRDefault="00BF7A0C" w:rsidP="00390EC4">
                                  <w:pPr>
                                    <w:spacing w:after="0" w:line="240" w:lineRule="auto"/>
                                    <w:jc w:val="center"/>
                                    <w:rPr>
                                      <w:rFonts w:cs="Calibri"/>
                                      <w:sz w:val="20"/>
                                      <w:szCs w:val="20"/>
                                    </w:rPr>
                                  </w:pPr>
                                </w:p>
                              </w:tc>
                              <w:tc>
                                <w:tcPr>
                                  <w:tcW w:w="2137" w:type="dxa"/>
                                </w:tcPr>
                                <w:p w14:paraId="013E1A11" w14:textId="77777777" w:rsidR="00BF7A0C" w:rsidRPr="00B5705B" w:rsidRDefault="00BF7A0C" w:rsidP="00390EC4">
                                  <w:pPr>
                                    <w:spacing w:after="0" w:line="240" w:lineRule="auto"/>
                                  </w:pPr>
                                  <w:r w:rsidRPr="00B5705B">
                                    <w:rPr>
                                      <w:rFonts w:cs="Calibri"/>
                                      <w:sz w:val="20"/>
                                      <w:szCs w:val="20"/>
                                    </w:rPr>
                                    <w:t>Qualitative (Tier 1)</w:t>
                                  </w:r>
                                </w:p>
                              </w:tc>
                              <w:tc>
                                <w:tcPr>
                                  <w:tcW w:w="1012" w:type="dxa"/>
                                </w:tcPr>
                                <w:p w14:paraId="467AC1B0" w14:textId="77777777" w:rsidR="00BF7A0C" w:rsidRPr="00B5705B" w:rsidRDefault="00BF7A0C" w:rsidP="00390EC4">
                                  <w:pPr>
                                    <w:spacing w:after="0" w:line="240" w:lineRule="auto"/>
                                  </w:pPr>
                                  <w:r w:rsidRPr="00B5705B">
                                    <w:rPr>
                                      <w:rFonts w:cs="Calibri"/>
                                      <w:sz w:val="20"/>
                                      <w:szCs w:val="20"/>
                                    </w:rPr>
                                    <w:t>n/a</w:t>
                                  </w:r>
                                </w:p>
                              </w:tc>
                            </w:tr>
                            <w:tr w:rsidR="00BF7A0C" w:rsidRPr="00B5705B" w14:paraId="303756E5" w14:textId="77777777" w:rsidTr="00BF7A0C">
                              <w:trPr>
                                <w:trHeight w:val="285"/>
                                <w:jc w:val="center"/>
                              </w:trPr>
                              <w:tc>
                                <w:tcPr>
                                  <w:tcW w:w="1267" w:type="dxa"/>
                                  <w:vMerge/>
                                </w:tcPr>
                                <w:p w14:paraId="3EC7E410" w14:textId="77777777" w:rsidR="00BF7A0C" w:rsidRPr="00B5705B" w:rsidRDefault="00BF7A0C" w:rsidP="00390EC4">
                                  <w:pPr>
                                    <w:spacing w:after="0" w:line="240" w:lineRule="auto"/>
                                    <w:jc w:val="both"/>
                                    <w:rPr>
                                      <w:rFonts w:cs="Calibri"/>
                                      <w:sz w:val="20"/>
                                      <w:szCs w:val="20"/>
                                    </w:rPr>
                                  </w:pPr>
                                </w:p>
                              </w:tc>
                              <w:tc>
                                <w:tcPr>
                                  <w:tcW w:w="2267" w:type="dxa"/>
                                  <w:vAlign w:val="center"/>
                                </w:tcPr>
                                <w:p w14:paraId="15850378" w14:textId="77777777" w:rsidR="00BF7A0C" w:rsidRPr="00B5705B" w:rsidRDefault="00BF7A0C" w:rsidP="00390EC4">
                                  <w:pPr>
                                    <w:spacing w:after="0" w:line="240" w:lineRule="auto"/>
                                    <w:rPr>
                                      <w:rFonts w:cs="Calibri"/>
                                      <w:sz w:val="20"/>
                                      <w:szCs w:val="20"/>
                                    </w:rPr>
                                  </w:pPr>
                                  <w:r w:rsidRPr="00B5705B">
                                    <w:rPr>
                                      <w:rFonts w:cs="Calibri"/>
                                      <w:sz w:val="20"/>
                                      <w:szCs w:val="20"/>
                                    </w:rPr>
                                    <w:t>Uncertainty and evidence</w:t>
                                  </w:r>
                                </w:p>
                              </w:tc>
                              <w:tc>
                                <w:tcPr>
                                  <w:tcW w:w="961" w:type="dxa"/>
                                  <w:vAlign w:val="center"/>
                                </w:tcPr>
                                <w:p w14:paraId="2AE2DB47" w14:textId="77777777" w:rsidR="00BF7A0C" w:rsidRPr="00B5705B" w:rsidRDefault="00BF7A0C" w:rsidP="00390EC4">
                                  <w:pPr>
                                    <w:spacing w:after="0" w:line="240" w:lineRule="auto"/>
                                    <w:rPr>
                                      <w:rFonts w:cs="Calibri"/>
                                      <w:sz w:val="20"/>
                                      <w:szCs w:val="20"/>
                                    </w:rPr>
                                  </w:pPr>
                                  <w:r w:rsidRPr="00B5705B">
                                    <w:rPr>
                                      <w:rFonts w:cs="Calibri"/>
                                      <w:sz w:val="20"/>
                                      <w:szCs w:val="20"/>
                                    </w:rPr>
                                    <w:t>SOC 5</w:t>
                                  </w:r>
                                </w:p>
                              </w:tc>
                              <w:tc>
                                <w:tcPr>
                                  <w:tcW w:w="897" w:type="dxa"/>
                                  <w:vAlign w:val="center"/>
                                </w:tcPr>
                                <w:p w14:paraId="5C02ED9C" w14:textId="77777777" w:rsidR="00BF7A0C" w:rsidRPr="00B5705B" w:rsidRDefault="00BF7A0C" w:rsidP="00390EC4">
                                  <w:pPr>
                                    <w:spacing w:after="0" w:line="240" w:lineRule="auto"/>
                                    <w:jc w:val="center"/>
                                    <w:rPr>
                                      <w:rFonts w:cs="Calibri"/>
                                      <w:sz w:val="20"/>
                                      <w:szCs w:val="20"/>
                                    </w:rPr>
                                  </w:pPr>
                                </w:p>
                              </w:tc>
                              <w:tc>
                                <w:tcPr>
                                  <w:tcW w:w="2137" w:type="dxa"/>
                                </w:tcPr>
                                <w:p w14:paraId="77626A10" w14:textId="77777777" w:rsidR="00BF7A0C" w:rsidRPr="00B5705B" w:rsidRDefault="00BF7A0C" w:rsidP="00390EC4">
                                  <w:pPr>
                                    <w:spacing w:after="0" w:line="240" w:lineRule="auto"/>
                                  </w:pPr>
                                  <w:r w:rsidRPr="00B5705B">
                                    <w:rPr>
                                      <w:rFonts w:cs="Calibri"/>
                                      <w:sz w:val="20"/>
                                      <w:szCs w:val="20"/>
                                    </w:rPr>
                                    <w:t>Qualitative (Tier 1)</w:t>
                                  </w:r>
                                </w:p>
                              </w:tc>
                              <w:tc>
                                <w:tcPr>
                                  <w:tcW w:w="1012" w:type="dxa"/>
                                </w:tcPr>
                                <w:p w14:paraId="158BD356" w14:textId="77777777" w:rsidR="00BF7A0C" w:rsidRPr="00B5705B" w:rsidRDefault="00BF7A0C" w:rsidP="00390EC4">
                                  <w:pPr>
                                    <w:spacing w:after="0" w:line="240" w:lineRule="auto"/>
                                  </w:pPr>
                                  <w:r w:rsidRPr="00B5705B">
                                    <w:rPr>
                                      <w:rFonts w:cs="Calibri"/>
                                      <w:sz w:val="20"/>
                                      <w:szCs w:val="20"/>
                                    </w:rPr>
                                    <w:t>n/a</w:t>
                                  </w:r>
                                </w:p>
                              </w:tc>
                            </w:tr>
                          </w:tbl>
                          <w:p w14:paraId="3A873123" w14:textId="424A7453" w:rsidR="00BF7A0C" w:rsidRDefault="00BF7A0C" w:rsidP="00390E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499B3" id="_x0000_s1030" type="#_x0000_t202" style="position:absolute;left:0;text-align:left;margin-left:0;margin-top:167.95pt;width:457.5pt;height:527.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" stroked="f">
                <v:textbox>
                  <w:txbxContent>
                    <w:p w14:paraId="36DF99CE" w14:textId="3D5D65E6" w:rsidR="00BF7A0C" w:rsidRPr="00964FCC" w:rsidRDefault="00BF7A0C" w:rsidP="00390EC4">
                      <w:pPr>
                        <w:pStyle w:val="Caption"/>
                        <w:rPr>
                          <w:b/>
                        </w:rPr>
                      </w:pPr>
                      <w:bookmarkStart w:id="9" w:name="_Ref445891984"/>
                      <w:r>
                        <w:t xml:space="preserve">Table </w:t>
                      </w:r>
                      <w:r>
                        <w:fldChar w:fldCharType="begin"/>
                      </w:r>
                      <w:r>
                        <w:instrText xml:space="preserve"> SEQ Table \* ARABIC </w:instrText>
                      </w:r>
                      <w:r>
                        <w:fldChar w:fldCharType="separate"/>
                      </w:r>
                      <w:r>
                        <w:rPr>
                          <w:noProof/>
                        </w:rPr>
                        <w:t>4</w:t>
                      </w:r>
                      <w:r>
                        <w:fldChar w:fldCharType="end"/>
                      </w:r>
                      <w:bookmarkEnd w:id="9"/>
                      <w:r w:rsidRPr="00964FCC">
                        <w:t xml:space="preserve">. Indicator set with identified priority </w:t>
                      </w:r>
                      <w:r>
                        <w:t>IC</w:t>
                      </w:r>
                      <w:r w:rsidRPr="00964FCC">
                        <w:t xml:space="preserve">s. </w:t>
                      </w:r>
                      <w:r>
                        <w:t>IC</w:t>
                      </w:r>
                      <w:r w:rsidRPr="00964FCC">
                        <w:t xml:space="preserve">s used in the Tier 1 qualitative </w:t>
                      </w:r>
                      <w:r>
                        <w:t>assessment</w:t>
                      </w:r>
                      <w:r w:rsidRPr="00964FCC">
                        <w:t xml:space="preserve"> and Tier 2 semi-quanti</w:t>
                      </w:r>
                      <w:r>
                        <w:t>t</w:t>
                      </w:r>
                      <w:r w:rsidRPr="00964FCC">
                        <w:t xml:space="preserve">ative </w:t>
                      </w:r>
                      <w:r>
                        <w:t>assessment are shown.</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7"/>
                        <w:gridCol w:w="2267"/>
                        <w:gridCol w:w="961"/>
                        <w:gridCol w:w="897"/>
                        <w:gridCol w:w="2137"/>
                        <w:gridCol w:w="1012"/>
                      </w:tblGrid>
                      <w:tr w:rsidR="00BF7A0C" w:rsidRPr="00B5705B" w14:paraId="7AFC637B" w14:textId="77777777" w:rsidTr="00BF7A0C">
                        <w:trPr>
                          <w:trHeight w:val="533"/>
                          <w:jc w:val="center"/>
                        </w:trPr>
                        <w:tc>
                          <w:tcPr>
                            <w:tcW w:w="1267" w:type="dxa"/>
                          </w:tcPr>
                          <w:p w14:paraId="3B1C4881" w14:textId="77777777" w:rsidR="00BF7A0C" w:rsidRPr="00B5705B" w:rsidRDefault="00BF7A0C" w:rsidP="00390EC4">
                            <w:pPr>
                              <w:spacing w:after="0" w:line="240" w:lineRule="auto"/>
                              <w:jc w:val="both"/>
                              <w:rPr>
                                <w:b/>
                              </w:rPr>
                            </w:pPr>
                            <w:r w:rsidRPr="00B5705B">
                              <w:rPr>
                                <w:b/>
                              </w:rPr>
                              <w:t>Criteria</w:t>
                            </w:r>
                          </w:p>
                        </w:tc>
                        <w:tc>
                          <w:tcPr>
                            <w:tcW w:w="2267" w:type="dxa"/>
                          </w:tcPr>
                          <w:p w14:paraId="47166071" w14:textId="77777777" w:rsidR="00BF7A0C" w:rsidRPr="00B5705B" w:rsidRDefault="00BF7A0C" w:rsidP="00390EC4">
                            <w:pPr>
                              <w:spacing w:after="0" w:line="240" w:lineRule="auto"/>
                              <w:jc w:val="both"/>
                              <w:rPr>
                                <w:b/>
                              </w:rPr>
                            </w:pPr>
                            <w:r>
                              <w:rPr>
                                <w:b/>
                              </w:rPr>
                              <w:t>Indicator Category</w:t>
                            </w:r>
                          </w:p>
                        </w:tc>
                        <w:tc>
                          <w:tcPr>
                            <w:tcW w:w="961" w:type="dxa"/>
                          </w:tcPr>
                          <w:p w14:paraId="407EB840" w14:textId="77777777" w:rsidR="00BF7A0C" w:rsidRPr="00B5705B" w:rsidRDefault="00BF7A0C" w:rsidP="00390EC4">
                            <w:pPr>
                              <w:spacing w:after="0" w:line="240" w:lineRule="auto"/>
                              <w:jc w:val="center"/>
                              <w:rPr>
                                <w:b/>
                              </w:rPr>
                            </w:pPr>
                            <w:r w:rsidRPr="00B5705B">
                              <w:rPr>
                                <w:b/>
                              </w:rPr>
                              <w:t>Label</w:t>
                            </w:r>
                          </w:p>
                        </w:tc>
                        <w:tc>
                          <w:tcPr>
                            <w:tcW w:w="897" w:type="dxa"/>
                          </w:tcPr>
                          <w:p w14:paraId="586F49FD" w14:textId="77777777" w:rsidR="00BF7A0C" w:rsidRPr="00B5705B" w:rsidRDefault="00BF7A0C" w:rsidP="00390EC4">
                            <w:pPr>
                              <w:spacing w:after="0" w:line="240" w:lineRule="auto"/>
                              <w:jc w:val="center"/>
                              <w:rPr>
                                <w:b/>
                              </w:rPr>
                            </w:pPr>
                            <w:r w:rsidRPr="00B5705B">
                              <w:rPr>
                                <w:b/>
                              </w:rPr>
                              <w:t>Priority</w:t>
                            </w:r>
                          </w:p>
                        </w:tc>
                        <w:tc>
                          <w:tcPr>
                            <w:tcW w:w="2137" w:type="dxa"/>
                          </w:tcPr>
                          <w:p w14:paraId="4076477A" w14:textId="77777777" w:rsidR="00BF7A0C" w:rsidRPr="00B5705B" w:rsidRDefault="00BF7A0C" w:rsidP="00390EC4">
                            <w:pPr>
                              <w:spacing w:after="0" w:line="240" w:lineRule="auto"/>
                              <w:jc w:val="center"/>
                              <w:rPr>
                                <w:b/>
                              </w:rPr>
                            </w:pPr>
                            <w:r w:rsidRPr="00B5705B">
                              <w:rPr>
                                <w:b/>
                              </w:rPr>
                              <w:t>Tier 2 Metric</w:t>
                            </w:r>
                          </w:p>
                        </w:tc>
                        <w:tc>
                          <w:tcPr>
                            <w:tcW w:w="1012" w:type="dxa"/>
                          </w:tcPr>
                          <w:p w14:paraId="14A0E1A0" w14:textId="77777777" w:rsidR="00BF7A0C" w:rsidRPr="00B5705B" w:rsidRDefault="00BF7A0C" w:rsidP="00390EC4">
                            <w:pPr>
                              <w:spacing w:after="0" w:line="240" w:lineRule="auto"/>
                              <w:jc w:val="center"/>
                              <w:rPr>
                                <w:b/>
                              </w:rPr>
                            </w:pPr>
                            <w:r w:rsidRPr="00B5705B">
                              <w:rPr>
                                <w:b/>
                              </w:rPr>
                              <w:t>Unit</w:t>
                            </w:r>
                          </w:p>
                        </w:tc>
                      </w:tr>
                      <w:tr w:rsidR="00BF7A0C" w:rsidRPr="00B5705B" w14:paraId="3A1F8940" w14:textId="77777777" w:rsidTr="00BF7A0C">
                        <w:trPr>
                          <w:trHeight w:val="247"/>
                          <w:jc w:val="center"/>
                        </w:trPr>
                        <w:tc>
                          <w:tcPr>
                            <w:tcW w:w="1267" w:type="dxa"/>
                            <w:vMerge w:val="restart"/>
                            <w:vAlign w:val="center"/>
                          </w:tcPr>
                          <w:p w14:paraId="3F8153E7" w14:textId="77777777" w:rsidR="00BF7A0C" w:rsidRPr="00B5705B" w:rsidRDefault="00BF7A0C" w:rsidP="00390EC4">
                            <w:pPr>
                              <w:spacing w:after="0" w:line="240" w:lineRule="auto"/>
                              <w:jc w:val="center"/>
                              <w:rPr>
                                <w:rFonts w:cs="Calibri"/>
                                <w:sz w:val="20"/>
                                <w:szCs w:val="20"/>
                              </w:rPr>
                            </w:pPr>
                            <w:r w:rsidRPr="00B5705B">
                              <w:rPr>
                                <w:rFonts w:cs="Calibri"/>
                                <w:sz w:val="20"/>
                                <w:szCs w:val="20"/>
                              </w:rPr>
                              <w:t>Environment</w:t>
                            </w:r>
                          </w:p>
                        </w:tc>
                        <w:tc>
                          <w:tcPr>
                            <w:tcW w:w="2267" w:type="dxa"/>
                            <w:vAlign w:val="center"/>
                          </w:tcPr>
                          <w:p w14:paraId="5F7CA640" w14:textId="77777777" w:rsidR="00BF7A0C" w:rsidRPr="00B5705B" w:rsidRDefault="00BF7A0C" w:rsidP="00390EC4">
                            <w:pPr>
                              <w:spacing w:after="0" w:line="240" w:lineRule="auto"/>
                              <w:rPr>
                                <w:rFonts w:cs="Calibri"/>
                                <w:sz w:val="20"/>
                                <w:szCs w:val="20"/>
                              </w:rPr>
                            </w:pPr>
                            <w:r w:rsidRPr="00B5705B">
                              <w:rPr>
                                <w:rFonts w:cs="Calibri"/>
                                <w:sz w:val="20"/>
                                <w:szCs w:val="20"/>
                              </w:rPr>
                              <w:t>Emissions to air</w:t>
                            </w:r>
                          </w:p>
                        </w:tc>
                        <w:tc>
                          <w:tcPr>
                            <w:tcW w:w="961" w:type="dxa"/>
                            <w:vAlign w:val="center"/>
                          </w:tcPr>
                          <w:p w14:paraId="4C02BD37" w14:textId="77777777" w:rsidR="00BF7A0C" w:rsidRPr="00B5705B" w:rsidRDefault="00BF7A0C" w:rsidP="00390EC4">
                            <w:pPr>
                              <w:spacing w:after="0" w:line="240" w:lineRule="auto"/>
                              <w:rPr>
                                <w:rFonts w:cs="Calibri"/>
                                <w:sz w:val="20"/>
                                <w:szCs w:val="20"/>
                              </w:rPr>
                            </w:pPr>
                            <w:r w:rsidRPr="00B5705B">
                              <w:rPr>
                                <w:rFonts w:cs="Calibri"/>
                                <w:sz w:val="20"/>
                                <w:szCs w:val="20"/>
                              </w:rPr>
                              <w:t>ENV 1</w:t>
                            </w:r>
                          </w:p>
                        </w:tc>
                        <w:tc>
                          <w:tcPr>
                            <w:tcW w:w="897" w:type="dxa"/>
                            <w:vAlign w:val="center"/>
                          </w:tcPr>
                          <w:p w14:paraId="2021CA43" w14:textId="77777777" w:rsidR="00BF7A0C" w:rsidRPr="00B5705B" w:rsidRDefault="00BF7A0C" w:rsidP="00390EC4">
                            <w:pPr>
                              <w:spacing w:after="0" w:line="240" w:lineRule="auto"/>
                              <w:jc w:val="center"/>
                              <w:rPr>
                                <w:rFonts w:cs="Calibri"/>
                                <w:sz w:val="20"/>
                                <w:szCs w:val="20"/>
                              </w:rPr>
                            </w:pPr>
                            <w:r>
                              <w:rPr>
                                <w:rFonts w:cs="Calibri"/>
                                <w:sz w:val="20"/>
                                <w:szCs w:val="20"/>
                              </w:rPr>
                              <w:t>*</w:t>
                            </w:r>
                          </w:p>
                        </w:tc>
                        <w:tc>
                          <w:tcPr>
                            <w:tcW w:w="2137" w:type="dxa"/>
                          </w:tcPr>
                          <w:p w14:paraId="4B5939AA" w14:textId="77777777" w:rsidR="00BF7A0C" w:rsidRPr="00B5705B" w:rsidRDefault="00BF7A0C" w:rsidP="00390EC4">
                            <w:pPr>
                              <w:spacing w:after="0" w:line="240" w:lineRule="auto"/>
                              <w:rPr>
                                <w:rFonts w:cs="Calibri"/>
                                <w:sz w:val="20"/>
                                <w:szCs w:val="20"/>
                              </w:rPr>
                            </w:pPr>
                            <w:r w:rsidRPr="00B5705B">
                              <w:rPr>
                                <w:rFonts w:cs="Calibri"/>
                                <w:sz w:val="20"/>
                                <w:szCs w:val="20"/>
                              </w:rPr>
                              <w:t>Total CO</w:t>
                            </w:r>
                            <w:r w:rsidRPr="00B5705B">
                              <w:rPr>
                                <w:rFonts w:cs="Calibri"/>
                                <w:sz w:val="20"/>
                                <w:szCs w:val="20"/>
                                <w:vertAlign w:val="subscript"/>
                              </w:rPr>
                              <w:t>2</w:t>
                            </w:r>
                            <w:r w:rsidRPr="00B5705B">
                              <w:rPr>
                                <w:rFonts w:cs="Calibri"/>
                                <w:sz w:val="20"/>
                                <w:szCs w:val="20"/>
                              </w:rPr>
                              <w:t xml:space="preserve"> emissions</w:t>
                            </w:r>
                          </w:p>
                        </w:tc>
                        <w:tc>
                          <w:tcPr>
                            <w:tcW w:w="1012" w:type="dxa"/>
                          </w:tcPr>
                          <w:p w14:paraId="390619FB" w14:textId="77777777" w:rsidR="00BF7A0C" w:rsidRPr="00B5705B" w:rsidRDefault="00BF7A0C" w:rsidP="00390EC4">
                            <w:pPr>
                              <w:spacing w:after="0" w:line="240" w:lineRule="auto"/>
                              <w:rPr>
                                <w:rFonts w:cs="Calibri"/>
                                <w:sz w:val="20"/>
                                <w:szCs w:val="20"/>
                              </w:rPr>
                            </w:pPr>
                            <w:r w:rsidRPr="00B5705B">
                              <w:rPr>
                                <w:rFonts w:cs="Calibri"/>
                                <w:sz w:val="20"/>
                                <w:szCs w:val="20"/>
                              </w:rPr>
                              <w:t>kg CO</w:t>
                            </w:r>
                            <w:r w:rsidRPr="00B5705B">
                              <w:rPr>
                                <w:rFonts w:cs="Calibri"/>
                                <w:sz w:val="20"/>
                                <w:szCs w:val="20"/>
                                <w:vertAlign w:val="subscript"/>
                              </w:rPr>
                              <w:t>2</w:t>
                            </w:r>
                            <w:r w:rsidRPr="00B5705B">
                              <w:rPr>
                                <w:rFonts w:cs="Calibri"/>
                                <w:sz w:val="20"/>
                                <w:szCs w:val="20"/>
                              </w:rPr>
                              <w:t>-e</w:t>
                            </w:r>
                          </w:p>
                        </w:tc>
                      </w:tr>
                      <w:tr w:rsidR="00BF7A0C" w:rsidRPr="00B5705B" w14:paraId="7A7885BD" w14:textId="77777777" w:rsidTr="00BF7A0C">
                        <w:trPr>
                          <w:trHeight w:val="139"/>
                          <w:jc w:val="center"/>
                        </w:trPr>
                        <w:tc>
                          <w:tcPr>
                            <w:tcW w:w="1267" w:type="dxa"/>
                            <w:vMerge/>
                            <w:vAlign w:val="center"/>
                          </w:tcPr>
                          <w:p w14:paraId="66E138A2" w14:textId="77777777" w:rsidR="00BF7A0C" w:rsidRPr="00B5705B" w:rsidRDefault="00BF7A0C" w:rsidP="00390EC4">
                            <w:pPr>
                              <w:spacing w:after="0" w:line="240" w:lineRule="auto"/>
                              <w:jc w:val="center"/>
                              <w:rPr>
                                <w:rFonts w:cs="Calibri"/>
                                <w:sz w:val="20"/>
                                <w:szCs w:val="20"/>
                              </w:rPr>
                            </w:pPr>
                          </w:p>
                        </w:tc>
                        <w:tc>
                          <w:tcPr>
                            <w:tcW w:w="2267" w:type="dxa"/>
                            <w:vAlign w:val="center"/>
                          </w:tcPr>
                          <w:p w14:paraId="69469DA1" w14:textId="77777777" w:rsidR="00BF7A0C" w:rsidRPr="00B5705B" w:rsidRDefault="00BF7A0C" w:rsidP="00390EC4">
                            <w:pPr>
                              <w:spacing w:after="0" w:line="240" w:lineRule="auto"/>
                              <w:rPr>
                                <w:rFonts w:cs="Calibri"/>
                                <w:sz w:val="20"/>
                                <w:szCs w:val="20"/>
                              </w:rPr>
                            </w:pPr>
                            <w:r w:rsidRPr="00B5705B">
                              <w:rPr>
                                <w:rFonts w:cs="Calibri"/>
                                <w:sz w:val="20"/>
                                <w:szCs w:val="20"/>
                              </w:rPr>
                              <w:t>Soil and ground conditions</w:t>
                            </w:r>
                          </w:p>
                        </w:tc>
                        <w:tc>
                          <w:tcPr>
                            <w:tcW w:w="961" w:type="dxa"/>
                            <w:vAlign w:val="center"/>
                          </w:tcPr>
                          <w:p w14:paraId="551A1037" w14:textId="77777777" w:rsidR="00BF7A0C" w:rsidRPr="00B5705B" w:rsidRDefault="00BF7A0C" w:rsidP="00390EC4">
                            <w:pPr>
                              <w:spacing w:after="0" w:line="240" w:lineRule="auto"/>
                              <w:rPr>
                                <w:rFonts w:cs="Calibri"/>
                                <w:sz w:val="20"/>
                                <w:szCs w:val="20"/>
                              </w:rPr>
                            </w:pPr>
                            <w:r w:rsidRPr="00B5705B">
                              <w:rPr>
                                <w:rFonts w:cs="Calibri"/>
                                <w:sz w:val="20"/>
                                <w:szCs w:val="20"/>
                              </w:rPr>
                              <w:t>ENV 2</w:t>
                            </w:r>
                          </w:p>
                        </w:tc>
                        <w:tc>
                          <w:tcPr>
                            <w:tcW w:w="897" w:type="dxa"/>
                            <w:vAlign w:val="center"/>
                          </w:tcPr>
                          <w:p w14:paraId="63ECE8F1" w14:textId="77777777" w:rsidR="00BF7A0C" w:rsidRPr="00B5705B" w:rsidRDefault="00BF7A0C" w:rsidP="00390EC4">
                            <w:pPr>
                              <w:spacing w:after="0" w:line="240" w:lineRule="auto"/>
                              <w:jc w:val="center"/>
                              <w:rPr>
                                <w:rFonts w:cs="Calibri"/>
                                <w:sz w:val="20"/>
                                <w:szCs w:val="20"/>
                              </w:rPr>
                            </w:pPr>
                          </w:p>
                        </w:tc>
                        <w:tc>
                          <w:tcPr>
                            <w:tcW w:w="2137" w:type="dxa"/>
                          </w:tcPr>
                          <w:p w14:paraId="12B15306" w14:textId="77777777" w:rsidR="00BF7A0C" w:rsidRPr="00B5705B" w:rsidRDefault="00BF7A0C" w:rsidP="00390EC4">
                            <w:pPr>
                              <w:spacing w:after="0" w:line="240" w:lineRule="auto"/>
                              <w:rPr>
                                <w:rFonts w:cs="Calibri"/>
                                <w:sz w:val="20"/>
                                <w:szCs w:val="20"/>
                              </w:rPr>
                            </w:pPr>
                            <w:r w:rsidRPr="00B5705B">
                              <w:rPr>
                                <w:rFonts w:cs="Calibri"/>
                                <w:sz w:val="20"/>
                                <w:szCs w:val="20"/>
                              </w:rPr>
                              <w:t>Qualitative (Tier 1)</w:t>
                            </w:r>
                          </w:p>
                        </w:tc>
                        <w:tc>
                          <w:tcPr>
                            <w:tcW w:w="1012" w:type="dxa"/>
                          </w:tcPr>
                          <w:p w14:paraId="37CACF1E" w14:textId="77777777" w:rsidR="00BF7A0C" w:rsidRPr="00B5705B" w:rsidRDefault="00BF7A0C" w:rsidP="00390EC4">
                            <w:pPr>
                              <w:spacing w:after="0" w:line="240" w:lineRule="auto"/>
                              <w:rPr>
                                <w:rFonts w:cs="Calibri"/>
                                <w:sz w:val="20"/>
                                <w:szCs w:val="20"/>
                              </w:rPr>
                            </w:pPr>
                            <w:r w:rsidRPr="00B5705B">
                              <w:rPr>
                                <w:rFonts w:cs="Calibri"/>
                                <w:sz w:val="20"/>
                                <w:szCs w:val="20"/>
                              </w:rPr>
                              <w:t>n/a</w:t>
                            </w:r>
                          </w:p>
                        </w:tc>
                      </w:tr>
                      <w:tr w:rsidR="00BF7A0C" w:rsidRPr="00B5705B" w14:paraId="624C5A30" w14:textId="77777777" w:rsidTr="00BF7A0C">
                        <w:trPr>
                          <w:trHeight w:val="108"/>
                          <w:jc w:val="center"/>
                        </w:trPr>
                        <w:tc>
                          <w:tcPr>
                            <w:tcW w:w="1267" w:type="dxa"/>
                            <w:vMerge/>
                            <w:vAlign w:val="center"/>
                          </w:tcPr>
                          <w:p w14:paraId="7CAFADAD" w14:textId="77777777" w:rsidR="00BF7A0C" w:rsidRPr="00B5705B" w:rsidRDefault="00BF7A0C" w:rsidP="00390EC4">
                            <w:pPr>
                              <w:spacing w:after="0" w:line="240" w:lineRule="auto"/>
                              <w:jc w:val="center"/>
                              <w:rPr>
                                <w:rFonts w:cs="Calibri"/>
                                <w:sz w:val="20"/>
                                <w:szCs w:val="20"/>
                              </w:rPr>
                            </w:pPr>
                          </w:p>
                        </w:tc>
                        <w:tc>
                          <w:tcPr>
                            <w:tcW w:w="2267" w:type="dxa"/>
                            <w:vMerge w:val="restart"/>
                            <w:vAlign w:val="center"/>
                          </w:tcPr>
                          <w:p w14:paraId="7AA6B629" w14:textId="77777777" w:rsidR="00BF7A0C" w:rsidRPr="00927CD7" w:rsidRDefault="00BF7A0C" w:rsidP="00390EC4">
                            <w:pPr>
                              <w:spacing w:after="0" w:line="240" w:lineRule="auto"/>
                              <w:rPr>
                                <w:rFonts w:cs="Calibri"/>
                                <w:sz w:val="20"/>
                                <w:szCs w:val="20"/>
                              </w:rPr>
                            </w:pPr>
                            <w:r w:rsidRPr="00927CD7">
                              <w:rPr>
                                <w:rFonts w:cs="Calibri"/>
                                <w:sz w:val="20"/>
                                <w:szCs w:val="20"/>
                              </w:rPr>
                              <w:t>Groundwater quality</w:t>
                            </w:r>
                          </w:p>
                        </w:tc>
                        <w:tc>
                          <w:tcPr>
                            <w:tcW w:w="961" w:type="dxa"/>
                            <w:vMerge w:val="restart"/>
                            <w:vAlign w:val="center"/>
                          </w:tcPr>
                          <w:p w14:paraId="68A74DE2" w14:textId="77777777" w:rsidR="00BF7A0C" w:rsidRPr="00927CD7" w:rsidRDefault="00BF7A0C" w:rsidP="00390EC4">
                            <w:pPr>
                              <w:spacing w:after="0" w:line="240" w:lineRule="auto"/>
                              <w:rPr>
                                <w:rFonts w:cs="Calibri"/>
                                <w:sz w:val="20"/>
                                <w:szCs w:val="20"/>
                              </w:rPr>
                            </w:pPr>
                            <w:r w:rsidRPr="00927CD7">
                              <w:rPr>
                                <w:rFonts w:cs="Calibri"/>
                                <w:sz w:val="20"/>
                                <w:szCs w:val="20"/>
                              </w:rPr>
                              <w:t>ENV 3</w:t>
                            </w:r>
                          </w:p>
                        </w:tc>
                        <w:tc>
                          <w:tcPr>
                            <w:tcW w:w="897" w:type="dxa"/>
                            <w:vMerge w:val="restart"/>
                            <w:vAlign w:val="center"/>
                          </w:tcPr>
                          <w:p w14:paraId="7563D534" w14:textId="77777777" w:rsidR="00BF7A0C" w:rsidRPr="00927CD7" w:rsidRDefault="00BF7A0C" w:rsidP="00390EC4">
                            <w:pPr>
                              <w:spacing w:after="0" w:line="240" w:lineRule="auto"/>
                              <w:jc w:val="center"/>
                              <w:rPr>
                                <w:rFonts w:cs="Calibri"/>
                                <w:sz w:val="20"/>
                                <w:szCs w:val="20"/>
                              </w:rPr>
                            </w:pPr>
                            <w:r w:rsidRPr="00927CD7">
                              <w:rPr>
                                <w:rFonts w:cs="Calibri"/>
                                <w:sz w:val="20"/>
                                <w:szCs w:val="20"/>
                              </w:rPr>
                              <w:t>*</w:t>
                            </w:r>
                          </w:p>
                        </w:tc>
                        <w:tc>
                          <w:tcPr>
                            <w:tcW w:w="2137" w:type="dxa"/>
                          </w:tcPr>
                          <w:p w14:paraId="11F720A2" w14:textId="77777777" w:rsidR="00BF7A0C" w:rsidRPr="00B5705B" w:rsidRDefault="00BF7A0C" w:rsidP="00390EC4">
                            <w:pPr>
                              <w:spacing w:after="0" w:line="240" w:lineRule="auto"/>
                              <w:rPr>
                                <w:rFonts w:cs="Calibri"/>
                                <w:sz w:val="20"/>
                                <w:szCs w:val="20"/>
                              </w:rPr>
                            </w:pPr>
                            <w:r w:rsidRPr="00B5705B">
                              <w:rPr>
                                <w:rFonts w:cs="Calibri"/>
                                <w:sz w:val="20"/>
                                <w:szCs w:val="20"/>
                              </w:rPr>
                              <w:t>Value of water lost to HCS extraction</w:t>
                            </w:r>
                          </w:p>
                        </w:tc>
                        <w:tc>
                          <w:tcPr>
                            <w:tcW w:w="1012" w:type="dxa"/>
                          </w:tcPr>
                          <w:p w14:paraId="50AB9A54" w14:textId="77777777" w:rsidR="00BF7A0C" w:rsidRPr="00B5705B" w:rsidRDefault="00BF7A0C" w:rsidP="00390EC4">
                            <w:pPr>
                              <w:spacing w:after="0" w:line="240" w:lineRule="auto"/>
                              <w:rPr>
                                <w:rFonts w:cs="Calibri"/>
                                <w:sz w:val="20"/>
                                <w:szCs w:val="20"/>
                              </w:rPr>
                            </w:pPr>
                            <w:r w:rsidRPr="00B5705B">
                              <w:rPr>
                                <w:rFonts w:cs="Calibri"/>
                                <w:sz w:val="20"/>
                                <w:szCs w:val="20"/>
                              </w:rPr>
                              <w:t>GBP</w:t>
                            </w:r>
                          </w:p>
                        </w:tc>
                      </w:tr>
                      <w:tr w:rsidR="00BF7A0C" w:rsidRPr="00B5705B" w14:paraId="4761B341" w14:textId="77777777" w:rsidTr="00BF7A0C">
                        <w:trPr>
                          <w:trHeight w:val="107"/>
                          <w:jc w:val="center"/>
                        </w:trPr>
                        <w:tc>
                          <w:tcPr>
                            <w:tcW w:w="1267" w:type="dxa"/>
                            <w:vMerge/>
                            <w:vAlign w:val="center"/>
                          </w:tcPr>
                          <w:p w14:paraId="262CBCD4" w14:textId="77777777" w:rsidR="00BF7A0C" w:rsidRPr="00B5705B" w:rsidRDefault="00BF7A0C" w:rsidP="00390EC4">
                            <w:pPr>
                              <w:spacing w:after="0" w:line="240" w:lineRule="auto"/>
                              <w:jc w:val="center"/>
                              <w:rPr>
                                <w:rFonts w:cs="Calibri"/>
                                <w:sz w:val="20"/>
                                <w:szCs w:val="20"/>
                              </w:rPr>
                            </w:pPr>
                          </w:p>
                        </w:tc>
                        <w:tc>
                          <w:tcPr>
                            <w:tcW w:w="2267" w:type="dxa"/>
                            <w:vMerge/>
                            <w:vAlign w:val="center"/>
                          </w:tcPr>
                          <w:p w14:paraId="1D54DF3E" w14:textId="77777777" w:rsidR="00BF7A0C" w:rsidRPr="00B5705B" w:rsidRDefault="00BF7A0C" w:rsidP="00390EC4">
                            <w:pPr>
                              <w:spacing w:after="0" w:line="240" w:lineRule="auto"/>
                              <w:rPr>
                                <w:rFonts w:cs="Calibri"/>
                                <w:sz w:val="20"/>
                                <w:szCs w:val="20"/>
                              </w:rPr>
                            </w:pPr>
                          </w:p>
                        </w:tc>
                        <w:tc>
                          <w:tcPr>
                            <w:tcW w:w="961" w:type="dxa"/>
                            <w:vMerge/>
                            <w:vAlign w:val="center"/>
                          </w:tcPr>
                          <w:p w14:paraId="5C051946" w14:textId="77777777" w:rsidR="00BF7A0C" w:rsidRPr="00B5705B" w:rsidRDefault="00BF7A0C" w:rsidP="00390EC4">
                            <w:pPr>
                              <w:spacing w:after="0" w:line="240" w:lineRule="auto"/>
                              <w:rPr>
                                <w:rFonts w:cs="Calibri"/>
                                <w:sz w:val="20"/>
                                <w:szCs w:val="20"/>
                              </w:rPr>
                            </w:pPr>
                          </w:p>
                        </w:tc>
                        <w:tc>
                          <w:tcPr>
                            <w:tcW w:w="897" w:type="dxa"/>
                            <w:vMerge/>
                            <w:vAlign w:val="center"/>
                          </w:tcPr>
                          <w:p w14:paraId="4AA784C5" w14:textId="77777777" w:rsidR="00BF7A0C" w:rsidRPr="00B5705B" w:rsidRDefault="00BF7A0C" w:rsidP="00390EC4">
                            <w:pPr>
                              <w:spacing w:after="0" w:line="240" w:lineRule="auto"/>
                              <w:jc w:val="center"/>
                              <w:rPr>
                                <w:rFonts w:cs="Calibri"/>
                                <w:sz w:val="20"/>
                                <w:szCs w:val="20"/>
                              </w:rPr>
                            </w:pPr>
                          </w:p>
                        </w:tc>
                        <w:tc>
                          <w:tcPr>
                            <w:tcW w:w="2137" w:type="dxa"/>
                          </w:tcPr>
                          <w:p w14:paraId="179D5A74" w14:textId="77777777" w:rsidR="00BF7A0C" w:rsidRPr="00B5705B" w:rsidRDefault="00BF7A0C" w:rsidP="00390EC4">
                            <w:pPr>
                              <w:spacing w:after="0" w:line="240" w:lineRule="auto"/>
                              <w:rPr>
                                <w:rFonts w:cs="Calibri"/>
                                <w:sz w:val="20"/>
                                <w:szCs w:val="20"/>
                              </w:rPr>
                            </w:pPr>
                            <w:r w:rsidRPr="00B5705B">
                              <w:rPr>
                                <w:rFonts w:cs="Calibri"/>
                                <w:sz w:val="20"/>
                                <w:szCs w:val="20"/>
                              </w:rPr>
                              <w:t>Qualitative (Tier 1)</w:t>
                            </w:r>
                          </w:p>
                        </w:tc>
                        <w:tc>
                          <w:tcPr>
                            <w:tcW w:w="1012" w:type="dxa"/>
                          </w:tcPr>
                          <w:p w14:paraId="0AA3C24D" w14:textId="77777777" w:rsidR="00BF7A0C" w:rsidRPr="00B5705B" w:rsidRDefault="00BF7A0C" w:rsidP="00390EC4">
                            <w:pPr>
                              <w:spacing w:after="0" w:line="240" w:lineRule="auto"/>
                              <w:rPr>
                                <w:rFonts w:cs="Calibri"/>
                                <w:sz w:val="20"/>
                                <w:szCs w:val="20"/>
                              </w:rPr>
                            </w:pPr>
                            <w:r w:rsidRPr="00B5705B">
                              <w:rPr>
                                <w:rFonts w:cs="Calibri"/>
                                <w:sz w:val="20"/>
                                <w:szCs w:val="20"/>
                              </w:rPr>
                              <w:t>n/a</w:t>
                            </w:r>
                          </w:p>
                        </w:tc>
                      </w:tr>
                      <w:tr w:rsidR="00BF7A0C" w:rsidRPr="00B5705B" w14:paraId="03E94D0A" w14:textId="77777777" w:rsidTr="00BF7A0C">
                        <w:trPr>
                          <w:trHeight w:val="139"/>
                          <w:jc w:val="center"/>
                        </w:trPr>
                        <w:tc>
                          <w:tcPr>
                            <w:tcW w:w="1267" w:type="dxa"/>
                            <w:vMerge/>
                            <w:vAlign w:val="center"/>
                          </w:tcPr>
                          <w:p w14:paraId="0A268FB2" w14:textId="77777777" w:rsidR="00BF7A0C" w:rsidRPr="00B5705B" w:rsidRDefault="00BF7A0C" w:rsidP="00390EC4">
                            <w:pPr>
                              <w:spacing w:after="0" w:line="240" w:lineRule="auto"/>
                              <w:jc w:val="center"/>
                              <w:rPr>
                                <w:rFonts w:cs="Calibri"/>
                                <w:sz w:val="20"/>
                                <w:szCs w:val="20"/>
                              </w:rPr>
                            </w:pPr>
                          </w:p>
                        </w:tc>
                        <w:tc>
                          <w:tcPr>
                            <w:tcW w:w="2267" w:type="dxa"/>
                            <w:vAlign w:val="center"/>
                          </w:tcPr>
                          <w:p w14:paraId="0463534B" w14:textId="77777777" w:rsidR="00BF7A0C" w:rsidRPr="00B5705B" w:rsidRDefault="00BF7A0C" w:rsidP="00390EC4">
                            <w:pPr>
                              <w:spacing w:after="0" w:line="240" w:lineRule="auto"/>
                              <w:rPr>
                                <w:rFonts w:cs="Calibri"/>
                                <w:sz w:val="20"/>
                                <w:szCs w:val="20"/>
                              </w:rPr>
                            </w:pPr>
                            <w:r w:rsidRPr="00B5705B">
                              <w:rPr>
                                <w:rFonts w:cs="Calibri"/>
                                <w:sz w:val="20"/>
                                <w:szCs w:val="20"/>
                              </w:rPr>
                              <w:t>Ecology</w:t>
                            </w:r>
                          </w:p>
                        </w:tc>
                        <w:tc>
                          <w:tcPr>
                            <w:tcW w:w="961" w:type="dxa"/>
                            <w:vAlign w:val="center"/>
                          </w:tcPr>
                          <w:p w14:paraId="717F1D7D" w14:textId="77777777" w:rsidR="00BF7A0C" w:rsidRPr="00B5705B" w:rsidRDefault="00BF7A0C" w:rsidP="00390EC4">
                            <w:pPr>
                              <w:spacing w:after="0" w:line="240" w:lineRule="auto"/>
                              <w:rPr>
                                <w:rFonts w:cs="Calibri"/>
                                <w:sz w:val="20"/>
                                <w:szCs w:val="20"/>
                              </w:rPr>
                            </w:pPr>
                            <w:r w:rsidRPr="00B5705B">
                              <w:rPr>
                                <w:rFonts w:cs="Calibri"/>
                                <w:sz w:val="20"/>
                                <w:szCs w:val="20"/>
                              </w:rPr>
                              <w:t>ENV 4</w:t>
                            </w:r>
                          </w:p>
                        </w:tc>
                        <w:tc>
                          <w:tcPr>
                            <w:tcW w:w="897" w:type="dxa"/>
                            <w:vAlign w:val="center"/>
                          </w:tcPr>
                          <w:p w14:paraId="349B3BEC" w14:textId="77777777" w:rsidR="00BF7A0C" w:rsidRPr="00B5705B" w:rsidRDefault="00BF7A0C" w:rsidP="00390EC4">
                            <w:pPr>
                              <w:spacing w:after="0" w:line="240" w:lineRule="auto"/>
                              <w:jc w:val="center"/>
                              <w:rPr>
                                <w:rFonts w:cs="Calibri"/>
                                <w:sz w:val="20"/>
                                <w:szCs w:val="20"/>
                              </w:rPr>
                            </w:pPr>
                          </w:p>
                        </w:tc>
                        <w:tc>
                          <w:tcPr>
                            <w:tcW w:w="2137" w:type="dxa"/>
                          </w:tcPr>
                          <w:p w14:paraId="42569BC9" w14:textId="77777777" w:rsidR="00BF7A0C" w:rsidRPr="00B5705B" w:rsidRDefault="00BF7A0C" w:rsidP="00390EC4">
                            <w:pPr>
                              <w:spacing w:after="0" w:line="240" w:lineRule="auto"/>
                              <w:rPr>
                                <w:rFonts w:cs="Calibri"/>
                                <w:sz w:val="20"/>
                                <w:szCs w:val="20"/>
                              </w:rPr>
                            </w:pPr>
                            <w:r w:rsidRPr="00B5705B">
                              <w:rPr>
                                <w:rFonts w:cs="Calibri"/>
                                <w:sz w:val="20"/>
                                <w:szCs w:val="20"/>
                              </w:rPr>
                              <w:t>Qualitative (Tier 1)</w:t>
                            </w:r>
                          </w:p>
                        </w:tc>
                        <w:tc>
                          <w:tcPr>
                            <w:tcW w:w="1012" w:type="dxa"/>
                          </w:tcPr>
                          <w:p w14:paraId="0FA339B3" w14:textId="77777777" w:rsidR="00BF7A0C" w:rsidRPr="00B5705B" w:rsidRDefault="00BF7A0C" w:rsidP="00390EC4">
                            <w:pPr>
                              <w:spacing w:after="0" w:line="240" w:lineRule="auto"/>
                              <w:rPr>
                                <w:rFonts w:cs="Calibri"/>
                                <w:sz w:val="20"/>
                                <w:szCs w:val="20"/>
                              </w:rPr>
                            </w:pPr>
                            <w:r w:rsidRPr="00B5705B">
                              <w:rPr>
                                <w:rFonts w:cs="Calibri"/>
                                <w:sz w:val="20"/>
                                <w:szCs w:val="20"/>
                              </w:rPr>
                              <w:t>n/a</w:t>
                            </w:r>
                          </w:p>
                        </w:tc>
                      </w:tr>
                      <w:tr w:rsidR="00BF7A0C" w:rsidRPr="00B5705B" w14:paraId="2B42FC62" w14:textId="77777777" w:rsidTr="00BF7A0C">
                        <w:trPr>
                          <w:trHeight w:val="73"/>
                          <w:jc w:val="center"/>
                        </w:trPr>
                        <w:tc>
                          <w:tcPr>
                            <w:tcW w:w="1267" w:type="dxa"/>
                            <w:vMerge/>
                            <w:vAlign w:val="center"/>
                          </w:tcPr>
                          <w:p w14:paraId="283D3746" w14:textId="77777777" w:rsidR="00BF7A0C" w:rsidRPr="00B5705B" w:rsidRDefault="00BF7A0C" w:rsidP="00390EC4">
                            <w:pPr>
                              <w:spacing w:after="0" w:line="240" w:lineRule="auto"/>
                              <w:jc w:val="center"/>
                              <w:rPr>
                                <w:rFonts w:cs="Calibri"/>
                                <w:sz w:val="20"/>
                                <w:szCs w:val="20"/>
                              </w:rPr>
                            </w:pPr>
                          </w:p>
                        </w:tc>
                        <w:tc>
                          <w:tcPr>
                            <w:tcW w:w="2267" w:type="dxa"/>
                            <w:vMerge w:val="restart"/>
                            <w:vAlign w:val="center"/>
                          </w:tcPr>
                          <w:p w14:paraId="4F7E4C93" w14:textId="77777777" w:rsidR="00BF7A0C" w:rsidRPr="00B5705B" w:rsidRDefault="00BF7A0C" w:rsidP="00390EC4">
                            <w:pPr>
                              <w:spacing w:after="0" w:line="240" w:lineRule="auto"/>
                              <w:rPr>
                                <w:rFonts w:cs="Calibri"/>
                                <w:sz w:val="20"/>
                                <w:szCs w:val="20"/>
                              </w:rPr>
                            </w:pPr>
                            <w:r w:rsidRPr="00B5705B">
                              <w:rPr>
                                <w:rFonts w:cs="Calibri"/>
                                <w:sz w:val="20"/>
                                <w:szCs w:val="20"/>
                              </w:rPr>
                              <w:t>Natural resources and waste</w:t>
                            </w:r>
                          </w:p>
                        </w:tc>
                        <w:tc>
                          <w:tcPr>
                            <w:tcW w:w="961" w:type="dxa"/>
                            <w:vMerge w:val="restart"/>
                            <w:vAlign w:val="center"/>
                          </w:tcPr>
                          <w:p w14:paraId="3B4C7C91" w14:textId="77777777" w:rsidR="00BF7A0C" w:rsidRPr="00B5705B" w:rsidRDefault="00BF7A0C" w:rsidP="00390EC4">
                            <w:pPr>
                              <w:spacing w:after="0" w:line="240" w:lineRule="auto"/>
                              <w:rPr>
                                <w:rFonts w:cs="Calibri"/>
                                <w:sz w:val="20"/>
                                <w:szCs w:val="20"/>
                              </w:rPr>
                            </w:pPr>
                            <w:r w:rsidRPr="00B5705B">
                              <w:rPr>
                                <w:rFonts w:cs="Calibri"/>
                                <w:sz w:val="20"/>
                                <w:szCs w:val="20"/>
                              </w:rPr>
                              <w:t>ENV 5</w:t>
                            </w:r>
                          </w:p>
                        </w:tc>
                        <w:tc>
                          <w:tcPr>
                            <w:tcW w:w="897" w:type="dxa"/>
                            <w:vMerge w:val="restart"/>
                            <w:vAlign w:val="center"/>
                          </w:tcPr>
                          <w:p w14:paraId="0053A65D" w14:textId="77777777" w:rsidR="00BF7A0C" w:rsidRPr="00B5705B" w:rsidRDefault="00BF7A0C" w:rsidP="00390EC4">
                            <w:pPr>
                              <w:spacing w:after="0" w:line="240" w:lineRule="auto"/>
                              <w:jc w:val="center"/>
                              <w:rPr>
                                <w:rFonts w:cs="Calibri"/>
                                <w:sz w:val="20"/>
                                <w:szCs w:val="20"/>
                              </w:rPr>
                            </w:pPr>
                          </w:p>
                        </w:tc>
                        <w:tc>
                          <w:tcPr>
                            <w:tcW w:w="2137" w:type="dxa"/>
                          </w:tcPr>
                          <w:p w14:paraId="2421EF8A" w14:textId="77777777" w:rsidR="00BF7A0C" w:rsidRPr="00B5705B" w:rsidRDefault="00BF7A0C" w:rsidP="00390EC4">
                            <w:pPr>
                              <w:spacing w:after="0" w:line="240" w:lineRule="auto"/>
                              <w:rPr>
                                <w:rFonts w:cs="Calibri"/>
                                <w:sz w:val="20"/>
                                <w:szCs w:val="20"/>
                              </w:rPr>
                            </w:pPr>
                            <w:r w:rsidRPr="00B5705B">
                              <w:rPr>
                                <w:rFonts w:cs="Calibri"/>
                                <w:sz w:val="20"/>
                                <w:szCs w:val="20"/>
                              </w:rPr>
                              <w:t>Water discharge from remediation treatment only</w:t>
                            </w:r>
                          </w:p>
                        </w:tc>
                        <w:tc>
                          <w:tcPr>
                            <w:tcW w:w="1012" w:type="dxa"/>
                          </w:tcPr>
                          <w:p w14:paraId="44EF4BFD" w14:textId="77777777" w:rsidR="00BF7A0C" w:rsidRPr="00B5705B" w:rsidRDefault="00BF7A0C" w:rsidP="00390EC4">
                            <w:pPr>
                              <w:spacing w:after="0" w:line="240" w:lineRule="auto"/>
                              <w:rPr>
                                <w:rFonts w:cs="Calibri"/>
                                <w:sz w:val="20"/>
                                <w:szCs w:val="20"/>
                              </w:rPr>
                            </w:pPr>
                            <w:r w:rsidRPr="00B5705B">
                              <w:rPr>
                                <w:rFonts w:cs="Calibri"/>
                                <w:sz w:val="20"/>
                                <w:szCs w:val="20"/>
                              </w:rPr>
                              <w:t>m</w:t>
                            </w:r>
                            <w:r w:rsidRPr="007F5485">
                              <w:rPr>
                                <w:rFonts w:cs="Calibri"/>
                                <w:sz w:val="20"/>
                                <w:szCs w:val="20"/>
                                <w:vertAlign w:val="superscript"/>
                              </w:rPr>
                              <w:t>3</w:t>
                            </w:r>
                          </w:p>
                        </w:tc>
                      </w:tr>
                      <w:tr w:rsidR="00BF7A0C" w:rsidRPr="00B5705B" w14:paraId="4B664CA3" w14:textId="77777777" w:rsidTr="00BF7A0C">
                        <w:trPr>
                          <w:trHeight w:val="71"/>
                          <w:jc w:val="center"/>
                        </w:trPr>
                        <w:tc>
                          <w:tcPr>
                            <w:tcW w:w="1267" w:type="dxa"/>
                            <w:vMerge/>
                            <w:vAlign w:val="center"/>
                          </w:tcPr>
                          <w:p w14:paraId="43D8FC6A" w14:textId="77777777" w:rsidR="00BF7A0C" w:rsidRPr="00B5705B" w:rsidRDefault="00BF7A0C" w:rsidP="00390EC4">
                            <w:pPr>
                              <w:spacing w:after="0" w:line="240" w:lineRule="auto"/>
                              <w:jc w:val="center"/>
                              <w:rPr>
                                <w:rFonts w:cs="Calibri"/>
                                <w:sz w:val="20"/>
                                <w:szCs w:val="20"/>
                              </w:rPr>
                            </w:pPr>
                          </w:p>
                        </w:tc>
                        <w:tc>
                          <w:tcPr>
                            <w:tcW w:w="2267" w:type="dxa"/>
                            <w:vMerge/>
                            <w:vAlign w:val="center"/>
                          </w:tcPr>
                          <w:p w14:paraId="76584CEA" w14:textId="77777777" w:rsidR="00BF7A0C" w:rsidRPr="00B5705B" w:rsidRDefault="00BF7A0C" w:rsidP="00390EC4">
                            <w:pPr>
                              <w:spacing w:after="0" w:line="240" w:lineRule="auto"/>
                              <w:rPr>
                                <w:rFonts w:cs="Calibri"/>
                                <w:sz w:val="20"/>
                                <w:szCs w:val="20"/>
                              </w:rPr>
                            </w:pPr>
                          </w:p>
                        </w:tc>
                        <w:tc>
                          <w:tcPr>
                            <w:tcW w:w="961" w:type="dxa"/>
                            <w:vMerge/>
                            <w:vAlign w:val="center"/>
                          </w:tcPr>
                          <w:p w14:paraId="348BA81E" w14:textId="77777777" w:rsidR="00BF7A0C" w:rsidRPr="00B5705B" w:rsidRDefault="00BF7A0C" w:rsidP="00390EC4">
                            <w:pPr>
                              <w:spacing w:after="0" w:line="240" w:lineRule="auto"/>
                              <w:rPr>
                                <w:rFonts w:cs="Calibri"/>
                                <w:sz w:val="20"/>
                                <w:szCs w:val="20"/>
                              </w:rPr>
                            </w:pPr>
                          </w:p>
                        </w:tc>
                        <w:tc>
                          <w:tcPr>
                            <w:tcW w:w="897" w:type="dxa"/>
                            <w:vMerge/>
                            <w:vAlign w:val="center"/>
                          </w:tcPr>
                          <w:p w14:paraId="6CBD4B28" w14:textId="77777777" w:rsidR="00BF7A0C" w:rsidRPr="00B5705B" w:rsidRDefault="00BF7A0C" w:rsidP="00390EC4">
                            <w:pPr>
                              <w:spacing w:after="0" w:line="240" w:lineRule="auto"/>
                              <w:jc w:val="center"/>
                              <w:rPr>
                                <w:rFonts w:cs="Calibri"/>
                                <w:sz w:val="20"/>
                                <w:szCs w:val="20"/>
                              </w:rPr>
                            </w:pPr>
                          </w:p>
                        </w:tc>
                        <w:tc>
                          <w:tcPr>
                            <w:tcW w:w="2137" w:type="dxa"/>
                          </w:tcPr>
                          <w:p w14:paraId="34F92994" w14:textId="77777777" w:rsidR="00BF7A0C" w:rsidRPr="00B5705B" w:rsidRDefault="00BF7A0C" w:rsidP="00390EC4">
                            <w:pPr>
                              <w:spacing w:after="0" w:line="240" w:lineRule="auto"/>
                              <w:rPr>
                                <w:rFonts w:cs="Calibri"/>
                                <w:sz w:val="20"/>
                                <w:szCs w:val="20"/>
                              </w:rPr>
                            </w:pPr>
                            <w:r w:rsidRPr="00B5705B">
                              <w:rPr>
                                <w:rFonts w:cs="Calibri"/>
                                <w:sz w:val="20"/>
                                <w:szCs w:val="20"/>
                              </w:rPr>
                              <w:t>Volume displaced soil material</w:t>
                            </w:r>
                          </w:p>
                        </w:tc>
                        <w:tc>
                          <w:tcPr>
                            <w:tcW w:w="1012" w:type="dxa"/>
                          </w:tcPr>
                          <w:p w14:paraId="55BCE9E8" w14:textId="77777777" w:rsidR="00BF7A0C" w:rsidRPr="00B5705B" w:rsidRDefault="00BF7A0C" w:rsidP="00390EC4">
                            <w:pPr>
                              <w:spacing w:after="0" w:line="240" w:lineRule="auto"/>
                              <w:rPr>
                                <w:rFonts w:cs="Calibri"/>
                                <w:sz w:val="20"/>
                                <w:szCs w:val="20"/>
                              </w:rPr>
                            </w:pPr>
                            <w:r w:rsidRPr="00B5705B">
                              <w:rPr>
                                <w:rFonts w:cs="Calibri"/>
                                <w:sz w:val="20"/>
                                <w:szCs w:val="20"/>
                              </w:rPr>
                              <w:t>m</w:t>
                            </w:r>
                            <w:r w:rsidRPr="007F5485">
                              <w:rPr>
                                <w:rFonts w:cs="Calibri"/>
                                <w:sz w:val="20"/>
                                <w:szCs w:val="20"/>
                                <w:vertAlign w:val="superscript"/>
                              </w:rPr>
                              <w:t>3</w:t>
                            </w:r>
                          </w:p>
                        </w:tc>
                      </w:tr>
                      <w:tr w:rsidR="00BF7A0C" w:rsidRPr="00B5705B" w14:paraId="5EA31920" w14:textId="77777777" w:rsidTr="00BF7A0C">
                        <w:trPr>
                          <w:trHeight w:val="108"/>
                          <w:jc w:val="center"/>
                        </w:trPr>
                        <w:tc>
                          <w:tcPr>
                            <w:tcW w:w="1267" w:type="dxa"/>
                            <w:vMerge/>
                            <w:vAlign w:val="center"/>
                          </w:tcPr>
                          <w:p w14:paraId="2E96DD83" w14:textId="77777777" w:rsidR="00BF7A0C" w:rsidRPr="00B5705B" w:rsidRDefault="00BF7A0C" w:rsidP="00390EC4">
                            <w:pPr>
                              <w:spacing w:after="0" w:line="240" w:lineRule="auto"/>
                              <w:jc w:val="center"/>
                              <w:rPr>
                                <w:rFonts w:cs="Calibri"/>
                                <w:sz w:val="20"/>
                                <w:szCs w:val="20"/>
                              </w:rPr>
                            </w:pPr>
                          </w:p>
                        </w:tc>
                        <w:tc>
                          <w:tcPr>
                            <w:tcW w:w="2267" w:type="dxa"/>
                            <w:vMerge/>
                            <w:vAlign w:val="center"/>
                          </w:tcPr>
                          <w:p w14:paraId="6CBCAB53" w14:textId="77777777" w:rsidR="00BF7A0C" w:rsidRPr="00B5705B" w:rsidRDefault="00BF7A0C" w:rsidP="00390EC4">
                            <w:pPr>
                              <w:spacing w:after="0" w:line="240" w:lineRule="auto"/>
                              <w:rPr>
                                <w:rFonts w:cs="Calibri"/>
                                <w:sz w:val="20"/>
                                <w:szCs w:val="20"/>
                              </w:rPr>
                            </w:pPr>
                          </w:p>
                        </w:tc>
                        <w:tc>
                          <w:tcPr>
                            <w:tcW w:w="961" w:type="dxa"/>
                            <w:vMerge/>
                            <w:vAlign w:val="center"/>
                          </w:tcPr>
                          <w:p w14:paraId="1D058CF6" w14:textId="77777777" w:rsidR="00BF7A0C" w:rsidRPr="00B5705B" w:rsidRDefault="00BF7A0C" w:rsidP="00390EC4">
                            <w:pPr>
                              <w:spacing w:after="0" w:line="240" w:lineRule="auto"/>
                              <w:rPr>
                                <w:rFonts w:cs="Calibri"/>
                                <w:sz w:val="20"/>
                                <w:szCs w:val="20"/>
                              </w:rPr>
                            </w:pPr>
                          </w:p>
                        </w:tc>
                        <w:tc>
                          <w:tcPr>
                            <w:tcW w:w="897" w:type="dxa"/>
                            <w:vMerge/>
                            <w:vAlign w:val="center"/>
                          </w:tcPr>
                          <w:p w14:paraId="78FD6BF1" w14:textId="77777777" w:rsidR="00BF7A0C" w:rsidRPr="00B5705B" w:rsidRDefault="00BF7A0C" w:rsidP="00390EC4">
                            <w:pPr>
                              <w:spacing w:after="0" w:line="240" w:lineRule="auto"/>
                              <w:jc w:val="center"/>
                              <w:rPr>
                                <w:rFonts w:cs="Calibri"/>
                                <w:sz w:val="20"/>
                                <w:szCs w:val="20"/>
                              </w:rPr>
                            </w:pPr>
                          </w:p>
                        </w:tc>
                        <w:tc>
                          <w:tcPr>
                            <w:tcW w:w="2137" w:type="dxa"/>
                          </w:tcPr>
                          <w:p w14:paraId="2D22EDB2" w14:textId="77777777" w:rsidR="00BF7A0C" w:rsidRPr="00B5705B" w:rsidRDefault="00BF7A0C" w:rsidP="00390EC4">
                            <w:pPr>
                              <w:spacing w:after="0" w:line="240" w:lineRule="auto"/>
                              <w:rPr>
                                <w:rFonts w:cs="Calibri"/>
                                <w:sz w:val="20"/>
                                <w:szCs w:val="20"/>
                              </w:rPr>
                            </w:pPr>
                            <w:r w:rsidRPr="00B5705B">
                              <w:rPr>
                                <w:rFonts w:cs="Calibri"/>
                                <w:sz w:val="20"/>
                                <w:szCs w:val="20"/>
                              </w:rPr>
                              <w:t>Raw materials used in well construction</w:t>
                            </w:r>
                          </w:p>
                        </w:tc>
                        <w:tc>
                          <w:tcPr>
                            <w:tcW w:w="1012" w:type="dxa"/>
                          </w:tcPr>
                          <w:p w14:paraId="300583EE" w14:textId="77777777" w:rsidR="00BF7A0C" w:rsidRPr="00B5705B" w:rsidRDefault="00BF7A0C" w:rsidP="00390EC4">
                            <w:pPr>
                              <w:spacing w:after="0" w:line="240" w:lineRule="auto"/>
                              <w:rPr>
                                <w:rFonts w:cs="Calibri"/>
                                <w:sz w:val="20"/>
                                <w:szCs w:val="20"/>
                              </w:rPr>
                            </w:pPr>
                            <w:r w:rsidRPr="00B5705B">
                              <w:rPr>
                                <w:rFonts w:cs="Calibri"/>
                                <w:sz w:val="20"/>
                                <w:szCs w:val="20"/>
                              </w:rPr>
                              <w:t>kg PVC</w:t>
                            </w:r>
                          </w:p>
                        </w:tc>
                      </w:tr>
                      <w:tr w:rsidR="00BF7A0C" w:rsidRPr="00B5705B" w14:paraId="70C3E727" w14:textId="77777777" w:rsidTr="00BF7A0C">
                        <w:trPr>
                          <w:trHeight w:val="107"/>
                          <w:jc w:val="center"/>
                        </w:trPr>
                        <w:tc>
                          <w:tcPr>
                            <w:tcW w:w="1267" w:type="dxa"/>
                            <w:vMerge/>
                            <w:vAlign w:val="center"/>
                          </w:tcPr>
                          <w:p w14:paraId="3207CE65" w14:textId="77777777" w:rsidR="00BF7A0C" w:rsidRPr="00B5705B" w:rsidRDefault="00BF7A0C" w:rsidP="00390EC4">
                            <w:pPr>
                              <w:spacing w:after="0" w:line="240" w:lineRule="auto"/>
                              <w:jc w:val="center"/>
                              <w:rPr>
                                <w:rFonts w:cs="Calibri"/>
                                <w:sz w:val="20"/>
                                <w:szCs w:val="20"/>
                              </w:rPr>
                            </w:pPr>
                          </w:p>
                        </w:tc>
                        <w:tc>
                          <w:tcPr>
                            <w:tcW w:w="2267" w:type="dxa"/>
                            <w:vMerge/>
                            <w:vAlign w:val="center"/>
                          </w:tcPr>
                          <w:p w14:paraId="7085D680" w14:textId="77777777" w:rsidR="00BF7A0C" w:rsidRPr="00B5705B" w:rsidRDefault="00BF7A0C" w:rsidP="00390EC4">
                            <w:pPr>
                              <w:spacing w:after="0" w:line="240" w:lineRule="auto"/>
                              <w:rPr>
                                <w:rFonts w:cs="Calibri"/>
                                <w:sz w:val="20"/>
                                <w:szCs w:val="20"/>
                              </w:rPr>
                            </w:pPr>
                          </w:p>
                        </w:tc>
                        <w:tc>
                          <w:tcPr>
                            <w:tcW w:w="961" w:type="dxa"/>
                            <w:vMerge/>
                            <w:vAlign w:val="center"/>
                          </w:tcPr>
                          <w:p w14:paraId="5982D639" w14:textId="77777777" w:rsidR="00BF7A0C" w:rsidRPr="00B5705B" w:rsidRDefault="00BF7A0C" w:rsidP="00390EC4">
                            <w:pPr>
                              <w:spacing w:after="0" w:line="240" w:lineRule="auto"/>
                              <w:rPr>
                                <w:rFonts w:cs="Calibri"/>
                                <w:sz w:val="20"/>
                                <w:szCs w:val="20"/>
                              </w:rPr>
                            </w:pPr>
                          </w:p>
                        </w:tc>
                        <w:tc>
                          <w:tcPr>
                            <w:tcW w:w="897" w:type="dxa"/>
                            <w:vMerge/>
                            <w:vAlign w:val="center"/>
                          </w:tcPr>
                          <w:p w14:paraId="0B612DF0" w14:textId="77777777" w:rsidR="00BF7A0C" w:rsidRPr="00B5705B" w:rsidRDefault="00BF7A0C" w:rsidP="00390EC4">
                            <w:pPr>
                              <w:spacing w:after="0" w:line="240" w:lineRule="auto"/>
                              <w:jc w:val="center"/>
                              <w:rPr>
                                <w:rFonts w:cs="Calibri"/>
                                <w:sz w:val="20"/>
                                <w:szCs w:val="20"/>
                              </w:rPr>
                            </w:pPr>
                          </w:p>
                        </w:tc>
                        <w:tc>
                          <w:tcPr>
                            <w:tcW w:w="2137" w:type="dxa"/>
                          </w:tcPr>
                          <w:p w14:paraId="2A2C12E0" w14:textId="77777777" w:rsidR="00BF7A0C" w:rsidRPr="00B5705B" w:rsidRDefault="00BF7A0C" w:rsidP="00390EC4">
                            <w:pPr>
                              <w:spacing w:after="0" w:line="240" w:lineRule="auto"/>
                              <w:rPr>
                                <w:rFonts w:cs="Calibri"/>
                                <w:sz w:val="20"/>
                                <w:szCs w:val="20"/>
                              </w:rPr>
                            </w:pPr>
                            <w:r w:rsidRPr="00B5705B">
                              <w:rPr>
                                <w:rFonts w:cs="Calibri"/>
                                <w:sz w:val="20"/>
                                <w:szCs w:val="20"/>
                              </w:rPr>
                              <w:t>Volume of petrol consumed</w:t>
                            </w:r>
                          </w:p>
                        </w:tc>
                        <w:tc>
                          <w:tcPr>
                            <w:tcW w:w="1012" w:type="dxa"/>
                          </w:tcPr>
                          <w:p w14:paraId="77DCE82C" w14:textId="77777777" w:rsidR="00BF7A0C" w:rsidRPr="00B5705B" w:rsidRDefault="00BF7A0C" w:rsidP="00390EC4">
                            <w:pPr>
                              <w:spacing w:after="0" w:line="240" w:lineRule="auto"/>
                              <w:rPr>
                                <w:rFonts w:cs="Calibri"/>
                                <w:sz w:val="20"/>
                                <w:szCs w:val="20"/>
                              </w:rPr>
                            </w:pPr>
                            <w:r w:rsidRPr="00B5705B">
                              <w:rPr>
                                <w:rFonts w:cs="Calibri"/>
                                <w:sz w:val="20"/>
                                <w:szCs w:val="20"/>
                              </w:rPr>
                              <w:t>m</w:t>
                            </w:r>
                            <w:r w:rsidRPr="007F5485">
                              <w:rPr>
                                <w:rFonts w:cs="Calibri"/>
                                <w:sz w:val="20"/>
                                <w:szCs w:val="20"/>
                                <w:vertAlign w:val="superscript"/>
                              </w:rPr>
                              <w:t>3</w:t>
                            </w:r>
                          </w:p>
                        </w:tc>
                      </w:tr>
                      <w:tr w:rsidR="00BF7A0C" w:rsidRPr="00B5705B" w14:paraId="6148762C" w14:textId="77777777" w:rsidTr="00BF7A0C">
                        <w:trPr>
                          <w:trHeight w:val="268"/>
                          <w:jc w:val="center"/>
                        </w:trPr>
                        <w:tc>
                          <w:tcPr>
                            <w:tcW w:w="1267" w:type="dxa"/>
                            <w:vMerge w:val="restart"/>
                            <w:vAlign w:val="center"/>
                          </w:tcPr>
                          <w:p w14:paraId="2687B715" w14:textId="77777777" w:rsidR="00BF7A0C" w:rsidRPr="00B5705B" w:rsidRDefault="00BF7A0C" w:rsidP="00390EC4">
                            <w:pPr>
                              <w:spacing w:after="0" w:line="240" w:lineRule="auto"/>
                              <w:jc w:val="center"/>
                              <w:rPr>
                                <w:rFonts w:cs="Calibri"/>
                                <w:sz w:val="20"/>
                                <w:szCs w:val="20"/>
                              </w:rPr>
                            </w:pPr>
                            <w:r w:rsidRPr="00B5705B">
                              <w:rPr>
                                <w:rFonts w:cs="Calibri"/>
                                <w:sz w:val="20"/>
                                <w:szCs w:val="20"/>
                              </w:rPr>
                              <w:t>Economic</w:t>
                            </w:r>
                          </w:p>
                        </w:tc>
                        <w:tc>
                          <w:tcPr>
                            <w:tcW w:w="2267" w:type="dxa"/>
                            <w:vAlign w:val="center"/>
                          </w:tcPr>
                          <w:p w14:paraId="3F877A78" w14:textId="77777777" w:rsidR="00BF7A0C" w:rsidRPr="00B5705B" w:rsidRDefault="00BF7A0C" w:rsidP="00390EC4">
                            <w:pPr>
                              <w:spacing w:after="0" w:line="240" w:lineRule="auto"/>
                              <w:rPr>
                                <w:rFonts w:cs="Calibri"/>
                                <w:sz w:val="20"/>
                                <w:szCs w:val="20"/>
                              </w:rPr>
                            </w:pPr>
                            <w:r w:rsidRPr="00B5705B">
                              <w:rPr>
                                <w:rFonts w:cs="Calibri"/>
                                <w:sz w:val="20"/>
                                <w:szCs w:val="20"/>
                              </w:rPr>
                              <w:t>Direct economic costs</w:t>
                            </w:r>
                          </w:p>
                        </w:tc>
                        <w:tc>
                          <w:tcPr>
                            <w:tcW w:w="961" w:type="dxa"/>
                            <w:vAlign w:val="center"/>
                          </w:tcPr>
                          <w:p w14:paraId="4B721F44" w14:textId="77777777" w:rsidR="00BF7A0C" w:rsidRPr="00B5705B" w:rsidRDefault="00BF7A0C" w:rsidP="00390EC4">
                            <w:pPr>
                              <w:spacing w:after="0" w:line="240" w:lineRule="auto"/>
                              <w:rPr>
                                <w:rFonts w:cs="Calibri"/>
                                <w:sz w:val="20"/>
                                <w:szCs w:val="20"/>
                              </w:rPr>
                            </w:pPr>
                            <w:r w:rsidRPr="00B5705B">
                              <w:rPr>
                                <w:rFonts w:cs="Calibri"/>
                                <w:sz w:val="20"/>
                                <w:szCs w:val="20"/>
                              </w:rPr>
                              <w:t>ECON 1</w:t>
                            </w:r>
                          </w:p>
                        </w:tc>
                        <w:tc>
                          <w:tcPr>
                            <w:tcW w:w="897" w:type="dxa"/>
                            <w:vAlign w:val="center"/>
                          </w:tcPr>
                          <w:p w14:paraId="74264D17" w14:textId="77777777" w:rsidR="00BF7A0C" w:rsidRPr="00B5705B" w:rsidRDefault="00BF7A0C" w:rsidP="00390EC4">
                            <w:pPr>
                              <w:spacing w:after="0" w:line="240" w:lineRule="auto"/>
                              <w:jc w:val="center"/>
                              <w:rPr>
                                <w:rFonts w:cs="Calibri"/>
                                <w:sz w:val="20"/>
                                <w:szCs w:val="20"/>
                              </w:rPr>
                            </w:pPr>
                            <w:r w:rsidRPr="00B5705B">
                              <w:rPr>
                                <w:rFonts w:cs="Calibri"/>
                                <w:sz w:val="20"/>
                                <w:szCs w:val="20"/>
                              </w:rPr>
                              <w:t>*</w:t>
                            </w:r>
                          </w:p>
                        </w:tc>
                        <w:tc>
                          <w:tcPr>
                            <w:tcW w:w="2137" w:type="dxa"/>
                          </w:tcPr>
                          <w:p w14:paraId="7C685FF1" w14:textId="77777777" w:rsidR="00BF7A0C" w:rsidRPr="00B5705B" w:rsidRDefault="00BF7A0C" w:rsidP="00390EC4">
                            <w:pPr>
                              <w:spacing w:after="0" w:line="240" w:lineRule="auto"/>
                              <w:rPr>
                                <w:rFonts w:cs="Calibri"/>
                                <w:sz w:val="20"/>
                                <w:szCs w:val="20"/>
                              </w:rPr>
                            </w:pPr>
                            <w:r w:rsidRPr="00B5705B">
                              <w:rPr>
                                <w:rFonts w:cs="Calibri"/>
                                <w:sz w:val="20"/>
                                <w:szCs w:val="20"/>
                              </w:rPr>
                              <w:t>Total economic cost</w:t>
                            </w:r>
                          </w:p>
                        </w:tc>
                        <w:tc>
                          <w:tcPr>
                            <w:tcW w:w="1012" w:type="dxa"/>
                          </w:tcPr>
                          <w:p w14:paraId="4B3592AB" w14:textId="77777777" w:rsidR="00BF7A0C" w:rsidRPr="00B5705B" w:rsidRDefault="00BF7A0C" w:rsidP="00390EC4">
                            <w:pPr>
                              <w:spacing w:after="0" w:line="240" w:lineRule="auto"/>
                              <w:rPr>
                                <w:rFonts w:cs="Calibri"/>
                                <w:sz w:val="20"/>
                                <w:szCs w:val="20"/>
                              </w:rPr>
                            </w:pPr>
                            <w:r w:rsidRPr="00B5705B">
                              <w:rPr>
                                <w:rFonts w:cs="Calibri"/>
                                <w:sz w:val="20"/>
                                <w:szCs w:val="20"/>
                              </w:rPr>
                              <w:t>GBP</w:t>
                            </w:r>
                          </w:p>
                        </w:tc>
                      </w:tr>
                      <w:tr w:rsidR="00BF7A0C" w:rsidRPr="00B5705B" w14:paraId="235D607A" w14:textId="77777777" w:rsidTr="00BF7A0C">
                        <w:trPr>
                          <w:trHeight w:val="139"/>
                          <w:jc w:val="center"/>
                        </w:trPr>
                        <w:tc>
                          <w:tcPr>
                            <w:tcW w:w="1267" w:type="dxa"/>
                            <w:vMerge/>
                            <w:vAlign w:val="center"/>
                          </w:tcPr>
                          <w:p w14:paraId="33EA5DD6" w14:textId="77777777" w:rsidR="00BF7A0C" w:rsidRPr="00B5705B" w:rsidRDefault="00BF7A0C" w:rsidP="00390EC4">
                            <w:pPr>
                              <w:spacing w:after="0" w:line="240" w:lineRule="auto"/>
                              <w:jc w:val="center"/>
                              <w:rPr>
                                <w:rFonts w:cs="Calibri"/>
                                <w:sz w:val="20"/>
                                <w:szCs w:val="20"/>
                              </w:rPr>
                            </w:pPr>
                          </w:p>
                        </w:tc>
                        <w:tc>
                          <w:tcPr>
                            <w:tcW w:w="2267" w:type="dxa"/>
                            <w:vAlign w:val="center"/>
                          </w:tcPr>
                          <w:p w14:paraId="411EAB24" w14:textId="77777777" w:rsidR="00BF7A0C" w:rsidRPr="00B5705B" w:rsidRDefault="00BF7A0C" w:rsidP="00390EC4">
                            <w:pPr>
                              <w:spacing w:after="0" w:line="240" w:lineRule="auto"/>
                              <w:rPr>
                                <w:rFonts w:cs="Calibri"/>
                                <w:sz w:val="20"/>
                                <w:szCs w:val="20"/>
                              </w:rPr>
                            </w:pPr>
                            <w:r w:rsidRPr="00B5705B">
                              <w:rPr>
                                <w:rFonts w:cs="Calibri"/>
                                <w:sz w:val="20"/>
                                <w:szCs w:val="20"/>
                              </w:rPr>
                              <w:t>Indirect economic costs and benefits</w:t>
                            </w:r>
                          </w:p>
                        </w:tc>
                        <w:tc>
                          <w:tcPr>
                            <w:tcW w:w="961" w:type="dxa"/>
                            <w:vAlign w:val="center"/>
                          </w:tcPr>
                          <w:p w14:paraId="50985A18" w14:textId="77777777" w:rsidR="00BF7A0C" w:rsidRPr="00B5705B" w:rsidRDefault="00BF7A0C" w:rsidP="00390EC4">
                            <w:pPr>
                              <w:spacing w:after="0" w:line="240" w:lineRule="auto"/>
                              <w:rPr>
                                <w:rFonts w:cs="Calibri"/>
                                <w:sz w:val="20"/>
                                <w:szCs w:val="20"/>
                              </w:rPr>
                            </w:pPr>
                            <w:r w:rsidRPr="00B5705B">
                              <w:rPr>
                                <w:rFonts w:cs="Calibri"/>
                                <w:sz w:val="20"/>
                                <w:szCs w:val="20"/>
                              </w:rPr>
                              <w:t>ECON 2</w:t>
                            </w:r>
                          </w:p>
                        </w:tc>
                        <w:tc>
                          <w:tcPr>
                            <w:tcW w:w="897" w:type="dxa"/>
                            <w:vAlign w:val="center"/>
                          </w:tcPr>
                          <w:p w14:paraId="7FC538A3" w14:textId="77777777" w:rsidR="00BF7A0C" w:rsidRPr="00B5705B" w:rsidRDefault="00BF7A0C" w:rsidP="00390EC4">
                            <w:pPr>
                              <w:spacing w:after="0" w:line="240" w:lineRule="auto"/>
                              <w:jc w:val="center"/>
                              <w:rPr>
                                <w:rFonts w:cs="Calibri"/>
                                <w:sz w:val="20"/>
                                <w:szCs w:val="20"/>
                              </w:rPr>
                            </w:pPr>
                          </w:p>
                        </w:tc>
                        <w:tc>
                          <w:tcPr>
                            <w:tcW w:w="2137" w:type="dxa"/>
                          </w:tcPr>
                          <w:p w14:paraId="4C1AB0F6" w14:textId="77777777" w:rsidR="00BF7A0C" w:rsidRPr="00B5705B" w:rsidRDefault="00BF7A0C" w:rsidP="00390EC4">
                            <w:pPr>
                              <w:spacing w:after="0" w:line="240" w:lineRule="auto"/>
                              <w:rPr>
                                <w:rFonts w:cs="Calibri"/>
                                <w:sz w:val="20"/>
                                <w:szCs w:val="20"/>
                              </w:rPr>
                            </w:pPr>
                            <w:r w:rsidRPr="00B5705B">
                              <w:rPr>
                                <w:rFonts w:cs="Calibri"/>
                                <w:sz w:val="20"/>
                                <w:szCs w:val="20"/>
                              </w:rPr>
                              <w:t>Net present value of housing on site</w:t>
                            </w:r>
                          </w:p>
                        </w:tc>
                        <w:tc>
                          <w:tcPr>
                            <w:tcW w:w="1012" w:type="dxa"/>
                          </w:tcPr>
                          <w:p w14:paraId="3703AF00" w14:textId="77777777" w:rsidR="00BF7A0C" w:rsidRPr="00B5705B" w:rsidRDefault="00BF7A0C" w:rsidP="00390EC4">
                            <w:pPr>
                              <w:spacing w:after="0" w:line="240" w:lineRule="auto"/>
                              <w:rPr>
                                <w:rFonts w:cs="Calibri"/>
                                <w:sz w:val="20"/>
                                <w:szCs w:val="20"/>
                              </w:rPr>
                            </w:pPr>
                            <w:r w:rsidRPr="00B5705B">
                              <w:rPr>
                                <w:rFonts w:cs="Calibri"/>
                                <w:sz w:val="20"/>
                                <w:szCs w:val="20"/>
                              </w:rPr>
                              <w:t>GBP</w:t>
                            </w:r>
                          </w:p>
                        </w:tc>
                      </w:tr>
                      <w:tr w:rsidR="00BF7A0C" w:rsidRPr="00B5705B" w14:paraId="0E98DF9B" w14:textId="77777777" w:rsidTr="00BF7A0C">
                        <w:trPr>
                          <w:trHeight w:val="139"/>
                          <w:jc w:val="center"/>
                        </w:trPr>
                        <w:tc>
                          <w:tcPr>
                            <w:tcW w:w="1267" w:type="dxa"/>
                            <w:vMerge/>
                            <w:vAlign w:val="center"/>
                          </w:tcPr>
                          <w:p w14:paraId="504AFB1E" w14:textId="77777777" w:rsidR="00BF7A0C" w:rsidRPr="00B5705B" w:rsidRDefault="00BF7A0C" w:rsidP="00390EC4">
                            <w:pPr>
                              <w:spacing w:after="0" w:line="240" w:lineRule="auto"/>
                              <w:jc w:val="center"/>
                              <w:rPr>
                                <w:rFonts w:cs="Calibri"/>
                                <w:sz w:val="20"/>
                                <w:szCs w:val="20"/>
                              </w:rPr>
                            </w:pPr>
                          </w:p>
                        </w:tc>
                        <w:tc>
                          <w:tcPr>
                            <w:tcW w:w="2267" w:type="dxa"/>
                            <w:vAlign w:val="center"/>
                          </w:tcPr>
                          <w:p w14:paraId="67907CB9" w14:textId="77777777" w:rsidR="00BF7A0C" w:rsidRPr="00B5705B" w:rsidRDefault="00BF7A0C" w:rsidP="00390EC4">
                            <w:pPr>
                              <w:spacing w:after="0" w:line="240" w:lineRule="auto"/>
                              <w:rPr>
                                <w:rFonts w:cs="Calibri"/>
                                <w:sz w:val="20"/>
                                <w:szCs w:val="20"/>
                              </w:rPr>
                            </w:pPr>
                            <w:r w:rsidRPr="00B5705B">
                              <w:rPr>
                                <w:rFonts w:cs="Calibri"/>
                                <w:sz w:val="20"/>
                                <w:szCs w:val="20"/>
                              </w:rPr>
                              <w:t>Employment and employment capacity</w:t>
                            </w:r>
                          </w:p>
                        </w:tc>
                        <w:tc>
                          <w:tcPr>
                            <w:tcW w:w="961" w:type="dxa"/>
                            <w:vAlign w:val="center"/>
                          </w:tcPr>
                          <w:p w14:paraId="2D0DA258" w14:textId="77777777" w:rsidR="00BF7A0C" w:rsidRPr="00B5705B" w:rsidRDefault="00BF7A0C" w:rsidP="00390EC4">
                            <w:pPr>
                              <w:spacing w:after="0" w:line="240" w:lineRule="auto"/>
                              <w:rPr>
                                <w:rFonts w:cs="Calibri"/>
                                <w:sz w:val="20"/>
                                <w:szCs w:val="20"/>
                              </w:rPr>
                            </w:pPr>
                            <w:r w:rsidRPr="00B5705B">
                              <w:rPr>
                                <w:rFonts w:cs="Calibri"/>
                                <w:sz w:val="20"/>
                                <w:szCs w:val="20"/>
                              </w:rPr>
                              <w:t>ECON 3</w:t>
                            </w:r>
                          </w:p>
                        </w:tc>
                        <w:tc>
                          <w:tcPr>
                            <w:tcW w:w="897" w:type="dxa"/>
                            <w:vAlign w:val="center"/>
                          </w:tcPr>
                          <w:p w14:paraId="7F19DB56" w14:textId="77777777" w:rsidR="00BF7A0C" w:rsidRPr="00B5705B" w:rsidRDefault="00BF7A0C" w:rsidP="00390EC4">
                            <w:pPr>
                              <w:spacing w:after="0" w:line="240" w:lineRule="auto"/>
                              <w:jc w:val="center"/>
                              <w:rPr>
                                <w:rFonts w:cs="Calibri"/>
                                <w:sz w:val="20"/>
                                <w:szCs w:val="20"/>
                              </w:rPr>
                            </w:pPr>
                          </w:p>
                        </w:tc>
                        <w:tc>
                          <w:tcPr>
                            <w:tcW w:w="2137" w:type="dxa"/>
                          </w:tcPr>
                          <w:p w14:paraId="1E007C7D" w14:textId="77777777" w:rsidR="00BF7A0C" w:rsidRPr="00B5705B" w:rsidRDefault="00BF7A0C" w:rsidP="00390EC4">
                            <w:pPr>
                              <w:spacing w:after="0" w:line="240" w:lineRule="auto"/>
                              <w:rPr>
                                <w:rFonts w:cs="Calibri"/>
                                <w:sz w:val="20"/>
                                <w:szCs w:val="20"/>
                              </w:rPr>
                            </w:pPr>
                            <w:r w:rsidRPr="00B5705B">
                              <w:rPr>
                                <w:rFonts w:cs="Calibri"/>
                                <w:sz w:val="20"/>
                                <w:szCs w:val="20"/>
                              </w:rPr>
                              <w:t>Qualitative (Tier 1)</w:t>
                            </w:r>
                          </w:p>
                        </w:tc>
                        <w:tc>
                          <w:tcPr>
                            <w:tcW w:w="1012" w:type="dxa"/>
                          </w:tcPr>
                          <w:p w14:paraId="13B47FD6" w14:textId="77777777" w:rsidR="00BF7A0C" w:rsidRPr="00B5705B" w:rsidRDefault="00BF7A0C" w:rsidP="00390EC4">
                            <w:pPr>
                              <w:spacing w:after="0" w:line="240" w:lineRule="auto"/>
                              <w:rPr>
                                <w:rFonts w:cs="Calibri"/>
                                <w:sz w:val="20"/>
                                <w:szCs w:val="20"/>
                              </w:rPr>
                            </w:pPr>
                            <w:r w:rsidRPr="00B5705B">
                              <w:rPr>
                                <w:rFonts w:cs="Calibri"/>
                                <w:sz w:val="20"/>
                                <w:szCs w:val="20"/>
                              </w:rPr>
                              <w:t>n/a</w:t>
                            </w:r>
                          </w:p>
                        </w:tc>
                      </w:tr>
                      <w:tr w:rsidR="00BF7A0C" w:rsidRPr="00B5705B" w14:paraId="1B66240C" w14:textId="77777777" w:rsidTr="00BF7A0C">
                        <w:trPr>
                          <w:trHeight w:val="139"/>
                          <w:jc w:val="center"/>
                        </w:trPr>
                        <w:tc>
                          <w:tcPr>
                            <w:tcW w:w="1267" w:type="dxa"/>
                            <w:vMerge/>
                            <w:vAlign w:val="center"/>
                          </w:tcPr>
                          <w:p w14:paraId="19C6ECE4" w14:textId="77777777" w:rsidR="00BF7A0C" w:rsidRPr="00B5705B" w:rsidRDefault="00BF7A0C" w:rsidP="00390EC4">
                            <w:pPr>
                              <w:spacing w:after="0" w:line="240" w:lineRule="auto"/>
                              <w:jc w:val="center"/>
                              <w:rPr>
                                <w:rFonts w:cs="Calibri"/>
                                <w:sz w:val="20"/>
                                <w:szCs w:val="20"/>
                              </w:rPr>
                            </w:pPr>
                          </w:p>
                        </w:tc>
                        <w:tc>
                          <w:tcPr>
                            <w:tcW w:w="2267" w:type="dxa"/>
                            <w:vAlign w:val="center"/>
                          </w:tcPr>
                          <w:p w14:paraId="7F7AA76A" w14:textId="77777777" w:rsidR="00BF7A0C" w:rsidRPr="00B5705B" w:rsidRDefault="00BF7A0C" w:rsidP="00390EC4">
                            <w:pPr>
                              <w:spacing w:after="0" w:line="240" w:lineRule="auto"/>
                              <w:rPr>
                                <w:rFonts w:cs="Calibri"/>
                                <w:sz w:val="20"/>
                                <w:szCs w:val="20"/>
                              </w:rPr>
                            </w:pPr>
                            <w:r w:rsidRPr="00B5705B">
                              <w:rPr>
                                <w:rFonts w:cs="Calibri"/>
                                <w:sz w:val="20"/>
                                <w:szCs w:val="20"/>
                              </w:rPr>
                              <w:t>Induced economic costs and benefits</w:t>
                            </w:r>
                          </w:p>
                        </w:tc>
                        <w:tc>
                          <w:tcPr>
                            <w:tcW w:w="961" w:type="dxa"/>
                            <w:vAlign w:val="center"/>
                          </w:tcPr>
                          <w:p w14:paraId="1F757D61" w14:textId="77777777" w:rsidR="00BF7A0C" w:rsidRPr="00B5705B" w:rsidRDefault="00BF7A0C" w:rsidP="00390EC4">
                            <w:pPr>
                              <w:spacing w:after="0" w:line="240" w:lineRule="auto"/>
                              <w:rPr>
                                <w:rFonts w:cs="Calibri"/>
                                <w:sz w:val="20"/>
                                <w:szCs w:val="20"/>
                              </w:rPr>
                            </w:pPr>
                            <w:r w:rsidRPr="00B5705B">
                              <w:rPr>
                                <w:rFonts w:cs="Calibri"/>
                                <w:sz w:val="20"/>
                                <w:szCs w:val="20"/>
                              </w:rPr>
                              <w:t>ECON 4</w:t>
                            </w:r>
                          </w:p>
                        </w:tc>
                        <w:tc>
                          <w:tcPr>
                            <w:tcW w:w="897" w:type="dxa"/>
                            <w:vAlign w:val="center"/>
                          </w:tcPr>
                          <w:p w14:paraId="7957AD0E" w14:textId="77777777" w:rsidR="00BF7A0C" w:rsidRPr="00B5705B" w:rsidRDefault="00BF7A0C" w:rsidP="00390EC4">
                            <w:pPr>
                              <w:spacing w:after="0" w:line="240" w:lineRule="auto"/>
                              <w:jc w:val="center"/>
                              <w:rPr>
                                <w:rFonts w:cs="Calibri"/>
                                <w:sz w:val="20"/>
                                <w:szCs w:val="20"/>
                              </w:rPr>
                            </w:pPr>
                          </w:p>
                        </w:tc>
                        <w:tc>
                          <w:tcPr>
                            <w:tcW w:w="2137" w:type="dxa"/>
                          </w:tcPr>
                          <w:p w14:paraId="3396E27B" w14:textId="77777777" w:rsidR="00BF7A0C" w:rsidRPr="00B5705B" w:rsidRDefault="00BF7A0C" w:rsidP="00390EC4">
                            <w:pPr>
                              <w:spacing w:after="0" w:line="240" w:lineRule="auto"/>
                              <w:rPr>
                                <w:rFonts w:cs="Calibri"/>
                                <w:sz w:val="20"/>
                                <w:szCs w:val="20"/>
                              </w:rPr>
                            </w:pPr>
                            <w:r w:rsidRPr="00B5705B">
                              <w:rPr>
                                <w:rFonts w:cs="Calibri"/>
                                <w:sz w:val="20"/>
                                <w:szCs w:val="20"/>
                              </w:rPr>
                              <w:t>Net present value of petrol filling station</w:t>
                            </w:r>
                          </w:p>
                        </w:tc>
                        <w:tc>
                          <w:tcPr>
                            <w:tcW w:w="1012" w:type="dxa"/>
                          </w:tcPr>
                          <w:p w14:paraId="3E7B4DD8" w14:textId="77777777" w:rsidR="00BF7A0C" w:rsidRPr="00B5705B" w:rsidRDefault="00BF7A0C" w:rsidP="00390EC4">
                            <w:pPr>
                              <w:spacing w:after="0" w:line="240" w:lineRule="auto"/>
                              <w:rPr>
                                <w:rFonts w:cs="Calibri"/>
                                <w:sz w:val="20"/>
                                <w:szCs w:val="20"/>
                              </w:rPr>
                            </w:pPr>
                            <w:r w:rsidRPr="00B5705B">
                              <w:rPr>
                                <w:rFonts w:cs="Calibri"/>
                                <w:sz w:val="20"/>
                                <w:szCs w:val="20"/>
                              </w:rPr>
                              <w:t>GBP</w:t>
                            </w:r>
                          </w:p>
                        </w:tc>
                      </w:tr>
                      <w:tr w:rsidR="00BF7A0C" w:rsidRPr="00B5705B" w14:paraId="0B330A80" w14:textId="77777777" w:rsidTr="00BF7A0C">
                        <w:trPr>
                          <w:trHeight w:val="139"/>
                          <w:jc w:val="center"/>
                        </w:trPr>
                        <w:tc>
                          <w:tcPr>
                            <w:tcW w:w="1267" w:type="dxa"/>
                            <w:vMerge/>
                            <w:vAlign w:val="center"/>
                          </w:tcPr>
                          <w:p w14:paraId="3881AC43" w14:textId="77777777" w:rsidR="00BF7A0C" w:rsidRPr="00B5705B" w:rsidRDefault="00BF7A0C" w:rsidP="00390EC4">
                            <w:pPr>
                              <w:spacing w:after="0" w:line="240" w:lineRule="auto"/>
                              <w:jc w:val="center"/>
                              <w:rPr>
                                <w:rFonts w:cs="Calibri"/>
                                <w:sz w:val="20"/>
                                <w:szCs w:val="20"/>
                              </w:rPr>
                            </w:pPr>
                          </w:p>
                        </w:tc>
                        <w:tc>
                          <w:tcPr>
                            <w:tcW w:w="2267" w:type="dxa"/>
                            <w:vAlign w:val="center"/>
                          </w:tcPr>
                          <w:p w14:paraId="61BA6041" w14:textId="77777777" w:rsidR="00BF7A0C" w:rsidRPr="00B5705B" w:rsidRDefault="00BF7A0C" w:rsidP="00390EC4">
                            <w:pPr>
                              <w:spacing w:after="0" w:line="240" w:lineRule="auto"/>
                              <w:rPr>
                                <w:rFonts w:cs="Calibri"/>
                                <w:sz w:val="20"/>
                                <w:szCs w:val="20"/>
                              </w:rPr>
                            </w:pPr>
                            <w:r w:rsidRPr="00B5705B">
                              <w:rPr>
                                <w:rFonts w:cs="Calibri"/>
                                <w:sz w:val="20"/>
                                <w:szCs w:val="20"/>
                              </w:rPr>
                              <w:t>Project lifespan and flexibility</w:t>
                            </w:r>
                          </w:p>
                        </w:tc>
                        <w:tc>
                          <w:tcPr>
                            <w:tcW w:w="961" w:type="dxa"/>
                            <w:vAlign w:val="center"/>
                          </w:tcPr>
                          <w:p w14:paraId="460B7641" w14:textId="77777777" w:rsidR="00BF7A0C" w:rsidRPr="00B5705B" w:rsidRDefault="00BF7A0C" w:rsidP="00390EC4">
                            <w:pPr>
                              <w:spacing w:after="0" w:line="240" w:lineRule="auto"/>
                              <w:rPr>
                                <w:rFonts w:cs="Calibri"/>
                                <w:sz w:val="20"/>
                                <w:szCs w:val="20"/>
                              </w:rPr>
                            </w:pPr>
                            <w:r w:rsidRPr="00B5705B">
                              <w:rPr>
                                <w:rFonts w:cs="Calibri"/>
                                <w:sz w:val="20"/>
                                <w:szCs w:val="20"/>
                              </w:rPr>
                              <w:t>ECON 5</w:t>
                            </w:r>
                          </w:p>
                        </w:tc>
                        <w:tc>
                          <w:tcPr>
                            <w:tcW w:w="897" w:type="dxa"/>
                            <w:vAlign w:val="center"/>
                          </w:tcPr>
                          <w:p w14:paraId="40C470E2" w14:textId="77777777" w:rsidR="00BF7A0C" w:rsidRPr="00B5705B" w:rsidRDefault="00BF7A0C" w:rsidP="00390EC4">
                            <w:pPr>
                              <w:spacing w:after="0" w:line="240" w:lineRule="auto"/>
                              <w:jc w:val="center"/>
                              <w:rPr>
                                <w:rFonts w:cs="Calibri"/>
                                <w:sz w:val="20"/>
                                <w:szCs w:val="20"/>
                              </w:rPr>
                            </w:pPr>
                            <w:r w:rsidRPr="00B5705B">
                              <w:rPr>
                                <w:rFonts w:cs="Calibri"/>
                                <w:sz w:val="20"/>
                                <w:szCs w:val="20"/>
                              </w:rPr>
                              <w:t>*</w:t>
                            </w:r>
                          </w:p>
                        </w:tc>
                        <w:tc>
                          <w:tcPr>
                            <w:tcW w:w="2137" w:type="dxa"/>
                          </w:tcPr>
                          <w:p w14:paraId="4B2B5CB3" w14:textId="77777777" w:rsidR="00BF7A0C" w:rsidRPr="00B5705B" w:rsidRDefault="00BF7A0C" w:rsidP="00390EC4">
                            <w:pPr>
                              <w:spacing w:after="0" w:line="240" w:lineRule="auto"/>
                              <w:rPr>
                                <w:rFonts w:cs="Calibri"/>
                                <w:sz w:val="20"/>
                                <w:szCs w:val="20"/>
                              </w:rPr>
                            </w:pPr>
                            <w:r w:rsidRPr="00B5705B">
                              <w:rPr>
                                <w:rFonts w:cs="Calibri"/>
                                <w:sz w:val="20"/>
                                <w:szCs w:val="20"/>
                              </w:rPr>
                              <w:t>Duration of treatment</w:t>
                            </w:r>
                          </w:p>
                        </w:tc>
                        <w:tc>
                          <w:tcPr>
                            <w:tcW w:w="1012" w:type="dxa"/>
                          </w:tcPr>
                          <w:p w14:paraId="59902D9F" w14:textId="77777777" w:rsidR="00BF7A0C" w:rsidRPr="00B5705B" w:rsidRDefault="00BF7A0C" w:rsidP="00390EC4">
                            <w:pPr>
                              <w:spacing w:after="0" w:line="240" w:lineRule="auto"/>
                              <w:rPr>
                                <w:rFonts w:cs="Calibri"/>
                                <w:sz w:val="20"/>
                                <w:szCs w:val="20"/>
                              </w:rPr>
                            </w:pPr>
                            <w:r w:rsidRPr="00B5705B">
                              <w:rPr>
                                <w:rFonts w:cs="Calibri"/>
                                <w:sz w:val="20"/>
                                <w:szCs w:val="20"/>
                              </w:rPr>
                              <w:t>Years</w:t>
                            </w:r>
                          </w:p>
                        </w:tc>
                      </w:tr>
                      <w:tr w:rsidR="00BF7A0C" w:rsidRPr="00B5705B" w14:paraId="3A585E1E" w14:textId="77777777" w:rsidTr="00BF7A0C">
                        <w:trPr>
                          <w:trHeight w:val="108"/>
                          <w:jc w:val="center"/>
                        </w:trPr>
                        <w:tc>
                          <w:tcPr>
                            <w:tcW w:w="1267" w:type="dxa"/>
                            <w:vMerge w:val="restart"/>
                            <w:vAlign w:val="center"/>
                          </w:tcPr>
                          <w:p w14:paraId="40268CE4" w14:textId="77777777" w:rsidR="00BF7A0C" w:rsidRPr="00B5705B" w:rsidRDefault="00BF7A0C" w:rsidP="00390EC4">
                            <w:pPr>
                              <w:spacing w:after="0" w:line="240" w:lineRule="auto"/>
                              <w:jc w:val="center"/>
                              <w:rPr>
                                <w:rFonts w:cs="Calibri"/>
                                <w:sz w:val="20"/>
                                <w:szCs w:val="20"/>
                              </w:rPr>
                            </w:pPr>
                            <w:r w:rsidRPr="00B5705B">
                              <w:rPr>
                                <w:rFonts w:cs="Calibri"/>
                                <w:sz w:val="20"/>
                                <w:szCs w:val="20"/>
                              </w:rPr>
                              <w:t>Social</w:t>
                            </w:r>
                          </w:p>
                        </w:tc>
                        <w:tc>
                          <w:tcPr>
                            <w:tcW w:w="2267" w:type="dxa"/>
                            <w:vMerge w:val="restart"/>
                            <w:vAlign w:val="center"/>
                          </w:tcPr>
                          <w:p w14:paraId="21F7F01B" w14:textId="77777777" w:rsidR="00BF7A0C" w:rsidRPr="00B5705B" w:rsidRDefault="00BF7A0C" w:rsidP="00390EC4">
                            <w:pPr>
                              <w:spacing w:after="0" w:line="240" w:lineRule="auto"/>
                              <w:rPr>
                                <w:rFonts w:cs="Calibri"/>
                                <w:sz w:val="20"/>
                                <w:szCs w:val="20"/>
                              </w:rPr>
                            </w:pPr>
                            <w:r w:rsidRPr="00B5705B">
                              <w:rPr>
                                <w:rFonts w:cs="Calibri"/>
                                <w:sz w:val="20"/>
                                <w:szCs w:val="20"/>
                              </w:rPr>
                              <w:t>Human health and safety</w:t>
                            </w:r>
                          </w:p>
                        </w:tc>
                        <w:tc>
                          <w:tcPr>
                            <w:tcW w:w="961" w:type="dxa"/>
                            <w:vMerge w:val="restart"/>
                            <w:vAlign w:val="center"/>
                          </w:tcPr>
                          <w:p w14:paraId="3FC2F727" w14:textId="77777777" w:rsidR="00BF7A0C" w:rsidRPr="00B5705B" w:rsidRDefault="00BF7A0C" w:rsidP="00390EC4">
                            <w:pPr>
                              <w:spacing w:after="0" w:line="240" w:lineRule="auto"/>
                              <w:rPr>
                                <w:rFonts w:cs="Calibri"/>
                                <w:sz w:val="20"/>
                                <w:szCs w:val="20"/>
                              </w:rPr>
                            </w:pPr>
                            <w:r w:rsidRPr="00B5705B">
                              <w:rPr>
                                <w:rFonts w:cs="Calibri"/>
                                <w:sz w:val="20"/>
                                <w:szCs w:val="20"/>
                              </w:rPr>
                              <w:t>SOC 1</w:t>
                            </w:r>
                          </w:p>
                        </w:tc>
                        <w:tc>
                          <w:tcPr>
                            <w:tcW w:w="897" w:type="dxa"/>
                            <w:vMerge w:val="restart"/>
                            <w:vAlign w:val="center"/>
                          </w:tcPr>
                          <w:p w14:paraId="3590679D" w14:textId="77777777" w:rsidR="00BF7A0C" w:rsidRPr="00B5705B" w:rsidRDefault="00BF7A0C" w:rsidP="00390EC4">
                            <w:pPr>
                              <w:spacing w:after="0" w:line="240" w:lineRule="auto"/>
                              <w:jc w:val="center"/>
                              <w:rPr>
                                <w:rFonts w:cs="Calibri"/>
                                <w:sz w:val="20"/>
                                <w:szCs w:val="20"/>
                              </w:rPr>
                            </w:pPr>
                            <w:r w:rsidRPr="00B5705B">
                              <w:rPr>
                                <w:rFonts w:cs="Calibri"/>
                                <w:sz w:val="20"/>
                                <w:szCs w:val="20"/>
                              </w:rPr>
                              <w:t>*</w:t>
                            </w:r>
                          </w:p>
                        </w:tc>
                        <w:tc>
                          <w:tcPr>
                            <w:tcW w:w="2137" w:type="dxa"/>
                          </w:tcPr>
                          <w:p w14:paraId="7FE3C0B5" w14:textId="77777777" w:rsidR="00BF7A0C" w:rsidRPr="00B5705B" w:rsidRDefault="00BF7A0C" w:rsidP="00390EC4">
                            <w:pPr>
                              <w:spacing w:after="0" w:line="240" w:lineRule="auto"/>
                              <w:rPr>
                                <w:rFonts w:cs="Calibri"/>
                                <w:sz w:val="20"/>
                                <w:szCs w:val="20"/>
                              </w:rPr>
                            </w:pPr>
                            <w:r w:rsidRPr="00B5705B">
                              <w:rPr>
                                <w:rFonts w:cs="Calibri"/>
                                <w:sz w:val="20"/>
                                <w:szCs w:val="20"/>
                              </w:rPr>
                              <w:t>Time lost due to injury from operation</w:t>
                            </w:r>
                          </w:p>
                        </w:tc>
                        <w:tc>
                          <w:tcPr>
                            <w:tcW w:w="1012" w:type="dxa"/>
                          </w:tcPr>
                          <w:p w14:paraId="5F64D551" w14:textId="77777777" w:rsidR="00BF7A0C" w:rsidRPr="00B5705B" w:rsidRDefault="00BF7A0C" w:rsidP="00390EC4">
                            <w:pPr>
                              <w:spacing w:after="0" w:line="240" w:lineRule="auto"/>
                              <w:rPr>
                                <w:rFonts w:cs="Calibri"/>
                                <w:sz w:val="20"/>
                                <w:szCs w:val="20"/>
                              </w:rPr>
                            </w:pPr>
                            <w:r w:rsidRPr="00B5705B">
                              <w:rPr>
                                <w:rFonts w:cs="Calibri"/>
                                <w:sz w:val="20"/>
                                <w:szCs w:val="20"/>
                              </w:rPr>
                              <w:t>Hours</w:t>
                            </w:r>
                          </w:p>
                        </w:tc>
                      </w:tr>
                      <w:tr w:rsidR="00BF7A0C" w:rsidRPr="00B5705B" w14:paraId="5EC86281" w14:textId="77777777" w:rsidTr="00BF7A0C">
                        <w:trPr>
                          <w:trHeight w:val="107"/>
                          <w:jc w:val="center"/>
                        </w:trPr>
                        <w:tc>
                          <w:tcPr>
                            <w:tcW w:w="1267" w:type="dxa"/>
                            <w:vMerge/>
                            <w:vAlign w:val="center"/>
                          </w:tcPr>
                          <w:p w14:paraId="6B1F68A2" w14:textId="77777777" w:rsidR="00BF7A0C" w:rsidRPr="00B5705B" w:rsidRDefault="00BF7A0C" w:rsidP="00390EC4">
                            <w:pPr>
                              <w:spacing w:after="0" w:line="240" w:lineRule="auto"/>
                              <w:jc w:val="center"/>
                              <w:rPr>
                                <w:rFonts w:cs="Calibri"/>
                                <w:sz w:val="20"/>
                                <w:szCs w:val="20"/>
                              </w:rPr>
                            </w:pPr>
                          </w:p>
                        </w:tc>
                        <w:tc>
                          <w:tcPr>
                            <w:tcW w:w="2267" w:type="dxa"/>
                            <w:vMerge/>
                            <w:vAlign w:val="center"/>
                          </w:tcPr>
                          <w:p w14:paraId="2EFDF07C" w14:textId="77777777" w:rsidR="00BF7A0C" w:rsidRPr="00B5705B" w:rsidRDefault="00BF7A0C" w:rsidP="00390EC4">
                            <w:pPr>
                              <w:spacing w:after="0" w:line="240" w:lineRule="auto"/>
                              <w:rPr>
                                <w:rFonts w:cs="Calibri"/>
                                <w:sz w:val="20"/>
                                <w:szCs w:val="20"/>
                              </w:rPr>
                            </w:pPr>
                          </w:p>
                        </w:tc>
                        <w:tc>
                          <w:tcPr>
                            <w:tcW w:w="961" w:type="dxa"/>
                            <w:vMerge/>
                            <w:vAlign w:val="center"/>
                          </w:tcPr>
                          <w:p w14:paraId="5EFF9299" w14:textId="77777777" w:rsidR="00BF7A0C" w:rsidRPr="00B5705B" w:rsidRDefault="00BF7A0C" w:rsidP="00390EC4">
                            <w:pPr>
                              <w:spacing w:after="0" w:line="240" w:lineRule="auto"/>
                              <w:rPr>
                                <w:rFonts w:cs="Calibri"/>
                                <w:sz w:val="20"/>
                                <w:szCs w:val="20"/>
                              </w:rPr>
                            </w:pPr>
                          </w:p>
                        </w:tc>
                        <w:tc>
                          <w:tcPr>
                            <w:tcW w:w="897" w:type="dxa"/>
                            <w:vMerge/>
                            <w:vAlign w:val="center"/>
                          </w:tcPr>
                          <w:p w14:paraId="0DA7D159" w14:textId="77777777" w:rsidR="00BF7A0C" w:rsidRPr="00B5705B" w:rsidRDefault="00BF7A0C" w:rsidP="00390EC4">
                            <w:pPr>
                              <w:spacing w:after="0" w:line="240" w:lineRule="auto"/>
                              <w:jc w:val="center"/>
                              <w:rPr>
                                <w:rFonts w:cs="Calibri"/>
                                <w:sz w:val="20"/>
                                <w:szCs w:val="20"/>
                              </w:rPr>
                            </w:pPr>
                          </w:p>
                        </w:tc>
                        <w:tc>
                          <w:tcPr>
                            <w:tcW w:w="2137" w:type="dxa"/>
                          </w:tcPr>
                          <w:p w14:paraId="7A170E08" w14:textId="77777777" w:rsidR="00BF7A0C" w:rsidRPr="00B5705B" w:rsidRDefault="00BF7A0C" w:rsidP="00390EC4">
                            <w:pPr>
                              <w:spacing w:after="0" w:line="240" w:lineRule="auto"/>
                              <w:rPr>
                                <w:rFonts w:cs="Calibri"/>
                                <w:sz w:val="20"/>
                                <w:szCs w:val="20"/>
                              </w:rPr>
                            </w:pPr>
                            <w:r w:rsidRPr="00B5705B">
                              <w:rPr>
                                <w:rFonts w:cs="Calibri"/>
                                <w:sz w:val="20"/>
                                <w:szCs w:val="20"/>
                              </w:rPr>
                              <w:t>Time lost due to injury from traffic accidents</w:t>
                            </w:r>
                          </w:p>
                        </w:tc>
                        <w:tc>
                          <w:tcPr>
                            <w:tcW w:w="1012" w:type="dxa"/>
                          </w:tcPr>
                          <w:p w14:paraId="61824CC7" w14:textId="77777777" w:rsidR="00BF7A0C" w:rsidRPr="00B5705B" w:rsidRDefault="00BF7A0C" w:rsidP="00390EC4">
                            <w:pPr>
                              <w:spacing w:after="0" w:line="240" w:lineRule="auto"/>
                              <w:rPr>
                                <w:rFonts w:cs="Calibri"/>
                                <w:sz w:val="20"/>
                                <w:szCs w:val="20"/>
                              </w:rPr>
                            </w:pPr>
                            <w:r w:rsidRPr="00B5705B">
                              <w:rPr>
                                <w:rFonts w:cs="Calibri"/>
                                <w:sz w:val="20"/>
                                <w:szCs w:val="20"/>
                              </w:rPr>
                              <w:t>Hours</w:t>
                            </w:r>
                          </w:p>
                        </w:tc>
                      </w:tr>
                      <w:tr w:rsidR="00BF7A0C" w:rsidRPr="00B5705B" w14:paraId="27341ADF" w14:textId="77777777" w:rsidTr="00BF7A0C">
                        <w:trPr>
                          <w:trHeight w:val="139"/>
                          <w:jc w:val="center"/>
                        </w:trPr>
                        <w:tc>
                          <w:tcPr>
                            <w:tcW w:w="1267" w:type="dxa"/>
                            <w:vMerge/>
                          </w:tcPr>
                          <w:p w14:paraId="4877E480" w14:textId="77777777" w:rsidR="00BF7A0C" w:rsidRPr="00B5705B" w:rsidRDefault="00BF7A0C" w:rsidP="00390EC4">
                            <w:pPr>
                              <w:spacing w:after="0" w:line="240" w:lineRule="auto"/>
                              <w:jc w:val="both"/>
                              <w:rPr>
                                <w:rFonts w:cs="Calibri"/>
                                <w:sz w:val="20"/>
                                <w:szCs w:val="20"/>
                              </w:rPr>
                            </w:pPr>
                          </w:p>
                        </w:tc>
                        <w:tc>
                          <w:tcPr>
                            <w:tcW w:w="2267" w:type="dxa"/>
                            <w:vAlign w:val="center"/>
                          </w:tcPr>
                          <w:p w14:paraId="3A85E315" w14:textId="77777777" w:rsidR="00BF7A0C" w:rsidRPr="00B5705B" w:rsidRDefault="00BF7A0C" w:rsidP="00390EC4">
                            <w:pPr>
                              <w:spacing w:after="0" w:line="240" w:lineRule="auto"/>
                              <w:rPr>
                                <w:rFonts w:cs="Calibri"/>
                                <w:sz w:val="20"/>
                                <w:szCs w:val="20"/>
                              </w:rPr>
                            </w:pPr>
                            <w:r w:rsidRPr="00B5705B">
                              <w:rPr>
                                <w:rFonts w:cs="Calibri"/>
                                <w:sz w:val="20"/>
                                <w:szCs w:val="20"/>
                              </w:rPr>
                              <w:t>Ethics and equality</w:t>
                            </w:r>
                          </w:p>
                        </w:tc>
                        <w:tc>
                          <w:tcPr>
                            <w:tcW w:w="961" w:type="dxa"/>
                            <w:vAlign w:val="center"/>
                          </w:tcPr>
                          <w:p w14:paraId="3D657BA3" w14:textId="77777777" w:rsidR="00BF7A0C" w:rsidRPr="00B5705B" w:rsidRDefault="00BF7A0C" w:rsidP="00390EC4">
                            <w:pPr>
                              <w:spacing w:after="0" w:line="240" w:lineRule="auto"/>
                              <w:rPr>
                                <w:rFonts w:cs="Calibri"/>
                                <w:sz w:val="20"/>
                                <w:szCs w:val="20"/>
                              </w:rPr>
                            </w:pPr>
                            <w:r w:rsidRPr="00B5705B">
                              <w:rPr>
                                <w:rFonts w:cs="Calibri"/>
                                <w:sz w:val="20"/>
                                <w:szCs w:val="20"/>
                              </w:rPr>
                              <w:t>SOC 2</w:t>
                            </w:r>
                          </w:p>
                        </w:tc>
                        <w:tc>
                          <w:tcPr>
                            <w:tcW w:w="897" w:type="dxa"/>
                            <w:vAlign w:val="center"/>
                          </w:tcPr>
                          <w:p w14:paraId="79450257" w14:textId="77777777" w:rsidR="00BF7A0C" w:rsidRPr="00B5705B" w:rsidRDefault="00BF7A0C" w:rsidP="00390EC4">
                            <w:pPr>
                              <w:spacing w:after="0" w:line="240" w:lineRule="auto"/>
                              <w:jc w:val="center"/>
                              <w:rPr>
                                <w:rFonts w:cs="Calibri"/>
                                <w:sz w:val="20"/>
                                <w:szCs w:val="20"/>
                              </w:rPr>
                            </w:pPr>
                          </w:p>
                        </w:tc>
                        <w:tc>
                          <w:tcPr>
                            <w:tcW w:w="2137" w:type="dxa"/>
                          </w:tcPr>
                          <w:p w14:paraId="6777B38C" w14:textId="77777777" w:rsidR="00BF7A0C" w:rsidRPr="00B5705B" w:rsidRDefault="00BF7A0C" w:rsidP="00390EC4">
                            <w:pPr>
                              <w:spacing w:after="0" w:line="240" w:lineRule="auto"/>
                            </w:pPr>
                            <w:r w:rsidRPr="00B5705B">
                              <w:rPr>
                                <w:rFonts w:cs="Calibri"/>
                                <w:sz w:val="20"/>
                                <w:szCs w:val="20"/>
                              </w:rPr>
                              <w:t>Qualitative (Tier 1)</w:t>
                            </w:r>
                          </w:p>
                        </w:tc>
                        <w:tc>
                          <w:tcPr>
                            <w:tcW w:w="1012" w:type="dxa"/>
                          </w:tcPr>
                          <w:p w14:paraId="762FEA15" w14:textId="77777777" w:rsidR="00BF7A0C" w:rsidRPr="00B5705B" w:rsidRDefault="00BF7A0C" w:rsidP="00390EC4">
                            <w:pPr>
                              <w:spacing w:after="0" w:line="240" w:lineRule="auto"/>
                            </w:pPr>
                            <w:r w:rsidRPr="00B5705B">
                              <w:rPr>
                                <w:rFonts w:cs="Calibri"/>
                                <w:sz w:val="20"/>
                                <w:szCs w:val="20"/>
                              </w:rPr>
                              <w:t>n/a</w:t>
                            </w:r>
                          </w:p>
                        </w:tc>
                      </w:tr>
                      <w:tr w:rsidR="00BF7A0C" w:rsidRPr="00B5705B" w14:paraId="70E021B1" w14:textId="77777777" w:rsidTr="00BF7A0C">
                        <w:trPr>
                          <w:trHeight w:val="139"/>
                          <w:jc w:val="center"/>
                        </w:trPr>
                        <w:tc>
                          <w:tcPr>
                            <w:tcW w:w="1267" w:type="dxa"/>
                            <w:vMerge/>
                          </w:tcPr>
                          <w:p w14:paraId="14F79E94" w14:textId="77777777" w:rsidR="00BF7A0C" w:rsidRPr="00B5705B" w:rsidRDefault="00BF7A0C" w:rsidP="00390EC4">
                            <w:pPr>
                              <w:spacing w:after="0" w:line="240" w:lineRule="auto"/>
                              <w:jc w:val="both"/>
                              <w:rPr>
                                <w:rFonts w:cs="Calibri"/>
                                <w:sz w:val="20"/>
                                <w:szCs w:val="20"/>
                              </w:rPr>
                            </w:pPr>
                          </w:p>
                        </w:tc>
                        <w:tc>
                          <w:tcPr>
                            <w:tcW w:w="2267" w:type="dxa"/>
                            <w:vAlign w:val="center"/>
                          </w:tcPr>
                          <w:p w14:paraId="7A8B44C4" w14:textId="77777777" w:rsidR="00BF7A0C" w:rsidRPr="00B5705B" w:rsidRDefault="00BF7A0C" w:rsidP="00390EC4">
                            <w:pPr>
                              <w:spacing w:after="0" w:line="240" w:lineRule="auto"/>
                              <w:rPr>
                                <w:rFonts w:cs="Calibri"/>
                                <w:sz w:val="20"/>
                                <w:szCs w:val="20"/>
                              </w:rPr>
                            </w:pPr>
                            <w:r w:rsidRPr="00B5705B">
                              <w:rPr>
                                <w:rFonts w:cs="Calibri"/>
                                <w:sz w:val="20"/>
                                <w:szCs w:val="20"/>
                              </w:rPr>
                              <w:t>Neighborhoods and locality</w:t>
                            </w:r>
                          </w:p>
                        </w:tc>
                        <w:tc>
                          <w:tcPr>
                            <w:tcW w:w="961" w:type="dxa"/>
                            <w:vAlign w:val="center"/>
                          </w:tcPr>
                          <w:p w14:paraId="4BDA0B76" w14:textId="77777777" w:rsidR="00BF7A0C" w:rsidRPr="00B5705B" w:rsidRDefault="00BF7A0C" w:rsidP="00390EC4">
                            <w:pPr>
                              <w:spacing w:after="0" w:line="240" w:lineRule="auto"/>
                              <w:rPr>
                                <w:rFonts w:cs="Calibri"/>
                                <w:sz w:val="20"/>
                                <w:szCs w:val="20"/>
                              </w:rPr>
                            </w:pPr>
                            <w:r w:rsidRPr="00B5705B">
                              <w:rPr>
                                <w:rFonts w:cs="Calibri"/>
                                <w:sz w:val="20"/>
                                <w:szCs w:val="20"/>
                              </w:rPr>
                              <w:t>SOC 3</w:t>
                            </w:r>
                          </w:p>
                        </w:tc>
                        <w:tc>
                          <w:tcPr>
                            <w:tcW w:w="897" w:type="dxa"/>
                            <w:vAlign w:val="center"/>
                          </w:tcPr>
                          <w:p w14:paraId="06F69C3E" w14:textId="77777777" w:rsidR="00BF7A0C" w:rsidRPr="00B5705B" w:rsidRDefault="00BF7A0C" w:rsidP="00390EC4">
                            <w:pPr>
                              <w:spacing w:after="0" w:line="240" w:lineRule="auto"/>
                              <w:jc w:val="center"/>
                              <w:rPr>
                                <w:rFonts w:cs="Calibri"/>
                                <w:sz w:val="20"/>
                                <w:szCs w:val="20"/>
                              </w:rPr>
                            </w:pPr>
                            <w:r w:rsidRPr="00B5705B">
                              <w:rPr>
                                <w:rFonts w:cs="Calibri"/>
                                <w:sz w:val="20"/>
                                <w:szCs w:val="20"/>
                              </w:rPr>
                              <w:t>*</w:t>
                            </w:r>
                          </w:p>
                        </w:tc>
                        <w:tc>
                          <w:tcPr>
                            <w:tcW w:w="2137" w:type="dxa"/>
                          </w:tcPr>
                          <w:p w14:paraId="3DD498FE" w14:textId="77777777" w:rsidR="00BF7A0C" w:rsidRPr="00B5705B" w:rsidRDefault="00BF7A0C" w:rsidP="00390EC4">
                            <w:pPr>
                              <w:spacing w:after="0" w:line="240" w:lineRule="auto"/>
                            </w:pPr>
                            <w:r w:rsidRPr="00B5705B">
                              <w:rPr>
                                <w:rFonts w:cs="Calibri"/>
                                <w:sz w:val="20"/>
                                <w:szCs w:val="20"/>
                              </w:rPr>
                              <w:t>Qualitative (Tier 1)</w:t>
                            </w:r>
                          </w:p>
                        </w:tc>
                        <w:tc>
                          <w:tcPr>
                            <w:tcW w:w="1012" w:type="dxa"/>
                          </w:tcPr>
                          <w:p w14:paraId="1FFE1108" w14:textId="77777777" w:rsidR="00BF7A0C" w:rsidRPr="00B5705B" w:rsidRDefault="00BF7A0C" w:rsidP="00390EC4">
                            <w:pPr>
                              <w:spacing w:after="0" w:line="240" w:lineRule="auto"/>
                            </w:pPr>
                            <w:r w:rsidRPr="00B5705B">
                              <w:rPr>
                                <w:rFonts w:cs="Calibri"/>
                                <w:sz w:val="20"/>
                                <w:szCs w:val="20"/>
                              </w:rPr>
                              <w:t>n/a</w:t>
                            </w:r>
                          </w:p>
                        </w:tc>
                      </w:tr>
                      <w:tr w:rsidR="00BF7A0C" w:rsidRPr="00B5705B" w14:paraId="6E6549AA" w14:textId="77777777" w:rsidTr="00BF7A0C">
                        <w:trPr>
                          <w:trHeight w:val="139"/>
                          <w:jc w:val="center"/>
                        </w:trPr>
                        <w:tc>
                          <w:tcPr>
                            <w:tcW w:w="1267" w:type="dxa"/>
                            <w:vMerge/>
                          </w:tcPr>
                          <w:p w14:paraId="61796F92" w14:textId="77777777" w:rsidR="00BF7A0C" w:rsidRPr="00B5705B" w:rsidRDefault="00BF7A0C" w:rsidP="00390EC4">
                            <w:pPr>
                              <w:spacing w:after="0" w:line="240" w:lineRule="auto"/>
                              <w:jc w:val="both"/>
                              <w:rPr>
                                <w:rFonts w:cs="Calibri"/>
                                <w:sz w:val="20"/>
                                <w:szCs w:val="20"/>
                              </w:rPr>
                            </w:pPr>
                          </w:p>
                        </w:tc>
                        <w:tc>
                          <w:tcPr>
                            <w:tcW w:w="2267" w:type="dxa"/>
                            <w:vAlign w:val="center"/>
                          </w:tcPr>
                          <w:p w14:paraId="0ABA2004" w14:textId="77777777" w:rsidR="00BF7A0C" w:rsidRPr="00B5705B" w:rsidRDefault="00BF7A0C" w:rsidP="00390EC4">
                            <w:pPr>
                              <w:spacing w:after="0" w:line="240" w:lineRule="auto"/>
                              <w:rPr>
                                <w:rFonts w:cs="Calibri"/>
                                <w:sz w:val="20"/>
                                <w:szCs w:val="20"/>
                              </w:rPr>
                            </w:pPr>
                            <w:r w:rsidRPr="00B5705B">
                              <w:rPr>
                                <w:rFonts w:cs="Calibri"/>
                                <w:sz w:val="20"/>
                                <w:szCs w:val="20"/>
                              </w:rPr>
                              <w:t>Communities and community involvement</w:t>
                            </w:r>
                          </w:p>
                        </w:tc>
                        <w:tc>
                          <w:tcPr>
                            <w:tcW w:w="961" w:type="dxa"/>
                            <w:vAlign w:val="center"/>
                          </w:tcPr>
                          <w:p w14:paraId="216AE31E" w14:textId="77777777" w:rsidR="00BF7A0C" w:rsidRPr="00B5705B" w:rsidRDefault="00BF7A0C" w:rsidP="00390EC4">
                            <w:pPr>
                              <w:spacing w:after="0" w:line="240" w:lineRule="auto"/>
                              <w:rPr>
                                <w:rFonts w:cs="Calibri"/>
                                <w:sz w:val="20"/>
                                <w:szCs w:val="20"/>
                              </w:rPr>
                            </w:pPr>
                            <w:r w:rsidRPr="00B5705B">
                              <w:rPr>
                                <w:rFonts w:cs="Calibri"/>
                                <w:sz w:val="20"/>
                                <w:szCs w:val="20"/>
                              </w:rPr>
                              <w:t>SOC 4</w:t>
                            </w:r>
                          </w:p>
                        </w:tc>
                        <w:tc>
                          <w:tcPr>
                            <w:tcW w:w="897" w:type="dxa"/>
                            <w:vAlign w:val="center"/>
                          </w:tcPr>
                          <w:p w14:paraId="1C97A914" w14:textId="77777777" w:rsidR="00BF7A0C" w:rsidRPr="00B5705B" w:rsidRDefault="00BF7A0C" w:rsidP="00390EC4">
                            <w:pPr>
                              <w:spacing w:after="0" w:line="240" w:lineRule="auto"/>
                              <w:jc w:val="center"/>
                              <w:rPr>
                                <w:rFonts w:cs="Calibri"/>
                                <w:sz w:val="20"/>
                                <w:szCs w:val="20"/>
                              </w:rPr>
                            </w:pPr>
                          </w:p>
                        </w:tc>
                        <w:tc>
                          <w:tcPr>
                            <w:tcW w:w="2137" w:type="dxa"/>
                          </w:tcPr>
                          <w:p w14:paraId="013E1A11" w14:textId="77777777" w:rsidR="00BF7A0C" w:rsidRPr="00B5705B" w:rsidRDefault="00BF7A0C" w:rsidP="00390EC4">
                            <w:pPr>
                              <w:spacing w:after="0" w:line="240" w:lineRule="auto"/>
                            </w:pPr>
                            <w:r w:rsidRPr="00B5705B">
                              <w:rPr>
                                <w:rFonts w:cs="Calibri"/>
                                <w:sz w:val="20"/>
                                <w:szCs w:val="20"/>
                              </w:rPr>
                              <w:t>Qualitative (Tier 1)</w:t>
                            </w:r>
                          </w:p>
                        </w:tc>
                        <w:tc>
                          <w:tcPr>
                            <w:tcW w:w="1012" w:type="dxa"/>
                          </w:tcPr>
                          <w:p w14:paraId="467AC1B0" w14:textId="77777777" w:rsidR="00BF7A0C" w:rsidRPr="00B5705B" w:rsidRDefault="00BF7A0C" w:rsidP="00390EC4">
                            <w:pPr>
                              <w:spacing w:after="0" w:line="240" w:lineRule="auto"/>
                            </w:pPr>
                            <w:r w:rsidRPr="00B5705B">
                              <w:rPr>
                                <w:rFonts w:cs="Calibri"/>
                                <w:sz w:val="20"/>
                                <w:szCs w:val="20"/>
                              </w:rPr>
                              <w:t>n/a</w:t>
                            </w:r>
                          </w:p>
                        </w:tc>
                      </w:tr>
                      <w:tr w:rsidR="00BF7A0C" w:rsidRPr="00B5705B" w14:paraId="303756E5" w14:textId="77777777" w:rsidTr="00BF7A0C">
                        <w:trPr>
                          <w:trHeight w:val="285"/>
                          <w:jc w:val="center"/>
                        </w:trPr>
                        <w:tc>
                          <w:tcPr>
                            <w:tcW w:w="1267" w:type="dxa"/>
                            <w:vMerge/>
                          </w:tcPr>
                          <w:p w14:paraId="3EC7E410" w14:textId="77777777" w:rsidR="00BF7A0C" w:rsidRPr="00B5705B" w:rsidRDefault="00BF7A0C" w:rsidP="00390EC4">
                            <w:pPr>
                              <w:spacing w:after="0" w:line="240" w:lineRule="auto"/>
                              <w:jc w:val="both"/>
                              <w:rPr>
                                <w:rFonts w:cs="Calibri"/>
                                <w:sz w:val="20"/>
                                <w:szCs w:val="20"/>
                              </w:rPr>
                            </w:pPr>
                          </w:p>
                        </w:tc>
                        <w:tc>
                          <w:tcPr>
                            <w:tcW w:w="2267" w:type="dxa"/>
                            <w:vAlign w:val="center"/>
                          </w:tcPr>
                          <w:p w14:paraId="15850378" w14:textId="77777777" w:rsidR="00BF7A0C" w:rsidRPr="00B5705B" w:rsidRDefault="00BF7A0C" w:rsidP="00390EC4">
                            <w:pPr>
                              <w:spacing w:after="0" w:line="240" w:lineRule="auto"/>
                              <w:rPr>
                                <w:rFonts w:cs="Calibri"/>
                                <w:sz w:val="20"/>
                                <w:szCs w:val="20"/>
                              </w:rPr>
                            </w:pPr>
                            <w:r w:rsidRPr="00B5705B">
                              <w:rPr>
                                <w:rFonts w:cs="Calibri"/>
                                <w:sz w:val="20"/>
                                <w:szCs w:val="20"/>
                              </w:rPr>
                              <w:t>Uncertainty and evidence</w:t>
                            </w:r>
                          </w:p>
                        </w:tc>
                        <w:tc>
                          <w:tcPr>
                            <w:tcW w:w="961" w:type="dxa"/>
                            <w:vAlign w:val="center"/>
                          </w:tcPr>
                          <w:p w14:paraId="2AE2DB47" w14:textId="77777777" w:rsidR="00BF7A0C" w:rsidRPr="00B5705B" w:rsidRDefault="00BF7A0C" w:rsidP="00390EC4">
                            <w:pPr>
                              <w:spacing w:after="0" w:line="240" w:lineRule="auto"/>
                              <w:rPr>
                                <w:rFonts w:cs="Calibri"/>
                                <w:sz w:val="20"/>
                                <w:szCs w:val="20"/>
                              </w:rPr>
                            </w:pPr>
                            <w:r w:rsidRPr="00B5705B">
                              <w:rPr>
                                <w:rFonts w:cs="Calibri"/>
                                <w:sz w:val="20"/>
                                <w:szCs w:val="20"/>
                              </w:rPr>
                              <w:t>SOC 5</w:t>
                            </w:r>
                          </w:p>
                        </w:tc>
                        <w:tc>
                          <w:tcPr>
                            <w:tcW w:w="897" w:type="dxa"/>
                            <w:vAlign w:val="center"/>
                          </w:tcPr>
                          <w:p w14:paraId="5C02ED9C" w14:textId="77777777" w:rsidR="00BF7A0C" w:rsidRPr="00B5705B" w:rsidRDefault="00BF7A0C" w:rsidP="00390EC4">
                            <w:pPr>
                              <w:spacing w:after="0" w:line="240" w:lineRule="auto"/>
                              <w:jc w:val="center"/>
                              <w:rPr>
                                <w:rFonts w:cs="Calibri"/>
                                <w:sz w:val="20"/>
                                <w:szCs w:val="20"/>
                              </w:rPr>
                            </w:pPr>
                          </w:p>
                        </w:tc>
                        <w:tc>
                          <w:tcPr>
                            <w:tcW w:w="2137" w:type="dxa"/>
                          </w:tcPr>
                          <w:p w14:paraId="77626A10" w14:textId="77777777" w:rsidR="00BF7A0C" w:rsidRPr="00B5705B" w:rsidRDefault="00BF7A0C" w:rsidP="00390EC4">
                            <w:pPr>
                              <w:spacing w:after="0" w:line="240" w:lineRule="auto"/>
                            </w:pPr>
                            <w:r w:rsidRPr="00B5705B">
                              <w:rPr>
                                <w:rFonts w:cs="Calibri"/>
                                <w:sz w:val="20"/>
                                <w:szCs w:val="20"/>
                              </w:rPr>
                              <w:t>Qualitative (Tier 1)</w:t>
                            </w:r>
                          </w:p>
                        </w:tc>
                        <w:tc>
                          <w:tcPr>
                            <w:tcW w:w="1012" w:type="dxa"/>
                          </w:tcPr>
                          <w:p w14:paraId="158BD356" w14:textId="77777777" w:rsidR="00BF7A0C" w:rsidRPr="00B5705B" w:rsidRDefault="00BF7A0C" w:rsidP="00390EC4">
                            <w:pPr>
                              <w:spacing w:after="0" w:line="240" w:lineRule="auto"/>
                            </w:pPr>
                            <w:r w:rsidRPr="00B5705B">
                              <w:rPr>
                                <w:rFonts w:cs="Calibri"/>
                                <w:sz w:val="20"/>
                                <w:szCs w:val="20"/>
                              </w:rPr>
                              <w:t>n/a</w:t>
                            </w:r>
                          </w:p>
                        </w:tc>
                      </w:tr>
                    </w:tbl>
                    <w:p w14:paraId="3A873123" w14:textId="424A7453" w:rsidR="00BF7A0C" w:rsidRDefault="00BF7A0C" w:rsidP="00390EC4"/>
                  </w:txbxContent>
                </v:textbox>
                <w10:wrap type="square"/>
              </v:shape>
            </w:pict>
          </mc:Fallback>
        </mc:AlternateContent>
      </w:r>
      <w:r w:rsidRPr="00907FD3">
        <w:t xml:space="preserve">required the identification of quantifiable factors within each </w:t>
      </w:r>
      <w:r w:rsidR="005D777D" w:rsidRPr="00907FD3">
        <w:t>IC</w:t>
      </w:r>
      <w:r w:rsidR="002F63CD" w:rsidRPr="00907FD3">
        <w:t>,</w:t>
      </w:r>
      <w:r w:rsidRPr="00907FD3">
        <w:t xml:space="preserve"> subject to data availability. Where </w:t>
      </w:r>
      <w:r w:rsidRPr="00907FD3">
        <w:lastRenderedPageBreak/>
        <w:t xml:space="preserve">no additional factors could be identified the ranking from the qualitative Tier 1 assessment was carried over to the Tier 2 assessment. Care was taken not to replicate scores between </w:t>
      </w:r>
      <w:r w:rsidR="005D777D" w:rsidRPr="00907FD3">
        <w:t>IC</w:t>
      </w:r>
      <w:r w:rsidRPr="00907FD3">
        <w:t xml:space="preserve">s. For some </w:t>
      </w:r>
      <w:r w:rsidR="005D777D" w:rsidRPr="00907FD3">
        <w:t>IC</w:t>
      </w:r>
      <w:r w:rsidRPr="00907FD3">
        <w:t xml:space="preserve">s more than one metric could be identified, for example, natural resources and waste includes four different metrics: water discharge from treatment, volume of soil material displaced, raw materials used for well construction and volume of </w:t>
      </w:r>
      <w:r w:rsidR="00E526B5" w:rsidRPr="00907FD3">
        <w:t xml:space="preserve">fuel </w:t>
      </w:r>
      <w:r w:rsidRPr="00907FD3">
        <w:t>consumed.</w:t>
      </w:r>
      <w:r w:rsidR="00F46022" w:rsidRPr="00907FD3">
        <w:t xml:space="preserve"> The groundwater quality </w:t>
      </w:r>
      <w:r w:rsidR="005D777D" w:rsidRPr="00907FD3">
        <w:t>IC</w:t>
      </w:r>
      <w:r w:rsidR="00F46022" w:rsidRPr="00907FD3">
        <w:t xml:space="preserve"> includes quantitative and qualitative metrics. The quantitative metric is the value of groundwater in the channel sands lost due to abstraction at the HCS that otherwise would have been abstracted at the WSW </w:t>
      </w:r>
      <w:r w:rsidR="00C96E35" w:rsidRPr="00907FD3">
        <w:fldChar w:fldCharType="begin" w:fldLock="1"/>
      </w:r>
      <w:r w:rsidR="00C96E35" w:rsidRPr="00907FD3">
        <w:instrText>ADDIN CSL_CITATION { "citationItems" : [ { "id" : "ITEM-1", "itemData" : { "DOI" : "10.1007/s10040-014-1114-4", "ISSN" : "1431-2174", "author" : [ { "dropping-particle" : "", "family" : "Bartlett", "given" : "T. W.", "non-dropping-particle" : "", "parse-names" : false, "suffix" : "" }, { "dropping-particle" : "", "family" : "Smith", "given" : "J. W. N.", "non-dropping-particle" : "", "parse-names" : false, "suffix" : "" }, { "dropping-particle" : "", "family" : "Hardisty", "given" : "P. E.", "non-dropping-particle" : "", "parse-names" : false, "suffix" : "" } ], "container-title" : "Hydrogeology Journal", "id" : "ITEM-1", "issue" : "4", "issued" : { "date-parts" : [ [ "2014", "6" ] ] }, "page" : "749-759", "title" : "Quantifying the loss of available groundwater resource associated with point-source contamination in unused aquifers", "type" : "article-journal", "volume" : "22" }, "uris" : [ "http://www.mendeley.com/documents/?uuid=7a975fcd-8f37-40eb-b0fa-70226aecff57" ] } ], "mendeley" : { "formattedCitation" : "(Bartlett, Smith, &amp; Hardisty, 2014)", "manualFormatting" : "(Bartlett et al., 2014)", "plainTextFormattedCitation" : "(Bartlett, Smith, &amp; Hardisty, 2014)", "previouslyFormattedCitation" : "(Bartlett, Smith, &amp; Hardisty, 2014)" }, "properties" : { "noteIndex" : 0 }, "schema" : "https://github.com/citation-style-language/schema/raw/master/csl-citation.json" }</w:instrText>
      </w:r>
      <w:r w:rsidR="00C96E35" w:rsidRPr="00907FD3">
        <w:fldChar w:fldCharType="separate"/>
      </w:r>
      <w:r w:rsidR="00C96E35" w:rsidRPr="00907FD3">
        <w:rPr>
          <w:noProof/>
        </w:rPr>
        <w:t>(Bartlett et al., 2014)</w:t>
      </w:r>
      <w:r w:rsidR="00C96E35" w:rsidRPr="00907FD3">
        <w:fldChar w:fldCharType="end"/>
      </w:r>
      <w:r w:rsidR="007A04DF" w:rsidRPr="00907FD3">
        <w:t xml:space="preserve"> </w:t>
      </w:r>
      <w:r w:rsidR="00F46022" w:rsidRPr="00907FD3">
        <w:t>and the qualitative metric that considers the broader impacts on groundwater quality, such as groundwater chemistry that are harder to quantify.</w:t>
      </w:r>
      <w:bookmarkStart w:id="10" w:name="_Ref424564194"/>
    </w:p>
    <w:bookmarkEnd w:id="10"/>
    <w:p w14:paraId="071A41BF" w14:textId="3B53EE37" w:rsidR="00DA1871" w:rsidRPr="00907FD3" w:rsidRDefault="00DA1871" w:rsidP="008956EC">
      <w:pPr>
        <w:pStyle w:val="Heading2"/>
      </w:pPr>
      <w:r w:rsidRPr="00907FD3">
        <w:t>3.4</w:t>
      </w:r>
      <w:r w:rsidR="008956EC" w:rsidRPr="00907FD3">
        <w:tab/>
      </w:r>
      <w:r w:rsidRPr="00907FD3">
        <w:t xml:space="preserve">Assessment </w:t>
      </w:r>
      <w:r w:rsidR="00607021" w:rsidRPr="00907FD3">
        <w:t>a</w:t>
      </w:r>
      <w:r w:rsidRPr="00907FD3">
        <w:t>pproach</w:t>
      </w:r>
    </w:p>
    <w:p w14:paraId="1558F4A9" w14:textId="7BF4850F" w:rsidR="00DA1871" w:rsidRPr="00907FD3" w:rsidRDefault="00DA1871" w:rsidP="00C645AD">
      <w:pPr>
        <w:spacing w:line="480" w:lineRule="auto"/>
        <w:jc w:val="both"/>
      </w:pPr>
      <w:r w:rsidRPr="00907FD3">
        <w:t>The qualitative Tier 1 assessment comprise</w:t>
      </w:r>
      <w:r w:rsidR="00E526B5" w:rsidRPr="00907FD3">
        <w:t>d</w:t>
      </w:r>
      <w:r w:rsidR="00494BE2" w:rsidRPr="00907FD3">
        <w:t xml:space="preserve"> </w:t>
      </w:r>
      <w:r w:rsidRPr="00907FD3">
        <w:t xml:space="preserve">a simple ranked comparison of the different remediation options using generic and conservative assumptions against defined sustainability </w:t>
      </w:r>
      <w:r w:rsidR="005D777D" w:rsidRPr="00907FD3">
        <w:t>IC</w:t>
      </w:r>
      <w:r w:rsidRPr="00907FD3">
        <w:t xml:space="preserve">s. The semi-quantitative Tier 2 assessment </w:t>
      </w:r>
      <w:r w:rsidR="00E526B5" w:rsidRPr="00907FD3">
        <w:t xml:space="preserve">applied </w:t>
      </w:r>
      <w:r w:rsidRPr="00907FD3">
        <w:t xml:space="preserve">a multi-criteria analysis (MCA) using site-specific data to the same sustainability </w:t>
      </w:r>
      <w:r w:rsidR="005D777D" w:rsidRPr="00907FD3">
        <w:t>IC</w:t>
      </w:r>
      <w:r w:rsidRPr="00907FD3">
        <w:t xml:space="preserve">s. For the Tier 1 analysis </w:t>
      </w:r>
      <w:r w:rsidR="0063578B" w:rsidRPr="00907FD3">
        <w:t xml:space="preserve">the middle treatment durations from </w:t>
      </w:r>
      <w:r w:rsidR="0063578B" w:rsidRPr="00907FD3">
        <w:fldChar w:fldCharType="begin"/>
      </w:r>
      <w:r w:rsidR="0063578B" w:rsidRPr="00907FD3">
        <w:instrText xml:space="preserve"> REF _Ref425235586 \h  \* MERGEFORMAT </w:instrText>
      </w:r>
      <w:r w:rsidR="0063578B" w:rsidRPr="00907FD3">
        <w:fldChar w:fldCharType="separate"/>
      </w:r>
      <w:r w:rsidR="0047111A" w:rsidRPr="00907FD3">
        <w:t xml:space="preserve">Table </w:t>
      </w:r>
      <w:r w:rsidR="0047111A" w:rsidRPr="00907FD3">
        <w:rPr>
          <w:noProof/>
        </w:rPr>
        <w:t>3</w:t>
      </w:r>
      <w:r w:rsidR="0063578B" w:rsidRPr="00907FD3">
        <w:fldChar w:fldCharType="end"/>
      </w:r>
      <w:r w:rsidR="0063578B" w:rsidRPr="00907FD3">
        <w:t xml:space="preserve"> where used for all treatments</w:t>
      </w:r>
      <w:r w:rsidRPr="00907FD3">
        <w:t xml:space="preserve">. In Tier 2, treatment durations </w:t>
      </w:r>
      <w:r w:rsidR="00E526B5" w:rsidRPr="00907FD3">
        <w:t xml:space="preserve">were </w:t>
      </w:r>
      <w:r w:rsidRPr="00907FD3">
        <w:t xml:space="preserve">subject to an uncertainty analysis that </w:t>
      </w:r>
      <w:r w:rsidR="00E526B5" w:rsidRPr="00907FD3">
        <w:t xml:space="preserve">applied </w:t>
      </w:r>
      <w:r w:rsidRPr="00907FD3">
        <w:t xml:space="preserve">the minimum and maximum estimated treatment durations shown in </w:t>
      </w:r>
      <w:r w:rsidRPr="00907FD3">
        <w:fldChar w:fldCharType="begin"/>
      </w:r>
      <w:r w:rsidRPr="00907FD3">
        <w:instrText xml:space="preserve"> REF _Ref425235586 \h  \* MERGEFORMAT </w:instrText>
      </w:r>
      <w:r w:rsidRPr="00907FD3">
        <w:fldChar w:fldCharType="separate"/>
      </w:r>
      <w:r w:rsidR="0047111A" w:rsidRPr="00907FD3">
        <w:t xml:space="preserve">Table </w:t>
      </w:r>
      <w:r w:rsidR="0047111A" w:rsidRPr="00907FD3">
        <w:rPr>
          <w:noProof/>
        </w:rPr>
        <w:t>3</w:t>
      </w:r>
      <w:r w:rsidRPr="00907FD3">
        <w:fldChar w:fldCharType="end"/>
      </w:r>
      <w:r w:rsidRPr="00907FD3">
        <w:t>.</w:t>
      </w:r>
    </w:p>
    <w:p w14:paraId="10AEBAAF" w14:textId="590BE8AB" w:rsidR="00DA1871" w:rsidRPr="00907FD3" w:rsidRDefault="00DA1871" w:rsidP="008956EC">
      <w:pPr>
        <w:pStyle w:val="Heading1"/>
      </w:pPr>
      <w:r w:rsidRPr="00907FD3">
        <w:t xml:space="preserve">4.0 </w:t>
      </w:r>
      <w:r w:rsidR="008956EC" w:rsidRPr="00907FD3">
        <w:tab/>
      </w:r>
      <w:r w:rsidRPr="00907FD3">
        <w:t xml:space="preserve">Tier 1 </w:t>
      </w:r>
      <w:r w:rsidR="00607021" w:rsidRPr="00907FD3">
        <w:t>s</w:t>
      </w:r>
      <w:r w:rsidRPr="00907FD3">
        <w:t xml:space="preserve">ustainability </w:t>
      </w:r>
      <w:r w:rsidR="00607021" w:rsidRPr="00907FD3">
        <w:t>a</w:t>
      </w:r>
      <w:r w:rsidRPr="00907FD3">
        <w:t>ssessment</w:t>
      </w:r>
    </w:p>
    <w:p w14:paraId="1A3C8366" w14:textId="38E9D0A6" w:rsidR="00DA1871" w:rsidRPr="00907FD3" w:rsidRDefault="00DA1871" w:rsidP="008956EC">
      <w:pPr>
        <w:pStyle w:val="Heading2"/>
      </w:pPr>
      <w:r w:rsidRPr="00907FD3">
        <w:t xml:space="preserve">4.1 </w:t>
      </w:r>
      <w:r w:rsidR="008956EC" w:rsidRPr="00907FD3">
        <w:tab/>
      </w:r>
      <w:r w:rsidRPr="00907FD3">
        <w:t xml:space="preserve">Tier 1 </w:t>
      </w:r>
      <w:r w:rsidR="00607021" w:rsidRPr="00907FD3">
        <w:t>m</w:t>
      </w:r>
      <w:r w:rsidRPr="00907FD3">
        <w:t>ethodology</w:t>
      </w:r>
    </w:p>
    <w:p w14:paraId="1E899FE5" w14:textId="62544AC7" w:rsidR="00DA1871" w:rsidRPr="00907FD3" w:rsidRDefault="00DA1871" w:rsidP="00C645AD">
      <w:pPr>
        <w:spacing w:line="480" w:lineRule="auto"/>
        <w:jc w:val="both"/>
      </w:pPr>
      <w:r w:rsidRPr="00907FD3">
        <w:t>A ranked score between 1 and 4 was assigned for the different o</w:t>
      </w:r>
      <w:r w:rsidR="00DD4B02" w:rsidRPr="00907FD3">
        <w:t>ptions framed against an</w:t>
      </w:r>
      <w:r w:rsidR="00DD4B02" w:rsidRPr="00907FD3">
        <w:rPr>
          <w:lang w:val="en-GB"/>
        </w:rPr>
        <w:t xml:space="preserve"> idealis</w:t>
      </w:r>
      <w:r w:rsidRPr="00907FD3">
        <w:rPr>
          <w:lang w:val="en-GB"/>
        </w:rPr>
        <w:t>ed</w:t>
      </w:r>
      <w:r w:rsidRPr="00907FD3">
        <w:t xml:space="preserve"> scenario. For example, air emissions (ENV 1*) the ideal scenario is no air emissions and direct economic cost (ECON 1*) the ideal scenario is minimal capital</w:t>
      </w:r>
      <w:r w:rsidR="00D15739" w:rsidRPr="00907FD3">
        <w:t>,</w:t>
      </w:r>
      <w:r w:rsidRPr="00907FD3">
        <w:t xml:space="preserve"> operation</w:t>
      </w:r>
      <w:r w:rsidR="00D15739" w:rsidRPr="00907FD3">
        <w:t>al</w:t>
      </w:r>
      <w:r w:rsidRPr="00907FD3">
        <w:t xml:space="preserve"> and management cost (see Table S.</w:t>
      </w:r>
      <w:r w:rsidR="00DA73A3" w:rsidRPr="00907FD3">
        <w:t>8</w:t>
      </w:r>
      <w:r w:rsidRPr="00907FD3">
        <w:t xml:space="preserve"> supporting information for descriptions of ideal scenarios for other </w:t>
      </w:r>
      <w:r w:rsidR="005D777D" w:rsidRPr="00907FD3">
        <w:t>IC</w:t>
      </w:r>
      <w:r w:rsidRPr="00907FD3">
        <w:t xml:space="preserve">s). A higher rank </w:t>
      </w:r>
      <w:r w:rsidR="00E526B5" w:rsidRPr="00907FD3">
        <w:t>(i.e., 4) wa</w:t>
      </w:r>
      <w:r w:rsidRPr="00907FD3">
        <w:t xml:space="preserve">s assigned to the least sustainable option and a low rank </w:t>
      </w:r>
      <w:r w:rsidR="00E526B5" w:rsidRPr="00907FD3">
        <w:t xml:space="preserve">(i.e., 1) </w:t>
      </w:r>
      <w:r w:rsidRPr="00907FD3">
        <w:t>to the most sustainable option.</w:t>
      </w:r>
      <w:r w:rsidR="00023304" w:rsidRPr="00907FD3">
        <w:t xml:space="preserve"> At Tier 1 all </w:t>
      </w:r>
      <w:r w:rsidR="005D777D" w:rsidRPr="00907FD3">
        <w:t>IC</w:t>
      </w:r>
      <w:r w:rsidR="00023304" w:rsidRPr="00907FD3">
        <w:t xml:space="preserve">s were weighted equally, i.e. a priority </w:t>
      </w:r>
      <w:r w:rsidR="005D777D" w:rsidRPr="00907FD3">
        <w:t>IC</w:t>
      </w:r>
      <w:r w:rsidR="00023304" w:rsidRPr="00907FD3">
        <w:t xml:space="preserve"> such as air emissions had the same weight as a non-priority </w:t>
      </w:r>
      <w:r w:rsidR="005D777D" w:rsidRPr="00907FD3">
        <w:t>IC</w:t>
      </w:r>
      <w:r w:rsidR="00023304" w:rsidRPr="00907FD3">
        <w:t xml:space="preserve"> such as ecology.</w:t>
      </w:r>
      <w:r w:rsidRPr="00907FD3">
        <w:t xml:space="preserve"> Qualitative ranking </w:t>
      </w:r>
      <w:r w:rsidR="00E526B5" w:rsidRPr="00907FD3">
        <w:t xml:space="preserve">was </w:t>
      </w:r>
      <w:r w:rsidRPr="00907FD3">
        <w:t xml:space="preserve">supported by evidence </w:t>
      </w:r>
      <w:r w:rsidR="00ED31BC" w:rsidRPr="00907FD3">
        <w:t>from</w:t>
      </w:r>
      <w:r w:rsidRPr="00907FD3">
        <w:t xml:space="preserve"> different </w:t>
      </w:r>
      <w:r w:rsidRPr="00907FD3">
        <w:lastRenderedPageBreak/>
        <w:t>categories and include</w:t>
      </w:r>
      <w:r w:rsidR="00ED31BC" w:rsidRPr="00907FD3">
        <w:t>s</w:t>
      </w:r>
      <w:r w:rsidRPr="00907FD3">
        <w:t xml:space="preserve"> qualitative and basic quantitative assessment (see Table S.</w:t>
      </w:r>
      <w:r w:rsidR="00DA73A3" w:rsidRPr="00907FD3">
        <w:t>9</w:t>
      </w:r>
      <w:r w:rsidRPr="00907FD3">
        <w:t xml:space="preserve"> – S.1</w:t>
      </w:r>
      <w:r w:rsidR="00DA73A3" w:rsidRPr="00907FD3">
        <w:t>1</w:t>
      </w:r>
      <w:r w:rsidRPr="00907FD3">
        <w:t xml:space="preserve"> supporting information). Equal rankings </w:t>
      </w:r>
      <w:r w:rsidR="00E526B5" w:rsidRPr="00907FD3">
        <w:t xml:space="preserve">were </w:t>
      </w:r>
      <w:r w:rsidRPr="00907FD3">
        <w:t xml:space="preserve">allowed if differences between options </w:t>
      </w:r>
      <w:r w:rsidR="00E526B5" w:rsidRPr="00907FD3">
        <w:t xml:space="preserve">were </w:t>
      </w:r>
      <w:r w:rsidR="00ED31BC" w:rsidRPr="00907FD3">
        <w:t>&lt;</w:t>
      </w:r>
      <w:r w:rsidRPr="00907FD3">
        <w:t xml:space="preserve">10%. The treatment durations for the assessment </w:t>
      </w:r>
      <w:r w:rsidR="00E526B5" w:rsidRPr="00907FD3">
        <w:t xml:space="preserve">were </w:t>
      </w:r>
      <w:r w:rsidRPr="00907FD3">
        <w:t xml:space="preserve">the middle estimates as defined above. Uncertainty regarding treatment durations </w:t>
      </w:r>
      <w:r w:rsidR="00E526B5" w:rsidRPr="00907FD3">
        <w:t xml:space="preserve">was </w:t>
      </w:r>
      <w:r w:rsidRPr="00907FD3">
        <w:t xml:space="preserve">reduced by comparing the individual </w:t>
      </w:r>
      <w:r w:rsidR="005D777D" w:rsidRPr="00907FD3">
        <w:t>IC</w:t>
      </w:r>
      <w:r w:rsidRPr="00907FD3">
        <w:t>s against an ideal scenario</w:t>
      </w:r>
      <w:r w:rsidR="00ED31BC" w:rsidRPr="00907FD3">
        <w:t>.</w:t>
      </w:r>
      <w:r w:rsidRPr="00907FD3">
        <w:t xml:space="preserve"> </w:t>
      </w:r>
      <w:r w:rsidR="00ED31BC" w:rsidRPr="00907FD3">
        <w:t>I</w:t>
      </w:r>
      <w:r w:rsidRPr="00907FD3">
        <w:t xml:space="preserve">t </w:t>
      </w:r>
      <w:r w:rsidR="00E526B5" w:rsidRPr="00907FD3">
        <w:t xml:space="preserve">was </w:t>
      </w:r>
      <w:r w:rsidRPr="00907FD3">
        <w:t xml:space="preserve">also included as part of the social category of </w:t>
      </w:r>
      <w:r w:rsidR="005D777D" w:rsidRPr="00907FD3">
        <w:t>IC</w:t>
      </w:r>
      <w:r w:rsidRPr="00907FD3">
        <w:t xml:space="preserve">s. </w:t>
      </w:r>
    </w:p>
    <w:p w14:paraId="20C7E4BE" w14:textId="7E759D38" w:rsidR="00DA1871" w:rsidRPr="00907FD3" w:rsidRDefault="00DA1871" w:rsidP="008956EC">
      <w:pPr>
        <w:pStyle w:val="Heading2"/>
      </w:pPr>
      <w:r w:rsidRPr="00907FD3">
        <w:t xml:space="preserve">4.2 </w:t>
      </w:r>
      <w:r w:rsidR="008956EC" w:rsidRPr="00907FD3">
        <w:tab/>
      </w:r>
      <w:r w:rsidRPr="00907FD3">
        <w:t xml:space="preserve">Tier 1 </w:t>
      </w:r>
      <w:r w:rsidR="00607021" w:rsidRPr="00907FD3">
        <w:t>r</w:t>
      </w:r>
      <w:r w:rsidRPr="00907FD3">
        <w:t>esults</w:t>
      </w:r>
    </w:p>
    <w:p w14:paraId="2F9F0A9E" w14:textId="78FBE2A7" w:rsidR="00BE5E94" w:rsidRPr="00907FD3" w:rsidRDefault="00DA1871" w:rsidP="00BB20B7">
      <w:pPr>
        <w:spacing w:line="480" w:lineRule="auto"/>
        <w:jc w:val="both"/>
      </w:pPr>
      <w:r w:rsidRPr="00907FD3">
        <w:t xml:space="preserve">The rankings and justifications for individual </w:t>
      </w:r>
      <w:r w:rsidR="005D777D" w:rsidRPr="00907FD3">
        <w:t>IC</w:t>
      </w:r>
      <w:r w:rsidRPr="00907FD3">
        <w:t xml:space="preserve">s are </w:t>
      </w:r>
      <w:r w:rsidR="00ED31BC" w:rsidRPr="00907FD3">
        <w:t xml:space="preserve">given </w:t>
      </w:r>
      <w:r w:rsidRPr="00907FD3">
        <w:t>in Table S.1</w:t>
      </w:r>
      <w:r w:rsidR="00DA73A3" w:rsidRPr="00907FD3">
        <w:t>2</w:t>
      </w:r>
      <w:r w:rsidRPr="00907FD3">
        <w:t xml:space="preserve"> supporting information. The cumulative rankings of the different options are shown against all </w:t>
      </w:r>
      <w:r w:rsidR="005D777D" w:rsidRPr="00907FD3">
        <w:t>IC</w:t>
      </w:r>
      <w:r w:rsidRPr="00907FD3">
        <w:t xml:space="preserve">s and priority </w:t>
      </w:r>
      <w:r w:rsidR="005D777D" w:rsidRPr="00907FD3">
        <w:t>IC</w:t>
      </w:r>
      <w:r w:rsidRPr="00907FD3">
        <w:t xml:space="preserve">s </w:t>
      </w:r>
      <w:r w:rsidR="003C1DB3" w:rsidRPr="00907FD3">
        <w:t>in Figure S.4, supporting information</w:t>
      </w:r>
      <w:r w:rsidRPr="00907FD3">
        <w:t xml:space="preserve">. The lower the cumulative ranking the more sustainable the option. Option 3 (AS/SVE+HCS) appears to be the best option when all </w:t>
      </w:r>
      <w:r w:rsidR="00595295" w:rsidRPr="00907FD3">
        <w:t>IC</w:t>
      </w:r>
      <w:r w:rsidRPr="00907FD3">
        <w:t>s are considered</w:t>
      </w:r>
      <w:r w:rsidR="00ED31BC" w:rsidRPr="00907FD3">
        <w:t>. This is</w:t>
      </w:r>
      <w:r w:rsidRPr="00907FD3">
        <w:t xml:space="preserve"> due to: 1) shorter treatment duration of </w:t>
      </w:r>
      <w:r w:rsidR="00595295" w:rsidRPr="00907FD3">
        <w:t>IC</w:t>
      </w:r>
      <w:r w:rsidRPr="00907FD3">
        <w:t>s that are time</w:t>
      </w:r>
      <w:r w:rsidR="00ED31BC" w:rsidRPr="00907FD3">
        <w:t>-</w:t>
      </w:r>
      <w:r w:rsidRPr="00907FD3">
        <w:t>dependent</w:t>
      </w:r>
      <w:r w:rsidR="00ED31BC" w:rsidRPr="00907FD3">
        <w:t>,</w:t>
      </w:r>
      <w:r w:rsidRPr="00907FD3">
        <w:t xml:space="preserve"> such as indirect or induced economic benefits; 2) added certainty on treatment performance from pilot</w:t>
      </w:r>
      <w:r w:rsidR="00ED31BC" w:rsidRPr="00907FD3">
        <w:t>-</w:t>
      </w:r>
      <w:r w:rsidRPr="00907FD3">
        <w:t xml:space="preserve">scale study; and 3) </w:t>
      </w:r>
      <w:r w:rsidR="00ED31BC" w:rsidRPr="00907FD3">
        <w:t xml:space="preserve">a </w:t>
      </w:r>
      <w:r w:rsidRPr="00907FD3">
        <w:t xml:space="preserve">function of </w:t>
      </w:r>
      <w:r w:rsidR="00ED31BC" w:rsidRPr="00907FD3">
        <w:t xml:space="preserve">the </w:t>
      </w:r>
      <w:r w:rsidR="00E526B5" w:rsidRPr="00907FD3">
        <w:t>AS/</w:t>
      </w:r>
      <w:r w:rsidRPr="00907FD3">
        <w:t xml:space="preserve">SVE </w:t>
      </w:r>
      <w:r w:rsidR="00ED31BC" w:rsidRPr="00907FD3">
        <w:t>system used</w:t>
      </w:r>
      <w:r w:rsidRPr="00907FD3">
        <w:t xml:space="preserve"> to treat </w:t>
      </w:r>
      <w:r w:rsidR="00C248E5" w:rsidRPr="00907FD3">
        <w:t>both unsaturated strata and groundwater</w:t>
      </w:r>
      <w:r w:rsidR="00ED31BC" w:rsidRPr="00907FD3">
        <w:t>,</w:t>
      </w:r>
      <w:r w:rsidRPr="00907FD3">
        <w:t xml:space="preserve"> thus improving soil and groundwater conditions. However, for priority </w:t>
      </w:r>
      <w:r w:rsidR="00595295" w:rsidRPr="00907FD3">
        <w:t>IC</w:t>
      </w:r>
      <w:r w:rsidRPr="00907FD3">
        <w:t xml:space="preserve">s </w:t>
      </w:r>
      <w:r w:rsidR="00C248E5" w:rsidRPr="00907FD3">
        <w:t xml:space="preserve">identified during the stakeholder workshop </w:t>
      </w:r>
      <w:r w:rsidRPr="00907FD3">
        <w:t>Option 2 (EK</w:t>
      </w:r>
      <w:r w:rsidR="00ED31BC" w:rsidRPr="00907FD3">
        <w:t>-</w:t>
      </w:r>
      <w:r w:rsidRPr="00907FD3">
        <w:t xml:space="preserve">BIO+HCS) and Option 3 are equivalent. </w:t>
      </w:r>
      <w:r w:rsidR="000E09F9" w:rsidRPr="00907FD3">
        <w:t xml:space="preserve">This is due to Option 2 scoring well against priority </w:t>
      </w:r>
      <w:r w:rsidR="00595295" w:rsidRPr="00907FD3">
        <w:t>IC</w:t>
      </w:r>
      <w:r w:rsidR="000E09F9" w:rsidRPr="00907FD3">
        <w:t xml:space="preserve">s, </w:t>
      </w:r>
      <w:r w:rsidR="001E298E" w:rsidRPr="00907FD3">
        <w:t xml:space="preserve">for example, </w:t>
      </w:r>
      <w:r w:rsidR="000E09F9" w:rsidRPr="00907FD3">
        <w:t>air emissions</w:t>
      </w:r>
      <w:r w:rsidR="001E298E" w:rsidRPr="00907FD3">
        <w:t xml:space="preserve"> and total direct economic cost are lower than Option 3 and </w:t>
      </w:r>
      <w:r w:rsidR="00680E64" w:rsidRPr="00907FD3">
        <w:t xml:space="preserve">Option </w:t>
      </w:r>
      <w:r w:rsidR="001E298E" w:rsidRPr="00907FD3">
        <w:t>4</w:t>
      </w:r>
      <w:r w:rsidR="00680E64" w:rsidRPr="00907FD3">
        <w:t xml:space="preserve"> (PT+HCS)</w:t>
      </w:r>
      <w:r w:rsidR="001E298E" w:rsidRPr="00907FD3">
        <w:t xml:space="preserve"> because </w:t>
      </w:r>
      <w:r w:rsidR="00BB20B7" w:rsidRPr="00907FD3">
        <w:t>no treatment plant is used. H</w:t>
      </w:r>
      <w:r w:rsidR="001E298E" w:rsidRPr="00907FD3">
        <w:t xml:space="preserve">owever, against non-priority </w:t>
      </w:r>
      <w:r w:rsidR="00595295" w:rsidRPr="00907FD3">
        <w:t>IC</w:t>
      </w:r>
      <w:r w:rsidR="001E298E" w:rsidRPr="00907FD3">
        <w:t>s Option 2 is less favorable because of</w:t>
      </w:r>
      <w:r w:rsidR="00BB20B7" w:rsidRPr="00907FD3">
        <w:t xml:space="preserve"> high levels of uncertainty compared with other Options and relatively long treatment d</w:t>
      </w:r>
      <w:r w:rsidR="00E972DA" w:rsidRPr="00907FD3">
        <w:t>uration compared to Option 3</w:t>
      </w:r>
      <w:r w:rsidR="00BB20B7" w:rsidRPr="00907FD3">
        <w:t>.</w:t>
      </w:r>
      <w:r w:rsidR="001E298E" w:rsidRPr="00907FD3">
        <w:t xml:space="preserve"> </w:t>
      </w:r>
    </w:p>
    <w:p w14:paraId="03670EB8" w14:textId="5CC0EB6A" w:rsidR="00DA1871" w:rsidRPr="00907FD3" w:rsidRDefault="00AF0556" w:rsidP="00C645AD">
      <w:pPr>
        <w:spacing w:line="480" w:lineRule="auto"/>
        <w:jc w:val="both"/>
      </w:pPr>
      <w:r w:rsidRPr="00907FD3">
        <w:t xml:space="preserve">The Tier 1 </w:t>
      </w:r>
      <w:r w:rsidR="00B433C3" w:rsidRPr="00907FD3">
        <w:t>assessment identifies a choice of two management decisions</w:t>
      </w:r>
      <w:r w:rsidR="00E972DA" w:rsidRPr="00907FD3">
        <w:t xml:space="preserve">. Firstly, select </w:t>
      </w:r>
      <w:r w:rsidRPr="00907FD3">
        <w:t xml:space="preserve">Option 3 </w:t>
      </w:r>
      <w:r w:rsidR="00E972DA" w:rsidRPr="00907FD3">
        <w:t xml:space="preserve">for the site </w:t>
      </w:r>
      <w:r w:rsidRPr="00907FD3">
        <w:t xml:space="preserve">as </w:t>
      </w:r>
      <w:r w:rsidR="00E972DA" w:rsidRPr="00907FD3">
        <w:t xml:space="preserve">it is </w:t>
      </w:r>
      <w:r w:rsidRPr="00907FD3">
        <w:t xml:space="preserve">the most sustainable when all </w:t>
      </w:r>
      <w:r w:rsidR="00595295" w:rsidRPr="00907FD3">
        <w:t>IC</w:t>
      </w:r>
      <w:r w:rsidRPr="00907FD3">
        <w:t>s are considered</w:t>
      </w:r>
      <w:r w:rsidR="00B433C3" w:rsidRPr="00907FD3">
        <w:t xml:space="preserve"> and hence is a justified at this level. Secondly that the assessment should progress to Tier 2 and attempt to </w:t>
      </w:r>
      <w:r w:rsidR="00E972DA" w:rsidRPr="00907FD3">
        <w:t xml:space="preserve">further </w:t>
      </w:r>
      <w:r w:rsidR="00B433C3" w:rsidRPr="00907FD3">
        <w:t xml:space="preserve">differentiate between Options </w:t>
      </w:r>
      <w:r w:rsidR="00E972DA" w:rsidRPr="00907FD3">
        <w:t xml:space="preserve">especially </w:t>
      </w:r>
      <w:r w:rsidR="00B433C3" w:rsidRPr="00907FD3">
        <w:t xml:space="preserve">against priority </w:t>
      </w:r>
      <w:r w:rsidR="00595295" w:rsidRPr="00907FD3">
        <w:t>IC</w:t>
      </w:r>
      <w:r w:rsidR="00B433C3" w:rsidRPr="00907FD3">
        <w:t>s.</w:t>
      </w:r>
      <w:r w:rsidR="007D21DB" w:rsidRPr="00907FD3">
        <w:t xml:space="preserve"> For the purposes of this study the second option will be applied.</w:t>
      </w:r>
    </w:p>
    <w:p w14:paraId="2866E887" w14:textId="011D66BB" w:rsidR="00DA1871" w:rsidRPr="00907FD3" w:rsidRDefault="00DA1871" w:rsidP="008956EC">
      <w:pPr>
        <w:pStyle w:val="Heading1"/>
      </w:pPr>
      <w:r w:rsidRPr="00907FD3">
        <w:lastRenderedPageBreak/>
        <w:t>5.0</w:t>
      </w:r>
      <w:r w:rsidR="008956EC" w:rsidRPr="00907FD3">
        <w:tab/>
      </w:r>
      <w:r w:rsidRPr="00907FD3">
        <w:t xml:space="preserve"> Tier 2 Sustainability </w:t>
      </w:r>
      <w:r w:rsidR="00607021" w:rsidRPr="00907FD3">
        <w:t>a</w:t>
      </w:r>
      <w:r w:rsidRPr="00907FD3">
        <w:t>ssessment</w:t>
      </w:r>
    </w:p>
    <w:p w14:paraId="0EF343A2" w14:textId="5FFAD14C" w:rsidR="00DA1871" w:rsidRPr="00907FD3" w:rsidRDefault="00DA1871" w:rsidP="008956EC">
      <w:pPr>
        <w:pStyle w:val="Heading2"/>
      </w:pPr>
      <w:r w:rsidRPr="00907FD3">
        <w:t xml:space="preserve">5.1 </w:t>
      </w:r>
      <w:r w:rsidR="008956EC" w:rsidRPr="00907FD3">
        <w:tab/>
      </w:r>
      <w:r w:rsidRPr="00907FD3">
        <w:t xml:space="preserve">Tier 2 </w:t>
      </w:r>
      <w:r w:rsidR="00607021" w:rsidRPr="00907FD3">
        <w:t>s</w:t>
      </w:r>
      <w:r w:rsidRPr="00907FD3">
        <w:t xml:space="preserve">coring </w:t>
      </w:r>
      <w:r w:rsidR="00607021" w:rsidRPr="00907FD3">
        <w:t>m</w:t>
      </w:r>
      <w:r w:rsidRPr="00907FD3">
        <w:t>ethod</w:t>
      </w:r>
    </w:p>
    <w:p w14:paraId="7B185911" w14:textId="7624C812" w:rsidR="00EB7877" w:rsidRPr="00907FD3" w:rsidRDefault="00DA1871" w:rsidP="00247DE4">
      <w:pPr>
        <w:spacing w:line="480" w:lineRule="auto"/>
        <w:jc w:val="both"/>
        <w:rPr>
          <w:rFonts w:cs="Calibri"/>
        </w:rPr>
      </w:pPr>
      <w:r w:rsidRPr="00907FD3">
        <w:rPr>
          <w:rFonts w:cs="Calibri"/>
        </w:rPr>
        <w:t xml:space="preserve">Both quantitative and qualitative data sources for individual sustainability </w:t>
      </w:r>
      <w:r w:rsidR="00595295" w:rsidRPr="00907FD3">
        <w:rPr>
          <w:rFonts w:cs="Calibri"/>
        </w:rPr>
        <w:t>IC</w:t>
      </w:r>
      <w:r w:rsidRPr="00907FD3">
        <w:rPr>
          <w:rFonts w:cs="Calibri"/>
        </w:rPr>
        <w:t>s were used to inform the MCA (</w:t>
      </w:r>
      <w:r w:rsidR="0047111A" w:rsidRPr="00907FD3">
        <w:fldChar w:fldCharType="begin"/>
      </w:r>
      <w:r w:rsidR="0047111A" w:rsidRPr="00907FD3">
        <w:rPr>
          <w:rFonts w:cs="Calibri"/>
        </w:rPr>
        <w:instrText xml:space="preserve"> REF _Ref445891984 \h </w:instrText>
      </w:r>
      <w:r w:rsidR="00907FD3">
        <w:instrText xml:space="preserve"> \* MERGEFORMAT </w:instrText>
      </w:r>
      <w:r w:rsidR="0047111A" w:rsidRPr="00907FD3">
        <w:fldChar w:fldCharType="separate"/>
      </w:r>
      <w:r w:rsidR="0047111A" w:rsidRPr="00907FD3">
        <w:t xml:space="preserve">Table </w:t>
      </w:r>
      <w:r w:rsidR="0047111A" w:rsidRPr="00907FD3">
        <w:rPr>
          <w:noProof/>
        </w:rPr>
        <w:t>4</w:t>
      </w:r>
      <w:r w:rsidR="0047111A" w:rsidRPr="00907FD3">
        <w:fldChar w:fldCharType="end"/>
      </w:r>
      <w:r w:rsidRPr="00907FD3">
        <w:rPr>
          <w:rFonts w:cs="Calibri"/>
        </w:rPr>
        <w:t>). Further details on how the different metrics were calculated are provided in Table S.12 – S.14</w:t>
      </w:r>
      <w:r w:rsidR="007A61F4" w:rsidRPr="00907FD3">
        <w:rPr>
          <w:rFonts w:cs="Calibri"/>
        </w:rPr>
        <w:t xml:space="preserve"> </w:t>
      </w:r>
      <w:r w:rsidRPr="00907FD3">
        <w:rPr>
          <w:rFonts w:cs="Calibri"/>
        </w:rPr>
        <w:t xml:space="preserve">supporting information. The method of scoring the MCA is similar </w:t>
      </w:r>
      <w:r w:rsidR="00A71076" w:rsidRPr="00907FD3">
        <w:rPr>
          <w:rFonts w:cs="Calibri"/>
        </w:rPr>
        <w:t>to that described by</w:t>
      </w:r>
      <w:r w:rsidRPr="00907FD3">
        <w:rPr>
          <w:rFonts w:cs="Calibri"/>
        </w:rPr>
        <w:t xml:space="preserve"> </w:t>
      </w:r>
      <w:r w:rsidRPr="00907FD3">
        <w:rPr>
          <w:rFonts w:cs="Calibri"/>
        </w:rPr>
        <w:fldChar w:fldCharType="begin" w:fldLock="1"/>
      </w:r>
      <w:r w:rsidR="00577D58" w:rsidRPr="00907FD3">
        <w:rPr>
          <w:rFonts w:cs="Calibri"/>
        </w:rPr>
        <w:instrText>ADDIN CSL_CITATION { "citationItems" : [ { "id" : "ITEM-1", "itemData" : { "ISBN" : "1 85705 209 9", "author" : [ { "dropping-particle" : "", "family" : "Postle", "given" : "M", "non-dropping-particle" : "", "parse-names" : false, "suffix" : "" }, { "dropping-particle" : "", "family" : "Fenn", "given" : "T.", "non-dropping-particle" : "", "parse-names" : false, "suffix" : "" }, { "dropping-particle" : "", "family" : "Grosso", "given" : "A.", "non-dropping-particle" : "", "parse-names" : false, "suffix" : "" }, { "dropping-particle" : "", "family" : "Steeds", "given" : "J.", "non-dropping-particle" : "", "parse-names" : false, "suffix" : "" } ], "id" : "ITEM-1", "issued" : { "date-parts" : [ [ "1999" ] ] }, "number-of-pages" : "43-80", "publisher" : "Environment Agency", "publisher-place" : "Bristol", "title" : "Cost-Benefit Analysis for Remediation of Land Contamination", "type" : "book" }, "uris" : [ "http://www.mendeley.com/documents/?uuid=f6b36ebc-ac15-480f-a39e-19eea269c0ce" ] } ], "mendeley" : { "formattedCitation" : "(Postle, Fenn, Grosso, &amp; Steeds, 1999)", "manualFormatting" : "Postle et al. (1999)", "plainTextFormattedCitation" : "(Postle, Fenn, Grosso, &amp; Steeds, 1999)", "previouslyFormattedCitation" : "(Postle, Fenn, Grosso, &amp; Steeds, 1999)" }, "properties" : { "noteIndex" : 0 }, "schema" : "https://github.com/citation-style-language/schema/raw/master/csl-citation.json" }</w:instrText>
      </w:r>
      <w:r w:rsidRPr="00907FD3">
        <w:rPr>
          <w:rFonts w:cs="Calibri"/>
        </w:rPr>
        <w:fldChar w:fldCharType="separate"/>
      </w:r>
      <w:r w:rsidRPr="00907FD3">
        <w:rPr>
          <w:rFonts w:cs="Calibri"/>
          <w:noProof/>
        </w:rPr>
        <w:t>Postle et al. (1999)</w:t>
      </w:r>
      <w:r w:rsidRPr="00907FD3">
        <w:rPr>
          <w:rFonts w:cs="Calibri"/>
        </w:rPr>
        <w:fldChar w:fldCharType="end"/>
      </w:r>
      <w:r w:rsidR="00EB7877" w:rsidRPr="00907FD3">
        <w:rPr>
          <w:rFonts w:cs="Calibri"/>
        </w:rPr>
        <w:t>:</w:t>
      </w:r>
    </w:p>
    <w:p w14:paraId="6315010D" w14:textId="56DA02F5" w:rsidR="00EB7877" w:rsidRPr="00907FD3" w:rsidRDefault="00EB7877" w:rsidP="00EB7877">
      <w:pPr>
        <w:spacing w:line="480" w:lineRule="auto"/>
        <w:rPr>
          <w:rFonts w:cs="Calibri"/>
        </w:rPr>
      </w:pPr>
      <m:oMathPara>
        <m:oMath>
          <m:r>
            <m:rPr>
              <m:sty m:val="p"/>
            </m:rPr>
            <w:rPr>
              <w:rFonts w:ascii="Cambria Math" w:hAnsi="Cambria Math" w:cs="Calibri"/>
            </w:rPr>
            <m:t xml:space="preserve">MCA Score= </m:t>
          </m:r>
          <m:d>
            <m:dPr>
              <m:ctrlPr>
                <w:rPr>
                  <w:rFonts w:ascii="Cambria Math" w:hAnsi="Cambria Math" w:cs="Calibri"/>
                </w:rPr>
              </m:ctrlPr>
            </m:dPr>
            <m:e>
              <m:f>
                <m:fPr>
                  <m:ctrlPr>
                    <w:rPr>
                      <w:rFonts w:ascii="Cambria Math" w:hAnsi="Cambria Math" w:cs="Calibri"/>
                    </w:rPr>
                  </m:ctrlPr>
                </m:fPr>
                <m:num>
                  <m:r>
                    <m:rPr>
                      <m:sty m:val="p"/>
                    </m:rPr>
                    <w:rPr>
                      <w:rFonts w:ascii="Cambria Math" w:hAnsi="Cambria Math" w:cs="Calibri"/>
                    </w:rPr>
                    <m:t>Input Value for Option</m:t>
                  </m:r>
                </m:num>
                <m:den>
                  <m:r>
                    <m:rPr>
                      <m:sty m:val="p"/>
                    </m:rPr>
                    <w:rPr>
                      <w:rFonts w:ascii="Cambria Math" w:hAnsi="Cambria Math" w:cs="Calibri"/>
                    </w:rPr>
                    <m:t>Maximum Value Across Options</m:t>
                  </m:r>
                </m:den>
              </m:f>
            </m:e>
          </m:d>
          <m:r>
            <m:rPr>
              <m:sty m:val="p"/>
            </m:rPr>
            <w:rPr>
              <w:rFonts w:ascii="Cambria Math" w:hAnsi="Cambria Math" w:cs="Calibri"/>
            </w:rPr>
            <m:t>×100×Priority Weighting</m:t>
          </m:r>
        </m:oMath>
      </m:oMathPara>
    </w:p>
    <w:p w14:paraId="04B06359" w14:textId="67DAA247" w:rsidR="00EB7877" w:rsidRPr="00907FD3" w:rsidRDefault="00EB7877" w:rsidP="00EB7877">
      <w:pPr>
        <w:pStyle w:val="Caption"/>
        <w:jc w:val="right"/>
        <w:rPr>
          <w:rFonts w:cs="Calibri"/>
        </w:rPr>
      </w:pPr>
      <w:r w:rsidRPr="00907FD3">
        <w:t xml:space="preserve">(Equation </w:t>
      </w:r>
      <w:r w:rsidRPr="00907FD3">
        <w:fldChar w:fldCharType="begin"/>
      </w:r>
      <w:r w:rsidRPr="00907FD3">
        <w:instrText xml:space="preserve"> SEQ Equation \* ARABIC </w:instrText>
      </w:r>
      <w:r w:rsidRPr="00907FD3">
        <w:fldChar w:fldCharType="separate"/>
      </w:r>
      <w:r w:rsidRPr="00907FD3">
        <w:rPr>
          <w:noProof/>
        </w:rPr>
        <w:t>1</w:t>
      </w:r>
      <w:r w:rsidRPr="00907FD3">
        <w:fldChar w:fldCharType="end"/>
      </w:r>
      <w:r w:rsidRPr="00907FD3">
        <w:t>)</w:t>
      </w:r>
    </w:p>
    <w:p w14:paraId="2576675C" w14:textId="776677B4" w:rsidR="00DA1871" w:rsidRPr="00907FD3" w:rsidRDefault="00DA1871" w:rsidP="00247DE4">
      <w:pPr>
        <w:spacing w:line="480" w:lineRule="auto"/>
        <w:jc w:val="both"/>
        <w:rPr>
          <w:rFonts w:cs="Calibri"/>
        </w:rPr>
      </w:pPr>
      <w:r w:rsidRPr="00907FD3">
        <w:rPr>
          <w:rFonts w:cs="Calibri"/>
        </w:rPr>
        <w:t xml:space="preserve">Numerical values for a particular </w:t>
      </w:r>
      <w:r w:rsidR="00595295" w:rsidRPr="00907FD3">
        <w:rPr>
          <w:rFonts w:cs="Calibri"/>
        </w:rPr>
        <w:t>IC</w:t>
      </w:r>
      <w:r w:rsidRPr="00907FD3">
        <w:rPr>
          <w:rFonts w:cs="Calibri"/>
        </w:rPr>
        <w:t xml:space="preserve"> </w:t>
      </w:r>
      <w:r w:rsidR="00A71076" w:rsidRPr="00907FD3">
        <w:rPr>
          <w:rFonts w:cs="Calibri"/>
        </w:rPr>
        <w:t>were</w:t>
      </w:r>
      <w:r w:rsidR="00A71076" w:rsidRPr="00907FD3">
        <w:rPr>
          <w:rFonts w:cs="Calibri"/>
          <w:lang w:val="en-GB"/>
        </w:rPr>
        <w:t xml:space="preserve"> </w:t>
      </w:r>
      <w:r w:rsidR="00DD4B02" w:rsidRPr="00907FD3">
        <w:rPr>
          <w:rFonts w:cs="Calibri"/>
          <w:lang w:val="en-GB"/>
        </w:rPr>
        <w:t>normalis</w:t>
      </w:r>
      <w:r w:rsidRPr="00907FD3">
        <w:rPr>
          <w:rFonts w:cs="Calibri"/>
          <w:lang w:val="en-GB"/>
        </w:rPr>
        <w:t>ed</w:t>
      </w:r>
      <w:r w:rsidRPr="00907FD3">
        <w:rPr>
          <w:rFonts w:cs="Calibri"/>
        </w:rPr>
        <w:t xml:space="preserve"> against the maximum value across all treatment options and multiplied to provide a score between 0-100. An </w:t>
      </w:r>
      <w:r w:rsidR="00595295" w:rsidRPr="00907FD3">
        <w:rPr>
          <w:rFonts w:cs="Calibri"/>
        </w:rPr>
        <w:t>IC</w:t>
      </w:r>
      <w:r w:rsidRPr="00907FD3">
        <w:rPr>
          <w:rFonts w:cs="Calibri"/>
        </w:rPr>
        <w:t xml:space="preserve"> weighting </w:t>
      </w:r>
      <w:r w:rsidR="00A71076" w:rsidRPr="00907FD3">
        <w:rPr>
          <w:rFonts w:cs="Calibri"/>
        </w:rPr>
        <w:t xml:space="preserve">was </w:t>
      </w:r>
      <w:r w:rsidRPr="00907FD3">
        <w:rPr>
          <w:rFonts w:cs="Calibri"/>
        </w:rPr>
        <w:t>then assigned based on stakeholder priorities (</w:t>
      </w:r>
      <w:r w:rsidR="0047111A" w:rsidRPr="00907FD3">
        <w:rPr>
          <w:rFonts w:cs="Calibri"/>
        </w:rPr>
        <w:t>Table 4</w:t>
      </w:r>
      <w:r w:rsidRPr="00907FD3">
        <w:rPr>
          <w:rFonts w:cs="Calibri"/>
        </w:rPr>
        <w:t xml:space="preserve">). </w:t>
      </w:r>
      <w:r w:rsidR="005D459C" w:rsidRPr="00907FD3">
        <w:rPr>
          <w:rFonts w:cs="Calibri"/>
        </w:rPr>
        <w:t xml:space="preserve">Where more than one metric </w:t>
      </w:r>
      <w:r w:rsidR="00595295" w:rsidRPr="00907FD3">
        <w:rPr>
          <w:rFonts w:cs="Calibri"/>
        </w:rPr>
        <w:t xml:space="preserve">is used </w:t>
      </w:r>
      <w:r w:rsidR="005D459C" w:rsidRPr="00907FD3">
        <w:rPr>
          <w:rFonts w:cs="Calibri"/>
        </w:rPr>
        <w:t>an additional</w:t>
      </w:r>
      <w:r w:rsidR="005D459C" w:rsidRPr="00907FD3">
        <w:rPr>
          <w:rFonts w:cs="Calibri"/>
          <w:lang w:val="en-GB"/>
        </w:rPr>
        <w:t xml:space="preserve"> normali</w:t>
      </w:r>
      <w:r w:rsidR="00DD4B02" w:rsidRPr="00907FD3">
        <w:rPr>
          <w:rFonts w:cs="Calibri"/>
          <w:lang w:val="en-GB"/>
        </w:rPr>
        <w:t>s</w:t>
      </w:r>
      <w:r w:rsidR="005D459C" w:rsidRPr="00907FD3">
        <w:rPr>
          <w:rFonts w:cs="Calibri"/>
          <w:lang w:val="en-GB"/>
        </w:rPr>
        <w:t>ation</w:t>
      </w:r>
      <w:r w:rsidR="005D459C" w:rsidRPr="00907FD3">
        <w:rPr>
          <w:rFonts w:cs="Calibri"/>
        </w:rPr>
        <w:t xml:space="preserve"> factor was applied </w:t>
      </w:r>
      <w:r w:rsidRPr="00907FD3">
        <w:rPr>
          <w:rFonts w:cs="Calibri"/>
        </w:rPr>
        <w:t xml:space="preserve">to ensure </w:t>
      </w:r>
      <w:r w:rsidR="00762E2E" w:rsidRPr="00907FD3">
        <w:rPr>
          <w:rFonts w:cs="Calibri"/>
        </w:rPr>
        <w:t xml:space="preserve">that each </w:t>
      </w:r>
      <w:r w:rsidR="00595295" w:rsidRPr="00907FD3">
        <w:rPr>
          <w:rFonts w:cs="Calibri"/>
        </w:rPr>
        <w:t>metric</w:t>
      </w:r>
      <w:r w:rsidR="00762E2E" w:rsidRPr="00907FD3">
        <w:rPr>
          <w:rFonts w:cs="Calibri"/>
        </w:rPr>
        <w:t xml:space="preserve"> contributed an equal amount to the overall </w:t>
      </w:r>
      <w:r w:rsidR="00595295" w:rsidRPr="00907FD3">
        <w:rPr>
          <w:rFonts w:cs="Calibri"/>
        </w:rPr>
        <w:t>IC</w:t>
      </w:r>
      <w:r w:rsidR="00762E2E" w:rsidRPr="00907FD3">
        <w:rPr>
          <w:rFonts w:cs="Calibri"/>
        </w:rPr>
        <w:t xml:space="preserve"> score identified. For example, natural resources and waste, ENV 5, there are 4 </w:t>
      </w:r>
      <w:r w:rsidR="00595295" w:rsidRPr="00907FD3">
        <w:rPr>
          <w:rFonts w:cs="Calibri"/>
        </w:rPr>
        <w:t>metrics</w:t>
      </w:r>
      <w:r w:rsidR="00762E2E" w:rsidRPr="00907FD3">
        <w:rPr>
          <w:rFonts w:cs="Calibri"/>
        </w:rPr>
        <w:t xml:space="preserve"> (</w:t>
      </w:r>
      <w:r w:rsidR="0047111A" w:rsidRPr="00907FD3">
        <w:rPr>
          <w:rFonts w:cs="Calibri"/>
        </w:rPr>
        <w:t>Table 4</w:t>
      </w:r>
      <w:r w:rsidR="00762E2E" w:rsidRPr="00907FD3">
        <w:fldChar w:fldCharType="begin"/>
      </w:r>
      <w:r w:rsidR="00762E2E" w:rsidRPr="00907FD3">
        <w:instrText xml:space="preserve"> REF _Ref424564194 \h  \* MERGEFORMAT </w:instrText>
      </w:r>
      <w:r w:rsidR="00762E2E" w:rsidRPr="00907FD3">
        <w:fldChar w:fldCharType="end"/>
      </w:r>
      <w:r w:rsidR="00762E2E" w:rsidRPr="00907FD3">
        <w:rPr>
          <w:rFonts w:cs="Calibri"/>
        </w:rPr>
        <w:t xml:space="preserve">) that each contribute 25% to the total </w:t>
      </w:r>
      <w:r w:rsidR="00595295" w:rsidRPr="00907FD3">
        <w:rPr>
          <w:rFonts w:cs="Calibri"/>
        </w:rPr>
        <w:t>IC</w:t>
      </w:r>
      <w:r w:rsidR="00762E2E" w:rsidRPr="00907FD3">
        <w:rPr>
          <w:rFonts w:cs="Calibri"/>
        </w:rPr>
        <w:t xml:space="preserve"> score</w:t>
      </w:r>
      <w:r w:rsidRPr="00907FD3">
        <w:rPr>
          <w:rFonts w:cs="Calibri"/>
        </w:rPr>
        <w:t xml:space="preserve">. </w:t>
      </w:r>
      <w:r w:rsidR="008A1294" w:rsidRPr="00907FD3">
        <w:rPr>
          <w:rFonts w:cs="Calibri"/>
        </w:rPr>
        <w:t xml:space="preserve">For </w:t>
      </w:r>
      <w:r w:rsidR="00595295" w:rsidRPr="00907FD3">
        <w:rPr>
          <w:rFonts w:cs="Calibri"/>
        </w:rPr>
        <w:t>IC</w:t>
      </w:r>
      <w:r w:rsidR="008A1294" w:rsidRPr="00907FD3">
        <w:rPr>
          <w:rFonts w:cs="Calibri"/>
        </w:rPr>
        <w:t xml:space="preserve">s where no metrics could be identified, the qualitative ranking from the Tier 1 assessment. </w:t>
      </w:r>
      <w:r w:rsidRPr="00907FD3">
        <w:rPr>
          <w:rFonts w:cs="Calibri"/>
        </w:rPr>
        <w:t xml:space="preserve">The higher the MCA score the lower the sustainability of the </w:t>
      </w:r>
      <w:r w:rsidR="007A61F4" w:rsidRPr="00907FD3">
        <w:rPr>
          <w:rFonts w:cs="Calibri"/>
        </w:rPr>
        <w:t>o</w:t>
      </w:r>
      <w:r w:rsidRPr="00907FD3">
        <w:rPr>
          <w:rFonts w:cs="Calibri"/>
        </w:rPr>
        <w:t>ption.</w:t>
      </w:r>
    </w:p>
    <w:p w14:paraId="104F07AF" w14:textId="123BC797" w:rsidR="00DA1871" w:rsidRPr="00907FD3" w:rsidRDefault="00DA1871" w:rsidP="00247DE4">
      <w:pPr>
        <w:spacing w:line="480" w:lineRule="auto"/>
        <w:jc w:val="both"/>
      </w:pPr>
      <w:r w:rsidRPr="00907FD3">
        <w:rPr>
          <w:rFonts w:cs="Calibri"/>
        </w:rPr>
        <w:t xml:space="preserve">MCA scoring methods for contaminated land </w:t>
      </w:r>
      <w:r w:rsidR="00A71076" w:rsidRPr="00907FD3">
        <w:rPr>
          <w:rFonts w:cs="Calibri"/>
        </w:rPr>
        <w:t xml:space="preserve">options appraisal </w:t>
      </w:r>
      <w:r w:rsidRPr="00907FD3">
        <w:rPr>
          <w:rFonts w:cs="Calibri"/>
        </w:rPr>
        <w:t xml:space="preserve">in the literature include </w:t>
      </w:r>
      <w:r w:rsidR="00900BE3" w:rsidRPr="00907FD3">
        <w:rPr>
          <w:rFonts w:cs="Calibri"/>
        </w:rPr>
        <w:t>similar</w:t>
      </w:r>
      <w:r w:rsidRPr="00907FD3">
        <w:rPr>
          <w:rFonts w:cs="Calibri"/>
        </w:rPr>
        <w:t xml:space="preserve"> components</w:t>
      </w:r>
      <w:r w:rsidRPr="00907FD3">
        <w:t>, namely: data for criteria and sub</w:t>
      </w:r>
      <w:r w:rsidR="007A61F4" w:rsidRPr="00907FD3">
        <w:t>-</w:t>
      </w:r>
      <w:r w:rsidRPr="00907FD3">
        <w:t>criteria, a</w:t>
      </w:r>
      <w:r w:rsidRPr="00907FD3">
        <w:rPr>
          <w:lang w:val="en-GB"/>
        </w:rPr>
        <w:t xml:space="preserve"> normali</w:t>
      </w:r>
      <w:r w:rsidR="00DD4B02" w:rsidRPr="00907FD3">
        <w:rPr>
          <w:lang w:val="en-GB"/>
        </w:rPr>
        <w:t>s</w:t>
      </w:r>
      <w:r w:rsidRPr="00907FD3">
        <w:rPr>
          <w:lang w:val="en-GB"/>
        </w:rPr>
        <w:t>ation</w:t>
      </w:r>
      <w:r w:rsidRPr="00907FD3">
        <w:t xml:space="preserve"> factor for criteria and sub</w:t>
      </w:r>
      <w:r w:rsidR="007A61F4" w:rsidRPr="00907FD3">
        <w:t>-</w:t>
      </w:r>
      <w:r w:rsidRPr="00907FD3">
        <w:t xml:space="preserve">criteria and weightings for priority </w:t>
      </w:r>
      <w:r w:rsidR="00595295" w:rsidRPr="00907FD3">
        <w:t>IC</w:t>
      </w:r>
      <w:r w:rsidRPr="00907FD3">
        <w:t>s. They differ in how the scores are calculated</w:t>
      </w:r>
      <w:r w:rsidR="00900BE3" w:rsidRPr="00907FD3">
        <w:t xml:space="preserve"> or presented</w:t>
      </w:r>
      <w:r w:rsidRPr="00907FD3">
        <w:t xml:space="preserve">. For example </w:t>
      </w:r>
      <w:r w:rsidRPr="00907FD3">
        <w:fldChar w:fldCharType="begin" w:fldLock="1"/>
      </w:r>
      <w:r w:rsidR="00C10589" w:rsidRPr="00907FD3">
        <w:instrText>ADDIN CSL_CITATION { "citationItems" : [ { "id" : "ITEM-1", "itemData" : { "DOI" : "10.1680/geng.2008.161.2.75", "ISSN" : "1353-2618", "author" : [ { "dropping-particle" : "", "family" : "Harbottle", "given" : "Michael J", "non-dropping-particle" : "", "parse-names" : false, "suffix" : "" }, { "dropping-particle" : "", "family" : "Al-Tabbaa", "given" : "A.", "non-dropping-particle" : "", "parse-names" : false, "suffix" : "" }, { "dropping-particle" : "", "family" : "Evans", "given" : "C. W.", "non-dropping-particle" : "", "parse-names" : false, "suffix" : "" } ], "container-title" : "Proceedings of the ICE - Geotechnical Engineering", "id" : "ITEM-1", "issue" : "2", "issued" : { "date-parts" : [ [ "2008", "1", "4" ] ] }, "note" : "Ex situ bioremediation has a negative score (3/5) due to use of vigin material impacting on its global environmental footprint\n\n\nMCA analysis ranks rem projects on 4 criteria - the first is shown in this part. environmental impact assessed at the local, global level as well as risk to human health, stakeholder concerns and site use.\n\n\nS/S, ex situ biorem, landfill, soil washing and land cover. later has highest score", "page" : "75-92", "title" : "Sustainability of land remediation. Part 1: overall analysis", "type" : "article-journal", "volume" : "161" }, "uris" : [ "http://www.mendeley.com/documents/?uuid=c8816ac9-970e-4ab2-b266-bf85fdd4c4b2" ] } ], "mendeley" : { "formattedCitation" : "(Harbottle, Al-Tabbaa, &amp; Evans, 2008)", "manualFormatting" : "Harbottle et al. (2008)", "plainTextFormattedCitation" : "(Harbottle, Al-Tabbaa, &amp; Evans, 2008)", "previouslyFormattedCitation" : "(Harbottle, Al-Tabbaa, &amp; Evans, 2008)" }, "properties" : { "noteIndex" : 0 }, "schema" : "https://github.com/citation-style-language/schema/raw/master/csl-citation.json" }</w:instrText>
      </w:r>
      <w:r w:rsidRPr="00907FD3">
        <w:fldChar w:fldCharType="separate"/>
      </w:r>
      <w:r w:rsidRPr="00907FD3">
        <w:rPr>
          <w:noProof/>
        </w:rPr>
        <w:t xml:space="preserve">Harbottle et al. </w:t>
      </w:r>
      <w:r w:rsidR="00900BE3" w:rsidRPr="00907FD3">
        <w:rPr>
          <w:noProof/>
        </w:rPr>
        <w:t>(</w:t>
      </w:r>
      <w:r w:rsidRPr="00907FD3">
        <w:rPr>
          <w:noProof/>
        </w:rPr>
        <w:t>2008)</w:t>
      </w:r>
      <w:r w:rsidRPr="00907FD3">
        <w:fldChar w:fldCharType="end"/>
      </w:r>
      <w:r w:rsidRPr="00907FD3">
        <w:t xml:space="preserve"> applies the Postle et al. (1999) method and consider the positive effects </w:t>
      </w:r>
      <w:r w:rsidR="007A61F4" w:rsidRPr="00907FD3">
        <w:t xml:space="preserve">of </w:t>
      </w:r>
      <w:r w:rsidRPr="00907FD3">
        <w:t>remediation. In the present study, afte</w:t>
      </w:r>
      <w:r w:rsidR="00900BE3" w:rsidRPr="00907FD3">
        <w:t>r</w:t>
      </w:r>
      <w:r w:rsidRPr="00907FD3">
        <w:t xml:space="preserve">effects of remediation are not included </w:t>
      </w:r>
      <w:r w:rsidR="007A61F4" w:rsidRPr="00907FD3">
        <w:t xml:space="preserve">as </w:t>
      </w:r>
      <w:r w:rsidRPr="00907FD3">
        <w:t xml:space="preserve">it is assumed the benefits </w:t>
      </w:r>
      <w:r w:rsidR="00900BE3" w:rsidRPr="00907FD3">
        <w:t xml:space="preserve">of </w:t>
      </w:r>
      <w:r w:rsidRPr="00907FD3">
        <w:t xml:space="preserve">remediation will be the same for all options. Furthermore, </w:t>
      </w:r>
      <w:r w:rsidRPr="00907FD3">
        <w:fldChar w:fldCharType="begin" w:fldLock="1"/>
      </w:r>
      <w:r w:rsidR="005F687A" w:rsidRPr="00907FD3">
        <w:instrText>ADDIN CSL_CITATION { "citationItems" : [ { "id" : "ITEM-1", "itemData" : { "DOI" : "10.1016/S1093-0191(03)00034-0", "ISSN" : "10930191", "author" : [ { "dropping-particle" : "", "family" : "Blanc", "given" : "A.", "non-dropping-particle" : "", "parse-names" : false, "suffix" : "" }, { "dropping-particle" : "", "family" : "M\u00e9tivier-Pignon", "given" : "H.", "non-dropping-particle" : "", "parse-names" : false, "suffix" : "" }, { "dropping-particle" : "", "family" : "Gourdon", "given" : "R.", "non-dropping-particle" : "", "parse-names" : false, "suffix" : "" }, { "dropping-particle" : "", "family" : "Rousseaux", "given" : "P.", "non-dropping-particle" : "", "parse-names" : false, "suffix" : "" } ], "container-title" : "Advances in Environmental Research", "id" : "ITEM-1", "issue" : "3-4", "issued" : { "date-parts" : [ [ "2004", "3" ] ] }, "page" : "613-627", "title" : "Life cycle assessment as a tool for controlling the development of technical activities: application to the remediation of a site contaminated by sulfur", "type" : "article-journal", "volume" : "8" }, "uris" : [ "http://www.mendeley.com/documents/?uuid=279243f0-3a57-40a9-8104-09548a5d4483" ] } ], "mendeley" : { "formattedCitation" : "(Blanc, M\u00e9tivier-Pignon, Gourdon, &amp; Rousseaux, 2004)", "manualFormatting" : "Blanc et al. (2004)", "plainTextFormattedCitation" : "(Blanc, M\u00e9tivier-Pignon, Gourdon, &amp; Rousseaux, 2004)", "previouslyFormattedCitation" : "(Blanc, M\u00e9tivier-Pignon, Gourdon, &amp; Rousseaux, 2004)" }, "properties" : { "noteIndex" : 0 }, "schema" : "https://github.com/citation-style-language/schema/raw/master/csl-citation.json" }</w:instrText>
      </w:r>
      <w:r w:rsidRPr="00907FD3">
        <w:fldChar w:fldCharType="separate"/>
      </w:r>
      <w:r w:rsidRPr="00907FD3">
        <w:rPr>
          <w:noProof/>
        </w:rPr>
        <w:t xml:space="preserve">Blanc et al. </w:t>
      </w:r>
      <w:r w:rsidR="00900BE3" w:rsidRPr="00907FD3">
        <w:rPr>
          <w:noProof/>
        </w:rPr>
        <w:t>(</w:t>
      </w:r>
      <w:r w:rsidRPr="00907FD3">
        <w:rPr>
          <w:noProof/>
        </w:rPr>
        <w:t>2004)</w:t>
      </w:r>
      <w:r w:rsidRPr="00907FD3">
        <w:fldChar w:fldCharType="end"/>
      </w:r>
      <w:r w:rsidRPr="00907FD3">
        <w:t xml:space="preserve"> develop a scoring method that produces a ‘best’ and ‘worst’ ranking of different technologies for a site. </w:t>
      </w:r>
    </w:p>
    <w:p w14:paraId="42E68DDB" w14:textId="5722579B" w:rsidR="00DA1871" w:rsidRPr="00907FD3" w:rsidRDefault="00724516" w:rsidP="00404590">
      <w:pPr>
        <w:spacing w:line="480" w:lineRule="auto"/>
        <w:jc w:val="both"/>
      </w:pPr>
      <w:r w:rsidRPr="00907FD3">
        <w:lastRenderedPageBreak/>
        <w:t>Parameters</w:t>
      </w:r>
      <w:r w:rsidR="00DA1871" w:rsidRPr="00907FD3">
        <w:t xml:space="preserve"> used to derive the MCA scores are included in Table S.15 – S.17 supporting information. They include the </w:t>
      </w:r>
      <w:r w:rsidR="00595295" w:rsidRPr="00907FD3">
        <w:t xml:space="preserve">quantitative </w:t>
      </w:r>
      <w:r w:rsidR="00DA1871" w:rsidRPr="00907FD3">
        <w:t xml:space="preserve">input values, </w:t>
      </w:r>
      <w:r w:rsidR="00595295" w:rsidRPr="00907FD3">
        <w:t>IC</w:t>
      </w:r>
      <w:r w:rsidR="00DA1871" w:rsidRPr="00907FD3">
        <w:t xml:space="preserve"> and </w:t>
      </w:r>
      <w:r w:rsidR="00595295" w:rsidRPr="00907FD3">
        <w:t>metric</w:t>
      </w:r>
      <w:r w:rsidR="00DA1871" w:rsidRPr="00907FD3">
        <w:t xml:space="preserve"> weightings and the final weighted MCA score. The same treatment designs are used as for the Tier 1 assessment. In addition, extra scores are compiled for three scenarios that </w:t>
      </w:r>
      <w:r w:rsidRPr="00907FD3">
        <w:t xml:space="preserve">examine </w:t>
      </w:r>
      <w:r w:rsidR="00DA1871" w:rsidRPr="00907FD3">
        <w:t>the effect of sustainability enhancements applied to</w:t>
      </w:r>
      <w:r w:rsidR="00F32C65" w:rsidRPr="00907FD3">
        <w:t xml:space="preserve"> EK-BIO treatment as part of Option 2</w:t>
      </w:r>
      <w:r w:rsidR="00DA1871" w:rsidRPr="00907FD3">
        <w:t xml:space="preserve">. These include Scenario 1: a photovoltaic array that provides electricity; Scenario 2: </w:t>
      </w:r>
      <w:r w:rsidRPr="00907FD3">
        <w:t xml:space="preserve">constant flushing </w:t>
      </w:r>
      <w:r w:rsidR="00DA1871" w:rsidRPr="00907FD3">
        <w:t xml:space="preserve">of electron acceptors </w:t>
      </w:r>
      <w:r w:rsidRPr="00907FD3">
        <w:t>in</w:t>
      </w:r>
      <w:r w:rsidR="00DA1871" w:rsidRPr="00907FD3">
        <w:t xml:space="preserve"> </w:t>
      </w:r>
      <w:r w:rsidRPr="00907FD3">
        <w:t xml:space="preserve">uncontaminated </w:t>
      </w:r>
      <w:r w:rsidR="00DA1871" w:rsidRPr="00907FD3">
        <w:t>groundwater through the electrode chambers</w:t>
      </w:r>
      <w:r w:rsidRPr="00907FD3">
        <w:t>,</w:t>
      </w:r>
      <w:r w:rsidR="00DA1871" w:rsidRPr="00907FD3">
        <w:t xml:space="preserve"> as opposed to the </w:t>
      </w:r>
      <w:r w:rsidR="00A71076" w:rsidRPr="00907FD3">
        <w:t xml:space="preserve">addition of </w:t>
      </w:r>
      <w:r w:rsidR="00DA1871" w:rsidRPr="00907FD3">
        <w:t>amendment; and Scenario 3: a combination of scenario 1 and 2. These scenarios were not applied to</w:t>
      </w:r>
      <w:r w:rsidR="00F32C65" w:rsidRPr="00907FD3">
        <w:t xml:space="preserve"> AS/SVE or PT </w:t>
      </w:r>
      <w:r w:rsidR="00DA1871" w:rsidRPr="00907FD3">
        <w:t xml:space="preserve">because their treatment design is </w:t>
      </w:r>
      <w:r w:rsidRPr="00907FD3">
        <w:t>un</w:t>
      </w:r>
      <w:r w:rsidR="00DA1871" w:rsidRPr="00907FD3">
        <w:t xml:space="preserve">suitable for the enhancements. For example, </w:t>
      </w:r>
      <w:r w:rsidR="00F32C65" w:rsidRPr="00907FD3">
        <w:t>both</w:t>
      </w:r>
      <w:r w:rsidR="00DA1871" w:rsidRPr="00907FD3">
        <w:t xml:space="preserve"> include treatment plants that require a regular power supply to ensure treatment efficiency, and neither have an amendment with a low or no</w:t>
      </w:r>
      <w:r w:rsidRPr="00907FD3">
        <w:t>-</w:t>
      </w:r>
      <w:r w:rsidR="00DA1871" w:rsidRPr="00907FD3">
        <w:t xml:space="preserve">cost substitute. </w:t>
      </w:r>
      <w:r w:rsidR="00F32C65" w:rsidRPr="00907FD3">
        <w:t>EK-BIO</w:t>
      </w:r>
      <w:r w:rsidR="00DA1871" w:rsidRPr="00907FD3">
        <w:t xml:space="preserve"> is suitable because effective treatment has been demonstrated with variable amendment fluxes into sediment material that would arise from intermittent</w:t>
      </w:r>
      <w:r w:rsidR="00A71076" w:rsidRPr="00907FD3">
        <w:t xml:space="preserve"> </w:t>
      </w:r>
      <w:r w:rsidR="00DA1871" w:rsidRPr="00907FD3">
        <w:t>power supply</w:t>
      </w:r>
      <w:r w:rsidR="00B77045" w:rsidRPr="00907FD3">
        <w:t xml:space="preserve"> </w:t>
      </w:r>
      <w:r w:rsidR="00B77045" w:rsidRPr="00907FD3">
        <w:fldChar w:fldCharType="begin" w:fldLock="1"/>
      </w:r>
      <w:r w:rsidR="00C10589" w:rsidRPr="00907FD3">
        <w:instrText>ADDIN CSL_CITATION { "citationItems" : [ { "id" : "ITEM-1", "itemData" : { "DOI" : "10.1061/(ASCE)1090-0241(2007)133:12(1587)", "ISSN" : "1090-0241", "author" : [ { "dropping-particle" : "", "family" : "Wu", "given" : "Xingzhi", "non-dropping-particle" : "", "parse-names" : false, "suffix" : "" }, { "dropping-particle" : "", "family" : "Alshawabkeh", "given" : "Akram N", "non-dropping-particle" : "", "parse-names" : false, "suffix" : "" }, { "dropping-particle" : "", "family" : "Gent", "given" : "David B.", "non-dropping-particle" : "", "parse-names" : false, "suffix" : "" }, { "dropping-particle" : "", "family" : "Larson", "given" : "Steven L", "non-dropping-particle" : "", "parse-names" : false, "suffix" : "" }, { "dropping-particle" : "", "family" : "Davis", "given" : "Jeffery L", "non-dropping-particle" : "", "parse-names" : false, "suffix" : "" } ], "container-title" : "Journal of Geotechnical and Geoenvironmental Engineering", "id" : "ITEM-1", "issue" : "12", "issued" : { "date-parts" : [ [ "2007", "12" ] ] }, "note" : "EOF needs to be controlled to allow emig from cathode \n\n\n\n\nemig is dominant process for lactae migratino - need suffciient current densities\n\n\nHydraulic gradient - 0.1 cm d-1\n\n\nIonic mobility lactate 6.6 e -5 cm2 V-1 s-1", "page" : "1587-1596", "title" : "Lactate transport in soil by DC fields", "type" : "article-journal", "volume" : "133" }, "uris" : [ "http://www.mendeley.com/documents/?uuid=39c70122-7f3a-49cf-b453-a608b14f76c8" ] }, { "id" : "ITEM-2", "itemData" : { "DOI" : "10.1016/j.jhazmat.2012.02.001", "ISSN" : "1873-3336", "PMID" : "22365139", "abstract" : "Successful bioremediation of contaminated soils is controlled by the ability to deliver bioremediation additives, such as bacteria and/or nutrients, to the contaminated zone. Because hydraulic advection is not practical for delivery in clays, electrokinetic (EK) injection is an alternative for efficient and uniform delivery of bioremediation additive into low-permeability soil and heterogeneous deposits. EK-enhanced bioaugmentation for remediation of clays contaminated with chlorinated solvents is evaluated. Dehalococcoides (Dhc) bacterial strain and lactate ions are uniformly injected in contaminated clay and complete dechlorination of chlorinated ethene is observed in laboratory experiments. The injected bacteria can survive, grow, and promote effective dechlorination under EK conditions and after EK application. The distribution of Dhc within the clay suggests that electrokinetic transport of Dhc is primarily driven by electroosmosis. In addition to biodegradation due to bioaugmentation of Dhc, an EK-driven transport of chlorinated ethenes is observed in the clay, which accelerates cleanup of chlorinated ethenes from the anode side. Compared with conventional advection-based delivery, EK injection is significantly more effective for establishing microbial reductive dechlorination capacity in low-permeability soils.", "author" : [ { "dropping-particle" : "", "family" : "Mao", "given" : "Xuhui", "non-dropping-particle" : "", "parse-names" : false, "suffix" : "" }, { "dropping-particle" : "", "family" : "Wang", "given" : "James", "non-dropping-particle" : "", "parse-names" : false, "suffix" : "" }, { "dropping-particle" : "", "family" : "Ciblak", "given" : "Ali", "non-dropping-particle" : "", "parse-names" : false, "suffix" : "" }, { "dropping-particle" : "", "family" : "Cox", "given" : "Evan E", "non-dropping-particle" : "", "parse-names" : false, "suffix" : "" }, { "dropping-particle" : "", "family" : "Riis", "given" : "Charlotte", "non-dropping-particle" : "", "parse-names" : false, "suffix" : "" }, { "dropping-particle" : "", "family" : "Terkelsen", "given" : "Mads", "non-dropping-particle" : "", "parse-names" : false, "suffix" : "" }, { "dropping-particle" : "", "family" : "Gent", "given" : "David B.", "non-dropping-particle" : "", "parse-names" : false, "suffix" : "" }, { "dropping-particle" : "", "family" : "Alshawabkeh", "given" : "Akram N", "non-dropping-particle" : "", "parse-names" : false, "suffix" : "" } ], "container-title" : "Journal of hazardous materials", "id" : "ITEM-2", "issued" : { "date-parts" : [ [ "2012", "4", "30" ] ] }, "note" : "Lactate transported uniformly through the soil via EK nopt hydraulics\n\nEK transports Dhc evenly through soil\n\nCorresponding ClHC deg\n\nDhc survival with sufficient lactate supply\n\nlactate mig 3.2 cm day-1 @ 0.8 V cm-1\n\nOr 4 cm2 V-1 d-1", "page" : "311-7", "publisher" : "Elsevier B.V.", "title" : "Electrokinetic-enhanced bioaugmentation for remediation of chlorinated solvents contaminated clay.", "type" : "article-journal", "volume" : "213-214" }, "uris" : [ "http://www.mendeley.com/documents/?uuid=6a71b77f-c462-451e-a926-7cb70457dcc8" ] } ], "mendeley" : { "formattedCitation" : "(Mao et al., 2012; X. Wu, Alshawabkeh, Gent, Larson, &amp; Davis, 2007)", "manualFormatting" : "(Mao et al., 2012; Wu et al., 2007)", "plainTextFormattedCitation" : "(Mao et al., 2012; X. Wu, Alshawabkeh, Gent, Larson, &amp; Davis, 2007)", "previouslyFormattedCitation" : "(Mao et al., 2012; X. Wu, Alshawabkeh, Gent, Larson, &amp; Davis, 2007)" }, "properties" : { "noteIndex" : 0 }, "schema" : "https://github.com/citation-style-language/schema/raw/master/csl-citation.json" }</w:instrText>
      </w:r>
      <w:r w:rsidR="00B77045" w:rsidRPr="00907FD3">
        <w:fldChar w:fldCharType="separate"/>
      </w:r>
      <w:r w:rsidR="00B77045" w:rsidRPr="00907FD3">
        <w:rPr>
          <w:noProof/>
        </w:rPr>
        <w:t>(Mao et al., 2012; Wu et al., 2007)</w:t>
      </w:r>
      <w:r w:rsidR="00B77045" w:rsidRPr="00907FD3">
        <w:fldChar w:fldCharType="end"/>
      </w:r>
      <w:r w:rsidR="00B77045" w:rsidRPr="00907FD3">
        <w:t>.</w:t>
      </w:r>
      <w:r w:rsidR="00F32C65" w:rsidRPr="00907FD3">
        <w:t xml:space="preserve"> These scenarios assume that the HCS is active during treatment.</w:t>
      </w:r>
    </w:p>
    <w:p w14:paraId="21DCD6C3" w14:textId="77777777" w:rsidR="00DA1871" w:rsidRPr="00907FD3" w:rsidRDefault="00DA1871" w:rsidP="008956EC">
      <w:pPr>
        <w:pStyle w:val="Heading2"/>
      </w:pPr>
      <w:r w:rsidRPr="00907FD3">
        <w:t xml:space="preserve">5.2 Tier 2 </w:t>
      </w:r>
      <w:r w:rsidR="00607021" w:rsidRPr="00907FD3">
        <w:t>u</w:t>
      </w:r>
      <w:r w:rsidRPr="00907FD3">
        <w:t xml:space="preserve">ncertainty </w:t>
      </w:r>
      <w:r w:rsidR="00607021" w:rsidRPr="00907FD3">
        <w:t>a</w:t>
      </w:r>
      <w:r w:rsidRPr="00907FD3">
        <w:t>nalysis</w:t>
      </w:r>
    </w:p>
    <w:p w14:paraId="3027C644" w14:textId="112570D4" w:rsidR="00334230" w:rsidRPr="00907FD3" w:rsidRDefault="00DA1871" w:rsidP="00404590">
      <w:pPr>
        <w:spacing w:line="480" w:lineRule="auto"/>
        <w:jc w:val="both"/>
      </w:pPr>
      <w:r w:rsidRPr="00907FD3">
        <w:t xml:space="preserve">For the </w:t>
      </w:r>
      <w:r w:rsidR="00B77045" w:rsidRPr="00907FD3">
        <w:t>T</w:t>
      </w:r>
      <w:r w:rsidRPr="00907FD3">
        <w:t xml:space="preserve">ier 2 assessment uncertainty </w:t>
      </w:r>
      <w:r w:rsidR="000E0359" w:rsidRPr="00907FD3">
        <w:t>is represented at the qualitative and qu</w:t>
      </w:r>
      <w:r w:rsidR="00927CD7" w:rsidRPr="00907FD3">
        <w:t>antitative level. Qualitatively</w:t>
      </w:r>
      <w:r w:rsidR="000E0359" w:rsidRPr="00907FD3">
        <w:t xml:space="preserve"> uncertainty is represented by </w:t>
      </w:r>
      <w:r w:rsidR="003D28AB" w:rsidRPr="00907FD3">
        <w:t xml:space="preserve">the </w:t>
      </w:r>
      <w:r w:rsidR="00595295" w:rsidRPr="00907FD3">
        <w:t>IC</w:t>
      </w:r>
      <w:r w:rsidR="00927CD7" w:rsidRPr="00907FD3">
        <w:t>,</w:t>
      </w:r>
      <w:r w:rsidR="008A1294" w:rsidRPr="00907FD3">
        <w:t xml:space="preserve"> </w:t>
      </w:r>
      <w:r w:rsidR="000E0359" w:rsidRPr="00907FD3">
        <w:t xml:space="preserve">uncertainty and evidence </w:t>
      </w:r>
      <w:r w:rsidR="00927CD7" w:rsidRPr="00907FD3">
        <w:t>(SOC 5) that</w:t>
      </w:r>
      <w:r w:rsidR="00334230" w:rsidRPr="00907FD3">
        <w:t xml:space="preserve"> </w:t>
      </w:r>
      <w:r w:rsidR="003D28AB" w:rsidRPr="00907FD3">
        <w:t>reflects</w:t>
      </w:r>
      <w:r w:rsidR="00334230" w:rsidRPr="00907FD3">
        <w:t xml:space="preserve"> confidence in </w:t>
      </w:r>
      <w:r w:rsidR="003D28AB" w:rsidRPr="00907FD3">
        <w:t>treatment</w:t>
      </w:r>
      <w:r w:rsidR="00334230" w:rsidRPr="00907FD3">
        <w:t xml:space="preserve"> effectiveness based on quality of available evidence, similar to Tier 1. Quantitatively, the range of duration values shown in </w:t>
      </w:r>
      <w:r w:rsidR="00334230" w:rsidRPr="00907FD3">
        <w:fldChar w:fldCharType="begin"/>
      </w:r>
      <w:r w:rsidR="00334230" w:rsidRPr="00907FD3">
        <w:instrText xml:space="preserve"> REF _Ref425235586 \h </w:instrText>
      </w:r>
      <w:r w:rsidR="005F687A" w:rsidRPr="00907FD3">
        <w:instrText xml:space="preserve"> \* MERGEFORMAT </w:instrText>
      </w:r>
      <w:r w:rsidR="00334230" w:rsidRPr="00907FD3">
        <w:fldChar w:fldCharType="separate"/>
      </w:r>
      <w:r w:rsidR="0047111A" w:rsidRPr="00907FD3">
        <w:t xml:space="preserve">Table </w:t>
      </w:r>
      <w:r w:rsidR="0047111A" w:rsidRPr="00907FD3">
        <w:rPr>
          <w:noProof/>
        </w:rPr>
        <w:t>3</w:t>
      </w:r>
      <w:r w:rsidR="00334230" w:rsidRPr="00907FD3">
        <w:fldChar w:fldCharType="end"/>
      </w:r>
      <w:r w:rsidR="00334230" w:rsidRPr="00907FD3">
        <w:t xml:space="preserve"> </w:t>
      </w:r>
      <w:r w:rsidR="005F687A" w:rsidRPr="00907FD3">
        <w:t>were</w:t>
      </w:r>
      <w:r w:rsidR="00334230" w:rsidRPr="00907FD3">
        <w:t xml:space="preserve"> used </w:t>
      </w:r>
      <w:r w:rsidR="005F687A" w:rsidRPr="00907FD3">
        <w:t>to inform other time dependent metrics, i.e. all quantitative metrics with the exception of those specific to site setup (e.g. w</w:t>
      </w:r>
      <w:r w:rsidR="003D28AB" w:rsidRPr="00907FD3">
        <w:t>ell drilling</w:t>
      </w:r>
      <w:r w:rsidR="005F687A" w:rsidRPr="00907FD3">
        <w:t>)</w:t>
      </w:r>
      <w:r w:rsidR="003D28AB" w:rsidRPr="00907FD3">
        <w:t>, qualitative rankings did not vary</w:t>
      </w:r>
      <w:r w:rsidR="008B2842" w:rsidRPr="00907FD3">
        <w:t>.</w:t>
      </w:r>
      <w:r w:rsidR="008A1294" w:rsidRPr="00907FD3">
        <w:t xml:space="preserve"> </w:t>
      </w:r>
    </w:p>
    <w:p w14:paraId="00EDE6DD" w14:textId="77777777" w:rsidR="00DA1871" w:rsidRPr="00907FD3" w:rsidRDefault="00DA1871" w:rsidP="008956EC">
      <w:pPr>
        <w:pStyle w:val="Heading2"/>
      </w:pPr>
      <w:r w:rsidRPr="00907FD3">
        <w:t xml:space="preserve">5.3 Tier 2 </w:t>
      </w:r>
      <w:r w:rsidR="00607021" w:rsidRPr="00907FD3">
        <w:t>s</w:t>
      </w:r>
      <w:r w:rsidRPr="00907FD3">
        <w:t xml:space="preserve">ensitivity </w:t>
      </w:r>
      <w:r w:rsidR="00607021" w:rsidRPr="00907FD3">
        <w:t>a</w:t>
      </w:r>
      <w:r w:rsidRPr="00907FD3">
        <w:t>nalysis</w:t>
      </w:r>
    </w:p>
    <w:p w14:paraId="41BE5CB0" w14:textId="253DC3A4" w:rsidR="006A737C" w:rsidRPr="00907FD3" w:rsidRDefault="00B77045" w:rsidP="00404590">
      <w:pPr>
        <w:spacing w:line="480" w:lineRule="auto"/>
        <w:jc w:val="both"/>
      </w:pPr>
      <w:r w:rsidRPr="00907FD3">
        <w:t xml:space="preserve">A sensitivity analysis was conducted </w:t>
      </w:r>
      <w:r w:rsidR="00DA1871" w:rsidRPr="00907FD3">
        <w:t xml:space="preserve">to </w:t>
      </w:r>
      <w:r w:rsidR="002E70A6" w:rsidRPr="00907FD3">
        <w:t xml:space="preserve">provide insight into which sustainability </w:t>
      </w:r>
      <w:r w:rsidR="00595295" w:rsidRPr="00907FD3">
        <w:t>IC</w:t>
      </w:r>
      <w:r w:rsidR="002E70A6" w:rsidRPr="00907FD3">
        <w:t xml:space="preserve">s had the greatest impact on the </w:t>
      </w:r>
      <w:r w:rsidR="003D28AB" w:rsidRPr="00907FD3">
        <w:t xml:space="preserve">MCA score </w:t>
      </w:r>
      <w:r w:rsidR="002E70A6" w:rsidRPr="00907FD3">
        <w:t>for a particular option</w:t>
      </w:r>
      <w:r w:rsidR="000A26D9" w:rsidRPr="00907FD3">
        <w:t xml:space="preserve"> (Rosen et al., 2015)</w:t>
      </w:r>
      <w:r w:rsidR="002E70A6" w:rsidRPr="00907FD3">
        <w:t xml:space="preserve">. The analysis requires a Monte Carlo simulation to be performed. This is a stochastic simulation where user defined ranges of </w:t>
      </w:r>
      <w:r w:rsidR="002E70A6" w:rsidRPr="00907FD3">
        <w:lastRenderedPageBreak/>
        <w:t xml:space="preserve">uncertainty </w:t>
      </w:r>
      <w:r w:rsidR="000A26D9" w:rsidRPr="00907FD3">
        <w:t xml:space="preserve">and probability distribution for different parameters </w:t>
      </w:r>
      <w:r w:rsidR="002E70A6" w:rsidRPr="00907FD3">
        <w:t xml:space="preserve">are </w:t>
      </w:r>
      <w:r w:rsidR="006A737C" w:rsidRPr="00907FD3">
        <w:t>inputs that are propagated through the model. The output is a forecast that is based on the simulation being run numerous times.</w:t>
      </w:r>
      <w:r w:rsidR="002E70A6" w:rsidRPr="00907FD3">
        <w:t xml:space="preserve"> </w:t>
      </w:r>
      <w:r w:rsidR="006A737C" w:rsidRPr="00907FD3">
        <w:t>The sensitivity analysis is calculated by rank correlation of parameter inputs (independent variable) and the forecast output</w:t>
      </w:r>
      <w:r w:rsidR="003371F4" w:rsidRPr="00907FD3">
        <w:t xml:space="preserve">s (dependent variable) </w:t>
      </w:r>
      <w:r w:rsidR="003C0198" w:rsidRPr="00907FD3">
        <w:t>then</w:t>
      </w:r>
      <w:r w:rsidR="003371F4" w:rsidRPr="00907FD3">
        <w:t xml:space="preserve"> performing linear regression on ranked sets. Correlation coefficients are then tallied for each forecast and</w:t>
      </w:r>
      <w:r w:rsidR="003371F4" w:rsidRPr="00907FD3">
        <w:rPr>
          <w:lang w:val="en-GB"/>
        </w:rPr>
        <w:t xml:space="preserve"> normali</w:t>
      </w:r>
      <w:r w:rsidR="00DD4B02" w:rsidRPr="00907FD3">
        <w:rPr>
          <w:lang w:val="en-GB"/>
        </w:rPr>
        <w:t>s</w:t>
      </w:r>
      <w:r w:rsidR="003371F4" w:rsidRPr="00907FD3">
        <w:rPr>
          <w:lang w:val="en-GB"/>
        </w:rPr>
        <w:t>ed</w:t>
      </w:r>
      <w:r w:rsidR="003371F4" w:rsidRPr="00907FD3">
        <w:t xml:space="preserve"> </w:t>
      </w:r>
      <w:r w:rsidR="003371F4" w:rsidRPr="00907FD3">
        <w:fldChar w:fldCharType="begin" w:fldLock="1"/>
      </w:r>
      <w:r w:rsidR="00BD513F" w:rsidRPr="00907FD3">
        <w:instrText>ADDIN CSL_CITATION { "citationItems" : [ { "id" : "ITEM-1", "itemData" : { "DOI" : "10.1111/j.1745-6584.1998.tb02844.x", "ISBN" : "0017-467X", "ISSN" : "0017-467X", "author" : [ { "dropping-particle" : "", "family" : "McNab Jr., Walt", "given" : "W.", "non-dropping-particle" : "", "parse-names" : false, "suffix" : "" }, { "dropping-particle" : "", "family" : "Dooher, Brendan", "given" : "P.", "non-dropping-particle" : "", "parse-names" : false, "suffix" : "" } ], "container-title" : "Ground Water", "id" : "ITEM-1", "issued" : { "date-parts" : [ [ "1998" ] ] }, "page" : "69-698", "title" : "Uncertainty analyses of fuel hydrocarbon biodegradation signatures in ground water by probabilistic modeling", "type" : "article", "volume" : "36(4)" }, "uris" : [ "http://www.mendeley.com/documents/?uuid=3b3e1f25-690b-49dc-9e8e-9ff37516f363", "http://www.mendeley.com/documents/?uuid=92ea10ae-ae57-424e-8308-03c8ae0b20f4" ] } ], "mendeley" : { "formattedCitation" : "(McNab Jr., Walt &amp; Dooher, Brendan, 1998)", "manualFormatting" : "(McNab and Dooher, 1998)", "plainTextFormattedCitation" : "(McNab Jr., Walt &amp; Dooher, Brendan, 1998)", "previouslyFormattedCitation" : "(McNab Jr., Walt &amp; Dooher, Brendan, 1998)" }, "properties" : { "noteIndex" : 0 }, "schema" : "https://github.com/citation-style-language/schema/raw/master/csl-citation.json" }</w:instrText>
      </w:r>
      <w:r w:rsidR="003371F4" w:rsidRPr="00907FD3">
        <w:fldChar w:fldCharType="separate"/>
      </w:r>
      <w:r w:rsidR="003371F4" w:rsidRPr="00907FD3">
        <w:rPr>
          <w:noProof/>
        </w:rPr>
        <w:t>(McNab and Dooher, 1998)</w:t>
      </w:r>
      <w:r w:rsidR="003371F4" w:rsidRPr="00907FD3">
        <w:fldChar w:fldCharType="end"/>
      </w:r>
      <w:r w:rsidR="006A737C" w:rsidRPr="00907FD3">
        <w:t xml:space="preserve">. </w:t>
      </w:r>
    </w:p>
    <w:p w14:paraId="3EF6B2D1" w14:textId="3FCCA855" w:rsidR="00DA1871" w:rsidRPr="00907FD3" w:rsidRDefault="000A26D9" w:rsidP="006A737C">
      <w:pPr>
        <w:spacing w:line="480" w:lineRule="auto"/>
        <w:jc w:val="both"/>
      </w:pPr>
      <w:r w:rsidRPr="00907FD3">
        <w:t>For this study</w:t>
      </w:r>
      <w:r w:rsidR="002E70A6" w:rsidRPr="00907FD3">
        <w:t xml:space="preserve"> </w:t>
      </w:r>
      <w:r w:rsidRPr="00907FD3">
        <w:t>m</w:t>
      </w:r>
      <w:r w:rsidR="002E70A6" w:rsidRPr="00907FD3">
        <w:t xml:space="preserve">inimum and maximum values </w:t>
      </w:r>
      <w:r w:rsidR="006A737C" w:rsidRPr="00907FD3">
        <w:t xml:space="preserve">for the different sustainability </w:t>
      </w:r>
      <w:r w:rsidR="00595295" w:rsidRPr="00907FD3">
        <w:t>IC</w:t>
      </w:r>
      <w:r w:rsidR="006A737C" w:rsidRPr="00907FD3">
        <w:t xml:space="preserve">s </w:t>
      </w:r>
      <w:r w:rsidR="002E70A6" w:rsidRPr="00907FD3">
        <w:t xml:space="preserve">derived from the uncertainty analysis were used to inform the </w:t>
      </w:r>
      <w:r w:rsidRPr="00907FD3">
        <w:t xml:space="preserve">input </w:t>
      </w:r>
      <w:r w:rsidR="002E70A6" w:rsidRPr="00907FD3">
        <w:t>range for the simulation</w:t>
      </w:r>
      <w:r w:rsidR="006A737C" w:rsidRPr="00907FD3">
        <w:t>.</w:t>
      </w:r>
      <w:r w:rsidRPr="00907FD3">
        <w:t xml:space="preserve"> </w:t>
      </w:r>
      <w:r w:rsidR="006A737C" w:rsidRPr="00907FD3">
        <w:t xml:space="preserve">A uniform probability distribution was assumed for all </w:t>
      </w:r>
      <w:r w:rsidR="00595295" w:rsidRPr="00907FD3">
        <w:t>IC</w:t>
      </w:r>
      <w:r w:rsidR="006A737C" w:rsidRPr="00907FD3">
        <w:t xml:space="preserve">s. The output forecast was a range of MCA scores, the simulation was run 10,000 times using Monte Carlo simulation software, Crystal Ball for Microsoft Excel. </w:t>
      </w:r>
    </w:p>
    <w:p w14:paraId="1936C9EE" w14:textId="6F6565AB" w:rsidR="00DA1871" w:rsidRPr="00907FD3" w:rsidRDefault="00DA1871" w:rsidP="008956EC">
      <w:pPr>
        <w:pStyle w:val="Heading2"/>
      </w:pPr>
      <w:r w:rsidRPr="00907FD3">
        <w:t xml:space="preserve">5.4 </w:t>
      </w:r>
      <w:r w:rsidR="008956EC" w:rsidRPr="00907FD3">
        <w:tab/>
      </w:r>
      <w:r w:rsidRPr="00907FD3">
        <w:t xml:space="preserve">Tier 2 </w:t>
      </w:r>
      <w:r w:rsidR="00607021" w:rsidRPr="00907FD3">
        <w:t>r</w:t>
      </w:r>
      <w:r w:rsidRPr="00907FD3">
        <w:t>esults</w:t>
      </w:r>
    </w:p>
    <w:p w14:paraId="65ED664E" w14:textId="36901993" w:rsidR="00A71076" w:rsidRPr="00907FD3" w:rsidRDefault="00A71076" w:rsidP="008956EC">
      <w:pPr>
        <w:pStyle w:val="Heading3"/>
      </w:pPr>
      <w:r w:rsidRPr="00907FD3">
        <w:t>Economic indicator</w:t>
      </w:r>
      <w:r w:rsidR="00595295" w:rsidRPr="00907FD3">
        <w:t xml:space="preserve"> categorie</w:t>
      </w:r>
      <w:r w:rsidRPr="00907FD3">
        <w:t>s</w:t>
      </w:r>
    </w:p>
    <w:p w14:paraId="5F7ABD0A" w14:textId="6705BA71" w:rsidR="00DA1871" w:rsidRPr="00907FD3" w:rsidRDefault="00DA1871" w:rsidP="00404590">
      <w:pPr>
        <w:spacing w:line="480" w:lineRule="auto"/>
        <w:jc w:val="both"/>
      </w:pPr>
      <w:r w:rsidRPr="00907FD3">
        <w:t xml:space="preserve">The MCA scores for economic </w:t>
      </w:r>
      <w:r w:rsidR="00595295" w:rsidRPr="00907FD3">
        <w:t>IC</w:t>
      </w:r>
      <w:r w:rsidRPr="00907FD3">
        <w:t>s show</w:t>
      </w:r>
      <w:r w:rsidR="00A71076" w:rsidRPr="00907FD3">
        <w:t>ed</w:t>
      </w:r>
      <w:r w:rsidRPr="00907FD3">
        <w:t xml:space="preserve"> no significant difference between options when the full minimum and maximum range </w:t>
      </w:r>
      <w:r w:rsidR="00A71076" w:rsidRPr="00907FD3">
        <w:t xml:space="preserve">was </w:t>
      </w:r>
      <w:r w:rsidRPr="00907FD3">
        <w:t>considered (</w:t>
      </w:r>
      <w:r w:rsidR="00E54A8D" w:rsidRPr="00907FD3">
        <w:fldChar w:fldCharType="begin"/>
      </w:r>
      <w:r w:rsidR="00E54A8D" w:rsidRPr="00907FD3">
        <w:instrText xml:space="preserve"> REF _Ref436046155 \h </w:instrText>
      </w:r>
      <w:r w:rsidR="00907FD3">
        <w:instrText xml:space="preserve"> \* MERGEFORMAT </w:instrText>
      </w:r>
      <w:r w:rsidR="00E54A8D" w:rsidRPr="00907FD3">
        <w:fldChar w:fldCharType="separate"/>
      </w:r>
      <w:r w:rsidR="0047111A" w:rsidRPr="00907FD3">
        <w:t xml:space="preserve">Figure </w:t>
      </w:r>
      <w:r w:rsidR="0047111A" w:rsidRPr="00907FD3">
        <w:rPr>
          <w:noProof/>
        </w:rPr>
        <w:t>4</w:t>
      </w:r>
      <w:r w:rsidR="00E54A8D" w:rsidRPr="00907FD3">
        <w:fldChar w:fldCharType="end"/>
      </w:r>
      <w:r w:rsidRPr="00907FD3">
        <w:t>A). A breakdown of these values for the middle time estimate show</w:t>
      </w:r>
      <w:r w:rsidR="00A71076" w:rsidRPr="00907FD3">
        <w:t>ed</w:t>
      </w:r>
      <w:r w:rsidRPr="00907FD3">
        <w:t xml:space="preserve"> that the scores </w:t>
      </w:r>
      <w:r w:rsidR="00A71076" w:rsidRPr="00907FD3">
        <w:t xml:space="preserve">were </w:t>
      </w:r>
      <w:r w:rsidRPr="00907FD3">
        <w:t>distributed differently (</w:t>
      </w:r>
      <w:r w:rsidR="00E54A8D" w:rsidRPr="00907FD3">
        <w:fldChar w:fldCharType="begin"/>
      </w:r>
      <w:r w:rsidR="00E54A8D" w:rsidRPr="00907FD3">
        <w:instrText xml:space="preserve"> REF _Ref436046155 \h </w:instrText>
      </w:r>
      <w:r w:rsidR="00907FD3">
        <w:instrText xml:space="preserve"> \* MERGEFORMAT </w:instrText>
      </w:r>
      <w:r w:rsidR="00E54A8D" w:rsidRPr="00907FD3">
        <w:fldChar w:fldCharType="separate"/>
      </w:r>
      <w:r w:rsidR="0047111A" w:rsidRPr="00907FD3">
        <w:t xml:space="preserve">Figure </w:t>
      </w:r>
      <w:r w:rsidR="0047111A" w:rsidRPr="00907FD3">
        <w:rPr>
          <w:noProof/>
        </w:rPr>
        <w:t>4</w:t>
      </w:r>
      <w:r w:rsidR="00E54A8D" w:rsidRPr="00907FD3">
        <w:fldChar w:fldCharType="end"/>
      </w:r>
      <w:r w:rsidRPr="00907FD3">
        <w:t>B). Option 1 scores high against project duration (ECON 5*), direct economic cost (ECON 1*) and employment capacity (ECON 3)</w:t>
      </w:r>
      <w:r w:rsidR="00381571" w:rsidRPr="00907FD3">
        <w:t>,</w:t>
      </w:r>
      <w:r w:rsidRPr="00907FD3">
        <w:t xml:space="preserve"> but </w:t>
      </w:r>
      <w:r w:rsidR="00A71076" w:rsidRPr="00907FD3">
        <w:t xml:space="preserve">was </w:t>
      </w:r>
      <w:r w:rsidRPr="00907FD3">
        <w:t xml:space="preserve">offset by the </w:t>
      </w:r>
      <w:r w:rsidR="00381571" w:rsidRPr="00907FD3">
        <w:t>timescale</w:t>
      </w:r>
      <w:r w:rsidRPr="00907FD3">
        <w:t xml:space="preserve"> that houses and properties can be released to market (ECON 2 and ECON 4). Option 2 scores lowest against ECON 1* compared </w:t>
      </w:r>
      <w:r w:rsidR="00381571" w:rsidRPr="00907FD3">
        <w:t xml:space="preserve">with </w:t>
      </w:r>
      <w:r w:rsidRPr="00907FD3">
        <w:t>Option 3 and Option 4 due to a lack of treatment plant creating a considerable cost saving. Furthermore, Option 2 only requires a relatively cheap amendment and is not power intensive</w:t>
      </w:r>
      <w:r w:rsidR="00381571" w:rsidRPr="00907FD3">
        <w:t>,</w:t>
      </w:r>
      <w:r w:rsidRPr="00907FD3">
        <w:t xml:space="preserve"> although a significant expense comes from a high relative setup cost. This is exemplified by the ratio between the setup and operation and management costs</w:t>
      </w:r>
      <w:r w:rsidR="00381571" w:rsidRPr="00907FD3">
        <w:t>, which</w:t>
      </w:r>
      <w:r w:rsidRPr="00907FD3">
        <w:t xml:space="preserve"> are 0.01, 0.53, 0.23 and 0.08</w:t>
      </w:r>
      <w:r w:rsidR="00381571" w:rsidRPr="00907FD3">
        <w:t>,</w:t>
      </w:r>
      <w:r w:rsidRPr="00907FD3">
        <w:t xml:space="preserve"> respectively</w:t>
      </w:r>
      <w:r w:rsidR="00381571" w:rsidRPr="00907FD3">
        <w:t>,</w:t>
      </w:r>
      <w:r w:rsidRPr="00907FD3">
        <w:t xml:space="preserve"> for Option 1 to 4. These values reflect the fact that </w:t>
      </w:r>
      <w:r w:rsidR="00381571" w:rsidRPr="00907FD3">
        <w:t xml:space="preserve">while </w:t>
      </w:r>
      <w:r w:rsidRPr="00907FD3">
        <w:t xml:space="preserve">Option 2 does not require treatment plant operation there is a high cost per well due to the initial cost of the electrodes (3x 2m </w:t>
      </w:r>
      <w:r w:rsidR="00A71076" w:rsidRPr="00907FD3">
        <w:t xml:space="preserve">graphite </w:t>
      </w:r>
      <w:r w:rsidRPr="00907FD3">
        <w:t xml:space="preserve">electrodes, </w:t>
      </w:r>
      <w:r w:rsidR="00A71076" w:rsidRPr="00907FD3">
        <w:t xml:space="preserve">ca. </w:t>
      </w:r>
      <w:r w:rsidRPr="00907FD3">
        <w:rPr>
          <w:rFonts w:cs="Calibri"/>
        </w:rPr>
        <w:t>£</w:t>
      </w:r>
      <w:r w:rsidRPr="00907FD3">
        <w:t>2,</w:t>
      </w:r>
      <w:r w:rsidR="00A71076" w:rsidRPr="00907FD3">
        <w:t xml:space="preserve">000 – £2,500 </w:t>
      </w:r>
      <w:r w:rsidRPr="00907FD3">
        <w:t xml:space="preserve">per well). Option 4 has a low setup cost </w:t>
      </w:r>
      <w:r w:rsidR="00381571" w:rsidRPr="00907FD3">
        <w:t xml:space="preserve">as </w:t>
      </w:r>
      <w:r w:rsidRPr="00907FD3">
        <w:t>only two wells are predicted to effectively capture the dissolved</w:t>
      </w:r>
      <w:r w:rsidR="00381571" w:rsidRPr="00907FD3">
        <w:t>-</w:t>
      </w:r>
      <w:r w:rsidRPr="00907FD3">
        <w:lastRenderedPageBreak/>
        <w:t>phase plume</w:t>
      </w:r>
      <w:r w:rsidR="00381571" w:rsidRPr="00907FD3">
        <w:t>. Conversely,</w:t>
      </w:r>
      <w:r w:rsidRPr="00907FD3">
        <w:t xml:space="preserve"> Option 3 requires numerous air sparge wells (predicted radius of influence </w:t>
      </w:r>
      <w:r w:rsidR="00A71076" w:rsidRPr="00907FD3">
        <w:t xml:space="preserve">ca. </w:t>
      </w:r>
      <w:r w:rsidRPr="00907FD3">
        <w:t>3.3 m) to cover the site area</w:t>
      </w:r>
      <w:r w:rsidR="00381571" w:rsidRPr="00907FD3">
        <w:t>,</w:t>
      </w:r>
      <w:r w:rsidRPr="00907FD3">
        <w:t xml:space="preserve"> but there is a lower cost per well compared </w:t>
      </w:r>
      <w:r w:rsidR="00381571" w:rsidRPr="00907FD3">
        <w:t>with</w:t>
      </w:r>
      <w:r w:rsidRPr="00907FD3">
        <w:t xml:space="preserve"> Option 2.</w:t>
      </w:r>
    </w:p>
    <w:p w14:paraId="02B30865" w14:textId="14318022" w:rsidR="00DA1871" w:rsidRPr="00907FD3" w:rsidRDefault="00F60A57" w:rsidP="00404590">
      <w:pPr>
        <w:spacing w:line="480" w:lineRule="auto"/>
        <w:jc w:val="both"/>
      </w:pPr>
      <w:r w:rsidRPr="00907FD3">
        <w:rPr>
          <w:noProof/>
          <w:lang w:val="en-GB" w:eastAsia="en-GB"/>
        </w:rPr>
        <mc:AlternateContent>
          <mc:Choice Requires="wps">
            <w:drawing>
              <wp:anchor distT="45720" distB="45720" distL="114300" distR="114300" simplePos="0" relativeHeight="251671552" behindDoc="0" locked="0" layoutInCell="1" allowOverlap="1" wp14:anchorId="2AA4E5E2" wp14:editId="77438457">
                <wp:simplePos x="0" y="0"/>
                <wp:positionH relativeFrom="column">
                  <wp:posOffset>-504825</wp:posOffset>
                </wp:positionH>
                <wp:positionV relativeFrom="paragraph">
                  <wp:posOffset>1012825</wp:posOffset>
                </wp:positionV>
                <wp:extent cx="6648450" cy="4619625"/>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4619625"/>
                        </a:xfrm>
                        <a:prstGeom prst="rect">
                          <a:avLst/>
                        </a:prstGeom>
                        <a:solidFill>
                          <a:srgbClr val="FFFFFF"/>
                        </a:solidFill>
                        <a:ln w="9525">
                          <a:noFill/>
                          <a:miter lim="800000"/>
                          <a:headEnd/>
                          <a:tailEnd/>
                        </a:ln>
                      </wps:spPr>
                      <wps:txbx>
                        <w:txbxContent>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3"/>
                              <w:gridCol w:w="4219"/>
                              <w:gridCol w:w="4712"/>
                              <w:gridCol w:w="958"/>
                            </w:tblGrid>
                            <w:tr w:rsidR="00BF7A0C" w14:paraId="3588C246" w14:textId="77777777" w:rsidTr="00F60A57">
                              <w:trPr>
                                <w:jc w:val="center"/>
                              </w:trPr>
                              <w:tc>
                                <w:tcPr>
                                  <w:tcW w:w="4962" w:type="dxa"/>
                                  <w:gridSpan w:val="2"/>
                                  <w:vAlign w:val="center"/>
                                </w:tcPr>
                                <w:bookmarkStart w:id="11" w:name="_Ref425431341"/>
                                <w:p w14:paraId="32350F5D" w14:textId="77777777" w:rsidR="00BF7A0C" w:rsidRDefault="00BF7A0C" w:rsidP="00F60A57">
                                  <w:pPr>
                                    <w:spacing w:after="240" w:line="240" w:lineRule="auto"/>
                                    <w:jc w:val="center"/>
                                    <w:rPr>
                                      <w:sz w:val="18"/>
                                      <w:szCs w:val="18"/>
                                    </w:rPr>
                                  </w:pPr>
                                  <w:r>
                                    <w:object w:dxaOrig="9450" w:dyaOrig="6720" w14:anchorId="7737D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0.25pt;height:190.75pt">
                                        <v:imagedata r:id="rId10" o:title=""/>
                                      </v:shape>
                                      <o:OLEObject Type="Embed" ProgID="SigmaPlotGraphicObject.12" ShapeID="_x0000_i1026" DrawAspect="Content" ObjectID="_1522406415" r:id="rId11"/>
                                    </w:object>
                                  </w:r>
                                </w:p>
                              </w:tc>
                              <w:tc>
                                <w:tcPr>
                                  <w:tcW w:w="5670" w:type="dxa"/>
                                  <w:gridSpan w:val="2"/>
                                </w:tcPr>
                                <w:p w14:paraId="389B368E" w14:textId="77777777" w:rsidR="00BF7A0C" w:rsidRDefault="00BF7A0C" w:rsidP="00F60A57">
                                  <w:pPr>
                                    <w:spacing w:after="240" w:line="240" w:lineRule="auto"/>
                                    <w:jc w:val="both"/>
                                    <w:rPr>
                                      <w:sz w:val="18"/>
                                      <w:szCs w:val="18"/>
                                    </w:rPr>
                                  </w:pPr>
                                  <w:r>
                                    <w:object w:dxaOrig="9030" w:dyaOrig="9330" w14:anchorId="350C4162">
                                      <v:shape id="_x0000_i1028" type="#_x0000_t75" style="width:268.35pt;height:277.7pt">
                                        <v:imagedata r:id="rId12" o:title=""/>
                                      </v:shape>
                                      <o:OLEObject Type="Embed" ProgID="SigmaPlotGraphicObject.12" ShapeID="_x0000_i1028" DrawAspect="Content" ObjectID="_1522406416" r:id="rId13"/>
                                    </w:object>
                                  </w:r>
                                </w:p>
                              </w:tc>
                            </w:tr>
                            <w:tr w:rsidR="00BF7A0C" w14:paraId="254D0A4E" w14:textId="77777777" w:rsidTr="00F60A57">
                              <w:trPr>
                                <w:gridBefore w:val="1"/>
                                <w:gridAfter w:val="1"/>
                                <w:wBefore w:w="743" w:type="dxa"/>
                                <w:wAfter w:w="958" w:type="dxa"/>
                                <w:jc w:val="center"/>
                              </w:trPr>
                              <w:tc>
                                <w:tcPr>
                                  <w:tcW w:w="8931" w:type="dxa"/>
                                  <w:gridSpan w:val="2"/>
                                  <w:vAlign w:val="center"/>
                                </w:tcPr>
                                <w:p w14:paraId="5A91C55B" w14:textId="77777777" w:rsidR="00BF7A0C" w:rsidRDefault="00BF7A0C" w:rsidP="000A6DAA">
                                  <w:pPr>
                                    <w:pStyle w:val="Caption"/>
                                    <w:jc w:val="both"/>
                                  </w:pPr>
                                  <w:bookmarkStart w:id="12" w:name="_Ref436046155"/>
                                  <w:r>
                                    <w:t xml:space="preserve">Figure </w:t>
                                  </w:r>
                                  <w:r>
                                    <w:fldChar w:fldCharType="begin"/>
                                  </w:r>
                                  <w:r>
                                    <w:instrText xml:space="preserve"> SEQ Figure \* ARABIC </w:instrText>
                                  </w:r>
                                  <w:r>
                                    <w:fldChar w:fldCharType="separate"/>
                                  </w:r>
                                  <w:r>
                                    <w:rPr>
                                      <w:noProof/>
                                    </w:rPr>
                                    <w:t>2</w:t>
                                  </w:r>
                                  <w:r>
                                    <w:fldChar w:fldCharType="end"/>
                                  </w:r>
                                  <w:bookmarkEnd w:id="12"/>
                                  <w:r w:rsidRPr="00536855">
                                    <w:t xml:space="preserve">. Tier 2 sustainability assessment: Economic </w:t>
                                  </w:r>
                                  <w:r>
                                    <w:t>IC</w:t>
                                  </w:r>
                                  <w:r w:rsidRPr="00536855">
                                    <w:t xml:space="preserve">s. A. is a bar chart showing the cumulative scores for the different </w:t>
                                  </w:r>
                                  <w:r>
                                    <w:t>ICs</w:t>
                                  </w:r>
                                  <w:r w:rsidRPr="00536855">
                                    <w:t xml:space="preserve">. B. is a radar plot that shows the distribution of scores in each </w:t>
                                  </w:r>
                                  <w:r>
                                    <w:t>IC</w:t>
                                  </w:r>
                                  <w:r w:rsidRPr="00536855">
                                    <w:t xml:space="preserve"> for the </w:t>
                                  </w:r>
                                  <w:r>
                                    <w:t>middle</w:t>
                                  </w:r>
                                  <w:r w:rsidRPr="00536855">
                                    <w:t xml:space="preserve"> estimate scenario, * represents priority </w:t>
                                  </w:r>
                                  <w:r>
                                    <w:t>IC</w:t>
                                  </w:r>
                                  <w:r w:rsidRPr="00536855">
                                    <w:t xml:space="preserve">s. Error bars on A. represent the minimum and maximum estimated values based on uncertainty analysis. For descriptions of Option 1-4 see </w:t>
                                  </w:r>
                                  <w:r w:rsidRPr="00536855">
                                    <w:rPr>
                                      <w:b/>
                                    </w:rPr>
                                    <w:fldChar w:fldCharType="begin"/>
                                  </w:r>
                                  <w:r w:rsidRPr="00536855">
                                    <w:instrText xml:space="preserve"> REF _Ref425235586 \h  \* MERGEFORMAT </w:instrText>
                                  </w:r>
                                  <w:r w:rsidRPr="00536855">
                                    <w:rPr>
                                      <w:b/>
                                    </w:rPr>
                                  </w:r>
                                  <w:r w:rsidRPr="00536855">
                                    <w:rPr>
                                      <w:b/>
                                    </w:rPr>
                                    <w:fldChar w:fldCharType="separate"/>
                                  </w:r>
                                  <w:r w:rsidRPr="00EC07A3">
                                    <w:t xml:space="preserve">Table </w:t>
                                  </w:r>
                                  <w:r>
                                    <w:rPr>
                                      <w:noProof/>
                                    </w:rPr>
                                    <w:t>3</w:t>
                                  </w:r>
                                  <w:r w:rsidRPr="00536855">
                                    <w:rPr>
                                      <w:b/>
                                    </w:rPr>
                                    <w:fldChar w:fldCharType="end"/>
                                  </w:r>
                                  <w:r w:rsidRPr="00536855">
                                    <w:t xml:space="preserve"> and ECON 1-5 see </w:t>
                                  </w:r>
                                  <w:r>
                                    <w:t>Table 4</w:t>
                                  </w:r>
                                  <w:r w:rsidRPr="00536855">
                                    <w:rPr>
                                      <w:b/>
                                    </w:rPr>
                                    <w:fldChar w:fldCharType="begin"/>
                                  </w:r>
                                  <w:r w:rsidRPr="00536855">
                                    <w:instrText xml:space="preserve"> REF _Ref424564194 \h  \* MERGEFORMAT </w:instrText>
                                  </w:r>
                                  <w:r w:rsidRPr="00536855">
                                    <w:rPr>
                                      <w:b/>
                                    </w:rPr>
                                  </w:r>
                                  <w:r w:rsidRPr="00536855">
                                    <w:rPr>
                                      <w:b/>
                                    </w:rPr>
                                    <w:fldChar w:fldCharType="end"/>
                                  </w:r>
                                  <w:r w:rsidRPr="00536855">
                                    <w:t>.</w:t>
                                  </w:r>
                                </w:p>
                              </w:tc>
                            </w:tr>
                            <w:bookmarkEnd w:id="11"/>
                          </w:tbl>
                          <w:p w14:paraId="7D5D240A" w14:textId="61CD275C" w:rsidR="00BF7A0C" w:rsidRDefault="00BF7A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4E5E2" id="_x0000_s1031" type="#_x0000_t202" style="position:absolute;left:0;text-align:left;margin-left:-39.75pt;margin-top:79.75pt;width:523.5pt;height:363.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" stroked="f">
                <v:textbox>
                  <w:txbxContent>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3"/>
                        <w:gridCol w:w="4219"/>
                        <w:gridCol w:w="4712"/>
                        <w:gridCol w:w="958"/>
                      </w:tblGrid>
                      <w:tr w:rsidR="00BF7A0C" w14:paraId="3588C246" w14:textId="77777777" w:rsidTr="00F60A57">
                        <w:trPr>
                          <w:jc w:val="center"/>
                        </w:trPr>
                        <w:tc>
                          <w:tcPr>
                            <w:tcW w:w="4962" w:type="dxa"/>
                            <w:gridSpan w:val="2"/>
                            <w:vAlign w:val="center"/>
                          </w:tcPr>
                          <w:bookmarkStart w:id="13" w:name="_Ref425431341"/>
                          <w:p w14:paraId="32350F5D" w14:textId="77777777" w:rsidR="00BF7A0C" w:rsidRDefault="00BF7A0C" w:rsidP="00F60A57">
                            <w:pPr>
                              <w:spacing w:after="240" w:line="240" w:lineRule="auto"/>
                              <w:jc w:val="center"/>
                              <w:rPr>
                                <w:sz w:val="18"/>
                                <w:szCs w:val="18"/>
                              </w:rPr>
                            </w:pPr>
                            <w:r>
                              <w:object w:dxaOrig="9450" w:dyaOrig="6720" w14:anchorId="7737DC53">
                                <v:shape id="_x0000_i1026" type="#_x0000_t75" style="width:270.25pt;height:190.75pt">
                                  <v:imagedata r:id="rId10" o:title=""/>
                                </v:shape>
                                <o:OLEObject Type="Embed" ProgID="SigmaPlotGraphicObject.12" ShapeID="_x0000_i1026" DrawAspect="Content" ObjectID="_1522406415" r:id="rId14"/>
                              </w:object>
                            </w:r>
                          </w:p>
                        </w:tc>
                        <w:tc>
                          <w:tcPr>
                            <w:tcW w:w="5670" w:type="dxa"/>
                            <w:gridSpan w:val="2"/>
                          </w:tcPr>
                          <w:p w14:paraId="389B368E" w14:textId="77777777" w:rsidR="00BF7A0C" w:rsidRDefault="00BF7A0C" w:rsidP="00F60A57">
                            <w:pPr>
                              <w:spacing w:after="240" w:line="240" w:lineRule="auto"/>
                              <w:jc w:val="both"/>
                              <w:rPr>
                                <w:sz w:val="18"/>
                                <w:szCs w:val="18"/>
                              </w:rPr>
                            </w:pPr>
                            <w:r>
                              <w:object w:dxaOrig="9030" w:dyaOrig="9330" w14:anchorId="350C4162">
                                <v:shape id="_x0000_i1028" type="#_x0000_t75" style="width:268.35pt;height:277.7pt">
                                  <v:imagedata r:id="rId12" o:title=""/>
                                </v:shape>
                                <o:OLEObject Type="Embed" ProgID="SigmaPlotGraphicObject.12" ShapeID="_x0000_i1028" DrawAspect="Content" ObjectID="_1522406416" r:id="rId15"/>
                              </w:object>
                            </w:r>
                          </w:p>
                        </w:tc>
                      </w:tr>
                      <w:tr w:rsidR="00BF7A0C" w14:paraId="254D0A4E" w14:textId="77777777" w:rsidTr="00F60A57">
                        <w:trPr>
                          <w:gridBefore w:val="1"/>
                          <w:gridAfter w:val="1"/>
                          <w:wBefore w:w="743" w:type="dxa"/>
                          <w:wAfter w:w="958" w:type="dxa"/>
                          <w:jc w:val="center"/>
                        </w:trPr>
                        <w:tc>
                          <w:tcPr>
                            <w:tcW w:w="8931" w:type="dxa"/>
                            <w:gridSpan w:val="2"/>
                            <w:vAlign w:val="center"/>
                          </w:tcPr>
                          <w:p w14:paraId="5A91C55B" w14:textId="77777777" w:rsidR="00BF7A0C" w:rsidRDefault="00BF7A0C" w:rsidP="000A6DAA">
                            <w:pPr>
                              <w:pStyle w:val="Caption"/>
                              <w:jc w:val="both"/>
                            </w:pPr>
                            <w:bookmarkStart w:id="14" w:name="_Ref436046155"/>
                            <w:r>
                              <w:t xml:space="preserve">Figure </w:t>
                            </w:r>
                            <w:r>
                              <w:fldChar w:fldCharType="begin"/>
                            </w:r>
                            <w:r>
                              <w:instrText xml:space="preserve"> SEQ Figure \* ARABIC </w:instrText>
                            </w:r>
                            <w:r>
                              <w:fldChar w:fldCharType="separate"/>
                            </w:r>
                            <w:r>
                              <w:rPr>
                                <w:noProof/>
                              </w:rPr>
                              <w:t>2</w:t>
                            </w:r>
                            <w:r>
                              <w:fldChar w:fldCharType="end"/>
                            </w:r>
                            <w:bookmarkEnd w:id="14"/>
                            <w:r w:rsidRPr="00536855">
                              <w:t xml:space="preserve">. Tier 2 sustainability assessment: Economic </w:t>
                            </w:r>
                            <w:r>
                              <w:t>IC</w:t>
                            </w:r>
                            <w:r w:rsidRPr="00536855">
                              <w:t xml:space="preserve">s. A. is a bar chart showing the cumulative scores for the different </w:t>
                            </w:r>
                            <w:r>
                              <w:t>ICs</w:t>
                            </w:r>
                            <w:r w:rsidRPr="00536855">
                              <w:t xml:space="preserve">. B. is a radar plot that shows the distribution of scores in each </w:t>
                            </w:r>
                            <w:r>
                              <w:t>IC</w:t>
                            </w:r>
                            <w:r w:rsidRPr="00536855">
                              <w:t xml:space="preserve"> for the </w:t>
                            </w:r>
                            <w:r>
                              <w:t>middle</w:t>
                            </w:r>
                            <w:r w:rsidRPr="00536855">
                              <w:t xml:space="preserve"> estimate scenario, * represents priority </w:t>
                            </w:r>
                            <w:r>
                              <w:t>IC</w:t>
                            </w:r>
                            <w:r w:rsidRPr="00536855">
                              <w:t xml:space="preserve">s. Error bars on A. represent the minimum and maximum estimated values based on uncertainty analysis. For descriptions of Option 1-4 see </w:t>
                            </w:r>
                            <w:r w:rsidRPr="00536855">
                              <w:rPr>
                                <w:b/>
                              </w:rPr>
                              <w:fldChar w:fldCharType="begin"/>
                            </w:r>
                            <w:r w:rsidRPr="00536855">
                              <w:instrText xml:space="preserve"> REF _Ref425235586 \h  \* MERGEFORMAT </w:instrText>
                            </w:r>
                            <w:r w:rsidRPr="00536855">
                              <w:rPr>
                                <w:b/>
                              </w:rPr>
                            </w:r>
                            <w:r w:rsidRPr="00536855">
                              <w:rPr>
                                <w:b/>
                              </w:rPr>
                              <w:fldChar w:fldCharType="separate"/>
                            </w:r>
                            <w:r w:rsidRPr="00EC07A3">
                              <w:t xml:space="preserve">Table </w:t>
                            </w:r>
                            <w:r>
                              <w:rPr>
                                <w:noProof/>
                              </w:rPr>
                              <w:t>3</w:t>
                            </w:r>
                            <w:r w:rsidRPr="00536855">
                              <w:rPr>
                                <w:b/>
                              </w:rPr>
                              <w:fldChar w:fldCharType="end"/>
                            </w:r>
                            <w:r w:rsidRPr="00536855">
                              <w:t xml:space="preserve"> and ECON 1-5 see </w:t>
                            </w:r>
                            <w:r>
                              <w:t>Table 4</w:t>
                            </w:r>
                            <w:r w:rsidRPr="00536855">
                              <w:rPr>
                                <w:b/>
                              </w:rPr>
                              <w:fldChar w:fldCharType="begin"/>
                            </w:r>
                            <w:r w:rsidRPr="00536855">
                              <w:instrText xml:space="preserve"> REF _Ref424564194 \h  \* MERGEFORMAT </w:instrText>
                            </w:r>
                            <w:r w:rsidRPr="00536855">
                              <w:rPr>
                                <w:b/>
                              </w:rPr>
                            </w:r>
                            <w:r w:rsidRPr="00536855">
                              <w:rPr>
                                <w:b/>
                              </w:rPr>
                              <w:fldChar w:fldCharType="end"/>
                            </w:r>
                            <w:r w:rsidRPr="00536855">
                              <w:t>.</w:t>
                            </w:r>
                          </w:p>
                        </w:tc>
                      </w:tr>
                      <w:bookmarkEnd w:id="13"/>
                    </w:tbl>
                    <w:p w14:paraId="7D5D240A" w14:textId="61CD275C" w:rsidR="00BF7A0C" w:rsidRDefault="00BF7A0C"/>
                  </w:txbxContent>
                </v:textbox>
                <w10:wrap type="square"/>
              </v:shape>
            </w:pict>
          </mc:Fallback>
        </mc:AlternateContent>
      </w:r>
      <w:r w:rsidR="00DA1871" w:rsidRPr="00907FD3">
        <w:t>Treatment durations for Option 2-4 are within a similar range based on the</w:t>
      </w:r>
      <w:r w:rsidR="00E54A8D" w:rsidRPr="00907FD3">
        <w:t xml:space="preserve"> quantitative </w:t>
      </w:r>
      <w:r w:rsidR="00DA1871" w:rsidRPr="00907FD3">
        <w:t xml:space="preserve">uncertainty analysis. </w:t>
      </w:r>
      <w:r w:rsidR="00211B0C" w:rsidRPr="00907FD3">
        <w:t>T</w:t>
      </w:r>
      <w:r w:rsidR="00DA1871" w:rsidRPr="00907FD3">
        <w:t xml:space="preserve">hey are relatively short </w:t>
      </w:r>
      <w:r w:rsidR="00211B0C" w:rsidRPr="00907FD3">
        <w:t xml:space="preserve">compared with Option 1 </w:t>
      </w:r>
      <w:r w:rsidR="00DA1871" w:rsidRPr="00907FD3">
        <w:t>and so little difference can be identified between them. This influences ECON 2, 3 and 5*</w:t>
      </w:r>
      <w:r w:rsidR="00211B0C" w:rsidRPr="00907FD3">
        <w:t xml:space="preserve">, </w:t>
      </w:r>
      <w:r w:rsidR="00DA1871" w:rsidRPr="00907FD3">
        <w:t>where treatment duration is a key factor.</w:t>
      </w:r>
    </w:p>
    <w:p w14:paraId="6148C240" w14:textId="1F1CFFDA" w:rsidR="00A71076" w:rsidRPr="00907FD3" w:rsidRDefault="00A71076" w:rsidP="008956EC">
      <w:pPr>
        <w:pStyle w:val="Heading3"/>
      </w:pPr>
      <w:r w:rsidRPr="00907FD3">
        <w:t>Environmental indicator</w:t>
      </w:r>
      <w:r w:rsidR="00595295" w:rsidRPr="00907FD3">
        <w:t xml:space="preserve"> categorie</w:t>
      </w:r>
      <w:r w:rsidRPr="00907FD3">
        <w:t>s</w:t>
      </w:r>
    </w:p>
    <w:p w14:paraId="3F5102FE" w14:textId="1904E34D" w:rsidR="00DA1871" w:rsidRPr="00907FD3" w:rsidRDefault="00211B0C" w:rsidP="00404590">
      <w:pPr>
        <w:spacing w:line="480" w:lineRule="auto"/>
        <w:jc w:val="both"/>
      </w:pPr>
      <w:r w:rsidRPr="00907FD3">
        <w:t xml:space="preserve">Greater </w:t>
      </w:r>
      <w:r w:rsidR="00DA1871" w:rsidRPr="00907FD3">
        <w:t xml:space="preserve">difference between options can be identified using environmental </w:t>
      </w:r>
      <w:r w:rsidR="00595295" w:rsidRPr="00907FD3">
        <w:t>IC</w:t>
      </w:r>
      <w:r w:rsidR="00DA1871" w:rsidRPr="00907FD3">
        <w:t>s (</w:t>
      </w:r>
      <w:r w:rsidR="00DA1871" w:rsidRPr="00907FD3">
        <w:fldChar w:fldCharType="begin"/>
      </w:r>
      <w:r w:rsidR="00DA1871" w:rsidRPr="00907FD3">
        <w:instrText xml:space="preserve"> REF _Ref425433072 \h </w:instrText>
      </w:r>
      <w:r w:rsidR="00C52E15" w:rsidRPr="00907FD3">
        <w:instrText xml:space="preserve"> \* MERGEFORMAT </w:instrText>
      </w:r>
      <w:r w:rsidR="00DA1871" w:rsidRPr="00907FD3">
        <w:fldChar w:fldCharType="separate"/>
      </w:r>
      <w:r w:rsidR="0047111A" w:rsidRPr="00907FD3">
        <w:t xml:space="preserve">Figure </w:t>
      </w:r>
      <w:r w:rsidR="0047111A" w:rsidRPr="00907FD3">
        <w:rPr>
          <w:noProof/>
        </w:rPr>
        <w:t>5</w:t>
      </w:r>
      <w:r w:rsidR="00DA1871" w:rsidRPr="00907FD3">
        <w:fldChar w:fldCharType="end"/>
      </w:r>
      <w:r w:rsidR="00DA1871" w:rsidRPr="00907FD3">
        <w:t xml:space="preserve">A). </w:t>
      </w:r>
      <w:r w:rsidR="00C52E15" w:rsidRPr="00907FD3">
        <w:t>Option 1 scores noticeably higher than Option 3 due to a difference between the minimum and maximum MCA scores</w:t>
      </w:r>
      <w:r w:rsidR="00DA1871" w:rsidRPr="00907FD3">
        <w:t xml:space="preserve">. This is due to </w:t>
      </w:r>
      <w:r w:rsidRPr="00907FD3">
        <w:t xml:space="preserve">the prolonged impact of </w:t>
      </w:r>
      <w:r w:rsidR="00DA1871" w:rsidRPr="00907FD3">
        <w:t>Option 1 on soil and groundwater conditions (ENV 2 and ENV 3*</w:t>
      </w:r>
      <w:r w:rsidRPr="00907FD3">
        <w:t xml:space="preserve">, </w:t>
      </w:r>
      <w:r w:rsidR="00DA1871" w:rsidRPr="00907FD3">
        <w:t xml:space="preserve">respectively). </w:t>
      </w:r>
      <w:r w:rsidRPr="00907FD3">
        <w:t xml:space="preserve">Conversely, </w:t>
      </w:r>
      <w:r w:rsidR="00DA1871" w:rsidRPr="00907FD3">
        <w:t xml:space="preserve">Option 3 has a low associated score </w:t>
      </w:r>
      <w:r w:rsidRPr="00907FD3">
        <w:t xml:space="preserve">due to </w:t>
      </w:r>
      <w:r w:rsidR="00DA1871" w:rsidRPr="00907FD3">
        <w:t xml:space="preserve">the benefits of </w:t>
      </w:r>
      <w:r w:rsidR="00A71076" w:rsidRPr="00907FD3">
        <w:t>AS-</w:t>
      </w:r>
      <w:r w:rsidR="00DA1871" w:rsidRPr="00907FD3">
        <w:t xml:space="preserve">SVE treatment </w:t>
      </w:r>
      <w:r w:rsidRPr="00907FD3">
        <w:t xml:space="preserve">used </w:t>
      </w:r>
      <w:r w:rsidR="00DA1871" w:rsidRPr="00907FD3">
        <w:t xml:space="preserve">to improve </w:t>
      </w:r>
      <w:r w:rsidR="00A71076" w:rsidRPr="00907FD3">
        <w:t xml:space="preserve">both </w:t>
      </w:r>
      <w:r w:rsidR="00DA1871" w:rsidRPr="00907FD3">
        <w:t xml:space="preserve">soil and groundwater conditions by treating residual LNAPL and extracting </w:t>
      </w:r>
      <w:r w:rsidRPr="00907FD3">
        <w:t>VOC</w:t>
      </w:r>
      <w:r w:rsidR="00DA1871" w:rsidRPr="00907FD3">
        <w:t xml:space="preserve"> from the soil </w:t>
      </w:r>
      <w:r w:rsidR="00A71076" w:rsidRPr="00907FD3">
        <w:t>zone</w:t>
      </w:r>
      <w:r w:rsidR="00DA1871" w:rsidRPr="00907FD3">
        <w:t>.</w:t>
      </w:r>
    </w:p>
    <w:p w14:paraId="21EC99C6" w14:textId="77777777" w:rsidR="00DA1871" w:rsidRPr="00907FD3" w:rsidRDefault="00DA1871" w:rsidP="00404590">
      <w:pPr>
        <w:spacing w:line="480" w:lineRule="auto"/>
        <w:jc w:val="both"/>
      </w:pPr>
      <w:r w:rsidRPr="00907FD3">
        <w:lastRenderedPageBreak/>
        <w:t xml:space="preserve">Option 1 scores highly for ENV 3* </w:t>
      </w:r>
      <w:r w:rsidR="00F96B6C" w:rsidRPr="00907FD3">
        <w:t xml:space="preserve">which </w:t>
      </w:r>
      <w:r w:rsidRPr="00907FD3">
        <w:t xml:space="preserve">considers the value of groundwater </w:t>
      </w:r>
      <w:r w:rsidR="00A71076" w:rsidRPr="00907FD3">
        <w:t xml:space="preserve">abstraction opportunity </w:t>
      </w:r>
      <w:r w:rsidRPr="00907FD3">
        <w:t xml:space="preserve">lost to the water </w:t>
      </w:r>
      <w:r w:rsidR="00E1698C" w:rsidRPr="00907FD3">
        <w:t>abstractor</w:t>
      </w:r>
      <w:r w:rsidR="00F96B6C" w:rsidRPr="00907FD3">
        <w:t>,</w:t>
      </w:r>
      <w:r w:rsidRPr="00907FD3">
        <w:t xml:space="preserve"> based on </w:t>
      </w:r>
      <w:r w:rsidR="00F96B6C" w:rsidRPr="00907FD3">
        <w:t xml:space="preserve">the volume extracted by </w:t>
      </w:r>
      <w:r w:rsidRPr="00907FD3">
        <w:t xml:space="preserve">the HCS over the treatment </w:t>
      </w:r>
      <w:r w:rsidR="00F96B6C" w:rsidRPr="00907FD3">
        <w:t>period</w:t>
      </w:r>
      <w:r w:rsidR="00791ED0" w:rsidRPr="00907FD3">
        <w:t xml:space="preserve"> </w:t>
      </w:r>
      <w:r w:rsidR="00A71076" w:rsidRPr="00907FD3">
        <w:t>(Bartlett et al. 2014)</w:t>
      </w:r>
      <w:r w:rsidRPr="00907FD3">
        <w:t xml:space="preserve">. Option 2 scores high against ENV 3* due to </w:t>
      </w:r>
      <w:r w:rsidR="00F96B6C" w:rsidRPr="00907FD3">
        <w:t xml:space="preserve">the </w:t>
      </w:r>
      <w:r w:rsidRPr="00907FD3">
        <w:t xml:space="preserve">potential </w:t>
      </w:r>
      <w:r w:rsidR="00F96B6C" w:rsidRPr="00907FD3">
        <w:t xml:space="preserve">generation of acid and base fronts by </w:t>
      </w:r>
      <w:r w:rsidRPr="00907FD3">
        <w:t xml:space="preserve">uncontrolled electrolysis reactions at the electrodes. However the </w:t>
      </w:r>
      <w:r w:rsidR="00F96B6C" w:rsidRPr="00907FD3">
        <w:t>effect</w:t>
      </w:r>
      <w:r w:rsidRPr="00907FD3">
        <w:t xml:space="preserve"> of adding a large mass of sodium nitrate (6-11 t over treatment) is not considered</w:t>
      </w:r>
      <w:r w:rsidR="00F96B6C" w:rsidRPr="00907FD3">
        <w:t>,</w:t>
      </w:r>
      <w:r w:rsidRPr="00907FD3">
        <w:t xml:space="preserve"> because it is assumed that the nitrate will be consumed by biodegradation and thus not impact </w:t>
      </w:r>
      <w:r w:rsidR="00F96B6C" w:rsidRPr="00907FD3">
        <w:t xml:space="preserve">downgradient </w:t>
      </w:r>
      <w:r w:rsidRPr="00907FD3">
        <w:t>receptors.</w:t>
      </w:r>
    </w:p>
    <w:p w14:paraId="0CD4100F" w14:textId="49AB3501" w:rsidR="00DA1871" w:rsidRPr="00907FD3" w:rsidRDefault="00E1698C" w:rsidP="00404590">
      <w:pPr>
        <w:spacing w:line="480" w:lineRule="auto"/>
        <w:jc w:val="both"/>
      </w:pPr>
      <w:r w:rsidRPr="00907FD3">
        <w:t xml:space="preserve">Atmospheric </w:t>
      </w:r>
      <w:r w:rsidR="00DA1871" w:rsidRPr="00907FD3">
        <w:t>emission of CO</w:t>
      </w:r>
      <w:r w:rsidR="00DA1871" w:rsidRPr="00907FD3">
        <w:rPr>
          <w:vertAlign w:val="subscript"/>
        </w:rPr>
        <w:t>2</w:t>
      </w:r>
      <w:r w:rsidR="00DA1871" w:rsidRPr="00907FD3">
        <w:t xml:space="preserve"> (ENV 1*) </w:t>
      </w:r>
      <w:r w:rsidRPr="00907FD3">
        <w:t xml:space="preserve">is </w:t>
      </w:r>
      <w:r w:rsidR="00DA1871" w:rsidRPr="00907FD3">
        <w:t xml:space="preserve">driven by </w:t>
      </w:r>
      <w:r w:rsidR="00B05115" w:rsidRPr="00907FD3">
        <w:t xml:space="preserve">several </w:t>
      </w:r>
      <w:r w:rsidR="00DA1871" w:rsidRPr="00907FD3">
        <w:t>factors</w:t>
      </w:r>
      <w:r w:rsidR="00B05115" w:rsidRPr="00907FD3">
        <w:t>,</w:t>
      </w:r>
      <w:r w:rsidR="00DA1871" w:rsidRPr="00907FD3">
        <w:t xml:space="preserve"> namely treatment power consumption, transport to and from site</w:t>
      </w:r>
      <w:r w:rsidR="00B05115" w:rsidRPr="00907FD3">
        <w:t>,</w:t>
      </w:r>
      <w:r w:rsidR="00DA1871" w:rsidRPr="00907FD3">
        <w:t xml:space="preserve"> and amendment production. Option 2 scores well </w:t>
      </w:r>
      <w:r w:rsidR="00B05115" w:rsidRPr="00907FD3">
        <w:t xml:space="preserve">due to </w:t>
      </w:r>
      <w:r w:rsidR="00DA1871" w:rsidRPr="00907FD3">
        <w:t xml:space="preserve">the low electricity requirement; it has an </w:t>
      </w:r>
      <w:r w:rsidRPr="00907FD3">
        <w:t xml:space="preserve">estimated </w:t>
      </w:r>
      <w:r w:rsidR="00DA1871" w:rsidRPr="00907FD3">
        <w:t xml:space="preserve">energy </w:t>
      </w:r>
      <w:r w:rsidRPr="00907FD3">
        <w:t xml:space="preserve">demand </w:t>
      </w:r>
      <w:r w:rsidR="00DA1871" w:rsidRPr="00907FD3">
        <w:t>range between 14-30 kWh m</w:t>
      </w:r>
      <w:r w:rsidR="00DA1871" w:rsidRPr="00907FD3">
        <w:rPr>
          <w:vertAlign w:val="superscript"/>
        </w:rPr>
        <w:t>-3</w:t>
      </w:r>
      <w:r w:rsidR="00B05115" w:rsidRPr="00907FD3">
        <w:t>, which</w:t>
      </w:r>
      <w:r w:rsidR="00DA1871" w:rsidRPr="00907FD3">
        <w:t xml:space="preserve"> compares well to literature values of 19 kWh m</w:t>
      </w:r>
      <w:r w:rsidR="00DA1871" w:rsidRPr="00907FD3">
        <w:rPr>
          <w:vertAlign w:val="superscript"/>
        </w:rPr>
        <w:t>-3</w:t>
      </w:r>
      <w:r w:rsidR="00DA1871" w:rsidRPr="00907FD3">
        <w:t xml:space="preserve"> </w:t>
      </w:r>
      <w:r w:rsidR="00DA1871" w:rsidRPr="00907FD3">
        <w:fldChar w:fldCharType="begin" w:fldLock="1"/>
      </w:r>
      <w:r w:rsidR="00C10589" w:rsidRPr="00907FD3">
        <w:instrText>ADDIN CSL_CITATION { "citationItems" : [ { "id" : "ITEM-1", "itemData" : { "DOI" : "10.1080/10934520601134213", "ISSN" : "1093-4529", "PMID" : "17365294", "abstract" : "Creosote is a toxic and carcinogenic substance used in wood impregnation. Approximately 1,200 sites in Finland are contaminated with creosote. This study examined the possibility of enhancing bioremediation of creosote-contaminated soil with a combination of electric heating and infiltration and electrokinetic introduction of oxygenated, nutrient-rich liquid. Preliminary tests were performed in the laboratory, and a pilot test was conducted in situ at a creosote-contaminated former wood impregnation plant in Eastern Finland. Wood preservation practices at the plant were discontinued in 1989, but the soil and the groundwater in the area are still highly contaminated. The laboratory tests were mainly performed as a methodological test aiming for upscaling. The soils used in these tests were a highly polluted soil from a marsh next to the impregnation plant and a less polluted soil near the base of the impregnation building. The laboratory test showed that the relative degradation was significantly higher in high initial contaminant concentrations than with low initial concentrations. During the first 7 weeks, PAH-concentrations decreased by 68% in the marsh soil compared with a 51% reduction in the building soil. The field test was performed to a ca. 100 m3 soil section next to the former impregnation building. Nutrient and oxygen levels in the soils were elevated by hydraulic and electrokinetic pumping of urea and phosphate amended, aerated water into the soil. The DC current introduced into the soil raised the temperature from the ambient ca. 6 degrees C up to between 16 and 50 degrees C. Total PAH concentrations decreased by 50-80% during 3 months of treatment while mineral oil concentrations decreased approximately 30%. Electrokinetically enhanced in situ - bioremediation, which also significantly raised the soil temperature, proved to be a promising method to remediate creosote-contaminated soils.", "author" : [ { "dropping-particle" : "", "family" : "Suni", "given" : "Sonja", "non-dropping-particle" : "", "parse-names" : false, "suffix" : "" }, { "dropping-particle" : "", "family" : "Malinen", "given" : "Essi", "non-dropping-particle" : "", "parse-names" : false, "suffix" : "" }, { "dropping-particle" : "", "family" : "Kosonen", "given" : "Jarmo", "non-dropping-particle" : "", "parse-names" : false, "suffix" : "" }, { "dropping-particle" : "", "family" : "Silvennoinen", "given" : "Hannu", "non-dropping-particle" : "", "parse-names" : false, "suffix" : "" }, { "dropping-particle" : "", "family" : "Romantschuk", "given" : "Martin", "non-dropping-particle" : "", "parse-names" : false, "suffix" : "" } ], "container-title" : "Journal of environmental science and health. Part A, Toxic/hazardous substances &amp; environmental engineering", "id" : "ITEM-1", "issue" : "3", "issued" : { "date-parts" : [ [ "2007", "2", "15" ] ] }, "note" : "temp jump in lab tests+\n\nRadial electrod econfiguration - metal electrodes subject to oxidation at low pH", "page" : "277-87", "title" : "Electrokinetically enhanced bioremediation of creosote-contaminated soil: laboratory and field studies.", "type" : "article-journal", "volume" : "42" }, "uris" : [ "http://www.mendeley.com/documents/?uuid=486de5d9-de7c-4f1f-9633-fe77ae7715bb" ] } ], "mendeley" : { "formattedCitation" : "(Suni, Malinen, Kosonen, Silvennoinen, &amp; Romantschuk, 2007)", "manualFormatting" : "(Suni et al., 2007)", "plainTextFormattedCitation" : "(Suni, Malinen, Kosonen, Silvennoinen, &amp; Romantschuk, 2007)", "previouslyFormattedCitation" : "(Suni, Malinen, Kosonen, Silvennoinen, &amp; Romantschuk, 2007)" }, "properties" : { "noteIndex" : 0 }, "schema" : "https://github.com/citation-style-language/schema/raw/master/csl-citation.json" }</w:instrText>
      </w:r>
      <w:r w:rsidR="00DA1871" w:rsidRPr="00907FD3">
        <w:fldChar w:fldCharType="separate"/>
      </w:r>
      <w:r w:rsidR="00DA1871" w:rsidRPr="00907FD3">
        <w:rPr>
          <w:noProof/>
        </w:rPr>
        <w:t>(Suni et al., 2007)</w:t>
      </w:r>
      <w:r w:rsidR="00DA1871" w:rsidRPr="00907FD3">
        <w:fldChar w:fldCharType="end"/>
      </w:r>
      <w:r w:rsidR="00DA1871" w:rsidRPr="00907FD3">
        <w:t>. Option 1 and Option 4 have high air emission values due to long</w:t>
      </w:r>
      <w:r w:rsidR="00B05115" w:rsidRPr="00907FD3">
        <w:t>-</w:t>
      </w:r>
      <w:r w:rsidR="00DA1871" w:rsidRPr="00907FD3">
        <w:t xml:space="preserve">term weekly visits </w:t>
      </w:r>
      <w:r w:rsidRPr="00907FD3">
        <w:t xml:space="preserve">(road transport) </w:t>
      </w:r>
      <w:r w:rsidR="00B05115" w:rsidRPr="00907FD3">
        <w:t xml:space="preserve">to </w:t>
      </w:r>
      <w:r w:rsidR="00DA1871" w:rsidRPr="00907FD3">
        <w:t xml:space="preserve">maintain the HCS and high power requirements for to an air stripper </w:t>
      </w:r>
      <w:r w:rsidR="00B05115" w:rsidRPr="00907FD3">
        <w:t>and</w:t>
      </w:r>
      <w:r w:rsidR="00DA1871" w:rsidRPr="00907FD3">
        <w:t xml:space="preserve"> GAC treatment module</w:t>
      </w:r>
      <w:r w:rsidR="00B05115" w:rsidRPr="00907FD3">
        <w:t>,</w:t>
      </w:r>
      <w:r w:rsidR="00DA1871" w:rsidRPr="00907FD3">
        <w:t xml:space="preserve"> respectively. </w:t>
      </w:r>
    </w:p>
    <w:p w14:paraId="3E78BBBB" w14:textId="3D2ACE3A" w:rsidR="00DA1871" w:rsidRPr="00907FD3" w:rsidRDefault="00DA1871" w:rsidP="00404590">
      <w:pPr>
        <w:spacing w:line="480" w:lineRule="auto"/>
        <w:jc w:val="both"/>
      </w:pPr>
      <w:r w:rsidRPr="00907FD3">
        <w:t xml:space="preserve">Option 2 to 4 </w:t>
      </w:r>
      <w:r w:rsidR="00B05115" w:rsidRPr="00907FD3">
        <w:t>are not easily distinguishable using</w:t>
      </w:r>
      <w:r w:rsidRPr="00907FD3">
        <w:t xml:space="preserve"> </w:t>
      </w:r>
      <w:r w:rsidR="00D54C1F" w:rsidRPr="00907FD3">
        <w:t xml:space="preserve">the </w:t>
      </w:r>
      <w:r w:rsidRPr="00907FD3">
        <w:t xml:space="preserve">natural resources and waste indicator (ENV 5). ENV 5 </w:t>
      </w:r>
      <w:r w:rsidR="00E1698C" w:rsidRPr="00907FD3">
        <w:t>combines</w:t>
      </w:r>
      <w:r w:rsidRPr="00907FD3">
        <w:t xml:space="preserve"> four categories</w:t>
      </w:r>
      <w:r w:rsidR="00B05115" w:rsidRPr="00907FD3">
        <w:t>:</w:t>
      </w:r>
      <w:r w:rsidRPr="00907FD3">
        <w:t xml:space="preserve"> water discharged as a result of treatment only (does not include HCS), soil displaced from new well drilling, PVC mass used in new well construction and consumption of </w:t>
      </w:r>
      <w:r w:rsidR="00E1698C" w:rsidRPr="00907FD3">
        <w:t>fuel</w:t>
      </w:r>
      <w:r w:rsidRPr="00907FD3">
        <w:t>. Option 1 scores high</w:t>
      </w:r>
      <w:r w:rsidR="00D54C1F" w:rsidRPr="00907FD3">
        <w:t>ly</w:t>
      </w:r>
      <w:r w:rsidRPr="00907FD3">
        <w:t xml:space="preserve"> for </w:t>
      </w:r>
      <w:r w:rsidR="00E1698C" w:rsidRPr="00907FD3">
        <w:t xml:space="preserve">fuel </w:t>
      </w:r>
      <w:r w:rsidRPr="00907FD3">
        <w:t xml:space="preserve">consumed due to numerous site visits, but </w:t>
      </w:r>
      <w:r w:rsidR="00B541F3" w:rsidRPr="00907FD3">
        <w:t xml:space="preserve">low </w:t>
      </w:r>
      <w:r w:rsidRPr="00907FD3">
        <w:t xml:space="preserve">for other values as no </w:t>
      </w:r>
      <w:r w:rsidR="00D173B4" w:rsidRPr="00907FD3">
        <w:rPr>
          <w:noProof/>
          <w:lang w:val="en-GB" w:eastAsia="en-GB"/>
        </w:rPr>
        <w:lastRenderedPageBreak/>
        <mc:AlternateContent>
          <mc:Choice Requires="wps">
            <w:drawing>
              <wp:anchor distT="45720" distB="45720" distL="114300" distR="114300" simplePos="0" relativeHeight="251673600" behindDoc="0" locked="0" layoutInCell="1" allowOverlap="1" wp14:anchorId="57B9274F" wp14:editId="4CE66766">
                <wp:simplePos x="0" y="0"/>
                <wp:positionH relativeFrom="column">
                  <wp:posOffset>-533400</wp:posOffset>
                </wp:positionH>
                <wp:positionV relativeFrom="paragraph">
                  <wp:posOffset>0</wp:posOffset>
                </wp:positionV>
                <wp:extent cx="6791325" cy="48863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4886325"/>
                        </a:xfrm>
                        <a:prstGeom prst="rect">
                          <a:avLst/>
                        </a:prstGeom>
                        <a:solidFill>
                          <a:srgbClr val="FFFFFF"/>
                        </a:solidFill>
                        <a:ln w="9525">
                          <a:noFill/>
                          <a:miter lim="800000"/>
                          <a:headEnd/>
                          <a:tailEnd/>
                        </a:ln>
                      </wps:spPr>
                      <wps:txbx>
                        <w:txbxContent>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3"/>
                              <w:gridCol w:w="4361"/>
                              <w:gridCol w:w="4853"/>
                              <w:gridCol w:w="675"/>
                            </w:tblGrid>
                            <w:tr w:rsidR="00BF7A0C" w14:paraId="49D6CC97" w14:textId="77777777" w:rsidTr="00D173B4">
                              <w:trPr>
                                <w:trHeight w:val="5436"/>
                                <w:jc w:val="center"/>
                              </w:trPr>
                              <w:tc>
                                <w:tcPr>
                                  <w:tcW w:w="5104" w:type="dxa"/>
                                  <w:gridSpan w:val="2"/>
                                  <w:shd w:val="clear" w:color="auto" w:fill="auto"/>
                                  <w:vAlign w:val="center"/>
                                </w:tcPr>
                                <w:p w14:paraId="0A5419A1" w14:textId="26EAA82C" w:rsidR="00BF7A0C" w:rsidRDefault="00BF7A0C" w:rsidP="00D173B4">
                                  <w:pPr>
                                    <w:spacing w:after="0" w:line="240" w:lineRule="auto"/>
                                    <w:jc w:val="center"/>
                                  </w:pPr>
                                  <w:r>
                                    <w:object w:dxaOrig="9240" w:dyaOrig="7965" w14:anchorId="6B4DE8D8">
                                      <v:shape id="_x0000_i1030" type="#_x0000_t75" style="width:270.25pt;height:231.9pt">
                                        <v:imagedata r:id="rId16" o:title=""/>
                                      </v:shape>
                                      <o:OLEObject Type="Embed" ProgID="SigmaPlotGraphicObject.12" ShapeID="_x0000_i1030" DrawAspect="Content" ObjectID="_1522406417" r:id="rId17"/>
                                    </w:object>
                                  </w:r>
                                </w:p>
                              </w:tc>
                              <w:tc>
                                <w:tcPr>
                                  <w:tcW w:w="5528" w:type="dxa"/>
                                  <w:gridSpan w:val="2"/>
                                  <w:shd w:val="clear" w:color="auto" w:fill="auto"/>
                                </w:tcPr>
                                <w:p w14:paraId="5767F2B4" w14:textId="74F58B9A" w:rsidR="00BF7A0C" w:rsidRDefault="00BF7A0C" w:rsidP="00D173B4">
                                  <w:pPr>
                                    <w:spacing w:after="0" w:line="240" w:lineRule="auto"/>
                                    <w:jc w:val="center"/>
                                  </w:pPr>
                                  <w:r>
                                    <w:object w:dxaOrig="8670" w:dyaOrig="9510" w14:anchorId="134263A6">
                                      <v:shape id="_x0000_i1032" type="#_x0000_t75" style="width:271.15pt;height:293.6pt">
                                        <v:imagedata r:id="rId18" o:title=""/>
                                      </v:shape>
                                      <o:OLEObject Type="Embed" ProgID="SigmaPlotGraphicObject.12" ShapeID="_x0000_i1032" DrawAspect="Content" ObjectID="_1522406418" r:id="rId19"/>
                                    </w:object>
                                  </w:r>
                                </w:p>
                              </w:tc>
                            </w:tr>
                            <w:tr w:rsidR="00BF7A0C" w14:paraId="7D8B7AC8" w14:textId="77777777" w:rsidTr="00D173B4">
                              <w:trPr>
                                <w:gridBefore w:val="1"/>
                                <w:gridAfter w:val="1"/>
                                <w:wBefore w:w="743" w:type="dxa"/>
                                <w:wAfter w:w="675" w:type="dxa"/>
                                <w:trHeight w:val="80"/>
                                <w:jc w:val="center"/>
                              </w:trPr>
                              <w:tc>
                                <w:tcPr>
                                  <w:tcW w:w="9214" w:type="dxa"/>
                                  <w:gridSpan w:val="2"/>
                                  <w:shd w:val="clear" w:color="auto" w:fill="auto"/>
                                  <w:vAlign w:val="center"/>
                                </w:tcPr>
                                <w:p w14:paraId="50739798" w14:textId="77777777" w:rsidR="00BF7A0C" w:rsidRPr="00D173B4" w:rsidRDefault="00BF7A0C" w:rsidP="00D173B4">
                                  <w:pPr>
                                    <w:spacing w:line="240" w:lineRule="auto"/>
                                    <w:jc w:val="both"/>
                                    <w:rPr>
                                      <w:i/>
                                    </w:rPr>
                                  </w:pPr>
                                  <w:bookmarkStart w:id="15" w:name="_Ref425433072"/>
                                  <w:r w:rsidRPr="00D173B4">
                                    <w:t xml:space="preserve">Figure </w:t>
                                  </w:r>
                                  <w:r w:rsidRPr="00D173B4">
                                    <w:fldChar w:fldCharType="begin"/>
                                  </w:r>
                                  <w:r w:rsidRPr="00D173B4">
                                    <w:instrText xml:space="preserve"> SEQ Figure \* ARABIC </w:instrText>
                                  </w:r>
                                  <w:r w:rsidRPr="00D173B4">
                                    <w:fldChar w:fldCharType="separate"/>
                                  </w:r>
                                  <w:r>
                                    <w:rPr>
                                      <w:noProof/>
                                    </w:rPr>
                                    <w:t>3</w:t>
                                  </w:r>
                                  <w:r w:rsidRPr="00D173B4">
                                    <w:fldChar w:fldCharType="end"/>
                                  </w:r>
                                  <w:bookmarkEnd w:id="15"/>
                                  <w:r w:rsidRPr="00D173B4">
                                    <w:t xml:space="preserve">. Tier 2 sustainability analysis: Environmental ICs. A. is a bar chart showing the cumulative scores for the different ICs. B. is a radar plot showing the distribution of scores in each IC for the middle estimate scenario, * represents priority ICs. Error bars on A. represent the minimum and maximum estimated values based on the uncertainty analysis. For descriptions of Option 1-4 see </w:t>
                                  </w:r>
                                  <w:r w:rsidRPr="00D173B4">
                                    <w:fldChar w:fldCharType="begin"/>
                                  </w:r>
                                  <w:r w:rsidRPr="00D173B4">
                                    <w:instrText xml:space="preserve"> REF _Ref425235586 \h  \* MERGEFORMAT </w:instrText>
                                  </w:r>
                                  <w:r w:rsidRPr="00D173B4">
                                    <w:fldChar w:fldCharType="separate"/>
                                  </w:r>
                                  <w:r w:rsidRPr="00D173B4">
                                    <w:t xml:space="preserve">Table </w:t>
                                  </w:r>
                                  <w:r w:rsidRPr="00D173B4">
                                    <w:rPr>
                                      <w:noProof/>
                                    </w:rPr>
                                    <w:t>3</w:t>
                                  </w:r>
                                  <w:r w:rsidRPr="00D173B4">
                                    <w:fldChar w:fldCharType="end"/>
                                  </w:r>
                                  <w:r w:rsidRPr="00D173B4">
                                    <w:t xml:space="preserve"> and ENV 1-5 see Table 4.</w:t>
                                  </w:r>
                                </w:p>
                              </w:tc>
                            </w:tr>
                          </w:tbl>
                          <w:p w14:paraId="04CCDFC0" w14:textId="7F20EC63" w:rsidR="00BF7A0C" w:rsidRDefault="00BF7A0C" w:rsidP="00D173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9274F" id="_x0000_s1032" type="#_x0000_t202" style="position:absolute;left:0;text-align:left;margin-left:-42pt;margin-top:0;width:534.75pt;height:384.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" stroked="f">
                <v:textbox>
                  <w:txbxContent>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3"/>
                        <w:gridCol w:w="4361"/>
                        <w:gridCol w:w="4853"/>
                        <w:gridCol w:w="675"/>
                      </w:tblGrid>
                      <w:tr w:rsidR="00BF7A0C" w14:paraId="49D6CC97" w14:textId="77777777" w:rsidTr="00D173B4">
                        <w:trPr>
                          <w:trHeight w:val="5436"/>
                          <w:jc w:val="center"/>
                        </w:trPr>
                        <w:tc>
                          <w:tcPr>
                            <w:tcW w:w="5104" w:type="dxa"/>
                            <w:gridSpan w:val="2"/>
                            <w:shd w:val="clear" w:color="auto" w:fill="auto"/>
                            <w:vAlign w:val="center"/>
                          </w:tcPr>
                          <w:p w14:paraId="0A5419A1" w14:textId="26EAA82C" w:rsidR="00BF7A0C" w:rsidRDefault="00BF7A0C" w:rsidP="00D173B4">
                            <w:pPr>
                              <w:spacing w:after="0" w:line="240" w:lineRule="auto"/>
                              <w:jc w:val="center"/>
                            </w:pPr>
                            <w:r>
                              <w:object w:dxaOrig="9240" w:dyaOrig="7965" w14:anchorId="6B4DE8D8">
                                <v:shape id="_x0000_i1030" type="#_x0000_t75" style="width:270.25pt;height:231.9pt">
                                  <v:imagedata r:id="rId16" o:title=""/>
                                </v:shape>
                                <o:OLEObject Type="Embed" ProgID="SigmaPlotGraphicObject.12" ShapeID="_x0000_i1030" DrawAspect="Content" ObjectID="_1522406417" r:id="rId20"/>
                              </w:object>
                            </w:r>
                          </w:p>
                        </w:tc>
                        <w:tc>
                          <w:tcPr>
                            <w:tcW w:w="5528" w:type="dxa"/>
                            <w:gridSpan w:val="2"/>
                            <w:shd w:val="clear" w:color="auto" w:fill="auto"/>
                          </w:tcPr>
                          <w:p w14:paraId="5767F2B4" w14:textId="74F58B9A" w:rsidR="00BF7A0C" w:rsidRDefault="00BF7A0C" w:rsidP="00D173B4">
                            <w:pPr>
                              <w:spacing w:after="0" w:line="240" w:lineRule="auto"/>
                              <w:jc w:val="center"/>
                            </w:pPr>
                            <w:r>
                              <w:object w:dxaOrig="8670" w:dyaOrig="9510" w14:anchorId="134263A6">
                                <v:shape id="_x0000_i1032" type="#_x0000_t75" style="width:271.15pt;height:293.6pt">
                                  <v:imagedata r:id="rId18" o:title=""/>
                                </v:shape>
                                <o:OLEObject Type="Embed" ProgID="SigmaPlotGraphicObject.12" ShapeID="_x0000_i1032" DrawAspect="Content" ObjectID="_1522406418" r:id="rId21"/>
                              </w:object>
                            </w:r>
                          </w:p>
                        </w:tc>
                      </w:tr>
                      <w:tr w:rsidR="00BF7A0C" w14:paraId="7D8B7AC8" w14:textId="77777777" w:rsidTr="00D173B4">
                        <w:trPr>
                          <w:gridBefore w:val="1"/>
                          <w:gridAfter w:val="1"/>
                          <w:wBefore w:w="743" w:type="dxa"/>
                          <w:wAfter w:w="675" w:type="dxa"/>
                          <w:trHeight w:val="80"/>
                          <w:jc w:val="center"/>
                        </w:trPr>
                        <w:tc>
                          <w:tcPr>
                            <w:tcW w:w="9214" w:type="dxa"/>
                            <w:gridSpan w:val="2"/>
                            <w:shd w:val="clear" w:color="auto" w:fill="auto"/>
                            <w:vAlign w:val="center"/>
                          </w:tcPr>
                          <w:p w14:paraId="50739798" w14:textId="77777777" w:rsidR="00BF7A0C" w:rsidRPr="00D173B4" w:rsidRDefault="00BF7A0C" w:rsidP="00D173B4">
                            <w:pPr>
                              <w:spacing w:line="240" w:lineRule="auto"/>
                              <w:jc w:val="both"/>
                              <w:rPr>
                                <w:i/>
                              </w:rPr>
                            </w:pPr>
                            <w:bookmarkStart w:id="16" w:name="_Ref425433072"/>
                            <w:r w:rsidRPr="00D173B4">
                              <w:t xml:space="preserve">Figure </w:t>
                            </w:r>
                            <w:r w:rsidRPr="00D173B4">
                              <w:fldChar w:fldCharType="begin"/>
                            </w:r>
                            <w:r w:rsidRPr="00D173B4">
                              <w:instrText xml:space="preserve"> SEQ Figure \* ARABIC </w:instrText>
                            </w:r>
                            <w:r w:rsidRPr="00D173B4">
                              <w:fldChar w:fldCharType="separate"/>
                            </w:r>
                            <w:r>
                              <w:rPr>
                                <w:noProof/>
                              </w:rPr>
                              <w:t>3</w:t>
                            </w:r>
                            <w:r w:rsidRPr="00D173B4">
                              <w:fldChar w:fldCharType="end"/>
                            </w:r>
                            <w:bookmarkEnd w:id="16"/>
                            <w:r w:rsidRPr="00D173B4">
                              <w:t xml:space="preserve">. Tier 2 sustainability analysis: Environmental ICs. A. is a bar chart showing the cumulative scores for the different ICs. B. is a radar plot showing the distribution of scores in each IC for the middle estimate scenario, * represents priority ICs. Error bars on A. represent the minimum and maximum estimated values based on the uncertainty analysis. For descriptions of Option 1-4 see </w:t>
                            </w:r>
                            <w:r w:rsidRPr="00D173B4">
                              <w:fldChar w:fldCharType="begin"/>
                            </w:r>
                            <w:r w:rsidRPr="00D173B4">
                              <w:instrText xml:space="preserve"> REF _Ref425235586 \h  \* MERGEFORMAT </w:instrText>
                            </w:r>
                            <w:r w:rsidRPr="00D173B4">
                              <w:fldChar w:fldCharType="separate"/>
                            </w:r>
                            <w:r w:rsidRPr="00D173B4">
                              <w:t xml:space="preserve">Table </w:t>
                            </w:r>
                            <w:r w:rsidRPr="00D173B4">
                              <w:rPr>
                                <w:noProof/>
                              </w:rPr>
                              <w:t>3</w:t>
                            </w:r>
                            <w:r w:rsidRPr="00D173B4">
                              <w:fldChar w:fldCharType="end"/>
                            </w:r>
                            <w:r w:rsidRPr="00D173B4">
                              <w:t xml:space="preserve"> and ENV 1-5 see Table 4.</w:t>
                            </w:r>
                          </w:p>
                        </w:tc>
                      </w:tr>
                    </w:tbl>
                    <w:p w14:paraId="04CCDFC0" w14:textId="7F20EC63" w:rsidR="00BF7A0C" w:rsidRDefault="00BF7A0C" w:rsidP="00D173B4"/>
                  </w:txbxContent>
                </v:textbox>
                <w10:wrap type="square"/>
              </v:shape>
            </w:pict>
          </mc:Fallback>
        </mc:AlternateContent>
      </w:r>
      <w:r w:rsidRPr="00907FD3">
        <w:t xml:space="preserve">new wells are drilled. Option 4 has by far the greatest </w:t>
      </w:r>
      <w:r w:rsidR="00E1698C" w:rsidRPr="00907FD3">
        <w:t xml:space="preserve">waste </w:t>
      </w:r>
      <w:r w:rsidRPr="00907FD3">
        <w:t xml:space="preserve">water discharge, compared </w:t>
      </w:r>
      <w:r w:rsidR="00B05115" w:rsidRPr="00907FD3">
        <w:t>with</w:t>
      </w:r>
      <w:r w:rsidRPr="00907FD3">
        <w:t xml:space="preserve"> other treatments.</w:t>
      </w:r>
    </w:p>
    <w:p w14:paraId="4DF56421" w14:textId="2C24E975" w:rsidR="00E1698C" w:rsidRPr="00907FD3" w:rsidRDefault="00E1698C" w:rsidP="008956EC">
      <w:pPr>
        <w:pStyle w:val="Heading3"/>
      </w:pPr>
      <w:r w:rsidRPr="00907FD3">
        <w:t>Social indicator</w:t>
      </w:r>
      <w:r w:rsidR="00595295" w:rsidRPr="00907FD3">
        <w:t xml:space="preserve"> categorie</w:t>
      </w:r>
      <w:r w:rsidRPr="00907FD3">
        <w:t>s</w:t>
      </w:r>
    </w:p>
    <w:p w14:paraId="5A0F176F" w14:textId="2CE5621A" w:rsidR="00DA1871" w:rsidRPr="00907FD3" w:rsidRDefault="00DA1871" w:rsidP="00404590">
      <w:pPr>
        <w:spacing w:line="480" w:lineRule="auto"/>
        <w:jc w:val="both"/>
      </w:pPr>
      <w:r w:rsidRPr="00907FD3">
        <w:t>Against soc</w:t>
      </w:r>
      <w:r w:rsidR="00C52E15" w:rsidRPr="00907FD3">
        <w:t xml:space="preserve">ial </w:t>
      </w:r>
      <w:r w:rsidR="00595295" w:rsidRPr="00907FD3">
        <w:t>IC</w:t>
      </w:r>
      <w:r w:rsidR="00C52E15" w:rsidRPr="00907FD3">
        <w:t>s, Option 1 is best</w:t>
      </w:r>
      <w:r w:rsidRPr="00907FD3">
        <w:t xml:space="preserve"> </w:t>
      </w:r>
      <w:r w:rsidR="00C52E15" w:rsidRPr="00907FD3">
        <w:t xml:space="preserve">because the maximum MCA score is less than the minimum for the other options </w:t>
      </w:r>
      <w:r w:rsidRPr="00907FD3">
        <w:t>(</w:t>
      </w:r>
      <w:r w:rsidR="00536855" w:rsidRPr="00907FD3">
        <w:fldChar w:fldCharType="begin"/>
      </w:r>
      <w:r w:rsidR="00536855" w:rsidRPr="00907FD3">
        <w:instrText xml:space="preserve"> REF _Ref435869073 \h  \* MERGEFORMAT </w:instrText>
      </w:r>
      <w:r w:rsidR="00536855" w:rsidRPr="00907FD3">
        <w:fldChar w:fldCharType="separate"/>
      </w:r>
      <w:r w:rsidR="0047111A" w:rsidRPr="00907FD3">
        <w:t xml:space="preserve">Figure </w:t>
      </w:r>
      <w:r w:rsidR="0047111A" w:rsidRPr="00907FD3">
        <w:rPr>
          <w:noProof/>
        </w:rPr>
        <w:t>6</w:t>
      </w:r>
      <w:r w:rsidR="00536855" w:rsidRPr="00907FD3">
        <w:fldChar w:fldCharType="end"/>
      </w:r>
      <w:r w:rsidRPr="00907FD3">
        <w:t>A). This is due to the low level of</w:t>
      </w:r>
      <w:r w:rsidRPr="00907FD3">
        <w:rPr>
          <w:lang w:val="en-GB"/>
        </w:rPr>
        <w:t xml:space="preserve"> neighbourhood</w:t>
      </w:r>
      <w:r w:rsidRPr="00907FD3">
        <w:t xml:space="preserve"> disturbance associated with th</w:t>
      </w:r>
      <w:r w:rsidR="00D46242" w:rsidRPr="00907FD3">
        <w:t>is</w:t>
      </w:r>
      <w:r w:rsidRPr="00907FD3">
        <w:t xml:space="preserve"> option</w:t>
      </w:r>
      <w:r w:rsidR="00D46242" w:rsidRPr="00907FD3">
        <w:t>,</w:t>
      </w:r>
      <w:r w:rsidRPr="00907FD3">
        <w:t xml:space="preserve"> as the MNA treatment require</w:t>
      </w:r>
      <w:r w:rsidR="00D46242" w:rsidRPr="00907FD3">
        <w:t>s</w:t>
      </w:r>
      <w:r w:rsidRPr="00907FD3">
        <w:t xml:space="preserve"> </w:t>
      </w:r>
      <w:r w:rsidR="00D46242" w:rsidRPr="00907FD3">
        <w:t xml:space="preserve">only </w:t>
      </w:r>
      <w:r w:rsidRPr="00907FD3">
        <w:t xml:space="preserve">periodic visiting and sampling (SOC 3*). Also, the current site investigations and modelling reports for MNA </w:t>
      </w:r>
      <w:r w:rsidR="00D46242" w:rsidRPr="00907FD3">
        <w:t xml:space="preserve">suggest </w:t>
      </w:r>
      <w:r w:rsidRPr="00907FD3">
        <w:t xml:space="preserve">a high level of confidence </w:t>
      </w:r>
      <w:r w:rsidR="00D46242" w:rsidRPr="00907FD3">
        <w:t>in</w:t>
      </w:r>
      <w:r w:rsidRPr="00907FD3">
        <w:t xml:space="preserve"> the predicted treatment duration</w:t>
      </w:r>
      <w:r w:rsidR="00D46242" w:rsidRPr="00907FD3">
        <w:t>,</w:t>
      </w:r>
      <w:r w:rsidRPr="00907FD3">
        <w:t xml:space="preserve"> and therefore a low score for the uncertainty and </w:t>
      </w:r>
      <w:r w:rsidR="00B541F3" w:rsidRPr="00907FD3">
        <w:t>evidence</w:t>
      </w:r>
      <w:r w:rsidRPr="00907FD3">
        <w:t xml:space="preserve"> </w:t>
      </w:r>
      <w:r w:rsidR="00595295" w:rsidRPr="00907FD3">
        <w:t>IC</w:t>
      </w:r>
      <w:r w:rsidRPr="00907FD3">
        <w:t xml:space="preserve"> (SOC 5). However</w:t>
      </w:r>
      <w:r w:rsidR="00D46242" w:rsidRPr="00907FD3">
        <w:t>,</w:t>
      </w:r>
      <w:r w:rsidRPr="00907FD3">
        <w:t xml:space="preserve"> a high score is associated with the risk to human health and safety (SOC 1*); this value is calculated using factors for the number of injuries per hour during operations and travel to and from the site. A high score is observed for Option 1 </w:t>
      </w:r>
      <w:r w:rsidR="00D46242" w:rsidRPr="00907FD3">
        <w:t>due to</w:t>
      </w:r>
      <w:r w:rsidRPr="00907FD3">
        <w:t xml:space="preserve"> the numerous trips to and from site over the </w:t>
      </w:r>
      <w:r w:rsidR="000A6DAA" w:rsidRPr="00907FD3">
        <w:rPr>
          <w:noProof/>
          <w:lang w:val="en-GB" w:eastAsia="en-GB"/>
        </w:rPr>
        <w:lastRenderedPageBreak/>
        <mc:AlternateContent>
          <mc:Choice Requires="wps">
            <w:drawing>
              <wp:anchor distT="45720" distB="45720" distL="114300" distR="114300" simplePos="0" relativeHeight="251675648" behindDoc="0" locked="0" layoutInCell="1" allowOverlap="1" wp14:anchorId="76F14EF2" wp14:editId="445CEB13">
                <wp:simplePos x="0" y="0"/>
                <wp:positionH relativeFrom="column">
                  <wp:posOffset>-647700</wp:posOffset>
                </wp:positionH>
                <wp:positionV relativeFrom="paragraph">
                  <wp:posOffset>66675</wp:posOffset>
                </wp:positionV>
                <wp:extent cx="7067550" cy="4638675"/>
                <wp:effectExtent l="0" t="0" r="0"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4638675"/>
                        </a:xfrm>
                        <a:prstGeom prst="rect">
                          <a:avLst/>
                        </a:prstGeom>
                        <a:solidFill>
                          <a:srgbClr val="FFFFFF"/>
                        </a:solidFill>
                        <a:ln w="9525">
                          <a:noFill/>
                          <a:miter lim="800000"/>
                          <a:headEnd/>
                          <a:tailEnd/>
                        </a:ln>
                      </wps:spPr>
                      <wps:txbx>
                        <w:txbxContent>
                          <w:tbl>
                            <w:tblPr>
                              <w:tblStyle w:val="TableGrid"/>
                              <w:tblW w:w="112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613"/>
                              <w:gridCol w:w="4600"/>
                              <w:gridCol w:w="1029"/>
                            </w:tblGrid>
                            <w:tr w:rsidR="00BF7A0C" w14:paraId="7BA9CDCA" w14:textId="77777777" w:rsidTr="00BF7A0C">
                              <w:trPr>
                                <w:jc w:val="center"/>
                              </w:trPr>
                              <w:tc>
                                <w:tcPr>
                                  <w:tcW w:w="5606" w:type="dxa"/>
                                  <w:gridSpan w:val="2"/>
                                  <w:vAlign w:val="center"/>
                                </w:tcPr>
                                <w:bookmarkStart w:id="17" w:name="_Ref426027014"/>
                                <w:p w14:paraId="5964F105" w14:textId="77777777" w:rsidR="00BF7A0C" w:rsidRDefault="00BF7A0C" w:rsidP="000A6DAA">
                                  <w:pPr>
                                    <w:spacing w:after="0" w:line="240" w:lineRule="auto"/>
                                    <w:rPr>
                                      <w:sz w:val="18"/>
                                      <w:szCs w:val="18"/>
                                    </w:rPr>
                                  </w:pPr>
                                  <w:r>
                                    <w:object w:dxaOrig="8460" w:dyaOrig="6705" w14:anchorId="438B2976">
                                      <v:shape id="_x0000_i1034" type="#_x0000_t75" style="width:269.3pt;height:212.25pt">
                                        <v:imagedata r:id="rId22" o:title=""/>
                                      </v:shape>
                                      <o:OLEObject Type="Embed" ProgID="SigmaPlotGraphicObject.12" ShapeID="_x0000_i1034" DrawAspect="Content" ObjectID="_1522406419" r:id="rId23"/>
                                    </w:object>
                                  </w:r>
                                </w:p>
                              </w:tc>
                              <w:tc>
                                <w:tcPr>
                                  <w:tcW w:w="5629" w:type="dxa"/>
                                  <w:gridSpan w:val="2"/>
                                </w:tcPr>
                                <w:p w14:paraId="107F3891" w14:textId="77777777" w:rsidR="00BF7A0C" w:rsidRDefault="00BF7A0C" w:rsidP="000A6DAA">
                                  <w:pPr>
                                    <w:spacing w:after="0" w:line="240" w:lineRule="auto"/>
                                    <w:rPr>
                                      <w:sz w:val="18"/>
                                      <w:szCs w:val="18"/>
                                    </w:rPr>
                                  </w:pPr>
                                  <w:r>
                                    <w:object w:dxaOrig="8715" w:dyaOrig="9330" w14:anchorId="4CC269E2">
                                      <v:shape id="_x0000_i1036" type="#_x0000_t75" style="width:270.25pt;height:4in">
                                        <v:imagedata r:id="rId24" o:title=""/>
                                      </v:shape>
                                      <o:OLEObject Type="Embed" ProgID="SigmaPlotGraphicObject.12" ShapeID="_x0000_i1036" DrawAspect="Content" ObjectID="_1522406420" r:id="rId25"/>
                                    </w:object>
                                  </w:r>
                                </w:p>
                              </w:tc>
                            </w:tr>
                            <w:tr w:rsidR="00BF7A0C" w14:paraId="4F931D58" w14:textId="77777777" w:rsidTr="00BF7A0C">
                              <w:trPr>
                                <w:gridBefore w:val="1"/>
                                <w:gridAfter w:val="1"/>
                                <w:wBefore w:w="993" w:type="dxa"/>
                                <w:wAfter w:w="1029" w:type="dxa"/>
                                <w:jc w:val="center"/>
                              </w:trPr>
                              <w:tc>
                                <w:tcPr>
                                  <w:tcW w:w="9213" w:type="dxa"/>
                                  <w:gridSpan w:val="2"/>
                                  <w:vAlign w:val="center"/>
                                </w:tcPr>
                                <w:p w14:paraId="3C48CAA6" w14:textId="77777777" w:rsidR="00BF7A0C" w:rsidRPr="000A6DAA" w:rsidRDefault="00BF7A0C" w:rsidP="000A6DAA">
                                  <w:pPr>
                                    <w:pStyle w:val="Caption"/>
                                    <w:jc w:val="both"/>
                                    <w:rPr>
                                      <w:b/>
                                      <w:i/>
                                    </w:rPr>
                                  </w:pPr>
                                  <w:bookmarkStart w:id="18" w:name="_Ref435869073"/>
                                  <w:r w:rsidRPr="00536855">
                                    <w:t xml:space="preserve">Figure </w:t>
                                  </w:r>
                                  <w:r w:rsidRPr="00536855">
                                    <w:rPr>
                                      <w:b/>
                                    </w:rPr>
                                    <w:fldChar w:fldCharType="begin"/>
                                  </w:r>
                                  <w:r w:rsidRPr="00536855">
                                    <w:instrText xml:space="preserve"> SEQ Figure \* ARABIC </w:instrText>
                                  </w:r>
                                  <w:r w:rsidRPr="00536855">
                                    <w:rPr>
                                      <w:b/>
                                    </w:rPr>
                                    <w:fldChar w:fldCharType="separate"/>
                                  </w:r>
                                  <w:r>
                                    <w:rPr>
                                      <w:noProof/>
                                    </w:rPr>
                                    <w:t>4</w:t>
                                  </w:r>
                                  <w:r w:rsidRPr="00536855">
                                    <w:rPr>
                                      <w:b/>
                                    </w:rPr>
                                    <w:fldChar w:fldCharType="end"/>
                                  </w:r>
                                  <w:bookmarkEnd w:id="18"/>
                                  <w:r w:rsidRPr="00536855">
                                    <w:t xml:space="preserve">. Tier 2 sustainability analysis: Social </w:t>
                                  </w:r>
                                  <w:r>
                                    <w:t>IC</w:t>
                                  </w:r>
                                  <w:r w:rsidRPr="00536855">
                                    <w:t xml:space="preserve">s. A. is a bar chart showing the cumulative scores for the different </w:t>
                                  </w:r>
                                  <w:r>
                                    <w:t>IC</w:t>
                                  </w:r>
                                  <w:r w:rsidRPr="00536855">
                                    <w:t xml:space="preserve">s. B. is a radar plot that shows the distribution of scores in each </w:t>
                                  </w:r>
                                  <w:r>
                                    <w:t xml:space="preserve">IC </w:t>
                                  </w:r>
                                  <w:r w:rsidRPr="00536855">
                                    <w:t xml:space="preserve">for the </w:t>
                                  </w:r>
                                  <w:r>
                                    <w:t>middle</w:t>
                                  </w:r>
                                  <w:r w:rsidRPr="00536855">
                                    <w:t xml:space="preserve"> estimate scenario, * represents priority </w:t>
                                  </w:r>
                                  <w:r>
                                    <w:t>IC</w:t>
                                  </w:r>
                                  <w:r w:rsidRPr="00536855">
                                    <w:t xml:space="preserve">s. Error bars on A. represent the minimum and maximum estimated values based on uncertainty analysis. For descriptions of Option 1-4 see </w:t>
                                  </w:r>
                                  <w:r w:rsidRPr="00536855">
                                    <w:rPr>
                                      <w:b/>
                                    </w:rPr>
                                    <w:fldChar w:fldCharType="begin"/>
                                  </w:r>
                                  <w:r w:rsidRPr="00536855">
                                    <w:instrText xml:space="preserve"> REF _Ref425235586 \h  \* MERGEFORMAT </w:instrText>
                                  </w:r>
                                  <w:r w:rsidRPr="00536855">
                                    <w:rPr>
                                      <w:b/>
                                    </w:rPr>
                                  </w:r>
                                  <w:r w:rsidRPr="00536855">
                                    <w:rPr>
                                      <w:b/>
                                    </w:rPr>
                                    <w:fldChar w:fldCharType="separate"/>
                                  </w:r>
                                  <w:r w:rsidRPr="00EC07A3">
                                    <w:t xml:space="preserve">Table </w:t>
                                  </w:r>
                                  <w:r>
                                    <w:rPr>
                                      <w:noProof/>
                                    </w:rPr>
                                    <w:t>3</w:t>
                                  </w:r>
                                  <w:r w:rsidRPr="00536855">
                                    <w:rPr>
                                      <w:b/>
                                    </w:rPr>
                                    <w:fldChar w:fldCharType="end"/>
                                  </w:r>
                                  <w:r w:rsidRPr="00536855">
                                    <w:t xml:space="preserve"> and SOC 1-5 see</w:t>
                                  </w:r>
                                  <w:r>
                                    <w:t xml:space="preserve"> Table 4.</w:t>
                                  </w:r>
                                </w:p>
                              </w:tc>
                            </w:tr>
                            <w:bookmarkEnd w:id="17"/>
                          </w:tbl>
                          <w:p w14:paraId="0806A545" w14:textId="754DB390" w:rsidR="00BF7A0C" w:rsidRDefault="00BF7A0C" w:rsidP="000A6D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14EF2" id="_x0000_s1033" type="#_x0000_t202" style="position:absolute;left:0;text-align:left;margin-left:-51pt;margin-top:5.25pt;width:556.5pt;height:365.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" stroked="f">
                <v:textbox>
                  <w:txbxContent>
                    <w:tbl>
                      <w:tblPr>
                        <w:tblStyle w:val="TableGrid"/>
                        <w:tblW w:w="112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613"/>
                        <w:gridCol w:w="4600"/>
                        <w:gridCol w:w="1029"/>
                      </w:tblGrid>
                      <w:tr w:rsidR="00BF7A0C" w14:paraId="7BA9CDCA" w14:textId="77777777" w:rsidTr="00BF7A0C">
                        <w:trPr>
                          <w:jc w:val="center"/>
                        </w:trPr>
                        <w:tc>
                          <w:tcPr>
                            <w:tcW w:w="5606" w:type="dxa"/>
                            <w:gridSpan w:val="2"/>
                            <w:vAlign w:val="center"/>
                          </w:tcPr>
                          <w:bookmarkStart w:id="19" w:name="_Ref426027014"/>
                          <w:p w14:paraId="5964F105" w14:textId="77777777" w:rsidR="00BF7A0C" w:rsidRDefault="00BF7A0C" w:rsidP="000A6DAA">
                            <w:pPr>
                              <w:spacing w:after="0" w:line="240" w:lineRule="auto"/>
                              <w:rPr>
                                <w:sz w:val="18"/>
                                <w:szCs w:val="18"/>
                              </w:rPr>
                            </w:pPr>
                            <w:r>
                              <w:object w:dxaOrig="8460" w:dyaOrig="6705" w14:anchorId="438B2976">
                                <v:shape id="_x0000_i1034" type="#_x0000_t75" style="width:269.3pt;height:212.25pt">
                                  <v:imagedata r:id="rId22" o:title=""/>
                                </v:shape>
                                <o:OLEObject Type="Embed" ProgID="SigmaPlotGraphicObject.12" ShapeID="_x0000_i1034" DrawAspect="Content" ObjectID="_1522406419" r:id="rId26"/>
                              </w:object>
                            </w:r>
                          </w:p>
                        </w:tc>
                        <w:tc>
                          <w:tcPr>
                            <w:tcW w:w="5629" w:type="dxa"/>
                            <w:gridSpan w:val="2"/>
                          </w:tcPr>
                          <w:p w14:paraId="107F3891" w14:textId="77777777" w:rsidR="00BF7A0C" w:rsidRDefault="00BF7A0C" w:rsidP="000A6DAA">
                            <w:pPr>
                              <w:spacing w:after="0" w:line="240" w:lineRule="auto"/>
                              <w:rPr>
                                <w:sz w:val="18"/>
                                <w:szCs w:val="18"/>
                              </w:rPr>
                            </w:pPr>
                            <w:r>
                              <w:object w:dxaOrig="8715" w:dyaOrig="9330" w14:anchorId="4CC269E2">
                                <v:shape id="_x0000_i1036" type="#_x0000_t75" style="width:270.25pt;height:4in">
                                  <v:imagedata r:id="rId24" o:title=""/>
                                </v:shape>
                                <o:OLEObject Type="Embed" ProgID="SigmaPlotGraphicObject.12" ShapeID="_x0000_i1036" DrawAspect="Content" ObjectID="_1522406420" r:id="rId27"/>
                              </w:object>
                            </w:r>
                          </w:p>
                        </w:tc>
                      </w:tr>
                      <w:tr w:rsidR="00BF7A0C" w14:paraId="4F931D58" w14:textId="77777777" w:rsidTr="00BF7A0C">
                        <w:trPr>
                          <w:gridBefore w:val="1"/>
                          <w:gridAfter w:val="1"/>
                          <w:wBefore w:w="993" w:type="dxa"/>
                          <w:wAfter w:w="1029" w:type="dxa"/>
                          <w:jc w:val="center"/>
                        </w:trPr>
                        <w:tc>
                          <w:tcPr>
                            <w:tcW w:w="9213" w:type="dxa"/>
                            <w:gridSpan w:val="2"/>
                            <w:vAlign w:val="center"/>
                          </w:tcPr>
                          <w:p w14:paraId="3C48CAA6" w14:textId="77777777" w:rsidR="00BF7A0C" w:rsidRPr="000A6DAA" w:rsidRDefault="00BF7A0C" w:rsidP="000A6DAA">
                            <w:pPr>
                              <w:pStyle w:val="Caption"/>
                              <w:jc w:val="both"/>
                              <w:rPr>
                                <w:b/>
                                <w:i/>
                              </w:rPr>
                            </w:pPr>
                            <w:bookmarkStart w:id="20" w:name="_Ref435869073"/>
                            <w:r w:rsidRPr="00536855">
                              <w:t xml:space="preserve">Figure </w:t>
                            </w:r>
                            <w:r w:rsidRPr="00536855">
                              <w:rPr>
                                <w:b/>
                              </w:rPr>
                              <w:fldChar w:fldCharType="begin"/>
                            </w:r>
                            <w:r w:rsidRPr="00536855">
                              <w:instrText xml:space="preserve"> SEQ Figure \* ARABIC </w:instrText>
                            </w:r>
                            <w:r w:rsidRPr="00536855">
                              <w:rPr>
                                <w:b/>
                              </w:rPr>
                              <w:fldChar w:fldCharType="separate"/>
                            </w:r>
                            <w:r>
                              <w:rPr>
                                <w:noProof/>
                              </w:rPr>
                              <w:t>4</w:t>
                            </w:r>
                            <w:r w:rsidRPr="00536855">
                              <w:rPr>
                                <w:b/>
                              </w:rPr>
                              <w:fldChar w:fldCharType="end"/>
                            </w:r>
                            <w:bookmarkEnd w:id="20"/>
                            <w:r w:rsidRPr="00536855">
                              <w:t xml:space="preserve">. Tier 2 sustainability analysis: Social </w:t>
                            </w:r>
                            <w:r>
                              <w:t>IC</w:t>
                            </w:r>
                            <w:r w:rsidRPr="00536855">
                              <w:t xml:space="preserve">s. A. is a bar chart showing the cumulative scores for the different </w:t>
                            </w:r>
                            <w:r>
                              <w:t>IC</w:t>
                            </w:r>
                            <w:r w:rsidRPr="00536855">
                              <w:t xml:space="preserve">s. B. is a radar plot that shows the distribution of scores in each </w:t>
                            </w:r>
                            <w:r>
                              <w:t xml:space="preserve">IC </w:t>
                            </w:r>
                            <w:r w:rsidRPr="00536855">
                              <w:t xml:space="preserve">for the </w:t>
                            </w:r>
                            <w:r>
                              <w:t>middle</w:t>
                            </w:r>
                            <w:r w:rsidRPr="00536855">
                              <w:t xml:space="preserve"> estimate scenario, * represents priority </w:t>
                            </w:r>
                            <w:r>
                              <w:t>IC</w:t>
                            </w:r>
                            <w:r w:rsidRPr="00536855">
                              <w:t xml:space="preserve">s. Error bars on A. represent the minimum and maximum estimated values based on uncertainty analysis. For descriptions of Option 1-4 see </w:t>
                            </w:r>
                            <w:r w:rsidRPr="00536855">
                              <w:rPr>
                                <w:b/>
                              </w:rPr>
                              <w:fldChar w:fldCharType="begin"/>
                            </w:r>
                            <w:r w:rsidRPr="00536855">
                              <w:instrText xml:space="preserve"> REF _Ref425235586 \h  \* MERGEFORMAT </w:instrText>
                            </w:r>
                            <w:r w:rsidRPr="00536855">
                              <w:rPr>
                                <w:b/>
                              </w:rPr>
                            </w:r>
                            <w:r w:rsidRPr="00536855">
                              <w:rPr>
                                <w:b/>
                              </w:rPr>
                              <w:fldChar w:fldCharType="separate"/>
                            </w:r>
                            <w:r w:rsidRPr="00EC07A3">
                              <w:t xml:space="preserve">Table </w:t>
                            </w:r>
                            <w:r>
                              <w:rPr>
                                <w:noProof/>
                              </w:rPr>
                              <w:t>3</w:t>
                            </w:r>
                            <w:r w:rsidRPr="00536855">
                              <w:rPr>
                                <w:b/>
                              </w:rPr>
                              <w:fldChar w:fldCharType="end"/>
                            </w:r>
                            <w:r w:rsidRPr="00536855">
                              <w:t xml:space="preserve"> and SOC 1-5 see</w:t>
                            </w:r>
                            <w:r>
                              <w:t xml:space="preserve"> Table 4.</w:t>
                            </w:r>
                          </w:p>
                        </w:tc>
                      </w:tr>
                      <w:bookmarkEnd w:id="19"/>
                    </w:tbl>
                    <w:p w14:paraId="0806A545" w14:textId="754DB390" w:rsidR="00BF7A0C" w:rsidRDefault="00BF7A0C" w:rsidP="000A6DAA"/>
                  </w:txbxContent>
                </v:textbox>
                <w10:wrap type="square"/>
              </v:shape>
            </w:pict>
          </mc:Fallback>
        </mc:AlternateContent>
      </w:r>
      <w:r w:rsidRPr="00907FD3">
        <w:t xml:space="preserve">treatment </w:t>
      </w:r>
      <w:r w:rsidR="00D46242" w:rsidRPr="00907FD3">
        <w:t>period</w:t>
      </w:r>
      <w:r w:rsidRPr="00907FD3">
        <w:t>. There is less distinction in the category score between the other options because they have similar treatment duration and there is no safety concern for onsite operations between the</w:t>
      </w:r>
      <w:r w:rsidR="00D46242" w:rsidRPr="00907FD3">
        <w:t>m</w:t>
      </w:r>
      <w:r w:rsidRPr="00907FD3">
        <w:t xml:space="preserve"> if relevant safety procedures are followed. However, Option 2 has the highest level of uncertainty but is predicted to cause less disturbance to local community</w:t>
      </w:r>
      <w:r w:rsidR="00D46242" w:rsidRPr="00907FD3">
        <w:t>,</w:t>
      </w:r>
      <w:r w:rsidRPr="00907FD3">
        <w:t xml:space="preserve"> due to the absence of a treatment plant (</w:t>
      </w:r>
      <w:r w:rsidR="00536855" w:rsidRPr="00907FD3">
        <w:fldChar w:fldCharType="begin"/>
      </w:r>
      <w:r w:rsidR="00536855" w:rsidRPr="00907FD3">
        <w:instrText xml:space="preserve"> REF _Ref435869073 \h  \* MERGEFORMAT </w:instrText>
      </w:r>
      <w:r w:rsidR="00536855" w:rsidRPr="00907FD3">
        <w:fldChar w:fldCharType="separate"/>
      </w:r>
      <w:r w:rsidR="0047111A" w:rsidRPr="00907FD3">
        <w:t xml:space="preserve">Figure </w:t>
      </w:r>
      <w:r w:rsidR="0047111A" w:rsidRPr="00907FD3">
        <w:rPr>
          <w:noProof/>
        </w:rPr>
        <w:t>6</w:t>
      </w:r>
      <w:r w:rsidR="00536855" w:rsidRPr="00907FD3">
        <w:fldChar w:fldCharType="end"/>
      </w:r>
      <w:r w:rsidRPr="00907FD3">
        <w:t xml:space="preserve">B). </w:t>
      </w:r>
    </w:p>
    <w:p w14:paraId="63594A05" w14:textId="447280A6" w:rsidR="00E1698C" w:rsidRPr="00907FD3" w:rsidRDefault="00E1698C" w:rsidP="008956EC">
      <w:pPr>
        <w:pStyle w:val="Heading3"/>
      </w:pPr>
      <w:r w:rsidRPr="00907FD3">
        <w:t>Combined assessment</w:t>
      </w:r>
    </w:p>
    <w:p w14:paraId="737983F8" w14:textId="585BDBD1" w:rsidR="00DA1871" w:rsidRPr="00907FD3" w:rsidRDefault="00DA1871" w:rsidP="00404590">
      <w:pPr>
        <w:spacing w:line="480" w:lineRule="auto"/>
        <w:jc w:val="both"/>
      </w:pPr>
      <w:r w:rsidRPr="00907FD3">
        <w:t xml:space="preserve">When </w:t>
      </w:r>
      <w:r w:rsidR="00D063F1" w:rsidRPr="00907FD3">
        <w:t>the</w:t>
      </w:r>
      <w:r w:rsidRPr="00907FD3">
        <w:t xml:space="preserve"> sum of MCA scores for all </w:t>
      </w:r>
      <w:r w:rsidR="00595295" w:rsidRPr="00907FD3">
        <w:t>IC</w:t>
      </w:r>
      <w:r w:rsidRPr="00907FD3">
        <w:t xml:space="preserve">s </w:t>
      </w:r>
      <w:r w:rsidR="00D063F1" w:rsidRPr="00907FD3">
        <w:t>is</w:t>
      </w:r>
      <w:r w:rsidRPr="00907FD3">
        <w:t xml:space="preserve"> considered there is no </w:t>
      </w:r>
      <w:r w:rsidR="00544215" w:rsidRPr="00907FD3">
        <w:t>observable</w:t>
      </w:r>
      <w:r w:rsidRPr="00907FD3">
        <w:t xml:space="preserve"> difference between treatments</w:t>
      </w:r>
      <w:r w:rsidR="00B541F3" w:rsidRPr="00907FD3">
        <w:t xml:space="preserve"> (</w:t>
      </w:r>
      <w:r w:rsidR="00536855" w:rsidRPr="00907FD3">
        <w:fldChar w:fldCharType="begin"/>
      </w:r>
      <w:r w:rsidR="00536855" w:rsidRPr="00907FD3">
        <w:instrText xml:space="preserve"> REF _Ref435869133 \h  \* MERGEFORMAT </w:instrText>
      </w:r>
      <w:r w:rsidR="00536855" w:rsidRPr="00907FD3">
        <w:fldChar w:fldCharType="separate"/>
      </w:r>
      <w:r w:rsidR="0047111A" w:rsidRPr="00907FD3">
        <w:t xml:space="preserve">Figure </w:t>
      </w:r>
      <w:r w:rsidR="0047111A" w:rsidRPr="00907FD3">
        <w:rPr>
          <w:noProof/>
        </w:rPr>
        <w:t>7</w:t>
      </w:r>
      <w:r w:rsidR="00536855" w:rsidRPr="00907FD3">
        <w:fldChar w:fldCharType="end"/>
      </w:r>
      <w:r w:rsidR="00B541F3" w:rsidRPr="00907FD3">
        <w:t>)</w:t>
      </w:r>
      <w:r w:rsidRPr="00907FD3">
        <w:t xml:space="preserve">. </w:t>
      </w:r>
      <w:r w:rsidR="00D65A6E" w:rsidRPr="00907FD3">
        <w:t xml:space="preserve">For priority </w:t>
      </w:r>
      <w:r w:rsidR="00595295" w:rsidRPr="00907FD3">
        <w:t>IC</w:t>
      </w:r>
      <w:r w:rsidR="00D65A6E" w:rsidRPr="00907FD3">
        <w:t xml:space="preserve">s, the maximum MCA score for Option 2 is the lowest compared to all other options and overlaps slightly with the minimum score for Option 1 and 4. </w:t>
      </w:r>
      <w:r w:rsidRPr="00907FD3">
        <w:t>However</w:t>
      </w:r>
      <w:r w:rsidR="00D063F1" w:rsidRPr="00907FD3">
        <w:t>,</w:t>
      </w:r>
      <w:r w:rsidRPr="00907FD3">
        <w:t xml:space="preserve"> </w:t>
      </w:r>
      <w:r w:rsidR="00D063F1" w:rsidRPr="00907FD3">
        <w:t xml:space="preserve">there is </w:t>
      </w:r>
      <w:r w:rsidR="008956EC" w:rsidRPr="00907FD3">
        <w:t>an</w:t>
      </w:r>
      <w:r w:rsidR="00D65A6E" w:rsidRPr="00907FD3">
        <w:t xml:space="preserve"> </w:t>
      </w:r>
      <w:r w:rsidR="00E54A8D" w:rsidRPr="00907FD3">
        <w:t>overlap between</w:t>
      </w:r>
      <w:r w:rsidR="00D65A6E" w:rsidRPr="00907FD3">
        <w:t xml:space="preserve"> the minimum and maximum MCA score range for</w:t>
      </w:r>
      <w:r w:rsidRPr="00907FD3">
        <w:t xml:space="preserve"> Option 2 and Option 3. Compared against the Tier 1 cumulative rankings</w:t>
      </w:r>
      <w:r w:rsidR="00D65A6E" w:rsidRPr="00907FD3">
        <w:t xml:space="preserve"> for priority </w:t>
      </w:r>
      <w:r w:rsidR="00595295" w:rsidRPr="00907FD3">
        <w:t>IC</w:t>
      </w:r>
      <w:r w:rsidR="00D65A6E" w:rsidRPr="00907FD3">
        <w:t>s</w:t>
      </w:r>
      <w:r w:rsidR="00D063F1" w:rsidRPr="00907FD3">
        <w:t>,</w:t>
      </w:r>
      <w:r w:rsidRPr="00907FD3">
        <w:t xml:space="preserve"> </w:t>
      </w:r>
      <w:r w:rsidR="00D65A6E" w:rsidRPr="00907FD3">
        <w:t xml:space="preserve">greater </w:t>
      </w:r>
      <w:r w:rsidRPr="00907FD3">
        <w:t xml:space="preserve">differentiation amongst treatments </w:t>
      </w:r>
      <w:r w:rsidR="00D8167D" w:rsidRPr="00907FD3">
        <w:t xml:space="preserve">is possible </w:t>
      </w:r>
      <w:r w:rsidRPr="00907FD3">
        <w:t xml:space="preserve">due to the </w:t>
      </w:r>
      <w:r w:rsidR="00D65A6E" w:rsidRPr="00907FD3">
        <w:t xml:space="preserve">range of uncertainty applied at </w:t>
      </w:r>
      <w:r w:rsidRPr="00907FD3">
        <w:t>Tier 2.</w:t>
      </w:r>
      <w:r w:rsidR="00D65A6E" w:rsidRPr="00907FD3">
        <w:t xml:space="preserve"> </w:t>
      </w:r>
      <w:r w:rsidRPr="00907FD3">
        <w:t xml:space="preserve">Similar to the Tier 1 </w:t>
      </w:r>
      <w:r w:rsidR="000A6DAA" w:rsidRPr="00907FD3">
        <w:rPr>
          <w:noProof/>
          <w:lang w:val="en-GB" w:eastAsia="en-GB"/>
        </w:rPr>
        <w:lastRenderedPageBreak/>
        <mc:AlternateContent>
          <mc:Choice Requires="wps">
            <w:drawing>
              <wp:anchor distT="45720" distB="45720" distL="114300" distR="114300" simplePos="0" relativeHeight="251677696" behindDoc="0" locked="0" layoutInCell="1" allowOverlap="1" wp14:anchorId="570CD2E4" wp14:editId="3961B641">
                <wp:simplePos x="0" y="0"/>
                <wp:positionH relativeFrom="column">
                  <wp:posOffset>-9525</wp:posOffset>
                </wp:positionH>
                <wp:positionV relativeFrom="paragraph">
                  <wp:posOffset>0</wp:posOffset>
                </wp:positionV>
                <wp:extent cx="5667375" cy="340995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409950"/>
                        </a:xfrm>
                        <a:prstGeom prst="rect">
                          <a:avLst/>
                        </a:prstGeom>
                        <a:solidFill>
                          <a:srgbClr val="FFFFFF"/>
                        </a:solidFill>
                        <a:ln w="9525">
                          <a:noFill/>
                          <a:miter lim="800000"/>
                          <a:headEnd/>
                          <a:tailEnd/>
                        </a:ln>
                      </wps:spPr>
                      <wps:txbx>
                        <w:txbxContent>
                          <w:bookmarkStart w:id="21" w:name="_Ref427827385"/>
                          <w:p w14:paraId="1F8A0866" w14:textId="26F5A6AF" w:rsidR="00BF7A0C" w:rsidRDefault="00BF7A0C" w:rsidP="000A6DAA">
                            <w:pPr>
                              <w:jc w:val="center"/>
                            </w:pPr>
                            <w:r>
                              <w:object w:dxaOrig="8880" w:dyaOrig="6885" w14:anchorId="139A3FB0">
                                <v:shape id="_x0000_i1038" type="#_x0000_t75" style="width:273.95pt;height:214.15pt">
                                  <v:imagedata r:id="rId28" o:title=""/>
                                </v:shape>
                                <o:OLEObject Type="Embed" ProgID="SigmaPlotGraphicObject.12" ShapeID="_x0000_i1038" DrawAspect="Content" ObjectID="_1522406421" r:id="rId29"/>
                              </w:object>
                            </w:r>
                          </w:p>
                          <w:p w14:paraId="0D70F325" w14:textId="77777777" w:rsidR="00BF7A0C" w:rsidRPr="00536855" w:rsidRDefault="00BF7A0C" w:rsidP="000A6DAA">
                            <w:pPr>
                              <w:pStyle w:val="Caption"/>
                              <w:jc w:val="both"/>
                              <w:rPr>
                                <w:b/>
                              </w:rPr>
                            </w:pPr>
                            <w:bookmarkStart w:id="22" w:name="_Ref435869133"/>
                            <w:bookmarkEnd w:id="21"/>
                            <w:r w:rsidRPr="00536855">
                              <w:t xml:space="preserve">Figure </w:t>
                            </w:r>
                            <w:r w:rsidRPr="00536855">
                              <w:rPr>
                                <w:b/>
                              </w:rPr>
                              <w:fldChar w:fldCharType="begin"/>
                            </w:r>
                            <w:r w:rsidRPr="00536855">
                              <w:instrText xml:space="preserve"> SEQ Figure \* ARABIC </w:instrText>
                            </w:r>
                            <w:r w:rsidRPr="00536855">
                              <w:rPr>
                                <w:b/>
                              </w:rPr>
                              <w:fldChar w:fldCharType="separate"/>
                            </w:r>
                            <w:r>
                              <w:rPr>
                                <w:noProof/>
                              </w:rPr>
                              <w:t>5</w:t>
                            </w:r>
                            <w:r w:rsidRPr="00536855">
                              <w:rPr>
                                <w:b/>
                              </w:rPr>
                              <w:fldChar w:fldCharType="end"/>
                            </w:r>
                            <w:bookmarkEnd w:id="22"/>
                            <w:r w:rsidRPr="00536855">
                              <w:t xml:space="preserve">. Cumulative Tier 2 MCA scores for all and priority </w:t>
                            </w:r>
                            <w:r>
                              <w:t>IC</w:t>
                            </w:r>
                            <w:r w:rsidRPr="00536855">
                              <w:t>s. Error bars represent the minimum and maximum estimated values based on uncertainty analysis.</w:t>
                            </w:r>
                          </w:p>
                          <w:p w14:paraId="3BB31138" w14:textId="0B2509CD" w:rsidR="00BF7A0C" w:rsidRDefault="00BF7A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CD2E4" id="_x0000_s1034" type="#_x0000_t202" style="position:absolute;left:0;text-align:left;margin-left:-.75pt;margin-top:0;width:446.25pt;height:26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" stroked="f">
                <v:textbox>
                  <w:txbxContent>
                    <w:bookmarkStart w:id="24" w:name="_Ref427827385"/>
                    <w:p w14:paraId="1F8A0866" w14:textId="26F5A6AF" w:rsidR="00BF7A0C" w:rsidRDefault="00BF7A0C" w:rsidP="000A6DAA">
                      <w:pPr>
                        <w:jc w:val="center"/>
                      </w:pPr>
                      <w:r>
                        <w:object w:dxaOrig="8880" w:dyaOrig="6885" w14:anchorId="139A3FB0">
                          <v:shape id="_x0000_i1031" type="#_x0000_t75" style="width:273.75pt;height:213.75pt" o:ole="">
                            <v:imagedata r:id="rId30" o:title=""/>
                          </v:shape>
                          <o:OLEObject Type="Embed" ProgID="SigmaPlotGraphicObject.12" ShapeID="_x0000_i1031" DrawAspect="Content" ObjectID="_1520843365" r:id="rId31"/>
                        </w:object>
                      </w:r>
                    </w:p>
                    <w:p w14:paraId="0D70F325" w14:textId="77777777" w:rsidR="00BF7A0C" w:rsidRPr="00536855" w:rsidRDefault="00BF7A0C" w:rsidP="000A6DAA">
                      <w:pPr>
                        <w:pStyle w:val="Caption"/>
                        <w:jc w:val="both"/>
                        <w:rPr>
                          <w:b/>
                        </w:rPr>
                      </w:pPr>
                      <w:bookmarkStart w:id="25" w:name="_Ref435869133"/>
                      <w:bookmarkEnd w:id="24"/>
                      <w:r w:rsidRPr="00536855">
                        <w:t xml:space="preserve">Figure </w:t>
                      </w:r>
                      <w:r w:rsidRPr="00536855">
                        <w:rPr>
                          <w:b/>
                        </w:rPr>
                        <w:fldChar w:fldCharType="begin"/>
                      </w:r>
                      <w:r w:rsidRPr="00536855">
                        <w:instrText xml:space="preserve"> SEQ Figure \* ARABIC </w:instrText>
                      </w:r>
                      <w:r w:rsidRPr="00536855">
                        <w:rPr>
                          <w:b/>
                        </w:rPr>
                        <w:fldChar w:fldCharType="separate"/>
                      </w:r>
                      <w:r>
                        <w:rPr>
                          <w:noProof/>
                        </w:rPr>
                        <w:t>5</w:t>
                      </w:r>
                      <w:r w:rsidRPr="00536855">
                        <w:rPr>
                          <w:b/>
                        </w:rPr>
                        <w:fldChar w:fldCharType="end"/>
                      </w:r>
                      <w:bookmarkEnd w:id="25"/>
                      <w:r w:rsidRPr="00536855">
                        <w:t xml:space="preserve">. Cumulative Tier 2 MCA scores for all and priority </w:t>
                      </w:r>
                      <w:r>
                        <w:t>IC</w:t>
                      </w:r>
                      <w:r w:rsidRPr="00536855">
                        <w:t>s. Error bars represent the minimum and maximum estimated values based on uncertainty analysis.</w:t>
                      </w:r>
                    </w:p>
                    <w:p w14:paraId="3BB31138" w14:textId="0B2509CD" w:rsidR="00BF7A0C" w:rsidRDefault="00BF7A0C"/>
                  </w:txbxContent>
                </v:textbox>
                <w10:wrap type="square"/>
              </v:shape>
            </w:pict>
          </mc:Fallback>
        </mc:AlternateContent>
      </w:r>
      <w:r w:rsidRPr="00907FD3">
        <w:t xml:space="preserve">assessment, Option 2 and 3 are indistinguishable; however there is more clarity between Option 2, 1 and 4.  </w:t>
      </w:r>
    </w:p>
    <w:p w14:paraId="1776225B" w14:textId="33BFC06E" w:rsidR="00DA1871" w:rsidRPr="00907FD3" w:rsidRDefault="00D8167D" w:rsidP="00404590">
      <w:pPr>
        <w:spacing w:line="480" w:lineRule="auto"/>
        <w:jc w:val="both"/>
      </w:pPr>
      <w:r w:rsidRPr="00907FD3">
        <w:t xml:space="preserve">The </w:t>
      </w:r>
      <w:r w:rsidR="00DA1871" w:rsidRPr="00907FD3">
        <w:t xml:space="preserve">sensitivity analysis highlights </w:t>
      </w:r>
      <w:r w:rsidR="00595295" w:rsidRPr="00907FD3">
        <w:t>IC</w:t>
      </w:r>
      <w:r w:rsidR="00DA1871" w:rsidRPr="00907FD3">
        <w:t>s which have the greatest contribution to the MCA score</w:t>
      </w:r>
      <w:r w:rsidR="00CE5FF4" w:rsidRPr="00907FD3">
        <w:t>, it is shown in Figure S.5, supporting information</w:t>
      </w:r>
      <w:r w:rsidR="00DA1871" w:rsidRPr="00907FD3">
        <w:t xml:space="preserve">. Indirect and induced economic </w:t>
      </w:r>
      <w:r w:rsidR="00595295" w:rsidRPr="00907FD3">
        <w:t>IC</w:t>
      </w:r>
      <w:r w:rsidR="00DA1871" w:rsidRPr="00907FD3">
        <w:t xml:space="preserve">s (ECON 2 and ECON 4) are not included for Option 1 because it is assumed that </w:t>
      </w:r>
      <w:r w:rsidRPr="00907FD3">
        <w:t xml:space="preserve">the </w:t>
      </w:r>
      <w:r w:rsidR="00DA1871" w:rsidRPr="00907FD3">
        <w:t xml:space="preserve">sale of properties will be after one year and therefore the value is the same between the minimum and maximum treatment durations. When an </w:t>
      </w:r>
      <w:r w:rsidR="00595295" w:rsidRPr="00907FD3">
        <w:t>IC</w:t>
      </w:r>
      <w:r w:rsidR="00DA1871" w:rsidRPr="00907FD3">
        <w:t xml:space="preserve"> has a low sensitivity it reflects a low range of values relative to other </w:t>
      </w:r>
      <w:r w:rsidR="00595295" w:rsidRPr="00907FD3">
        <w:t>IC</w:t>
      </w:r>
      <w:r w:rsidR="00DA1871" w:rsidRPr="00907FD3">
        <w:t xml:space="preserve">s. Thus </w:t>
      </w:r>
      <w:r w:rsidR="00595295" w:rsidRPr="00907FD3">
        <w:t>IC</w:t>
      </w:r>
      <w:r w:rsidR="00DA1871" w:rsidRPr="00907FD3">
        <w:t xml:space="preserve">s with the greatest variability will have the greatest effect. The influence of different </w:t>
      </w:r>
      <w:r w:rsidR="00595295" w:rsidRPr="00907FD3">
        <w:t>IC</w:t>
      </w:r>
      <w:r w:rsidR="00DA1871" w:rsidRPr="00907FD3">
        <w:t xml:space="preserve">s appears to vary between options. Treatment duration (ECON 5) for example has a greater influence on MCA scores for Option 1 than Options 2-4, whereas air emissions (ENV 1) are less influential than the others. </w:t>
      </w:r>
    </w:p>
    <w:p w14:paraId="0DDCF1BF" w14:textId="3D2568BA" w:rsidR="00DA1871" w:rsidRPr="00907FD3" w:rsidRDefault="003C1DB3" w:rsidP="000524B0">
      <w:pPr>
        <w:spacing w:line="480" w:lineRule="auto"/>
        <w:jc w:val="both"/>
      </w:pPr>
      <w:r w:rsidRPr="00907FD3">
        <w:rPr>
          <w:noProof/>
          <w:lang w:val="en-GB" w:eastAsia="en-GB"/>
        </w:rPr>
        <w:lastRenderedPageBreak/>
        <mc:AlternateContent>
          <mc:Choice Requires="wps">
            <w:drawing>
              <wp:anchor distT="45720" distB="45720" distL="114300" distR="114300" simplePos="0" relativeHeight="251681792" behindDoc="0" locked="0" layoutInCell="1" allowOverlap="1" wp14:anchorId="5802564E" wp14:editId="429AA3A7">
                <wp:simplePos x="0" y="0"/>
                <wp:positionH relativeFrom="column">
                  <wp:posOffset>-12065</wp:posOffset>
                </wp:positionH>
                <wp:positionV relativeFrom="paragraph">
                  <wp:posOffset>0</wp:posOffset>
                </wp:positionV>
                <wp:extent cx="5795010" cy="8071485"/>
                <wp:effectExtent l="0" t="0" r="0" b="571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010" cy="8071485"/>
                        </a:xfrm>
                        <a:prstGeom prst="rect">
                          <a:avLst/>
                        </a:prstGeom>
                        <a:solidFill>
                          <a:srgbClr val="FFFFFF"/>
                        </a:solidFill>
                        <a:ln w="9525">
                          <a:noFill/>
                          <a:miter lim="800000"/>
                          <a:headEnd/>
                          <a:tailEnd/>
                        </a:ln>
                      </wps:spPr>
                      <wps:txbx>
                        <w:txbxContent>
                          <w:tbl>
                            <w:tblPr>
                              <w:tblW w:w="0" w:type="auto"/>
                              <w:tblLook w:val="00A0" w:firstRow="1" w:lastRow="0" w:firstColumn="1" w:lastColumn="0" w:noHBand="0" w:noVBand="0"/>
                            </w:tblPr>
                            <w:tblGrid>
                              <w:gridCol w:w="8628"/>
                            </w:tblGrid>
                            <w:tr w:rsidR="00BF7A0C" w:rsidRPr="00B5705B" w14:paraId="3CF204AC" w14:textId="77777777" w:rsidTr="00AD2C77">
                              <w:tc>
                                <w:tcPr>
                                  <w:tcW w:w="8628" w:type="dxa"/>
                                </w:tcPr>
                                <w:p w14:paraId="466F7540" w14:textId="77777777" w:rsidR="00BF7A0C" w:rsidRPr="00B5705B" w:rsidRDefault="00BF7A0C" w:rsidP="00AD2C77">
                                  <w:pPr>
                                    <w:spacing w:after="0" w:line="240" w:lineRule="auto"/>
                                    <w:jc w:val="center"/>
                                    <w:rPr>
                                      <w:b/>
                                    </w:rPr>
                                  </w:pPr>
                                  <w:r>
                                    <w:object w:dxaOrig="9510" w:dyaOrig="6780" w14:anchorId="5DE14384">
                                      <v:shape id="_x0000_i1040" type="#_x0000_t75" style="width:268.35pt;height:190.75pt">
                                        <v:imagedata r:id="rId32" o:title=""/>
                                      </v:shape>
                                      <o:OLEObject Type="Embed" ProgID="SigmaPlotGraphicObject.12" ShapeID="_x0000_i1040" DrawAspect="Content" ObjectID="_1522406422" r:id="rId33"/>
                                    </w:object>
                                  </w:r>
                                </w:p>
                              </w:tc>
                            </w:tr>
                            <w:tr w:rsidR="00BF7A0C" w:rsidRPr="00B5705B" w14:paraId="35E630D1" w14:textId="77777777" w:rsidTr="00AD2C77">
                              <w:tc>
                                <w:tcPr>
                                  <w:tcW w:w="8628" w:type="dxa"/>
                                </w:tcPr>
                                <w:p w14:paraId="2BAA0DF5" w14:textId="77777777" w:rsidR="00BF7A0C" w:rsidRPr="00B5705B" w:rsidRDefault="00BF7A0C" w:rsidP="00AD2C77">
                                  <w:pPr>
                                    <w:spacing w:after="0" w:line="240" w:lineRule="auto"/>
                                    <w:jc w:val="center"/>
                                    <w:rPr>
                                      <w:b/>
                                    </w:rPr>
                                  </w:pPr>
                                  <w:r>
                                    <w:object w:dxaOrig="9870" w:dyaOrig="6750" w14:anchorId="25E80682">
                                      <v:shape id="_x0000_i1042" type="#_x0000_t75" style="width:286.15pt;height:195.45pt">
                                        <v:imagedata r:id="rId34" o:title=""/>
                                      </v:shape>
                                      <o:OLEObject Type="Embed" ProgID="SigmaPlotGraphicObject.12" ShapeID="_x0000_i1042" DrawAspect="Content" ObjectID="_1522406423" r:id="rId35"/>
                                    </w:object>
                                  </w:r>
                                </w:p>
                              </w:tc>
                            </w:tr>
                            <w:tr w:rsidR="00BF7A0C" w:rsidRPr="00B5705B" w14:paraId="1C72D7FD" w14:textId="77777777" w:rsidTr="00AD2C77">
                              <w:tc>
                                <w:tcPr>
                                  <w:tcW w:w="8628" w:type="dxa"/>
                                </w:tcPr>
                                <w:p w14:paraId="5AEBA056" w14:textId="77777777" w:rsidR="00BF7A0C" w:rsidRPr="00B5705B" w:rsidRDefault="00BF7A0C" w:rsidP="00AD2C77">
                                  <w:pPr>
                                    <w:spacing w:after="0" w:line="240" w:lineRule="auto"/>
                                    <w:jc w:val="center"/>
                                    <w:rPr>
                                      <w:b/>
                                    </w:rPr>
                                  </w:pPr>
                                  <w:r>
                                    <w:object w:dxaOrig="8985" w:dyaOrig="6735" w14:anchorId="514E5DC0">
                                      <v:shape id="_x0000_i1044" type="#_x0000_t75" style="width:268.35pt;height:201.95pt">
                                        <v:imagedata r:id="rId36" o:title=""/>
                                      </v:shape>
                                      <o:OLEObject Type="Embed" ProgID="SigmaPlotGraphicObject.12" ShapeID="_x0000_i1044" DrawAspect="Content" ObjectID="_1522406424" r:id="rId37"/>
                                    </w:object>
                                  </w:r>
                                </w:p>
                              </w:tc>
                            </w:tr>
                          </w:tbl>
                          <w:p w14:paraId="71EF3CA8" w14:textId="77777777" w:rsidR="00BF7A0C" w:rsidRPr="00AD2C77" w:rsidRDefault="00BF7A0C" w:rsidP="00AD2C77">
                            <w:pPr>
                              <w:spacing w:line="240" w:lineRule="auto"/>
                              <w:jc w:val="both"/>
                              <w:rPr>
                                <w:i/>
                              </w:rPr>
                            </w:pPr>
                            <w:bookmarkStart w:id="23" w:name="_Ref425517148"/>
                            <w:r w:rsidRPr="00AD2C77">
                              <w:t xml:space="preserve">Figure </w:t>
                            </w:r>
                            <w:r w:rsidRPr="00AD2C77">
                              <w:fldChar w:fldCharType="begin"/>
                            </w:r>
                            <w:r w:rsidRPr="00AD2C77">
                              <w:instrText xml:space="preserve"> SEQ Figure \* ARABIC </w:instrText>
                            </w:r>
                            <w:r w:rsidRPr="00AD2C77">
                              <w:fldChar w:fldCharType="separate"/>
                            </w:r>
                            <w:r>
                              <w:rPr>
                                <w:noProof/>
                              </w:rPr>
                              <w:t>6</w:t>
                            </w:r>
                            <w:r w:rsidRPr="00AD2C77">
                              <w:fldChar w:fldCharType="end"/>
                            </w:r>
                            <w:bookmarkEnd w:id="23"/>
                            <w:r w:rsidRPr="00AD2C77">
                              <w:t>. Analysis of individual sustainability ICs. A. ECON 1* total direct cost; B. ENV 1* CO</w:t>
                            </w:r>
                            <w:r w:rsidRPr="00AD2C77">
                              <w:rPr>
                                <w:vertAlign w:val="subscript"/>
                              </w:rPr>
                              <w:t>2</w:t>
                            </w:r>
                            <w:r w:rsidRPr="00AD2C77">
                              <w:t xml:space="preserve"> emissions; C. SOC 1* hours lost due to accidents. Error bars represent the minimum and maximum estimated values based on uncertainty analysis.</w:t>
                            </w:r>
                          </w:p>
                          <w:p w14:paraId="39ABDE6E" w14:textId="5A70B1B3" w:rsidR="00BF7A0C" w:rsidRDefault="00BF7A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2564E" id="_x0000_s1035" type="#_x0000_t202" style="position:absolute;left:0;text-align:left;margin-left:-.95pt;margin-top:0;width:456.3pt;height:635.5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" stroked="f">
                <v:textbox>
                  <w:txbxContent>
                    <w:tbl>
                      <w:tblPr>
                        <w:tblW w:w="0" w:type="auto"/>
                        <w:tblLook w:val="00A0" w:firstRow="1" w:lastRow="0" w:firstColumn="1" w:lastColumn="0" w:noHBand="0" w:noVBand="0"/>
                      </w:tblPr>
                      <w:tblGrid>
                        <w:gridCol w:w="8628"/>
                      </w:tblGrid>
                      <w:tr w:rsidR="00BF7A0C" w:rsidRPr="00B5705B" w14:paraId="3CF204AC" w14:textId="77777777" w:rsidTr="00AD2C77">
                        <w:tc>
                          <w:tcPr>
                            <w:tcW w:w="8628" w:type="dxa"/>
                          </w:tcPr>
                          <w:p w14:paraId="466F7540" w14:textId="77777777" w:rsidR="00BF7A0C" w:rsidRPr="00B5705B" w:rsidRDefault="00BF7A0C" w:rsidP="00AD2C77">
                            <w:pPr>
                              <w:spacing w:after="0" w:line="240" w:lineRule="auto"/>
                              <w:jc w:val="center"/>
                              <w:rPr>
                                <w:b/>
                              </w:rPr>
                            </w:pPr>
                            <w:r>
                              <w:object w:dxaOrig="9510" w:dyaOrig="6780" w14:anchorId="5DE14384">
                                <v:shape id="_x0000_i1040" type="#_x0000_t75" style="width:268.35pt;height:190.75pt">
                                  <v:imagedata r:id="rId32" o:title=""/>
                                </v:shape>
                                <o:OLEObject Type="Embed" ProgID="SigmaPlotGraphicObject.12" ShapeID="_x0000_i1040" DrawAspect="Content" ObjectID="_1522406422" r:id="rId38"/>
                              </w:object>
                            </w:r>
                          </w:p>
                        </w:tc>
                      </w:tr>
                      <w:tr w:rsidR="00BF7A0C" w:rsidRPr="00B5705B" w14:paraId="35E630D1" w14:textId="77777777" w:rsidTr="00AD2C77">
                        <w:tc>
                          <w:tcPr>
                            <w:tcW w:w="8628" w:type="dxa"/>
                          </w:tcPr>
                          <w:p w14:paraId="2BAA0DF5" w14:textId="77777777" w:rsidR="00BF7A0C" w:rsidRPr="00B5705B" w:rsidRDefault="00BF7A0C" w:rsidP="00AD2C77">
                            <w:pPr>
                              <w:spacing w:after="0" w:line="240" w:lineRule="auto"/>
                              <w:jc w:val="center"/>
                              <w:rPr>
                                <w:b/>
                              </w:rPr>
                            </w:pPr>
                            <w:r>
                              <w:object w:dxaOrig="9870" w:dyaOrig="6750" w14:anchorId="25E80682">
                                <v:shape id="_x0000_i1042" type="#_x0000_t75" style="width:286.15pt;height:195.45pt">
                                  <v:imagedata r:id="rId34" o:title=""/>
                                </v:shape>
                                <o:OLEObject Type="Embed" ProgID="SigmaPlotGraphicObject.12" ShapeID="_x0000_i1042" DrawAspect="Content" ObjectID="_1522406423" r:id="rId39"/>
                              </w:object>
                            </w:r>
                          </w:p>
                        </w:tc>
                      </w:tr>
                      <w:tr w:rsidR="00BF7A0C" w:rsidRPr="00B5705B" w14:paraId="1C72D7FD" w14:textId="77777777" w:rsidTr="00AD2C77">
                        <w:tc>
                          <w:tcPr>
                            <w:tcW w:w="8628" w:type="dxa"/>
                          </w:tcPr>
                          <w:p w14:paraId="5AEBA056" w14:textId="77777777" w:rsidR="00BF7A0C" w:rsidRPr="00B5705B" w:rsidRDefault="00BF7A0C" w:rsidP="00AD2C77">
                            <w:pPr>
                              <w:spacing w:after="0" w:line="240" w:lineRule="auto"/>
                              <w:jc w:val="center"/>
                              <w:rPr>
                                <w:b/>
                              </w:rPr>
                            </w:pPr>
                            <w:r>
                              <w:object w:dxaOrig="8985" w:dyaOrig="6735" w14:anchorId="514E5DC0">
                                <v:shape id="_x0000_i1044" type="#_x0000_t75" style="width:268.35pt;height:201.95pt">
                                  <v:imagedata r:id="rId36" o:title=""/>
                                </v:shape>
                                <o:OLEObject Type="Embed" ProgID="SigmaPlotGraphicObject.12" ShapeID="_x0000_i1044" DrawAspect="Content" ObjectID="_1522406424" r:id="rId40"/>
                              </w:object>
                            </w:r>
                          </w:p>
                        </w:tc>
                      </w:tr>
                    </w:tbl>
                    <w:p w14:paraId="71EF3CA8" w14:textId="77777777" w:rsidR="00BF7A0C" w:rsidRPr="00AD2C77" w:rsidRDefault="00BF7A0C" w:rsidP="00AD2C77">
                      <w:pPr>
                        <w:spacing w:line="240" w:lineRule="auto"/>
                        <w:jc w:val="both"/>
                        <w:rPr>
                          <w:i/>
                        </w:rPr>
                      </w:pPr>
                      <w:bookmarkStart w:id="24" w:name="_Ref425517148"/>
                      <w:r w:rsidRPr="00AD2C77">
                        <w:t xml:space="preserve">Figure </w:t>
                      </w:r>
                      <w:r w:rsidRPr="00AD2C77">
                        <w:fldChar w:fldCharType="begin"/>
                      </w:r>
                      <w:r w:rsidRPr="00AD2C77">
                        <w:instrText xml:space="preserve"> SEQ Figure \* ARABIC </w:instrText>
                      </w:r>
                      <w:r w:rsidRPr="00AD2C77">
                        <w:fldChar w:fldCharType="separate"/>
                      </w:r>
                      <w:r>
                        <w:rPr>
                          <w:noProof/>
                        </w:rPr>
                        <w:t>6</w:t>
                      </w:r>
                      <w:r w:rsidRPr="00AD2C77">
                        <w:fldChar w:fldCharType="end"/>
                      </w:r>
                      <w:bookmarkEnd w:id="24"/>
                      <w:r w:rsidRPr="00AD2C77">
                        <w:t>. Analysis of individual sustainability ICs. A. ECON 1* total direct cost; B. ENV 1* CO</w:t>
                      </w:r>
                      <w:r w:rsidRPr="00AD2C77">
                        <w:rPr>
                          <w:vertAlign w:val="subscript"/>
                        </w:rPr>
                        <w:t>2</w:t>
                      </w:r>
                      <w:r w:rsidRPr="00AD2C77">
                        <w:t xml:space="preserve"> emissions; C. SOC 1* hours lost due to accidents. Error bars represent the minimum and maximum estimated values based on uncertainty analysis.</w:t>
                      </w:r>
                    </w:p>
                    <w:p w14:paraId="39ABDE6E" w14:textId="5A70B1B3" w:rsidR="00BF7A0C" w:rsidRDefault="00BF7A0C"/>
                  </w:txbxContent>
                </v:textbox>
                <w10:wrap type="square"/>
              </v:shape>
            </w:pict>
          </mc:Fallback>
        </mc:AlternateContent>
      </w:r>
      <w:r w:rsidR="00DA1871" w:rsidRPr="00907FD3">
        <w:t xml:space="preserve">An analysis of three priority </w:t>
      </w:r>
      <w:r w:rsidR="00595295" w:rsidRPr="00907FD3">
        <w:t>IC</w:t>
      </w:r>
      <w:r w:rsidR="00DA1871" w:rsidRPr="00907FD3">
        <w:t>s, one from each category, helps identify the role the HCS has in producing the MCA score (</w:t>
      </w:r>
      <w:r w:rsidR="00DA1871" w:rsidRPr="00907FD3">
        <w:fldChar w:fldCharType="begin"/>
      </w:r>
      <w:r w:rsidR="00DA1871" w:rsidRPr="00907FD3">
        <w:instrText xml:space="preserve"> REF _Ref425517148 \h </w:instrText>
      </w:r>
      <w:r w:rsidR="00B11A79" w:rsidRPr="00907FD3">
        <w:instrText xml:space="preserve"> \* MERGEFORMAT </w:instrText>
      </w:r>
      <w:r w:rsidR="00DA1871" w:rsidRPr="00907FD3">
        <w:fldChar w:fldCharType="separate"/>
      </w:r>
      <w:r w:rsidR="0047111A" w:rsidRPr="00907FD3">
        <w:t xml:space="preserve">Figure </w:t>
      </w:r>
      <w:r w:rsidR="0047111A" w:rsidRPr="00907FD3">
        <w:rPr>
          <w:noProof/>
        </w:rPr>
        <w:t>9</w:t>
      </w:r>
      <w:r w:rsidR="00DA1871" w:rsidRPr="00907FD3">
        <w:fldChar w:fldCharType="end"/>
      </w:r>
      <w:r w:rsidR="00991D5F" w:rsidRPr="00907FD3">
        <w:t>A-C</w:t>
      </w:r>
      <w:r w:rsidR="00DA1871" w:rsidRPr="00907FD3">
        <w:t xml:space="preserve">). Overall it is clear that for Option 1 the </w:t>
      </w:r>
      <w:r w:rsidR="00D8167D" w:rsidRPr="00907FD3">
        <w:t xml:space="preserve">HCS </w:t>
      </w:r>
      <w:r w:rsidR="00DA1871" w:rsidRPr="00907FD3">
        <w:t xml:space="preserve">operation is the </w:t>
      </w:r>
      <w:r w:rsidR="00DA1871" w:rsidRPr="00907FD3">
        <w:lastRenderedPageBreak/>
        <w:t>driver in terms of cost, emissions and health and safety. A value for the HCS in other options is similar due to the range of treatment durations. The total direct cost and CO</w:t>
      </w:r>
      <w:r w:rsidR="00DA1871" w:rsidRPr="00907FD3">
        <w:rPr>
          <w:vertAlign w:val="subscript"/>
        </w:rPr>
        <w:t>2</w:t>
      </w:r>
      <w:r w:rsidR="00DA1871" w:rsidRPr="00907FD3">
        <w:t xml:space="preserve"> emissions from the treatments increase </w:t>
      </w:r>
      <w:r w:rsidR="00D8167D" w:rsidRPr="00907FD3">
        <w:t xml:space="preserve">from </w:t>
      </w:r>
      <w:r w:rsidR="00DA1871" w:rsidRPr="00907FD3">
        <w:t>Options 2 to 4 and is reflected in the MCA analysis. There is less difference between Options 2 to 4 for health and safety due to similar treatment durations.</w:t>
      </w:r>
    </w:p>
    <w:p w14:paraId="6E4216F9" w14:textId="1DA4558B" w:rsidR="001C736A" w:rsidRPr="00907FD3" w:rsidRDefault="001C736A" w:rsidP="008956EC">
      <w:pPr>
        <w:pStyle w:val="Heading3"/>
      </w:pPr>
      <w:r w:rsidRPr="00907FD3">
        <w:t>Sustainability scenarios</w:t>
      </w:r>
    </w:p>
    <w:p w14:paraId="7878519E" w14:textId="01B735AA" w:rsidR="008E6658" w:rsidRPr="00907FD3" w:rsidRDefault="00AD2C77" w:rsidP="00404590">
      <w:pPr>
        <w:spacing w:line="480" w:lineRule="auto"/>
        <w:jc w:val="both"/>
      </w:pPr>
      <w:r w:rsidRPr="00907FD3">
        <w:rPr>
          <w:noProof/>
          <w:lang w:val="en-GB" w:eastAsia="en-GB"/>
        </w:rPr>
        <mc:AlternateContent>
          <mc:Choice Requires="wps">
            <w:drawing>
              <wp:anchor distT="45720" distB="45720" distL="114300" distR="114300" simplePos="0" relativeHeight="251683840" behindDoc="0" locked="0" layoutInCell="1" allowOverlap="1" wp14:anchorId="6C925C53" wp14:editId="3FA3DB9F">
                <wp:simplePos x="0" y="0"/>
                <wp:positionH relativeFrom="column">
                  <wp:posOffset>-15875</wp:posOffset>
                </wp:positionH>
                <wp:positionV relativeFrom="paragraph">
                  <wp:posOffset>2076537</wp:posOffset>
                </wp:positionV>
                <wp:extent cx="5754370" cy="3846195"/>
                <wp:effectExtent l="0" t="0" r="0" b="190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3846195"/>
                        </a:xfrm>
                        <a:prstGeom prst="rect">
                          <a:avLst/>
                        </a:prstGeom>
                        <a:solidFill>
                          <a:srgbClr val="FFFFFF"/>
                        </a:solidFill>
                        <a:ln w="9525">
                          <a:noFill/>
                          <a:miter lim="800000"/>
                          <a:headEnd/>
                          <a:tailEnd/>
                        </a:ln>
                      </wps:spPr>
                      <wps:txbx>
                        <w:txbxContent>
                          <w:bookmarkStart w:id="25" w:name="_Ref425842635"/>
                          <w:p w14:paraId="779DC8C7" w14:textId="58201C17" w:rsidR="00BF7A0C" w:rsidRDefault="00BF7A0C" w:rsidP="00AD2C77">
                            <w:pPr>
                              <w:jc w:val="center"/>
                              <w:rPr>
                                <w:sz w:val="18"/>
                                <w:szCs w:val="18"/>
                              </w:rPr>
                            </w:pPr>
                            <w:r>
                              <w:object w:dxaOrig="8460" w:dyaOrig="6705" w14:anchorId="3C53D84D">
                                <v:shape id="_x0000_i1046" type="#_x0000_t75" style="width:269.3pt;height:212.25pt">
                                  <v:imagedata r:id="rId41" o:title=""/>
                                </v:shape>
                                <o:OLEObject Type="Embed" ProgID="SigmaPlotGraphicObject.12" ShapeID="_x0000_i1046" DrawAspect="Content" ObjectID="_1522406425" r:id="rId42"/>
                              </w:object>
                            </w:r>
                          </w:p>
                          <w:p w14:paraId="7B2C6D14" w14:textId="77777777" w:rsidR="00BF7A0C" w:rsidRPr="00536855" w:rsidRDefault="00BF7A0C" w:rsidP="00AD2C77">
                            <w:pPr>
                              <w:pStyle w:val="Caption"/>
                              <w:jc w:val="both"/>
                              <w:rPr>
                                <w:b/>
                              </w:rPr>
                            </w:pPr>
                            <w:bookmarkStart w:id="26" w:name="_Ref435869240"/>
                            <w:bookmarkEnd w:id="25"/>
                            <w:r w:rsidRPr="00536855">
                              <w:t xml:space="preserve">Figure </w:t>
                            </w:r>
                            <w:r w:rsidRPr="00536855">
                              <w:rPr>
                                <w:b/>
                              </w:rPr>
                              <w:fldChar w:fldCharType="begin"/>
                            </w:r>
                            <w:r w:rsidRPr="00536855">
                              <w:instrText xml:space="preserve"> SEQ Figure \* ARABIC </w:instrText>
                            </w:r>
                            <w:r w:rsidRPr="00536855">
                              <w:rPr>
                                <w:b/>
                              </w:rPr>
                              <w:fldChar w:fldCharType="separate"/>
                            </w:r>
                            <w:r>
                              <w:rPr>
                                <w:noProof/>
                              </w:rPr>
                              <w:t>7</w:t>
                            </w:r>
                            <w:r w:rsidRPr="00536855">
                              <w:rPr>
                                <w:b/>
                              </w:rPr>
                              <w:fldChar w:fldCharType="end"/>
                            </w:r>
                            <w:bookmarkEnd w:id="26"/>
                            <w:r w:rsidRPr="00536855">
                              <w:t xml:space="preserve">. MCA score of priority </w:t>
                            </w:r>
                            <w:r>
                              <w:t>IC</w:t>
                            </w:r>
                            <w:r w:rsidRPr="00536855">
                              <w:t>s for four different Option 2 scenarios. Base Case: MCA scores from Tier 2 assessment; Scenario 1: solar panels are main source of electricity; Scenario 2: amendment is replaced with re-circulating groundwater; and Scenario 3: a combination of using solar panels and re-circulating groundwater. Error bars represent the minimum and maximum estimated values based on uncertainty analysis.</w:t>
                            </w:r>
                          </w:p>
                          <w:p w14:paraId="7150B745" w14:textId="1A12A3BC" w:rsidR="00BF7A0C" w:rsidRDefault="00BF7A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25C53" id="_x0000_s1036" type="#_x0000_t202" style="position:absolute;left:0;text-align:left;margin-left:-1.25pt;margin-top:163.5pt;width:453.1pt;height:302.8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" stroked="f">
                <v:textbox>
                  <w:txbxContent>
                    <w:bookmarkStart w:id="30" w:name="_Ref425842635"/>
                    <w:p w14:paraId="779DC8C7" w14:textId="58201C17" w:rsidR="00BF7A0C" w:rsidRDefault="00BF7A0C" w:rsidP="00AD2C77">
                      <w:pPr>
                        <w:jc w:val="center"/>
                        <w:rPr>
                          <w:sz w:val="18"/>
                          <w:szCs w:val="18"/>
                        </w:rPr>
                      </w:pPr>
                      <w:r>
                        <w:object w:dxaOrig="8460" w:dyaOrig="6705" w14:anchorId="3C53D84D">
                          <v:shape id="_x0000_i1035" type="#_x0000_t75" style="width:269.25pt;height:212.25pt" o:ole="">
                            <v:imagedata r:id="rId43" o:title=""/>
                          </v:shape>
                          <o:OLEObject Type="Embed" ProgID="SigmaPlotGraphicObject.12" ShapeID="_x0000_i1035" DrawAspect="Content" ObjectID="_1520843369" r:id="rId44"/>
                        </w:object>
                      </w:r>
                    </w:p>
                    <w:p w14:paraId="7B2C6D14" w14:textId="77777777" w:rsidR="00BF7A0C" w:rsidRPr="00536855" w:rsidRDefault="00BF7A0C" w:rsidP="00AD2C77">
                      <w:pPr>
                        <w:pStyle w:val="Caption"/>
                        <w:jc w:val="both"/>
                        <w:rPr>
                          <w:b/>
                        </w:rPr>
                      </w:pPr>
                      <w:bookmarkStart w:id="31" w:name="_Ref435869240"/>
                      <w:bookmarkEnd w:id="30"/>
                      <w:r w:rsidRPr="00536855">
                        <w:t xml:space="preserve">Figure </w:t>
                      </w:r>
                      <w:r w:rsidRPr="00536855">
                        <w:rPr>
                          <w:b/>
                        </w:rPr>
                        <w:fldChar w:fldCharType="begin"/>
                      </w:r>
                      <w:r w:rsidRPr="00536855">
                        <w:instrText xml:space="preserve"> SEQ Figure \* ARABIC </w:instrText>
                      </w:r>
                      <w:r w:rsidRPr="00536855">
                        <w:rPr>
                          <w:b/>
                        </w:rPr>
                        <w:fldChar w:fldCharType="separate"/>
                      </w:r>
                      <w:r>
                        <w:rPr>
                          <w:noProof/>
                        </w:rPr>
                        <w:t>7</w:t>
                      </w:r>
                      <w:r w:rsidRPr="00536855">
                        <w:rPr>
                          <w:b/>
                        </w:rPr>
                        <w:fldChar w:fldCharType="end"/>
                      </w:r>
                      <w:bookmarkEnd w:id="31"/>
                      <w:r w:rsidRPr="00536855">
                        <w:t xml:space="preserve">. MCA score of priority </w:t>
                      </w:r>
                      <w:r>
                        <w:t>IC</w:t>
                      </w:r>
                      <w:r w:rsidRPr="00536855">
                        <w:t>s for four different Option 2 scenarios. Base Case: MCA scores from Tier 2 assessment; Scenario 1: solar panels are main source of electricity; Scenario 2: amendment is replaced with re-circulating groundwater; and Scenario 3: a combination of using solar panels and re-circulating groundwater. Error bars represent the minimum and maximum estimated values based on uncertainty analysis.</w:t>
                      </w:r>
                    </w:p>
                    <w:p w14:paraId="7150B745" w14:textId="1A12A3BC" w:rsidR="00BF7A0C" w:rsidRDefault="00BF7A0C"/>
                  </w:txbxContent>
                </v:textbox>
                <w10:wrap type="square"/>
              </v:shape>
            </w:pict>
          </mc:Fallback>
        </mc:AlternateContent>
      </w:r>
      <w:r w:rsidR="00DA1871" w:rsidRPr="00907FD3">
        <w:t xml:space="preserve">Priority </w:t>
      </w:r>
      <w:r w:rsidR="00595295" w:rsidRPr="00907FD3">
        <w:t>IC</w:t>
      </w:r>
      <w:r w:rsidR="00DA1871" w:rsidRPr="00907FD3">
        <w:t xml:space="preserve"> scores from MCA analyses of three different treatment scenarios for Option 2 var</w:t>
      </w:r>
      <w:r w:rsidR="001C736A" w:rsidRPr="00907FD3">
        <w:t>y</w:t>
      </w:r>
      <w:r w:rsidR="00DA1871" w:rsidRPr="00907FD3">
        <w:t xml:space="preserve"> significantly depending on the scenario specifications (</w:t>
      </w:r>
      <w:r w:rsidR="00536855" w:rsidRPr="00907FD3">
        <w:fldChar w:fldCharType="begin"/>
      </w:r>
      <w:r w:rsidR="00536855" w:rsidRPr="00907FD3">
        <w:instrText xml:space="preserve"> REF _Ref435869240 \h  \* MERGEFORMAT </w:instrText>
      </w:r>
      <w:r w:rsidR="00536855" w:rsidRPr="00907FD3">
        <w:fldChar w:fldCharType="separate"/>
      </w:r>
      <w:r w:rsidR="0047111A" w:rsidRPr="00907FD3">
        <w:t xml:space="preserve">Figure </w:t>
      </w:r>
      <w:r w:rsidR="0047111A" w:rsidRPr="00907FD3">
        <w:rPr>
          <w:noProof/>
        </w:rPr>
        <w:t>10</w:t>
      </w:r>
      <w:r w:rsidR="00536855" w:rsidRPr="00907FD3">
        <w:fldChar w:fldCharType="end"/>
      </w:r>
      <w:r w:rsidR="00DA1871" w:rsidRPr="00907FD3">
        <w:t>). Input values for these scores are in Table S.1</w:t>
      </w:r>
      <w:r w:rsidR="00991D5F" w:rsidRPr="00907FD3">
        <w:t>9</w:t>
      </w:r>
      <w:r w:rsidR="00DA1871" w:rsidRPr="00907FD3">
        <w:t xml:space="preserve"> supporting information. The addition of photovoltaic (PV) panels to Option 2 </w:t>
      </w:r>
      <w:r w:rsidR="00655578" w:rsidRPr="00907FD3">
        <w:t xml:space="preserve">(scenario 1) </w:t>
      </w:r>
      <w:r w:rsidR="00DA1871" w:rsidRPr="00907FD3">
        <w:t xml:space="preserve">does not introduce a significant difference </w:t>
      </w:r>
      <w:r w:rsidR="00655578" w:rsidRPr="00907FD3">
        <w:t>(based on minimum and maximum values) to the base case</w:t>
      </w:r>
      <w:r w:rsidR="00DA1871" w:rsidRPr="00907FD3">
        <w:t xml:space="preserve"> MCA score (base case and Scenario 1; Scenario 2 and Scenario 3</w:t>
      </w:r>
      <w:r w:rsidR="00311BCF" w:rsidRPr="00907FD3">
        <w:t>,</w:t>
      </w:r>
      <w:r w:rsidR="00DA1871" w:rsidRPr="00907FD3">
        <w:t xml:space="preserve"> respectively). The effect is to reduce the total CO</w:t>
      </w:r>
      <w:r w:rsidR="00DA1871" w:rsidRPr="00907FD3">
        <w:rPr>
          <w:vertAlign w:val="subscript"/>
        </w:rPr>
        <w:t>2</w:t>
      </w:r>
      <w:r w:rsidR="00DA1871" w:rsidRPr="00907FD3">
        <w:t xml:space="preserve"> emissions and provide a cost saving, however this is lessened by the need to run pumps consistently and the initial set up cost of a PV array equivalent to approximately 48 m</w:t>
      </w:r>
      <w:r w:rsidR="00DA1871" w:rsidRPr="00907FD3">
        <w:rPr>
          <w:vertAlign w:val="superscript"/>
        </w:rPr>
        <w:t>2</w:t>
      </w:r>
      <w:r w:rsidR="00655578" w:rsidRPr="00907FD3">
        <w:t xml:space="preserve"> (see Table S.1</w:t>
      </w:r>
      <w:r w:rsidR="00991D5F" w:rsidRPr="00907FD3">
        <w:t>3</w:t>
      </w:r>
      <w:r w:rsidR="00655578" w:rsidRPr="00907FD3">
        <w:t xml:space="preserve"> supporting information)</w:t>
      </w:r>
      <w:r w:rsidR="00DA1871" w:rsidRPr="00907FD3">
        <w:t xml:space="preserve">. </w:t>
      </w:r>
      <w:r w:rsidR="00311BCF" w:rsidRPr="00907FD3">
        <w:t xml:space="preserve">Conversely, removing </w:t>
      </w:r>
      <w:r w:rsidR="00DA1871" w:rsidRPr="00907FD3">
        <w:t xml:space="preserve">the amendment has a significant effect </w:t>
      </w:r>
      <w:r w:rsidR="00311BCF" w:rsidRPr="00907FD3">
        <w:t xml:space="preserve">by </w:t>
      </w:r>
      <w:r w:rsidR="00DA1871" w:rsidRPr="00907FD3">
        <w:t xml:space="preserve">increasing the MCA score. This is due to an increase in the overall treatment time </w:t>
      </w:r>
      <w:r w:rsidR="008E6658" w:rsidRPr="00907FD3">
        <w:t>(e.g. middle estimate rises from 6.2 to 11.3 years) resulting f</w:t>
      </w:r>
      <w:r w:rsidR="00AA4ACF" w:rsidRPr="00907FD3">
        <w:t>rom a decrease in the electron acceptor concentration in electrode wells from</w:t>
      </w:r>
      <w:r w:rsidR="008E6658" w:rsidRPr="00907FD3">
        <w:t xml:space="preserve"> </w:t>
      </w:r>
      <w:r w:rsidR="00AA4ACF" w:rsidRPr="00907FD3">
        <w:t xml:space="preserve">amendment to background groundwater supply. </w:t>
      </w:r>
      <w:r w:rsidR="00DA1871" w:rsidRPr="00907FD3">
        <w:t>As previously highlighted</w:t>
      </w:r>
      <w:r w:rsidR="00AA4ACF" w:rsidRPr="00907FD3">
        <w:t xml:space="preserve"> for this CSM</w:t>
      </w:r>
      <w:r w:rsidR="00DA1871" w:rsidRPr="00907FD3">
        <w:t xml:space="preserve">, </w:t>
      </w:r>
      <w:r w:rsidR="00AA4ACF" w:rsidRPr="00907FD3">
        <w:t xml:space="preserve">prolonging treatment prolongs </w:t>
      </w:r>
      <w:r w:rsidR="00311BCF" w:rsidRPr="00907FD3">
        <w:t xml:space="preserve">HCS operation </w:t>
      </w:r>
      <w:r w:rsidR="00AA4ACF" w:rsidRPr="00907FD3">
        <w:t xml:space="preserve">with subsequent </w:t>
      </w:r>
      <w:r w:rsidR="00DA1871" w:rsidRPr="00907FD3">
        <w:t>negative effects</w:t>
      </w:r>
      <w:r w:rsidR="00AA4ACF" w:rsidRPr="00907FD3">
        <w:t xml:space="preserve"> on sustainability rating</w:t>
      </w:r>
      <w:r w:rsidR="00DA1871" w:rsidRPr="00907FD3">
        <w:t xml:space="preserve">. Furthermore, the </w:t>
      </w:r>
      <w:r w:rsidR="00311BCF" w:rsidRPr="00907FD3">
        <w:t xml:space="preserve">sodium nitrate </w:t>
      </w:r>
      <w:r w:rsidR="00DA1871" w:rsidRPr="00907FD3">
        <w:t>amendment is cheap (0.34 GBP kg</w:t>
      </w:r>
      <w:r w:rsidR="00DA1871" w:rsidRPr="00907FD3">
        <w:rPr>
          <w:vertAlign w:val="superscript"/>
        </w:rPr>
        <w:t>-1</w:t>
      </w:r>
      <w:r w:rsidR="00DA1871" w:rsidRPr="00907FD3">
        <w:t>)</w:t>
      </w:r>
      <w:r w:rsidR="00311BCF" w:rsidRPr="00907FD3">
        <w:t>,</w:t>
      </w:r>
      <w:r w:rsidR="00DA1871" w:rsidRPr="00907FD3">
        <w:t xml:space="preserve"> with a relatively low CO</w:t>
      </w:r>
      <w:r w:rsidR="00DA1871" w:rsidRPr="00907FD3">
        <w:rPr>
          <w:vertAlign w:val="subscript"/>
        </w:rPr>
        <w:t>2</w:t>
      </w:r>
      <w:r w:rsidR="00DA1871" w:rsidRPr="00907FD3">
        <w:t xml:space="preserve"> footprint compared </w:t>
      </w:r>
      <w:r w:rsidR="00311BCF" w:rsidRPr="00907FD3">
        <w:t>with</w:t>
      </w:r>
      <w:r w:rsidR="00DA1871" w:rsidRPr="00907FD3">
        <w:t xml:space="preserve"> other aspects of the treatment process (e.g. base case middle estimate for amendment production </w:t>
      </w:r>
      <w:r w:rsidR="00991D5F" w:rsidRPr="00907FD3">
        <w:t xml:space="preserve">versus </w:t>
      </w:r>
      <w:r w:rsidR="00DA1871" w:rsidRPr="00907FD3">
        <w:t>transport is 5.1 and 1</w:t>
      </w:r>
      <w:r w:rsidR="00991D5F" w:rsidRPr="00907FD3">
        <w:t>5.8</w:t>
      </w:r>
      <w:r w:rsidR="00DA1871" w:rsidRPr="00907FD3">
        <w:t xml:space="preserve"> t</w:t>
      </w:r>
      <w:r w:rsidR="00311BCF" w:rsidRPr="00907FD3">
        <w:t>,</w:t>
      </w:r>
      <w:r w:rsidR="00DA1871" w:rsidRPr="00907FD3">
        <w:t xml:space="preserve"> respectively).</w:t>
      </w:r>
    </w:p>
    <w:p w14:paraId="2A36E895" w14:textId="47D86FD4" w:rsidR="00E162B5" w:rsidRPr="00907FD3" w:rsidRDefault="00DA1871" w:rsidP="008956EC">
      <w:pPr>
        <w:pStyle w:val="Heading1"/>
      </w:pPr>
      <w:r w:rsidRPr="00907FD3">
        <w:t xml:space="preserve">6.0 </w:t>
      </w:r>
      <w:r w:rsidR="008956EC" w:rsidRPr="00907FD3">
        <w:tab/>
      </w:r>
      <w:r w:rsidR="00CB00F6" w:rsidRPr="00907FD3">
        <w:t>Discussion</w:t>
      </w:r>
    </w:p>
    <w:p w14:paraId="178559DF" w14:textId="62B6E60C" w:rsidR="00CB00F6" w:rsidRPr="00907FD3" w:rsidRDefault="00CB00F6" w:rsidP="008956EC">
      <w:pPr>
        <w:pStyle w:val="Heading3"/>
        <w:rPr>
          <w:b/>
        </w:rPr>
      </w:pPr>
      <w:r w:rsidRPr="00907FD3">
        <w:t>Tier 1 and Tier 2 assessment outcomes</w:t>
      </w:r>
    </w:p>
    <w:p w14:paraId="71D58D43" w14:textId="4C7E386B" w:rsidR="00DA1871" w:rsidRPr="00907FD3" w:rsidRDefault="00DA1871" w:rsidP="00404590">
      <w:pPr>
        <w:spacing w:line="480" w:lineRule="auto"/>
        <w:jc w:val="both"/>
      </w:pPr>
      <w:r w:rsidRPr="00907FD3">
        <w:t xml:space="preserve">The SuRF-UK framework is designed to </w:t>
      </w:r>
      <w:r w:rsidR="005F640A" w:rsidRPr="00907FD3">
        <w:t>support</w:t>
      </w:r>
      <w:r w:rsidRPr="00907FD3">
        <w:t xml:space="preserve"> contaminated land practitioners in identifying the most sustainable remediation option for a site. In this study, similar results are obtained from both the Tier 1 and Tier 2 assessment; Options 2 and 3 </w:t>
      </w:r>
      <w:r w:rsidR="00E1698C" w:rsidRPr="00907FD3">
        <w:t xml:space="preserve">performed similarly well </w:t>
      </w:r>
      <w:r w:rsidRPr="00907FD3">
        <w:t xml:space="preserve">against priority </w:t>
      </w:r>
      <w:r w:rsidR="00595295" w:rsidRPr="00907FD3">
        <w:t>IC</w:t>
      </w:r>
      <w:r w:rsidRPr="00907FD3">
        <w:t>s</w:t>
      </w:r>
      <w:r w:rsidR="00E1698C" w:rsidRPr="00907FD3">
        <w:t xml:space="preserve">, and better than </w:t>
      </w:r>
      <w:r w:rsidR="000905B6" w:rsidRPr="00907FD3">
        <w:t>Options 1</w:t>
      </w:r>
      <w:r w:rsidR="00E1698C" w:rsidRPr="00907FD3">
        <w:t xml:space="preserve"> and </w:t>
      </w:r>
      <w:r w:rsidR="000905B6" w:rsidRPr="00907FD3">
        <w:t>4</w:t>
      </w:r>
      <w:r w:rsidRPr="00907FD3">
        <w:t xml:space="preserve">. However, the Tier 2 assessment assigns quantitative values for certain </w:t>
      </w:r>
      <w:r w:rsidR="00595295" w:rsidRPr="00907FD3">
        <w:t>IC</w:t>
      </w:r>
      <w:r w:rsidRPr="00907FD3">
        <w:t xml:space="preserve">s and includes an uncertainty analysis that allows more confidence to be placed in the differences between options. This allows the decision maker to eliminate options relative to the lowest priority </w:t>
      </w:r>
      <w:r w:rsidR="00595295" w:rsidRPr="00907FD3">
        <w:t>IC</w:t>
      </w:r>
      <w:r w:rsidRPr="00907FD3">
        <w:t xml:space="preserve"> score</w:t>
      </w:r>
      <w:r w:rsidR="005F640A" w:rsidRPr="00907FD3">
        <w:t>,</w:t>
      </w:r>
      <w:r w:rsidRPr="00907FD3">
        <w:t xml:space="preserve"> i.e. eliminate Options 1 and 4 based on scores greater than Option 2. Further analysis </w:t>
      </w:r>
      <w:r w:rsidR="00E1698C" w:rsidRPr="00907FD3">
        <w:t xml:space="preserve">would be </w:t>
      </w:r>
      <w:r w:rsidRPr="00907FD3">
        <w:t>required to differentiate between Options 2 and 3</w:t>
      </w:r>
      <w:r w:rsidR="00E1698C" w:rsidRPr="00907FD3">
        <w:t xml:space="preserve">, if it were deemed necessary to show which of these two well-performing </w:t>
      </w:r>
      <w:r w:rsidR="00A36DBC" w:rsidRPr="00907FD3">
        <w:t>options is</w:t>
      </w:r>
      <w:r w:rsidR="00E1698C" w:rsidRPr="00907FD3">
        <w:t xml:space="preserve"> optimal</w:t>
      </w:r>
      <w:r w:rsidRPr="00907FD3">
        <w:t xml:space="preserve">. </w:t>
      </w:r>
      <w:r w:rsidR="00C369CB" w:rsidRPr="00907FD3">
        <w:t>Practically, option 2 would require extensive pilot testing prior to full-scale application to determine whether certain assumption (e.g. full conversion of nitrate upon contact with contaminated zones) where valid. This data could then be used to inform a Tier 3 sustainability assessment of the two options.</w:t>
      </w:r>
    </w:p>
    <w:p w14:paraId="28992798" w14:textId="649FD4E3" w:rsidR="00E162B5" w:rsidRPr="00907FD3" w:rsidRDefault="00E162B5" w:rsidP="008956EC">
      <w:pPr>
        <w:pStyle w:val="Heading3"/>
      </w:pPr>
      <w:r w:rsidRPr="00907FD3">
        <w:t>Comparison of individual treatments</w:t>
      </w:r>
    </w:p>
    <w:p w14:paraId="1690CD8F" w14:textId="0CC19CD7" w:rsidR="00E5765D" w:rsidRPr="00907FD3" w:rsidRDefault="0030104D" w:rsidP="004C6AC5">
      <w:pPr>
        <w:spacing w:line="480" w:lineRule="auto"/>
        <w:jc w:val="both"/>
      </w:pPr>
      <w:r w:rsidRPr="00907FD3">
        <w:t xml:space="preserve">An assessment of </w:t>
      </w:r>
      <w:r w:rsidR="004E33C2" w:rsidRPr="00907FD3">
        <w:t>remediation options</w:t>
      </w:r>
      <w:r w:rsidRPr="00907FD3">
        <w:t xml:space="preserve"> against individual </w:t>
      </w:r>
      <w:r w:rsidR="00595295" w:rsidRPr="00907FD3">
        <w:t>IC</w:t>
      </w:r>
      <w:r w:rsidRPr="00907FD3">
        <w:t>s allows the influence of the HCS to be isolated</w:t>
      </w:r>
      <w:r w:rsidR="004849A9" w:rsidRPr="00907FD3">
        <w:t xml:space="preserve"> from the treatment</w:t>
      </w:r>
      <w:r w:rsidRPr="00907FD3">
        <w:t xml:space="preserve"> (</w:t>
      </w:r>
      <w:r w:rsidRPr="00907FD3">
        <w:fldChar w:fldCharType="begin"/>
      </w:r>
      <w:r w:rsidRPr="00907FD3">
        <w:instrText xml:space="preserve"> REF _Ref425517148 \h  \* MERGEFORMAT </w:instrText>
      </w:r>
      <w:r w:rsidRPr="00907FD3">
        <w:fldChar w:fldCharType="separate"/>
      </w:r>
      <w:r w:rsidR="0047111A" w:rsidRPr="00907FD3">
        <w:t xml:space="preserve">Figure </w:t>
      </w:r>
      <w:r w:rsidR="0047111A" w:rsidRPr="00907FD3">
        <w:rPr>
          <w:noProof/>
        </w:rPr>
        <w:t>9</w:t>
      </w:r>
      <w:r w:rsidRPr="00907FD3">
        <w:fldChar w:fldCharType="end"/>
      </w:r>
      <w:r w:rsidRPr="00907FD3">
        <w:t xml:space="preserve">). </w:t>
      </w:r>
      <w:r w:rsidR="004C6AC5" w:rsidRPr="00907FD3">
        <w:t>It is clear that the HCS makes up a greater proportion of the total value compared to</w:t>
      </w:r>
      <w:r w:rsidR="006302EB" w:rsidRPr="00907FD3">
        <w:t xml:space="preserve"> the treatment alone for Option</w:t>
      </w:r>
      <w:r w:rsidR="004C6AC5" w:rsidRPr="00907FD3">
        <w:t xml:space="preserve"> 1</w:t>
      </w:r>
      <w:r w:rsidR="006302EB" w:rsidRPr="00907FD3">
        <w:t xml:space="preserve">. </w:t>
      </w:r>
      <w:r w:rsidR="004C6AC5" w:rsidRPr="00907FD3">
        <w:t>Based on the boundaries of the Tier 2 assessment, MNA has the lowest value for CO</w:t>
      </w:r>
      <w:r w:rsidR="004C6AC5" w:rsidRPr="00907FD3">
        <w:rPr>
          <w:vertAlign w:val="subscript"/>
        </w:rPr>
        <w:t>2</w:t>
      </w:r>
      <w:r w:rsidR="004C6AC5" w:rsidRPr="00907FD3">
        <w:t xml:space="preserve"> emissions, total direct cost and hours lost due to remedial activity and thus could be a very sustainable treatment option in the absence of the HCS. </w:t>
      </w:r>
      <w:r w:rsidR="00B736E4" w:rsidRPr="00907FD3">
        <w:t xml:space="preserve">This corresponds to a study by </w:t>
      </w:r>
      <w:r w:rsidR="00BD513F" w:rsidRPr="00907FD3">
        <w:fldChar w:fldCharType="begin" w:fldLock="1"/>
      </w:r>
      <w:r w:rsidR="00BD513F" w:rsidRPr="00907FD3">
        <w:instrText>ADDIN CSL_CITATION { "citationItems" : [ { "id" : "ITEM-1", "itemData" : { "DOI" : "10.1007/s10706-013-9688-5", "ISSN" : "09603182", "abstract" : "This study describes the development of a green and sustainable strategy for the remediation of a contaminated site located in Chicago (IL, USA) to comply with the applicable federal and state environ- mental regulations. According to the site investigation results, many of the contaminant concentrations have been found to exceed the applicable regulatory limits that are protective of public health and local ecology. Polynuclear aromatic hydrocarbons, pesticides and heavy metals were found in the vadose zone soils throughout the site. Groundwater was found contam- inated with lead or selenium in some locations. First, potential technologies to remediate the contaminated soils and groundwater at the site are identified. The most promising technologies are then systematically evaluated for sustainability based on qualitative and quantitative analyses. Sustainability considerations include greenhouse gases and other air pollutant emissions, water use, and personal injury, among others. Phytoremediation is selected to treat the majority of the site by utilizing existing and new plant species to reduce the concentrations of the contaminants. Solidification/stabilization is selected for \u2018\u2018hot spot\u2019\u2019 treatment (high concentration area treatment) only at certain specific areas that have high concentrations of metals in the vadose zone. Moni- tored natural attenuation is selected for groundwater treatment.", "author" : [ { "dropping-particle" : "", "family" : "Reddy", "given" : "Krishna R.", "non-dropping-particle" : "", "parse-names" : false, "suffix" : "" }, { "dropping-particle" : "", "family" : "Chirakkara", "given" : "Reshma a.", "non-dropping-particle" : "", "parse-names" : false, "suffix" : "" } ], "container-title" : "Geotechnical and Geological Engineering", "id" : "ITEM-1", "issue" : "6", "issued" : { "date-parts" : [ [ "2013" ] ] }, "page" : "1653-1661", "title" : "Green and Sustainable Remedial Strategy for Contaminated Site: Case Study", "type" : "article-journal", "volume" : "31" }, "uris" : [ "http://www.mendeley.com/documents/?uuid=212a140e-1114-4294-8f67-05bf4fb39e4e" ] } ], "mendeley" : { "formattedCitation" : "(Reddy &amp; Chirakkara, 2013)", "manualFormatting" : "Reddy and Chirakkara, (2013)", "plainTextFormattedCitation" : "(Reddy &amp; Chirakkara, 2013)", "previouslyFormattedCitation" : "(Reddy &amp; Chirakkara, 2013)" }, "properties" : { "noteIndex" : 0 }, "schema" : "https://github.com/citation-style-language/schema/raw/master/csl-citation.json" }</w:instrText>
      </w:r>
      <w:r w:rsidR="00BD513F" w:rsidRPr="00907FD3">
        <w:fldChar w:fldCharType="separate"/>
      </w:r>
      <w:r w:rsidR="00BD513F" w:rsidRPr="00907FD3">
        <w:rPr>
          <w:noProof/>
        </w:rPr>
        <w:t>Reddy and Chirakkara, (2013)</w:t>
      </w:r>
      <w:r w:rsidR="00BD513F" w:rsidRPr="00907FD3">
        <w:fldChar w:fldCharType="end"/>
      </w:r>
      <w:r w:rsidR="00B736E4" w:rsidRPr="00907FD3">
        <w:t xml:space="preserve"> who identified MNA as the most sustainable option to treat groundwater for a site contaminated with mixed PAH, heavy metal and pesticides. However, in this example there were no immediate down gradient receptors unlike the present study where</w:t>
      </w:r>
      <w:r w:rsidR="004C6AC5" w:rsidRPr="00907FD3">
        <w:t xml:space="preserve"> the CSM and remedial objectives require the WSW to be isolated from MTBE contamination in the channel sands, hence the need for an active containment system, i.e. the HCS. </w:t>
      </w:r>
    </w:p>
    <w:p w14:paraId="4C2AAA89" w14:textId="1AA33797" w:rsidR="0030104D" w:rsidRPr="00907FD3" w:rsidRDefault="00637390" w:rsidP="004C6AC5">
      <w:pPr>
        <w:spacing w:line="480" w:lineRule="auto"/>
        <w:jc w:val="both"/>
      </w:pPr>
      <w:r w:rsidRPr="00907FD3">
        <w:t xml:space="preserve">Furthermore, </w:t>
      </w:r>
      <w:r w:rsidR="004849A9" w:rsidRPr="00907FD3">
        <w:t xml:space="preserve">out of the intensive treatment options </w:t>
      </w:r>
      <w:r w:rsidRPr="00907FD3">
        <w:t xml:space="preserve">EK-BIO </w:t>
      </w:r>
      <w:r w:rsidR="00EC6639" w:rsidRPr="00907FD3">
        <w:t xml:space="preserve">has a lower associated cost and GHG emission footprint. </w:t>
      </w:r>
      <w:r w:rsidR="004849A9" w:rsidRPr="00907FD3">
        <w:t>This compares</w:t>
      </w:r>
      <w:r w:rsidR="00BE021B" w:rsidRPr="00907FD3">
        <w:t xml:space="preserve"> well to an environmental assessment of EK remediation applied to heavy metal contaminated land</w:t>
      </w:r>
      <w:r w:rsidR="00B72068" w:rsidRPr="00907FD3">
        <w:t xml:space="preserve"> by </w:t>
      </w:r>
      <w:r w:rsidR="00B72068" w:rsidRPr="00907FD3">
        <w:fldChar w:fldCharType="begin" w:fldLock="1"/>
      </w:r>
      <w:r w:rsidR="00C10589" w:rsidRPr="00907FD3">
        <w:instrText>ADDIN CSL_CITATION { "citationItems" : [ { "id" : "ITEM-1", "itemData" : { "DOI" : "10.1007/s11356-014-2597-1", "ISBN" : "0944-1344", "ISSN" : "16147499", "PMID" : "24515871", "abstract" : "In this study, an environmental assessment on an electrokinetic (EK) system for the remediation of a multimetal-contaminated real site was conducted using a green and sustainable remediation (GSR) tool. The entire EK process was classified into major four phases consisting of remedial investigations (RIs), remedial action construction (RAC), remedial action operation (RAO), and long-term monitoring (LTM) for environmental assessment. The environmental footprints, including greenhouse gas (GHG) emissions, total energy used, air emissions of criteria pollutants, such as NOx, SOx, and PM10, and water consumption, were calculated, and the relative contribution in each phase was analyzed in the environmental assessment. In the RAC phase, the relative contribution of the GHG emissions, total energy used, and PM10 emissions were 77.3, 67.6, and 70.4\u00a0%, respectively, which were higher than those of the other phases because the material consumption and equipment used for system construction were high. In the RAO phase, the relative contributions of water consumption and NOx and SOx emissions were 94.7, 85.2, and 91.0\u00a0%, respectively, which were higher than those of the other phases, because the water and electricity consumption required for system operation was high. In the RIs and LTM phases, the environmental footprints were negligible because the material and energy consumption was less. In conclusion, the consumable materials and electrical energy consumption might be very important for GSR in the EK remediation process, because the production of consumable materials and electrical energy consumption highly affects the GHG emissions, total energy used, and air emissions such as NOx and SOx.", "author" : [ { "dropping-particle" : "", "family" : "Kim", "given" : "Do Hyung", "non-dropping-particle" : "", "parse-names" : false, "suffix" : "" }, { "dropping-particle" : "", "family" : "Yoo", "given" : "Jong Chan", "non-dropping-particle" : "", "parse-names" : false, "suffix" : "" }, { "dropping-particle" : "", "family" : "Hwang", "given" : "Bo Ram", "non-dropping-particle" : "", "parse-names" : false, "suffix" : "" }, { "dropping-particle" : "", "family" : "Yang", "given" : "Jung Seok", "non-dropping-particle" : "", "parse-names" : false, "suffix" : "" }, { "dropping-particle" : "", "family" : "Baek", "given" : "Kitae", "non-dropping-particle" : "", "parse-names" : false, "suffix" : "" } ], "container-title" : "Environmental Science and Pollution Research", "id" : "ITEM-1", "issue" : "10", "issued" : { "date-parts" : [ [ "2014" ] ] }, "page" : "6751-6758", "title" : "Environmental assessment on electrokinetic remediation of multimetal-contaminated site: A case study", "type" : "article-journal", "volume" : "21" }, "uris" : [ "http://www.mendeley.com/documents/?uuid=9885ea4e-729a-4193-b694-8ed8dca2c6c4" ] } ], "mendeley" : { "formattedCitation" : "(Kim et al., 2014)", "manualFormatting" : "Kim et al. (2014)", "plainTextFormattedCitation" : "(Kim et al., 2014)", "previouslyFormattedCitation" : "(Kim et al., 2014)" }, "properties" : { "noteIndex" : 0 }, "schema" : "https://github.com/citation-style-language/schema/raw/master/csl-citation.json" }</w:instrText>
      </w:r>
      <w:r w:rsidR="00B72068" w:rsidRPr="00907FD3">
        <w:fldChar w:fldCharType="separate"/>
      </w:r>
      <w:r w:rsidR="00B72068" w:rsidRPr="00907FD3">
        <w:rPr>
          <w:noProof/>
        </w:rPr>
        <w:t>Kim et al. (2014)</w:t>
      </w:r>
      <w:r w:rsidR="00B72068" w:rsidRPr="00907FD3">
        <w:fldChar w:fldCharType="end"/>
      </w:r>
      <w:r w:rsidR="00BE021B" w:rsidRPr="00907FD3">
        <w:t>.</w:t>
      </w:r>
      <w:r w:rsidR="00B72068" w:rsidRPr="00907FD3">
        <w:t xml:space="preserve"> The authors observed</w:t>
      </w:r>
      <w:r w:rsidR="009939BE" w:rsidRPr="00907FD3">
        <w:t xml:space="preserve"> during remedial operation that</w:t>
      </w:r>
      <w:r w:rsidR="00B72068" w:rsidRPr="00907FD3">
        <w:t xml:space="preserve"> electricity consumption </w:t>
      </w:r>
      <w:r w:rsidR="009939BE" w:rsidRPr="00907FD3">
        <w:t>was</w:t>
      </w:r>
      <w:r w:rsidR="004849A9" w:rsidRPr="00907FD3">
        <w:t xml:space="preserve"> the</w:t>
      </w:r>
      <w:r w:rsidR="009939BE" w:rsidRPr="00907FD3">
        <w:t xml:space="preserve"> </w:t>
      </w:r>
      <w:r w:rsidR="004849A9" w:rsidRPr="00907FD3">
        <w:t>highest</w:t>
      </w:r>
      <w:r w:rsidR="00661DB8" w:rsidRPr="00907FD3">
        <w:t xml:space="preserve"> source of greenhouse gases with little additional </w:t>
      </w:r>
      <w:r w:rsidR="009939BE" w:rsidRPr="00907FD3">
        <w:t xml:space="preserve">extra </w:t>
      </w:r>
      <w:r w:rsidR="00661DB8" w:rsidRPr="00907FD3">
        <w:t xml:space="preserve">from transport </w:t>
      </w:r>
      <w:r w:rsidR="009939BE" w:rsidRPr="00907FD3">
        <w:t xml:space="preserve">to and from site. Although overall, the construction stage had the highest associated emissions because </w:t>
      </w:r>
      <w:r w:rsidR="00AA4ACF" w:rsidRPr="00907FD3">
        <w:t xml:space="preserve">the authors included </w:t>
      </w:r>
      <w:r w:rsidR="009939BE" w:rsidRPr="00907FD3">
        <w:t>manufacture of consumable m</w:t>
      </w:r>
      <w:r w:rsidR="00AA4ACF" w:rsidRPr="00907FD3">
        <w:t>aterials (e.g. electrodes).</w:t>
      </w:r>
      <w:r w:rsidR="004E33C2" w:rsidRPr="00907FD3">
        <w:t xml:space="preserve"> </w:t>
      </w:r>
      <w:r w:rsidR="00B24D56" w:rsidRPr="00907FD3">
        <w:t xml:space="preserve">The PT option on the other hand has the highest </w:t>
      </w:r>
      <w:r w:rsidR="00AA4ACF" w:rsidRPr="00907FD3">
        <w:t>values</w:t>
      </w:r>
      <w:r w:rsidR="006F74AD" w:rsidRPr="00907FD3">
        <w:t xml:space="preserve"> for total economic cost and CO</w:t>
      </w:r>
      <w:r w:rsidR="006F74AD" w:rsidRPr="00907FD3">
        <w:rPr>
          <w:vertAlign w:val="subscript"/>
        </w:rPr>
        <w:t>2</w:t>
      </w:r>
      <w:r w:rsidR="006F74AD" w:rsidRPr="00907FD3">
        <w:t xml:space="preserve"> emissions. </w:t>
      </w:r>
      <w:r w:rsidR="00903A44" w:rsidRPr="00907FD3">
        <w:t xml:space="preserve">Other studies that include PT in the available treatment options often give a poor associated ranking </w:t>
      </w:r>
      <w:r w:rsidR="00903A44" w:rsidRPr="00907FD3">
        <w:fldChar w:fldCharType="begin" w:fldLock="1"/>
      </w:r>
      <w:r w:rsidR="00903A44" w:rsidRPr="00907FD3">
        <w:instrText>ADDIN CSL_CITATION { "citationItems" : [ { "id" : "ITEM-1", "itemData" : { "DOI" : "10.1007/s10706-013-9688-5", "ISSN" : "09603182", "abstract" : "This study describes the development of a green and sustainable strategy for the remediation of a contaminated site located in Chicago (IL, USA) to comply with the applicable federal and state environ- mental regulations. According to the site investigation results, many of the contaminant concentrations have been found to exceed the applicable regulatory limits that are protective of public health and local ecology. Polynuclear aromatic hydrocarbons, pesticides and heavy metals were found in the vadose zone soils throughout the site. Groundwater was found contam- inated with lead or selenium in some locations. First, potential technologies to remediate the contaminated soils and groundwater at the site are identified. The most promising technologies are then systematically evaluated for sustainability based on qualitative and quantitative analyses. Sustainability considerations include greenhouse gases and other air pollutant emissions, water use, and personal injury, among others. Phytoremediation is selected to treat the majority of the site by utilizing existing and new plant species to reduce the concentrations of the contaminants. Solidification/stabilization is selected for \u2018\u2018hot spot\u2019\u2019 treatment (high concentration area treatment) only at certain specific areas that have high concentrations of metals in the vadose zone. Moni- tored natural attenuation is selected for groundwater treatment.", "author" : [ { "dropping-particle" : "", "family" : "Reddy", "given" : "Krishna R.", "non-dropping-particle" : "", "parse-names" : false, "suffix" : "" }, { "dropping-particle" : "", "family" : "Chirakkara", "given" : "Reshma a.", "non-dropping-particle" : "", "parse-names" : false, "suffix" : "" } ], "container-title" : "Geotechnical and Geological Engineering", "id" : "ITEM-1", "issue" : "6", "issued" : { "date-parts" : [ [ "2013" ] ] }, "page" : "1653-1661", "title" : "Green and Sustainable Remedial Strategy for Contaminated Site: Case Study", "type" : "article-journal", "volume" : "31" }, "uris" : [ "http://www.mendeley.com/documents/?uuid=212a140e-1114-4294-8f67-05bf4fb39e4e" ] }, { "id" : "ITEM-2", "itemData" : { "DOI" : "10.1007/s11367-007-0328-2", "ISBN" : "0948-3349", "ISSN" : "0948-3349", "abstract" : "Goal and Scope. A comparison of in situ and ex situ treatment scenarios for a diesel-contaminated site was performed using an evolutive LCA. Treatment time along with primary (residual contamination left in soil or groundwater after treatment) and secondary (impacts due to remediation) environmental impacts were considered. The site under study had a Light Non Aqueous Phase Liquid (LNAPL) thickness of up to 1 m, a diesel soil concentration of 10,500 mg/kg and a residual contamination in groundwater. Methods. Four treatment scenarios to remove LNAPL and to treat soil and groundwater were compared: 1) pump and treat 2) bioslurping, bioventing and biosparging 3) bioslurping, bioventing and chemical oxidation and 4) ex situ treatment using biopiles. The technologies(1) design was performed using simulation tools and analytical equations. The LCA was evaluated for each year of treatment. Environmental impacts were assessed using the U.S. EPA Tool for the Reduction and Assessment of Chemical and Other Environmental Impacts (TRACI) method. Results and Discussion. The biological in situ scenario (2) showed the least primary and secondary impacts but its treatment time was more than 4 times longer than that obtained for the ex situ scenario (4). The ex situ scenario showed the best treatment time but its secondary impacts were significantly higher than those found for the biological in situ scenario due to the pavement of the treatment area. The combined biological and chemical in situ scenario (3) was the worst in terms of secondary impacts while the pump and treat scenario (1) was the worst in terms of primary impacts. Two scenarios were selected: one based upon low environmental impacts and the other on the fastest treatment time. Conclusions. Even without excavation, an in situ treatment can generate more secondary impacts than an ex situ treatment. Low environmental impact scenarios require time while rapid treatment scenarios generate high environmental impacts. The selection of the best remediation scenario will depend on the site owner's priority. Recommendations. Better characterization factors for aggregated substances are required.", "author" : [ { "dropping-particle" : "", "family" : "Cadotte", "given" : "Myriam", "non-dropping-particle" : "", "parse-names" : false, "suffix" : "" }, { "dropping-particle" : "", "family" : "Desch\u00eanes", "given" : "Louise", "non-dropping-particle" : "", "parse-names" : false, "suffix" : "" }, { "dropping-particle" : "", "family" : "Samson", "given" : "R\u00e9jean", "non-dropping-particle" : "", "parse-names" : false, "suffix" : "" } ], "container-title" : "The International Journal of Life Cycle Assessment", "id" : "ITEM-2", "issue" : "4", "issued" : { "date-parts" : [ [ "2007" ] ] }, "page" : "239-251", "title" : "Selection of a remediation scenario for a diesel-contaminated site using LCA", "type" : "article-journal", "volume" : "12" }, "uris" : [ "http://www.mendeley.com/documents/?uuid=e003f68c-172f-49c9-aec4-58c918545c63" ] } ], "mendeley" : { "formattedCitation" : "(Cadotte, Desch\u00eanes, &amp; Samson, 2007; Reddy &amp; Chirakkara, 2013)", "manualFormatting" : "(Cadotte et al., 2007; Reddy and Chirakkara, 2013)", "plainTextFormattedCitation" : "(Cadotte, Desch\u00eanes, &amp; Samson, 2007; Reddy &amp; Chirakkara, 2013)", "previouslyFormattedCitation" : "(Cadotte, Desch\u00eanes, &amp; Samson, 2007; Reddy &amp; Chirakkara, 2013)" }, "properties" : { "noteIndex" : 0 }, "schema" : "https://github.com/citation-style-language/schema/raw/master/csl-citation.json" }</w:instrText>
      </w:r>
      <w:r w:rsidR="00903A44" w:rsidRPr="00907FD3">
        <w:fldChar w:fldCharType="separate"/>
      </w:r>
      <w:r w:rsidR="00903A44" w:rsidRPr="00907FD3">
        <w:rPr>
          <w:noProof/>
        </w:rPr>
        <w:t>(Cadotte et al., 2007; Reddy and Chirakkara, 2013)</w:t>
      </w:r>
      <w:r w:rsidR="00903A44" w:rsidRPr="00907FD3">
        <w:fldChar w:fldCharType="end"/>
      </w:r>
      <w:r w:rsidR="00CD6458" w:rsidRPr="00907FD3">
        <w:t xml:space="preserve">. This is </w:t>
      </w:r>
      <w:r w:rsidR="00072B4E" w:rsidRPr="00907FD3">
        <w:t xml:space="preserve">due to the use of an </w:t>
      </w:r>
      <w:r w:rsidR="00072B4E" w:rsidRPr="00907FD3">
        <w:rPr>
          <w:i/>
        </w:rPr>
        <w:t xml:space="preserve">ex situ </w:t>
      </w:r>
      <w:r w:rsidR="00072B4E" w:rsidRPr="00907FD3">
        <w:t>GAC treatment module</w:t>
      </w:r>
      <w:r w:rsidR="00CD6458" w:rsidRPr="00907FD3">
        <w:t xml:space="preserve"> and associated manufacture and transport of the GAC </w:t>
      </w:r>
      <w:r w:rsidR="00D440A7" w:rsidRPr="00907FD3">
        <w:t xml:space="preserve">to site </w:t>
      </w:r>
      <w:r w:rsidR="00CD6458" w:rsidRPr="00907FD3">
        <w:t>(Cadotte, et al., 2007)</w:t>
      </w:r>
      <w:r w:rsidR="00072B4E" w:rsidRPr="00907FD3">
        <w:t>.</w:t>
      </w:r>
      <w:r w:rsidR="00D440A7" w:rsidRPr="00907FD3">
        <w:t xml:space="preserve"> </w:t>
      </w:r>
    </w:p>
    <w:p w14:paraId="1BDD1D78" w14:textId="2CFC42EA" w:rsidR="00A837DD" w:rsidRPr="00907FD3" w:rsidRDefault="00E162B5" w:rsidP="008956EC">
      <w:pPr>
        <w:pStyle w:val="Heading3"/>
      </w:pPr>
      <w:r w:rsidRPr="00907FD3">
        <w:t>Su</w:t>
      </w:r>
      <w:r w:rsidR="004053F5" w:rsidRPr="00907FD3">
        <w:t>R</w:t>
      </w:r>
      <w:r w:rsidRPr="00907FD3">
        <w:t>F-UK framework appraisal</w:t>
      </w:r>
    </w:p>
    <w:p w14:paraId="0CC033F4" w14:textId="5880F83E" w:rsidR="00B8778B" w:rsidRPr="00907FD3" w:rsidRDefault="00B8778B" w:rsidP="00404590">
      <w:pPr>
        <w:spacing w:line="480" w:lineRule="auto"/>
        <w:jc w:val="both"/>
      </w:pPr>
      <w:r w:rsidRPr="00907FD3">
        <w:t>When applying Stage B of the Su</w:t>
      </w:r>
      <w:r w:rsidR="000905B6" w:rsidRPr="00907FD3">
        <w:t>RF</w:t>
      </w:r>
      <w:r w:rsidRPr="00907FD3">
        <w:t>-UK framework it is important to know the data and time limitations of the project in order to</w:t>
      </w:r>
      <w:r w:rsidRPr="00907FD3">
        <w:rPr>
          <w:lang w:val="en-GB"/>
        </w:rPr>
        <w:t xml:space="preserve"> maximi</w:t>
      </w:r>
      <w:r w:rsidR="00DD4B02" w:rsidRPr="00907FD3">
        <w:rPr>
          <w:lang w:val="en-GB"/>
        </w:rPr>
        <w:t>s</w:t>
      </w:r>
      <w:r w:rsidRPr="00907FD3">
        <w:rPr>
          <w:lang w:val="en-GB"/>
        </w:rPr>
        <w:t>e</w:t>
      </w:r>
      <w:r w:rsidRPr="00907FD3">
        <w:t xml:space="preserve"> the benefit of the assessment versus the effort expended conducting it. In this study the same management decisions could be reached with a Tier 1 </w:t>
      </w:r>
      <w:r w:rsidR="004555A4" w:rsidRPr="00907FD3">
        <w:t xml:space="preserve">assessment </w:t>
      </w:r>
      <w:r w:rsidRPr="00907FD3">
        <w:t xml:space="preserve">as opposed to a </w:t>
      </w:r>
      <w:r w:rsidR="004555A4" w:rsidRPr="00907FD3">
        <w:t>combined Tier 1 and</w:t>
      </w:r>
      <w:r w:rsidR="00887DF0" w:rsidRPr="00907FD3">
        <w:t xml:space="preserve"> </w:t>
      </w:r>
      <w:r w:rsidRPr="00907FD3">
        <w:t xml:space="preserve">2 assessment. This is consistent with findings from </w:t>
      </w:r>
      <w:r w:rsidRPr="00907FD3">
        <w:fldChar w:fldCharType="begin" w:fldLock="1"/>
      </w:r>
      <w:r w:rsidR="00BD513F" w:rsidRPr="00907FD3">
        <w:instrText>ADDIN CSL_CITATION { "citationItems" : [ { "id" : "ITEM-1", "itemData" : { "DOI" : "10.1007/s11270-013-1706-y", "ISBN" : "0049-6979", "ISSN" : "00496979", "PMID" : "24482545", "abstract" : "Sustainable remediation comprises soil and groundwater risk-management actions that are selected, designed, and operated to maximize net environmental, social, and economic benefit (while assuring protection of human health and safety). This paper describes a benchmarking exercise to comparatively assess potential differences in environmental management decision making resulting from application of different sustainability appraisal tools ranging from simple (qualitative) to more quantitative (multi-criteria and fully monetized cost-benefit analysis), as outlined in the SuRF-UK framework. The appraisal tools were used to rank remedial options for risk management of a subsurface petroleum release that occurred at a petrol filling station in central England. The remediation options were benchmarked using a consistent set of soil and groundwater data for each tier of sustainability appraisal. The ranking of remedial options was very similar in all three tiers, and an environmental management decision to select the most sustainable options at tier 1 would have been the same decision at tiers 2 and 3. The exercise showed that, for relatively simple remediation projects, a simple sustainability appraisal led to the same remediation option selection as more complex appraisal, and can be used to reliably inform environmental management decisions on other relatively simple land contamination projects.", "author" : [ { "dropping-particle" : "", "family" : "Smith", "given" : "Jonathan W N", "non-dropping-particle" : "", "parse-names" : false, "suffix" : "" }, { "dropping-particle" : "", "family" : "Kerrison", "given" : "Gavin", "non-dropping-particle" : "", "parse-names" : false, "suffix" : "" } ], "container-title" : "Water, Air, and Soil Pollution", "id" : "ITEM-1", "issue" : "12", "issued" : { "date-parts" : [ [ "2013" ] ] }, "page" : "1-11", "title" : "Benchmarking of decision-support tools used for tiered sustainable remediation appraisal", "type" : "article-journal", "volume" : "224" }, "uris" : [ "http://www.mendeley.com/documents/?uuid=a01b1067-c2eb-4715-a6b2-3294215dd1c3" ] } ], "mendeley" : { "formattedCitation" : "(Smith &amp; Kerrison, 2013)", "manualFormatting" : "Smith and Kerrison (2013)", "plainTextFormattedCitation" : "(Smith &amp; Kerrison, 2013)", "previouslyFormattedCitation" : "(Smith &amp; Kerrison, 2013)" }, "properties" : { "noteIndex" : 0 }, "schema" : "https://github.com/citation-style-language/schema/raw/master/csl-citation.json" }</w:instrText>
      </w:r>
      <w:r w:rsidRPr="00907FD3">
        <w:fldChar w:fldCharType="separate"/>
      </w:r>
      <w:r w:rsidRPr="00907FD3">
        <w:rPr>
          <w:noProof/>
        </w:rPr>
        <w:t>Smith and Kerrison (2013)</w:t>
      </w:r>
      <w:r w:rsidRPr="00907FD3">
        <w:fldChar w:fldCharType="end"/>
      </w:r>
      <w:r w:rsidRPr="00907FD3">
        <w:t xml:space="preserve"> where the authors compar</w:t>
      </w:r>
      <w:r w:rsidR="00887DF0" w:rsidRPr="00907FD3">
        <w:t>ed the management outcome from T</w:t>
      </w:r>
      <w:r w:rsidRPr="00907FD3">
        <w:t>ier 1, 2 and 3</w:t>
      </w:r>
      <w:r w:rsidR="00072A12" w:rsidRPr="00907FD3">
        <w:t xml:space="preserve"> assessments</w:t>
      </w:r>
      <w:r w:rsidRPr="00907FD3">
        <w:t>.</w:t>
      </w:r>
      <w:r w:rsidR="002D489E" w:rsidRPr="00907FD3">
        <w:t xml:space="preserve"> They found for the same contaminated PFS site that a Tier 2 assessment could differentiate between options ranked equally at Tier 1</w:t>
      </w:r>
      <w:r w:rsidR="00091637" w:rsidRPr="00907FD3">
        <w:t>. A</w:t>
      </w:r>
      <w:r w:rsidR="002D489E" w:rsidRPr="00907FD3">
        <w:t>lthough this did not greatly change the ranking of the options</w:t>
      </w:r>
      <w:r w:rsidR="00072A12" w:rsidRPr="00907FD3">
        <w:t xml:space="preserve"> </w:t>
      </w:r>
      <w:r w:rsidR="00091637" w:rsidRPr="00907FD3">
        <w:t xml:space="preserve">or the final management decision </w:t>
      </w:r>
      <w:r w:rsidR="00072A12" w:rsidRPr="00907FD3">
        <w:t xml:space="preserve">between </w:t>
      </w:r>
      <w:r w:rsidR="00091637" w:rsidRPr="00907FD3">
        <w:t>assessments</w:t>
      </w:r>
      <w:r w:rsidR="002D489E" w:rsidRPr="00907FD3">
        <w:t>.</w:t>
      </w:r>
      <w:r w:rsidR="00072A12" w:rsidRPr="00907FD3">
        <w:t xml:space="preserve"> </w:t>
      </w:r>
      <w:r w:rsidR="00F01AF1" w:rsidRPr="00907FD3">
        <w:t>The authors also compared the time and effort</w:t>
      </w:r>
      <w:r w:rsidR="00072A12" w:rsidRPr="00907FD3">
        <w:t xml:space="preserve"> required to conduct the assessments</w:t>
      </w:r>
      <w:r w:rsidR="00187388" w:rsidRPr="00907FD3">
        <w:t xml:space="preserve"> and</w:t>
      </w:r>
      <w:r w:rsidR="00072A12" w:rsidRPr="00907FD3">
        <w:t xml:space="preserve"> clearly showed </w:t>
      </w:r>
      <w:r w:rsidR="00AB11E4" w:rsidRPr="00907FD3">
        <w:t xml:space="preserve">it increased between Tier 1, 2 and 3. </w:t>
      </w:r>
      <w:r w:rsidR="00F01AF1" w:rsidRPr="00907FD3">
        <w:t xml:space="preserve">Overall, the decision to progress between tiers </w:t>
      </w:r>
      <w:r w:rsidR="00187388" w:rsidRPr="00907FD3">
        <w:t xml:space="preserve">of assessment </w:t>
      </w:r>
      <w:r w:rsidR="00F01AF1" w:rsidRPr="00907FD3">
        <w:t>is highly site and project specific, however it should include consideration of the additional time and data requirements to justify it.</w:t>
      </w:r>
    </w:p>
    <w:p w14:paraId="4495C353" w14:textId="117E151A" w:rsidR="00E162B5" w:rsidRPr="00907FD3" w:rsidRDefault="00E162B5" w:rsidP="008956EC">
      <w:pPr>
        <w:pStyle w:val="Heading3"/>
      </w:pPr>
      <w:r w:rsidRPr="00907FD3">
        <w:t>Sustainability scenarios for EK-BIO</w:t>
      </w:r>
    </w:p>
    <w:p w14:paraId="40731D05" w14:textId="38BFBEA3" w:rsidR="00EB78FF" w:rsidRPr="00907FD3" w:rsidRDefault="000D636F" w:rsidP="00EB78FF">
      <w:pPr>
        <w:spacing w:line="480" w:lineRule="auto"/>
        <w:jc w:val="both"/>
      </w:pPr>
      <w:r w:rsidRPr="00907FD3">
        <w:t>Different</w:t>
      </w:r>
      <w:r w:rsidR="00A7564E" w:rsidRPr="00907FD3">
        <w:t xml:space="preserve"> Option 2 </w:t>
      </w:r>
      <w:r w:rsidR="009B58A7" w:rsidRPr="00907FD3">
        <w:t>sustainability s</w:t>
      </w:r>
      <w:r w:rsidR="00A7564E" w:rsidRPr="00907FD3">
        <w:t>cenarios</w:t>
      </w:r>
      <w:r w:rsidR="00D049AD" w:rsidRPr="00907FD3">
        <w:t xml:space="preserve"> </w:t>
      </w:r>
      <w:r w:rsidR="009B58A7" w:rsidRPr="00907FD3">
        <w:t xml:space="preserve">were </w:t>
      </w:r>
      <w:r w:rsidR="00D049AD" w:rsidRPr="00907FD3">
        <w:t>designed to: (1) offset electricity</w:t>
      </w:r>
      <w:r w:rsidR="00A7564E" w:rsidRPr="00907FD3">
        <w:t xml:space="preserve"> </w:t>
      </w:r>
      <w:r w:rsidR="00D049AD" w:rsidRPr="00907FD3">
        <w:t>generation</w:t>
      </w:r>
      <w:r w:rsidR="009B58A7" w:rsidRPr="00907FD3">
        <w:t xml:space="preserve"> required for the EK-BIO treatment using renewable energy sources, i.e. PVs; and (2) reduce natural resources consumption by replacing the electron acceptor source from the amendment with electron acceptors from background groundwater that is pumped through the electrodes. Both techniques individually (scenarios 1 and 2) and combined (scenario 3) </w:t>
      </w:r>
      <w:r w:rsidR="00834B76" w:rsidRPr="00907FD3">
        <w:t xml:space="preserve">demonstrated limited improvement in the overall sustainability of the treatment. </w:t>
      </w:r>
      <w:r w:rsidR="00EB78FF" w:rsidRPr="00907FD3">
        <w:t>These findings demonstrate that introducing such techniques</w:t>
      </w:r>
      <w:r w:rsidR="005B5E2F" w:rsidRPr="00907FD3">
        <w:t xml:space="preserve"> provide a benefit against green remediation objectives </w:t>
      </w:r>
      <w:r w:rsidR="00A73EEE" w:rsidRPr="00907FD3">
        <w:fldChar w:fldCharType="begin" w:fldLock="1"/>
      </w:r>
      <w:r w:rsidR="00C10589" w:rsidRPr="00907FD3">
        <w:instrText>ADDIN CSL_CITATION { "citationItems" : [ { "id" : "ITEM-1", "itemData" : { "ISBN" : "3016043408", "author" : [ { "dropping-particle" : "", "family" : "US EPA", "given" : "", "non-dropping-particle" : "", "parse-names" : false, "suffix" : "" } ], "id" : "ITEM-1", "issued" : { "date-parts" : [ [ "2008" ] ] }, "publisher-place" : "Cincinnati", "title" : "Incorporating Sustainable Environmental Practices into Remediation of Contaminated Sites Technology Primer Green Remediation : Incorporating Sustainable Environmental Practices into Remediation of Contaminated Sites", "type" : "report" }, "uris" : [ "http://www.mendeley.com/documents/?uuid=e95b7523-2cef-4dcf-8ced-2754e8e38eaf" ] } ], "mendeley" : { "formattedCitation" : "(US EPA, 2008)", "plainTextFormattedCitation" : "(US EPA, 2008)", "previouslyFormattedCitation" : "(US EPA, 2008)" }, "properties" : { "noteIndex" : 0 }, "schema" : "https://github.com/citation-style-language/schema/raw/master/csl-citation.json" }</w:instrText>
      </w:r>
      <w:r w:rsidR="00A73EEE" w:rsidRPr="00907FD3">
        <w:fldChar w:fldCharType="separate"/>
      </w:r>
      <w:r w:rsidR="00A73EEE" w:rsidRPr="00907FD3">
        <w:rPr>
          <w:noProof/>
        </w:rPr>
        <w:t>(US EPA, 2008)</w:t>
      </w:r>
      <w:r w:rsidR="00A73EEE" w:rsidRPr="00907FD3">
        <w:fldChar w:fldCharType="end"/>
      </w:r>
      <w:r w:rsidR="005B5E2F" w:rsidRPr="00907FD3">
        <w:t>. However when considered as part of a holistic approach, such as the SurF-UK framework, these techniques</w:t>
      </w:r>
      <w:r w:rsidR="00EB78FF" w:rsidRPr="00907FD3">
        <w:t xml:space="preserve"> do not always result in a more sustainable solution. </w:t>
      </w:r>
    </w:p>
    <w:p w14:paraId="1B2D28CD" w14:textId="61CE6408" w:rsidR="00391CDD" w:rsidRPr="00907FD3" w:rsidRDefault="00A7564E" w:rsidP="00991D5F">
      <w:pPr>
        <w:spacing w:line="480" w:lineRule="auto"/>
        <w:jc w:val="both"/>
      </w:pPr>
      <w:r w:rsidRPr="00907FD3">
        <w:t xml:space="preserve">With regards to the PV scenario, there was a small decrease in the score (i.e., improved sustainability), but not significant over the minimum and maximum ranges. Other EK remediation studies have successfully applied PV in their setups at the laboratory- and field-scale </w:t>
      </w:r>
      <w:r w:rsidRPr="00907FD3">
        <w:fldChar w:fldCharType="begin" w:fldLock="1"/>
      </w:r>
      <w:r w:rsidR="00C10589" w:rsidRPr="00907FD3">
        <w:instrText>ADDIN CSL_CITATION { "citationItems" : [ { "id" : "ITEM-1", "itemData" : { "DOI" : "10.1016/j.enggeo.2004.07.013", "ISSN" : "00137952", "author" : [ { "dropping-particle" : "", "family" : "Godschalk", "given" : "M.S.", "non-dropping-particle" : "", "parse-names" : false, "suffix" : "" }, { "dropping-particle" : "", "family" : "Lageman", "given" : "R.", "non-dropping-particle" : "", "parse-names" : false, "suffix" : "" } ], "container-title" : "Engineering Geology", "id" : "ITEM-1", "issue" : "3-4", "issued" : { "date-parts" : [ [ "2005", "3" ] ] }, "note" : "Flow velocity: 3 m / yr\nNutrients added up stream and carried with GW flow then dispersed with EK\n\nEK used to disperse nutrients into flow of groundwater and increase biodegradation. \n\nBiodeg capacity of microbes increased with time and therfore better able to cope with future pollution.\n\nFew issues around the type of pollution etc - proves concept that EK can enhance biodeg", "page" : "225-231", "title" : "Electrokinetic Biofence, remediation of VOCs with solar energy and bacteria", "type" : "article-journal", "volume" : "77" }, "uris" : [ "http://www.mendeley.com/documents/?uuid=9a43167a-97cd-41ff-9e03-a402dab5a9de" ] }, { "id" : "ITEM-2", "itemData" : { "DOI" : "10.1016/j.electacta.2015.03.065", "ISSN" : "00134686", "author" : [ { "dropping-particle" : "", "family" : "Jeon", "given" : "Eun-Ki", "non-dropping-particle" : "", "parse-names" : false, "suffix" : "" }, { "dropping-particle" : "", "family" : "Ryu", "given" : "So-Ri", "non-dropping-particle" : "", "parse-names" : false, "suffix" : "" }, { "dropping-particle" : "", "family" : "Baek", "given" : "Kitae", "non-dropping-particle" : "", "parse-names" : false, "suffix" : "" } ], "container-title" : "Electrochimica Acta", "id" : "ITEM-2", "issued" : { "date-parts" : [ [ "2015" ] ] }, "publisher" : "Elsevier Ltd", "title" : "Application of solar-cells in the electrokinetic remediation of As-contaminated soil", "type" : "article-journal" }, "uris" : [ "http://www.mendeley.com/documents/?uuid=2a73f245-99e7-46a2-80aa-4d61ffd0104b" ] }, { "id" : "ITEM-3", "itemData" : { "DOI" : "10.1016/j.jhazmat.2008.06.038", "ISBN" : "0304-3894 (Print)", "ISSN" : "03043894", "PMID" : "18656308", "abstract" : "This preliminary study used a solar cell, instead of direct current (DC) power supply, to generate electric field for electrokinetic (EK) remediation of cadmium-contaminated soil. Three EK tests were conducted and compared; one was conducted on a cloudy and rainy day with solar cell, one was conducted on a sunny day with solar cell and another was conducted periodically with DC power supply. It was found that the output potential of solar cell depended on daytime and was influenced by weather conditions; the applied potential in soil was affected by the output potential and weather conditions, and the current achieved by solar cell was comparable with that achieved by DC power supply. Solar cell could be used to drive the electromigration of cadmium in contaminated soil, and removal efficiency achieved by solar cell was comparable with that achieved by DC power supply. Compared with traditional DC power supply, using solar cell as power supply for EK remediation can greatly reduce energy expenditure. This study provided an alternative to improve the EK soil remediation and expanded the use of solar cell in environmental remediation. ?? 2008 Elsevier B.V. All rights reserved.", "author" : [ { "dropping-particle" : "", "family" : "Yuan", "given" : "Songhu", "non-dropping-particle" : "", "parse-names" : false, "suffix" : "" }, { "dropping-particle" : "", "family" : "Zheng", "given" : "Zhonghua", "non-dropping-particle" : "", "parse-names" : false, "suffix" : "" }, { "dropping-particle" : "", "family" : "Chen", "given" : "Jing", "non-dropping-particle" : "", "parse-names" : false, "suffix" : "" }, { "dropping-particle" : "", "family" : "Lu", "given" : "Xiaohua", "non-dropping-particle" : "", "parse-names" : false, "suffix" : "" } ], "container-title" : "Journal of Hazardous Materials", "id" : "ITEM-3", "issue" : "2-3", "issued" : { "date-parts" : [ [ "2009" ] ] }, "page" : "1583-1587", "title" : "Use of solar cell in electrokinetic remediation of cadmium-contaminated soil", "type" : "article-journal", "volume" : "162" }, "uris" : [ "http://www.mendeley.com/documents/?uuid=3af297a1-8538-442b-af28-2651ec20c505" ] } ], "mendeley" : { "formattedCitation" : "(Godschalk &amp; Lageman, 2005; Jeon, Ryu, &amp; Baek, 2015; Yuan, Zheng, Chen, &amp; Lu, 2009)", "manualFormatting" : "(Godschalk and Lageman, 2005; Jeon et al., 2015; Yuan et al., 2009)", "plainTextFormattedCitation" : "(Godschalk &amp; Lageman, 2005; Jeon, Ryu, &amp; Baek, 2015; Yuan, Zheng, Chen, &amp; Lu, 2009)", "previouslyFormattedCitation" : "(Godschalk &amp; Lageman, 2005; Jeon, Ryu, &amp; Baek, 2015; Yuan, Zheng, Chen, &amp; Lu, 2009)" }, "properties" : { "noteIndex" : 0 }, "schema" : "https://github.com/citation-style-language/schema/raw/master/csl-citation.json" }</w:instrText>
      </w:r>
      <w:r w:rsidRPr="00907FD3">
        <w:fldChar w:fldCharType="separate"/>
      </w:r>
      <w:r w:rsidRPr="00907FD3">
        <w:rPr>
          <w:noProof/>
        </w:rPr>
        <w:t>(Godschalk and Lageman, 2005; Jeon et al., 2015; Yuan et al., 2009)</w:t>
      </w:r>
      <w:r w:rsidRPr="00907FD3">
        <w:fldChar w:fldCharType="end"/>
      </w:r>
      <w:r w:rsidRPr="00907FD3">
        <w:t>. The noted benefits to using PVs include reduced operational cost and reduced pH changes and corrosion at the electrodes due to the intermittent power supply (Jeon et al., 2015). Furthermore, the remediation efficiency is comparable although slightly lower than systems with a mains direct current supply (Yuan et al., 2009; Jeon et al., 2015). PVs did not significantly reduce the MCA score in this study</w:t>
      </w:r>
      <w:r w:rsidR="00F37286" w:rsidRPr="00907FD3">
        <w:t xml:space="preserve"> because:</w:t>
      </w:r>
      <w:r w:rsidRPr="00907FD3">
        <w:t xml:space="preserve"> Option 2 is already a comparatively energy efficient option</w:t>
      </w:r>
      <w:r w:rsidR="00F37286" w:rsidRPr="00907FD3">
        <w:t>;</w:t>
      </w:r>
      <w:r w:rsidRPr="00907FD3">
        <w:t xml:space="preserve"> the HCS contributes half of the CO</w:t>
      </w:r>
      <w:r w:rsidRPr="00907FD3">
        <w:rPr>
          <w:vertAlign w:val="subscript"/>
        </w:rPr>
        <w:t>2</w:t>
      </w:r>
      <w:r w:rsidRPr="00907FD3">
        <w:t xml:space="preserve"> emissions</w:t>
      </w:r>
      <w:r w:rsidR="00F37286" w:rsidRPr="00907FD3">
        <w:t xml:space="preserve">; and the sensitivity of the influenced </w:t>
      </w:r>
      <w:r w:rsidR="00595295" w:rsidRPr="00907FD3">
        <w:t>IC</w:t>
      </w:r>
      <w:r w:rsidR="00F37286" w:rsidRPr="00907FD3">
        <w:t xml:space="preserve"> is relatively low </w:t>
      </w:r>
      <w:r w:rsidR="00991D5F" w:rsidRPr="00907FD3">
        <w:t xml:space="preserve">compared to other </w:t>
      </w:r>
      <w:r w:rsidR="00595295" w:rsidRPr="00907FD3">
        <w:t>IC</w:t>
      </w:r>
      <w:r w:rsidR="00991D5F" w:rsidRPr="00907FD3">
        <w:t xml:space="preserve">s </w:t>
      </w:r>
      <w:r w:rsidR="00F37286" w:rsidRPr="00907FD3">
        <w:t>(air emissions, ENV 1*</w:t>
      </w:r>
      <w:r w:rsidR="00391CDD" w:rsidRPr="00907FD3">
        <w:t>,</w:t>
      </w:r>
      <w:r w:rsidR="00034070" w:rsidRPr="00907FD3">
        <w:t xml:space="preserve"> </w:t>
      </w:r>
      <w:r w:rsidR="00034070" w:rsidRPr="00907FD3">
        <w:fldChar w:fldCharType="begin"/>
      </w:r>
      <w:r w:rsidR="00034070" w:rsidRPr="00907FD3">
        <w:instrText xml:space="preserve"> REF _Ref436054615 \h </w:instrText>
      </w:r>
      <w:r w:rsidR="00907FD3">
        <w:instrText xml:space="preserve"> \* MERGEFORMAT </w:instrText>
      </w:r>
      <w:r w:rsidR="00034070" w:rsidRPr="00907FD3">
        <w:fldChar w:fldCharType="separate"/>
      </w:r>
      <w:r w:rsidR="0047111A" w:rsidRPr="00907FD3">
        <w:t xml:space="preserve">Figure </w:t>
      </w:r>
      <w:r w:rsidR="0047111A" w:rsidRPr="00907FD3">
        <w:rPr>
          <w:noProof/>
        </w:rPr>
        <w:t>8</w:t>
      </w:r>
      <w:r w:rsidR="00034070" w:rsidRPr="00907FD3">
        <w:fldChar w:fldCharType="end"/>
      </w:r>
      <w:r w:rsidR="00F37286" w:rsidRPr="00907FD3">
        <w:t>)</w:t>
      </w:r>
      <w:r w:rsidRPr="00907FD3">
        <w:t>. Hence, any decrease in cost or CO</w:t>
      </w:r>
      <w:r w:rsidRPr="00907FD3">
        <w:rPr>
          <w:vertAlign w:val="subscript"/>
        </w:rPr>
        <w:t>2</w:t>
      </w:r>
      <w:r w:rsidRPr="00907FD3">
        <w:t xml:space="preserve"> emissions from incorporating PVs would have a decreased effect on the overall MCA score. </w:t>
      </w:r>
    </w:p>
    <w:p w14:paraId="2E830E1A" w14:textId="28870684" w:rsidR="00DA1871" w:rsidRPr="00907FD3" w:rsidRDefault="00DA1871" w:rsidP="008956EC">
      <w:pPr>
        <w:pStyle w:val="Heading1"/>
      </w:pPr>
      <w:r w:rsidRPr="00907FD3">
        <w:t xml:space="preserve">7.0 </w:t>
      </w:r>
      <w:r w:rsidR="008956EC" w:rsidRPr="00907FD3">
        <w:tab/>
      </w:r>
      <w:r w:rsidRPr="00907FD3">
        <w:t xml:space="preserve">Conclusions </w:t>
      </w:r>
    </w:p>
    <w:p w14:paraId="74C0B5D0" w14:textId="567D773F" w:rsidR="00DA1871" w:rsidRPr="00907FD3" w:rsidRDefault="00DA1871" w:rsidP="006521EC">
      <w:pPr>
        <w:spacing w:line="480" w:lineRule="auto"/>
        <w:jc w:val="both"/>
      </w:pPr>
      <w:r w:rsidRPr="00907FD3">
        <w:t xml:space="preserve">This study applies Stage B of the SuRF-UK sustainable remediation framework to inform a management decision </w:t>
      </w:r>
      <w:r w:rsidR="00CA3D8D" w:rsidRPr="00907FD3">
        <w:t xml:space="preserve">for LNAPL and dissolved phase remediation </w:t>
      </w:r>
      <w:r w:rsidRPr="00907FD3">
        <w:t xml:space="preserve">on a complex </w:t>
      </w:r>
      <w:r w:rsidR="00505B5E" w:rsidRPr="00907FD3">
        <w:t>petroleum</w:t>
      </w:r>
      <w:r w:rsidR="00CA3D8D" w:rsidRPr="00907FD3">
        <w:t xml:space="preserve"> fuel-</w:t>
      </w:r>
      <w:r w:rsidRPr="00907FD3">
        <w:t xml:space="preserve">contaminated site. Both a Tier 1 and Tier 2 sustainability assessment are performed using a sustainable </w:t>
      </w:r>
      <w:r w:rsidR="005F7996" w:rsidRPr="00907FD3">
        <w:t>indicator</w:t>
      </w:r>
      <w:r w:rsidRPr="00907FD3">
        <w:t xml:space="preserve"> set with priority </w:t>
      </w:r>
      <w:r w:rsidR="005F7996" w:rsidRPr="00907FD3">
        <w:t>indicator categories</w:t>
      </w:r>
      <w:r w:rsidRPr="00907FD3">
        <w:t xml:space="preserve"> selected through </w:t>
      </w:r>
      <w:r w:rsidR="00505B5E" w:rsidRPr="00907FD3">
        <w:t xml:space="preserve">a </w:t>
      </w:r>
      <w:r w:rsidRPr="00907FD3">
        <w:t xml:space="preserve">stakeholder </w:t>
      </w:r>
      <w:r w:rsidR="00505B5E" w:rsidRPr="00907FD3">
        <w:t>workshop</w:t>
      </w:r>
      <w:r w:rsidRPr="00907FD3">
        <w:t>. These assessments identified Options 2 and 3 (EK</w:t>
      </w:r>
      <w:r w:rsidR="00CA3D8D" w:rsidRPr="00907FD3">
        <w:t>-</w:t>
      </w:r>
      <w:r w:rsidRPr="00907FD3">
        <w:t xml:space="preserve">BIO+HCS and AS/SVE+HCS) as the most sustainable options, whereas Options 1 and 4 (MNA+HCS and PT+HCS) </w:t>
      </w:r>
      <w:r w:rsidR="00505B5E" w:rsidRPr="00907FD3">
        <w:t>were</w:t>
      </w:r>
      <w:r w:rsidR="00CA3D8D" w:rsidRPr="00907FD3">
        <w:t xml:space="preserve"> least sustainable under the conditions of the assessment. </w:t>
      </w:r>
      <w:r w:rsidR="005F7996" w:rsidRPr="00907FD3">
        <w:t>However, any application of the EK-BIO option should be subject to pilot-scale testing to ensure assumptions made for the assessment are valid at the field-scale.</w:t>
      </w:r>
    </w:p>
    <w:p w14:paraId="200BD983" w14:textId="77777777" w:rsidR="00385F50" w:rsidRPr="00907FD3" w:rsidRDefault="007200C1" w:rsidP="00B432A0">
      <w:pPr>
        <w:spacing w:line="480" w:lineRule="auto"/>
        <w:jc w:val="both"/>
      </w:pPr>
      <w:r w:rsidRPr="00907FD3">
        <w:t xml:space="preserve">In addition to aiding the management decision on site there are </w:t>
      </w:r>
      <w:r w:rsidR="00AB36BD" w:rsidRPr="00907FD3">
        <w:t>wi</w:t>
      </w:r>
      <w:r w:rsidR="00385F50" w:rsidRPr="00907FD3">
        <w:t>der implications to the study:</w:t>
      </w:r>
    </w:p>
    <w:p w14:paraId="01A42E44" w14:textId="53437F0D" w:rsidR="00385F50" w:rsidRPr="00907FD3" w:rsidRDefault="00060A84" w:rsidP="00385F50">
      <w:pPr>
        <w:numPr>
          <w:ilvl w:val="0"/>
          <w:numId w:val="43"/>
        </w:numPr>
        <w:spacing w:line="480" w:lineRule="auto"/>
        <w:jc w:val="both"/>
      </w:pPr>
      <w:r w:rsidRPr="00907FD3">
        <w:t xml:space="preserve">A comparison of individual treatments without the HCS </w:t>
      </w:r>
      <w:r w:rsidR="00DB291C" w:rsidRPr="00907FD3">
        <w:t xml:space="preserve">against certain individual </w:t>
      </w:r>
      <w:r w:rsidR="00595295" w:rsidRPr="00907FD3">
        <w:t>IC</w:t>
      </w:r>
      <w:r w:rsidR="00DB291C" w:rsidRPr="00907FD3">
        <w:t xml:space="preserve">s </w:t>
      </w:r>
      <w:r w:rsidRPr="00907FD3">
        <w:t>highlighted EK-BIO as having lower CO</w:t>
      </w:r>
      <w:r w:rsidRPr="00907FD3">
        <w:rPr>
          <w:vertAlign w:val="subscript"/>
        </w:rPr>
        <w:t>2</w:t>
      </w:r>
      <w:r w:rsidRPr="00907FD3">
        <w:t xml:space="preserve"> emissions and total cost compared to AS/SVE and PT. This is the first time EK-BIO has been compared to other remediation technologies and shows </w:t>
      </w:r>
      <w:r w:rsidR="007200C1" w:rsidRPr="00907FD3">
        <w:t>that it could be a competitive remediation technology in similar assessments</w:t>
      </w:r>
      <w:r w:rsidR="00385F50" w:rsidRPr="00907FD3">
        <w:t xml:space="preserve"> in the future</w:t>
      </w:r>
      <w:r w:rsidR="005F7996" w:rsidRPr="00907FD3">
        <w:t>. Moreover, a sensitivity analysis identified which ICs had the greatest contribution to the individual treatment MCA score</w:t>
      </w:r>
      <w:r w:rsidR="00DB291C" w:rsidRPr="00907FD3">
        <w:t>;</w:t>
      </w:r>
    </w:p>
    <w:p w14:paraId="128F989C" w14:textId="77777777" w:rsidR="00060A84" w:rsidRPr="00907FD3" w:rsidRDefault="00AB36BD" w:rsidP="00385F50">
      <w:pPr>
        <w:numPr>
          <w:ilvl w:val="0"/>
          <w:numId w:val="43"/>
        </w:numPr>
        <w:spacing w:line="480" w:lineRule="auto"/>
        <w:jc w:val="both"/>
      </w:pPr>
      <w:r w:rsidRPr="00907FD3">
        <w:t>The effectiveness of the SurF-UK approach is appraised by comparing the outcome of both the Tier 1 and 2 assessments</w:t>
      </w:r>
      <w:r w:rsidR="00385F50" w:rsidRPr="00907FD3">
        <w:t>. Both produced a joint ranking for AS/SVE and EK-BIO treatments, but the uncertainty analysis in Tier 2 gives more confidence in the decision to eliminate the MNA and PT technologies from future analyses</w:t>
      </w:r>
      <w:r w:rsidR="00DB291C" w:rsidRPr="00907FD3">
        <w:t>, however only proceeding with the Tier 1 assessment could result in time and cost savings</w:t>
      </w:r>
      <w:r w:rsidR="00385F50" w:rsidRPr="00907FD3">
        <w:t>;</w:t>
      </w:r>
      <w:r w:rsidR="00DB291C" w:rsidRPr="00907FD3">
        <w:t xml:space="preserve"> and</w:t>
      </w:r>
    </w:p>
    <w:p w14:paraId="29DE4B1A" w14:textId="77777777" w:rsidR="00385F50" w:rsidRPr="00907FD3" w:rsidRDefault="00385F50" w:rsidP="00385F50">
      <w:pPr>
        <w:numPr>
          <w:ilvl w:val="0"/>
          <w:numId w:val="43"/>
        </w:numPr>
        <w:spacing w:line="480" w:lineRule="auto"/>
        <w:jc w:val="both"/>
      </w:pPr>
      <w:r w:rsidRPr="00907FD3">
        <w:t>Treatment design modifications intended to make the EK-BIO option more sustainable actually had relatively little effect in changing the sustainability score compared with the other options.</w:t>
      </w:r>
    </w:p>
    <w:p w14:paraId="4FF3ECCA" w14:textId="77777777" w:rsidR="00DA1871" w:rsidRPr="00907FD3" w:rsidRDefault="00DA1871" w:rsidP="0098625D">
      <w:pPr>
        <w:pStyle w:val="Heading1"/>
      </w:pPr>
      <w:r w:rsidRPr="00907FD3">
        <w:t>Acknowledgements</w:t>
      </w:r>
    </w:p>
    <w:p w14:paraId="5BCFD663" w14:textId="77777777" w:rsidR="00DA1871" w:rsidRPr="00907FD3" w:rsidRDefault="00DA1871" w:rsidP="009C3546">
      <w:pPr>
        <w:spacing w:line="480" w:lineRule="auto"/>
        <w:jc w:val="both"/>
      </w:pPr>
      <w:r w:rsidRPr="00907FD3">
        <w:t>This work was completed while the author was in receipt of a UK Engineering and Physical Research Council (EPSRC) Collaborative Awards for Science and Engineering (CASE) studentship with Shell Global Solutions</w:t>
      </w:r>
      <w:r w:rsidR="00505B5E" w:rsidRPr="00907FD3">
        <w:t xml:space="preserve"> (UK) Ltd</w:t>
      </w:r>
      <w:r w:rsidRPr="00907FD3">
        <w:t>.</w:t>
      </w:r>
    </w:p>
    <w:p w14:paraId="4F6083C2" w14:textId="3E770741" w:rsidR="00DA1871" w:rsidRPr="00907FD3" w:rsidRDefault="0098625D" w:rsidP="0098625D">
      <w:pPr>
        <w:pStyle w:val="Heading1"/>
      </w:pPr>
      <w:r w:rsidRPr="00907FD3">
        <w:t>8.0</w:t>
      </w:r>
      <w:r w:rsidRPr="00907FD3">
        <w:tab/>
      </w:r>
      <w:r w:rsidR="00DA1871" w:rsidRPr="00907FD3">
        <w:t>References</w:t>
      </w:r>
    </w:p>
    <w:p w14:paraId="7264964D" w14:textId="252838C9" w:rsidR="000E1C02" w:rsidRPr="00907FD3" w:rsidRDefault="005236C0" w:rsidP="000E1C02">
      <w:pPr>
        <w:widowControl w:val="0"/>
        <w:autoSpaceDE w:val="0"/>
        <w:autoSpaceDN w:val="0"/>
        <w:adjustRightInd w:val="0"/>
        <w:spacing w:after="140" w:line="240" w:lineRule="auto"/>
        <w:ind w:left="480" w:hanging="480"/>
        <w:rPr>
          <w:noProof/>
          <w:szCs w:val="24"/>
        </w:rPr>
      </w:pPr>
      <w:r w:rsidRPr="00907FD3">
        <w:rPr>
          <w:b/>
        </w:rPr>
        <w:fldChar w:fldCharType="begin" w:fldLock="1"/>
      </w:r>
      <w:r w:rsidRPr="00907FD3">
        <w:rPr>
          <w:b/>
        </w:rPr>
        <w:instrText xml:space="preserve">ADDIN Mendeley Bibliography CSL_BIBLIOGRAPHY </w:instrText>
      </w:r>
      <w:r w:rsidRPr="00907FD3">
        <w:rPr>
          <w:b/>
        </w:rPr>
        <w:fldChar w:fldCharType="separate"/>
      </w:r>
      <w:r w:rsidR="000E1C02" w:rsidRPr="00907FD3">
        <w:rPr>
          <w:noProof/>
          <w:szCs w:val="24"/>
        </w:rPr>
        <w:t xml:space="preserve">Acar, Y. B., &amp; Alshawabkeh, A. N. (1993). Principles of electrokinetic remediation. </w:t>
      </w:r>
      <w:r w:rsidR="000E1C02" w:rsidRPr="00907FD3">
        <w:rPr>
          <w:i/>
          <w:iCs/>
          <w:noProof/>
          <w:szCs w:val="24"/>
        </w:rPr>
        <w:t>Environmental Science &amp; Technology</w:t>
      </w:r>
      <w:r w:rsidR="000E1C02" w:rsidRPr="00907FD3">
        <w:rPr>
          <w:noProof/>
          <w:szCs w:val="24"/>
        </w:rPr>
        <w:t xml:space="preserve">, </w:t>
      </w:r>
      <w:r w:rsidR="000E1C02" w:rsidRPr="00907FD3">
        <w:rPr>
          <w:i/>
          <w:iCs/>
          <w:noProof/>
          <w:szCs w:val="24"/>
        </w:rPr>
        <w:t>27</w:t>
      </w:r>
      <w:r w:rsidR="000E1C02" w:rsidRPr="00907FD3">
        <w:rPr>
          <w:noProof/>
          <w:szCs w:val="24"/>
        </w:rPr>
        <w:t>(13), 2638–2647. doi:10.1021/es00049a002</w:t>
      </w:r>
    </w:p>
    <w:p w14:paraId="17E6ED34"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Alshawabkeh, A. N., Yeung, A. T., &amp; Bricka, M. R. (1999). Practical Aspects of In-Situ Electrokinetic Extraction. </w:t>
      </w:r>
      <w:r w:rsidRPr="00907FD3">
        <w:rPr>
          <w:i/>
          <w:iCs/>
          <w:noProof/>
          <w:szCs w:val="24"/>
        </w:rPr>
        <w:t>Journal of Environmental Engineering</w:t>
      </w:r>
      <w:r w:rsidRPr="00907FD3">
        <w:rPr>
          <w:noProof/>
          <w:szCs w:val="24"/>
        </w:rPr>
        <w:t xml:space="preserve">, </w:t>
      </w:r>
      <w:r w:rsidRPr="00907FD3">
        <w:rPr>
          <w:i/>
          <w:iCs/>
          <w:noProof/>
          <w:szCs w:val="24"/>
        </w:rPr>
        <w:t>125</w:t>
      </w:r>
      <w:r w:rsidRPr="00907FD3">
        <w:rPr>
          <w:noProof/>
          <w:szCs w:val="24"/>
        </w:rPr>
        <w:t>(1), 27–35. doi:10.1061/(ASCE)0733-9372(1999)125:1(27)</w:t>
      </w:r>
    </w:p>
    <w:p w14:paraId="1126A6A8"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Bardos, P. (2014). Progress in Sustainable Remediation. </w:t>
      </w:r>
      <w:r w:rsidRPr="00907FD3">
        <w:rPr>
          <w:i/>
          <w:iCs/>
          <w:noProof/>
          <w:szCs w:val="24"/>
        </w:rPr>
        <w:t>Remediation Journal</w:t>
      </w:r>
      <w:r w:rsidRPr="00907FD3">
        <w:rPr>
          <w:noProof/>
          <w:szCs w:val="24"/>
        </w:rPr>
        <w:t xml:space="preserve">, </w:t>
      </w:r>
      <w:r w:rsidRPr="00907FD3">
        <w:rPr>
          <w:i/>
          <w:iCs/>
          <w:noProof/>
          <w:szCs w:val="24"/>
        </w:rPr>
        <w:t>25</w:t>
      </w:r>
      <w:r w:rsidRPr="00907FD3">
        <w:rPr>
          <w:noProof/>
          <w:szCs w:val="24"/>
        </w:rPr>
        <w:t>(1), 23–32. doi:10.1002/rem.21412</w:t>
      </w:r>
    </w:p>
    <w:p w14:paraId="12D42871"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Bardos, P., Bone, B., Boyle, R., Ellis, D., Evans, F., Harries, N. D., &amp; Smith, J. W. N. (2011). Applying sustainable development principles to contaminated land management using the SuRF-UK framework. </w:t>
      </w:r>
      <w:r w:rsidRPr="00907FD3">
        <w:rPr>
          <w:i/>
          <w:iCs/>
          <w:noProof/>
          <w:szCs w:val="24"/>
        </w:rPr>
        <w:t>Remediation Journal</w:t>
      </w:r>
      <w:r w:rsidRPr="00907FD3">
        <w:rPr>
          <w:noProof/>
          <w:szCs w:val="24"/>
        </w:rPr>
        <w:t xml:space="preserve">, </w:t>
      </w:r>
      <w:r w:rsidRPr="00907FD3">
        <w:rPr>
          <w:i/>
          <w:iCs/>
          <w:noProof/>
          <w:szCs w:val="24"/>
        </w:rPr>
        <w:t>21</w:t>
      </w:r>
      <w:r w:rsidRPr="00907FD3">
        <w:rPr>
          <w:noProof/>
          <w:szCs w:val="24"/>
        </w:rPr>
        <w:t>(2), 77–100. doi:10.1002/rem.20283</w:t>
      </w:r>
    </w:p>
    <w:p w14:paraId="70202D5F"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Bartlett, T. W., Smith, J. W. N., &amp; Hardisty, P. E. (2014). Quantifying the loss of available groundwater resource associated with point-source contamination in unused aquifers. </w:t>
      </w:r>
      <w:r w:rsidRPr="00907FD3">
        <w:rPr>
          <w:i/>
          <w:iCs/>
          <w:noProof/>
          <w:szCs w:val="24"/>
        </w:rPr>
        <w:t>Hydrogeology Journal</w:t>
      </w:r>
      <w:r w:rsidRPr="00907FD3">
        <w:rPr>
          <w:noProof/>
          <w:szCs w:val="24"/>
        </w:rPr>
        <w:t xml:space="preserve">, </w:t>
      </w:r>
      <w:r w:rsidRPr="00907FD3">
        <w:rPr>
          <w:i/>
          <w:iCs/>
          <w:noProof/>
          <w:szCs w:val="24"/>
        </w:rPr>
        <w:t>22</w:t>
      </w:r>
      <w:r w:rsidRPr="00907FD3">
        <w:rPr>
          <w:noProof/>
          <w:szCs w:val="24"/>
        </w:rPr>
        <w:t>(4), 749–759. doi:10.1007/s10040-014-1114-4</w:t>
      </w:r>
    </w:p>
    <w:p w14:paraId="1D7989CE"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Blanc, A., Métivier-Pignon, H., Gourdon, R., &amp; Rousseaux, P. (2004). Life cycle assessment as a tool for controlling the development of technical activities: application to the remediation of a site contaminated by sulfur. </w:t>
      </w:r>
      <w:r w:rsidRPr="00907FD3">
        <w:rPr>
          <w:i/>
          <w:iCs/>
          <w:noProof/>
          <w:szCs w:val="24"/>
        </w:rPr>
        <w:t>Advances in Environmental Research</w:t>
      </w:r>
      <w:r w:rsidRPr="00907FD3">
        <w:rPr>
          <w:noProof/>
          <w:szCs w:val="24"/>
        </w:rPr>
        <w:t xml:space="preserve">, </w:t>
      </w:r>
      <w:r w:rsidRPr="00907FD3">
        <w:rPr>
          <w:i/>
          <w:iCs/>
          <w:noProof/>
          <w:szCs w:val="24"/>
        </w:rPr>
        <w:t>8</w:t>
      </w:r>
      <w:r w:rsidRPr="00907FD3">
        <w:rPr>
          <w:noProof/>
          <w:szCs w:val="24"/>
        </w:rPr>
        <w:t>(3-4), 613–627. doi:10.1016/S1093-0191(03)00034-0</w:t>
      </w:r>
    </w:p>
    <w:p w14:paraId="5AA853B7"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Bowers, R. L., &amp; Smith, J. W. N. (2014). Constituents of potential concern for human health risk assessment of petroleum fuel releases. </w:t>
      </w:r>
      <w:r w:rsidRPr="00907FD3">
        <w:rPr>
          <w:i/>
          <w:iCs/>
          <w:noProof/>
          <w:szCs w:val="24"/>
        </w:rPr>
        <w:t>Quarterly Journal of Engineering Geology and Hydrogeology</w:t>
      </w:r>
      <w:r w:rsidRPr="00907FD3">
        <w:rPr>
          <w:noProof/>
          <w:szCs w:val="24"/>
        </w:rPr>
        <w:t xml:space="preserve">, </w:t>
      </w:r>
      <w:r w:rsidRPr="00907FD3">
        <w:rPr>
          <w:i/>
          <w:iCs/>
          <w:noProof/>
          <w:szCs w:val="24"/>
        </w:rPr>
        <w:t>47</w:t>
      </w:r>
      <w:r w:rsidRPr="00907FD3">
        <w:rPr>
          <w:noProof/>
          <w:szCs w:val="24"/>
        </w:rPr>
        <w:t>(4), 363–372. doi:10.1144/qjegh2014-005</w:t>
      </w:r>
    </w:p>
    <w:p w14:paraId="06A06FF2"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Bradley, P. M., Chapelle, F. H., &amp; Landmeyer, J. E. (2001). Effect of Redox Conditions on MTBE Biodegradation in Surface Water Sediments. </w:t>
      </w:r>
      <w:r w:rsidRPr="00907FD3">
        <w:rPr>
          <w:i/>
          <w:iCs/>
          <w:noProof/>
          <w:szCs w:val="24"/>
        </w:rPr>
        <w:t>Environmental Science &amp; Technology</w:t>
      </w:r>
      <w:r w:rsidRPr="00907FD3">
        <w:rPr>
          <w:noProof/>
          <w:szCs w:val="24"/>
        </w:rPr>
        <w:t xml:space="preserve">, </w:t>
      </w:r>
      <w:r w:rsidRPr="00907FD3">
        <w:rPr>
          <w:i/>
          <w:iCs/>
          <w:noProof/>
          <w:szCs w:val="24"/>
        </w:rPr>
        <w:t>35</w:t>
      </w:r>
      <w:r w:rsidRPr="00907FD3">
        <w:rPr>
          <w:noProof/>
          <w:szCs w:val="24"/>
        </w:rPr>
        <w:t>(23), 4643–4647. doi:10.1021/es010794x</w:t>
      </w:r>
    </w:p>
    <w:p w14:paraId="53F34FEF"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Bradley, P. M., Landmeyer, J. E., &amp; Chapelle, F. H. (1999). Aerobic mineralization of MTBE and tert-butyl alcohol by stream-bed sediment microorganisms. </w:t>
      </w:r>
      <w:r w:rsidRPr="00907FD3">
        <w:rPr>
          <w:i/>
          <w:iCs/>
          <w:noProof/>
          <w:szCs w:val="24"/>
        </w:rPr>
        <w:t>Environmental Science and Technology</w:t>
      </w:r>
      <w:r w:rsidRPr="00907FD3">
        <w:rPr>
          <w:noProof/>
          <w:szCs w:val="24"/>
        </w:rPr>
        <w:t xml:space="preserve">, </w:t>
      </w:r>
      <w:r w:rsidRPr="00907FD3">
        <w:rPr>
          <w:i/>
          <w:iCs/>
          <w:noProof/>
          <w:szCs w:val="24"/>
        </w:rPr>
        <w:t>33</w:t>
      </w:r>
      <w:r w:rsidRPr="00907FD3">
        <w:rPr>
          <w:noProof/>
          <w:szCs w:val="24"/>
        </w:rPr>
        <w:t>(11), 1877–1879. doi:10.1021/es990062t</w:t>
      </w:r>
    </w:p>
    <w:p w14:paraId="384E666E"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Cadotte, M., Deschênes, L., &amp; Samson, R. (2007). Selection of a remediation scenario for a diesel-contaminated site using LCA. </w:t>
      </w:r>
      <w:r w:rsidRPr="00907FD3">
        <w:rPr>
          <w:i/>
          <w:iCs/>
          <w:noProof/>
          <w:szCs w:val="24"/>
        </w:rPr>
        <w:t>The International Journal of Life Cycle Assessment</w:t>
      </w:r>
      <w:r w:rsidRPr="00907FD3">
        <w:rPr>
          <w:noProof/>
          <w:szCs w:val="24"/>
        </w:rPr>
        <w:t xml:space="preserve">, </w:t>
      </w:r>
      <w:r w:rsidRPr="00907FD3">
        <w:rPr>
          <w:i/>
          <w:iCs/>
          <w:noProof/>
          <w:szCs w:val="24"/>
        </w:rPr>
        <w:t>12</w:t>
      </w:r>
      <w:r w:rsidRPr="00907FD3">
        <w:rPr>
          <w:noProof/>
          <w:szCs w:val="24"/>
        </w:rPr>
        <w:t>(4), 239–251. doi:10.1007/s11367-007-0328-2</w:t>
      </w:r>
    </w:p>
    <w:p w14:paraId="32BC654D"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Carey, M. A., Finnamore, J. R., Morrey, M. J., &amp; Marsland, P. A. (2000). </w:t>
      </w:r>
      <w:r w:rsidRPr="00907FD3">
        <w:rPr>
          <w:i/>
          <w:iCs/>
          <w:noProof/>
          <w:szCs w:val="24"/>
        </w:rPr>
        <w:t>Guidance on the Assessment and Monitoring of Natural Attentuation of Contaminants in Groundwater</w:t>
      </w:r>
      <w:r w:rsidRPr="00907FD3">
        <w:rPr>
          <w:noProof/>
          <w:szCs w:val="24"/>
        </w:rPr>
        <w:t xml:space="preserve">. </w:t>
      </w:r>
      <w:r w:rsidRPr="00907FD3">
        <w:rPr>
          <w:i/>
          <w:iCs/>
          <w:noProof/>
          <w:szCs w:val="24"/>
        </w:rPr>
        <w:t>Environment Agency</w:t>
      </w:r>
      <w:r w:rsidRPr="00907FD3">
        <w:rPr>
          <w:noProof/>
          <w:szCs w:val="24"/>
        </w:rPr>
        <w:t>. Bristol. Retrieved from ISBN: 1857052632</w:t>
      </w:r>
    </w:p>
    <w:p w14:paraId="0086FE90"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Gill, R. T., Harbottle, M. J., Smith, J. W. N., &amp; Thornton, S. F. (2014). Electrokinetic-enhanced bioremediation of organic contaminants: a review of processes and environmental applications. </w:t>
      </w:r>
      <w:r w:rsidRPr="00907FD3">
        <w:rPr>
          <w:i/>
          <w:iCs/>
          <w:noProof/>
          <w:szCs w:val="24"/>
        </w:rPr>
        <w:t>Chemosphere</w:t>
      </w:r>
      <w:r w:rsidRPr="00907FD3">
        <w:rPr>
          <w:noProof/>
          <w:szCs w:val="24"/>
        </w:rPr>
        <w:t xml:space="preserve">, </w:t>
      </w:r>
      <w:r w:rsidRPr="00907FD3">
        <w:rPr>
          <w:i/>
          <w:iCs/>
          <w:noProof/>
          <w:szCs w:val="24"/>
        </w:rPr>
        <w:t>107</w:t>
      </w:r>
      <w:r w:rsidRPr="00907FD3">
        <w:rPr>
          <w:noProof/>
          <w:szCs w:val="24"/>
        </w:rPr>
        <w:t>, 31–42. doi:10.1016/j.chemosphere.2014.03.019</w:t>
      </w:r>
    </w:p>
    <w:p w14:paraId="55E087A5"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Gill, R. T., Thornton, S. F., Harbottle, M. J., &amp; Smith, J. W. N. (2015). Electrokinetic Migration of Nitrate Through Heterogeneous Granular Porous Media. </w:t>
      </w:r>
      <w:r w:rsidRPr="00907FD3">
        <w:rPr>
          <w:i/>
          <w:iCs/>
          <w:noProof/>
          <w:szCs w:val="24"/>
        </w:rPr>
        <w:t>Ground Water Monitoring &amp; Remediation</w:t>
      </w:r>
      <w:r w:rsidRPr="00907FD3">
        <w:rPr>
          <w:noProof/>
          <w:szCs w:val="24"/>
        </w:rPr>
        <w:t xml:space="preserve">, </w:t>
      </w:r>
      <w:r w:rsidRPr="00907FD3">
        <w:rPr>
          <w:i/>
          <w:iCs/>
          <w:noProof/>
          <w:szCs w:val="24"/>
        </w:rPr>
        <w:t>35</w:t>
      </w:r>
      <w:r w:rsidRPr="00907FD3">
        <w:rPr>
          <w:noProof/>
          <w:szCs w:val="24"/>
        </w:rPr>
        <w:t>(3), 46–56. doi:10.1111/gwmr.12107</w:t>
      </w:r>
    </w:p>
    <w:p w14:paraId="21C09AAA"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Godschalk, M. S., &amp; Lageman, R. (2005). Electrokinetic Biofence, remediation of VOCs with solar energy and bacteria. </w:t>
      </w:r>
      <w:r w:rsidRPr="00907FD3">
        <w:rPr>
          <w:i/>
          <w:iCs/>
          <w:noProof/>
          <w:szCs w:val="24"/>
        </w:rPr>
        <w:t>Engineering Geology</w:t>
      </w:r>
      <w:r w:rsidRPr="00907FD3">
        <w:rPr>
          <w:noProof/>
          <w:szCs w:val="24"/>
        </w:rPr>
        <w:t xml:space="preserve">, </w:t>
      </w:r>
      <w:r w:rsidRPr="00907FD3">
        <w:rPr>
          <w:i/>
          <w:iCs/>
          <w:noProof/>
          <w:szCs w:val="24"/>
        </w:rPr>
        <w:t>77</w:t>
      </w:r>
      <w:r w:rsidRPr="00907FD3">
        <w:rPr>
          <w:noProof/>
          <w:szCs w:val="24"/>
        </w:rPr>
        <w:t>(3-4), 225–231. doi:10.1016/j.enggeo.2004.07.013</w:t>
      </w:r>
    </w:p>
    <w:p w14:paraId="74FA22E7"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Harbottle, M. J., Al-Tabbaa, A., &amp; Evans, C. W. (2008). Sustainability of land remediation. Part 1: overall analysis. </w:t>
      </w:r>
      <w:r w:rsidRPr="00907FD3">
        <w:rPr>
          <w:i/>
          <w:iCs/>
          <w:noProof/>
          <w:szCs w:val="24"/>
        </w:rPr>
        <w:t>Proceedings of the ICE - Geotechnical Engineering</w:t>
      </w:r>
      <w:r w:rsidRPr="00907FD3">
        <w:rPr>
          <w:noProof/>
          <w:szCs w:val="24"/>
        </w:rPr>
        <w:t xml:space="preserve">, </w:t>
      </w:r>
      <w:r w:rsidRPr="00907FD3">
        <w:rPr>
          <w:i/>
          <w:iCs/>
          <w:noProof/>
          <w:szCs w:val="24"/>
        </w:rPr>
        <w:t>161</w:t>
      </w:r>
      <w:r w:rsidRPr="00907FD3">
        <w:rPr>
          <w:noProof/>
          <w:szCs w:val="24"/>
        </w:rPr>
        <w:t>(2), 75–92. doi:10.1680/geng.2008.161.2.75</w:t>
      </w:r>
    </w:p>
    <w:p w14:paraId="3B19EC22"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Jeon, E.-K., Ryu, S.-R., &amp; Baek, K. (2015). Application of solar-cells in the electrokinetic remediation of As-contaminated soil. </w:t>
      </w:r>
      <w:r w:rsidRPr="00907FD3">
        <w:rPr>
          <w:i/>
          <w:iCs/>
          <w:noProof/>
          <w:szCs w:val="24"/>
        </w:rPr>
        <w:t>Electrochimica Acta</w:t>
      </w:r>
      <w:r w:rsidRPr="00907FD3">
        <w:rPr>
          <w:noProof/>
          <w:szCs w:val="24"/>
        </w:rPr>
        <w:t>. doi:10.1016/j.electacta.2015.03.065</w:t>
      </w:r>
    </w:p>
    <w:p w14:paraId="6C84A3B3"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Kim, D. H., Yoo, J. C., Hwang, B. R., Yang, J. S., &amp; Baek, K. (2014). Environmental assessment on electrokinetic remediation of multimetal-contaminated site: A case study. </w:t>
      </w:r>
      <w:r w:rsidRPr="00907FD3">
        <w:rPr>
          <w:i/>
          <w:iCs/>
          <w:noProof/>
          <w:szCs w:val="24"/>
        </w:rPr>
        <w:t>Environmental Science and Pollution Research</w:t>
      </w:r>
      <w:r w:rsidRPr="00907FD3">
        <w:rPr>
          <w:noProof/>
          <w:szCs w:val="24"/>
        </w:rPr>
        <w:t xml:space="preserve">, </w:t>
      </w:r>
      <w:r w:rsidRPr="00907FD3">
        <w:rPr>
          <w:i/>
          <w:iCs/>
          <w:noProof/>
          <w:szCs w:val="24"/>
        </w:rPr>
        <w:t>21</w:t>
      </w:r>
      <w:r w:rsidRPr="00907FD3">
        <w:rPr>
          <w:noProof/>
          <w:szCs w:val="24"/>
        </w:rPr>
        <w:t>(10), 6751–6758. doi:10.1007/s11356-014-2597-1</w:t>
      </w:r>
    </w:p>
    <w:p w14:paraId="3788F194"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Lohner, S. T., Katzoreck, D., &amp; Tiehm, A. (2008). Electromigration of microbial electron acceptors and nutrients: (I) transport in synthetic media. </w:t>
      </w:r>
      <w:r w:rsidRPr="00907FD3">
        <w:rPr>
          <w:i/>
          <w:iCs/>
          <w:noProof/>
          <w:szCs w:val="24"/>
        </w:rPr>
        <w:t>Journal of Environmental Science and Health. Part A, Toxic/hazardous Substances &amp; Environmental Engineering</w:t>
      </w:r>
      <w:r w:rsidRPr="00907FD3">
        <w:rPr>
          <w:noProof/>
          <w:szCs w:val="24"/>
        </w:rPr>
        <w:t xml:space="preserve">, </w:t>
      </w:r>
      <w:r w:rsidRPr="00907FD3">
        <w:rPr>
          <w:i/>
          <w:iCs/>
          <w:noProof/>
          <w:szCs w:val="24"/>
        </w:rPr>
        <w:t>43</w:t>
      </w:r>
      <w:r w:rsidRPr="00907FD3">
        <w:rPr>
          <w:noProof/>
          <w:szCs w:val="24"/>
        </w:rPr>
        <w:t>(8), 913–21. doi:10.1080/10934520801974434</w:t>
      </w:r>
    </w:p>
    <w:p w14:paraId="1BA895CE"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Mao, X., Wang, J., Ciblak, A., Cox, E. E., Riis, C., Terkelsen, M., … Alshawabkeh, A. N. (2012). Electrokinetic-enhanced bioaugmentation for remediation of chlorinated solvents contaminated clay. </w:t>
      </w:r>
      <w:r w:rsidRPr="00907FD3">
        <w:rPr>
          <w:i/>
          <w:iCs/>
          <w:noProof/>
          <w:szCs w:val="24"/>
        </w:rPr>
        <w:t>Journal of Hazardous Materials</w:t>
      </w:r>
      <w:r w:rsidRPr="00907FD3">
        <w:rPr>
          <w:noProof/>
          <w:szCs w:val="24"/>
        </w:rPr>
        <w:t xml:space="preserve">, </w:t>
      </w:r>
      <w:r w:rsidRPr="00907FD3">
        <w:rPr>
          <w:i/>
          <w:iCs/>
          <w:noProof/>
          <w:szCs w:val="24"/>
        </w:rPr>
        <w:t>213-214</w:t>
      </w:r>
      <w:r w:rsidRPr="00907FD3">
        <w:rPr>
          <w:noProof/>
          <w:szCs w:val="24"/>
        </w:rPr>
        <w:t>, 311–7. doi:10.1016/j.jhazmat.2012.02.001</w:t>
      </w:r>
    </w:p>
    <w:p w14:paraId="2D87CDEA"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McNab Jr., Walt, W., &amp; Dooher, Brendan, P. (1998). Uncertainty analyses of fuel hydrocarbon biodegradation signatures in ground water by probabilistic modeling. </w:t>
      </w:r>
      <w:r w:rsidRPr="00907FD3">
        <w:rPr>
          <w:i/>
          <w:iCs/>
          <w:noProof/>
          <w:szCs w:val="24"/>
        </w:rPr>
        <w:t>Ground Water</w:t>
      </w:r>
      <w:r w:rsidRPr="00907FD3">
        <w:rPr>
          <w:noProof/>
          <w:szCs w:val="24"/>
        </w:rPr>
        <w:t>. doi:10.1111/j.1745-6584.1998.tb02844.x</w:t>
      </w:r>
    </w:p>
    <w:p w14:paraId="4DF347D3"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NICOLE. (2010). </w:t>
      </w:r>
      <w:r w:rsidRPr="00907FD3">
        <w:rPr>
          <w:i/>
          <w:iCs/>
          <w:noProof/>
          <w:szCs w:val="24"/>
        </w:rPr>
        <w:t>NICOLE Road Map and Guidance: Considering Sustainability in Remediation</w:t>
      </w:r>
      <w:r w:rsidRPr="00907FD3">
        <w:rPr>
          <w:noProof/>
          <w:szCs w:val="24"/>
        </w:rPr>
        <w:t>.</w:t>
      </w:r>
    </w:p>
    <w:p w14:paraId="09173DE0"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Postle, M., Fenn, T., Grosso, A., &amp; Steeds, J. (1999). </w:t>
      </w:r>
      <w:r w:rsidRPr="00907FD3">
        <w:rPr>
          <w:i/>
          <w:iCs/>
          <w:noProof/>
          <w:szCs w:val="24"/>
        </w:rPr>
        <w:t>Cost-Benefit Analysis for Remediation of Land Contamination</w:t>
      </w:r>
      <w:r w:rsidRPr="00907FD3">
        <w:rPr>
          <w:noProof/>
          <w:szCs w:val="24"/>
        </w:rPr>
        <w:t>. Bristol: Environment Agency.</w:t>
      </w:r>
    </w:p>
    <w:p w14:paraId="5BAD7425"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Reddy, K. R., &amp; Chirakkara, R. a. (2013). Green and Sustainable Remedial Strategy for Contaminated Site: Case Study. </w:t>
      </w:r>
      <w:r w:rsidRPr="00907FD3">
        <w:rPr>
          <w:i/>
          <w:iCs/>
          <w:noProof/>
          <w:szCs w:val="24"/>
        </w:rPr>
        <w:t>Geotechnical and Geological Engineering</w:t>
      </w:r>
      <w:r w:rsidRPr="00907FD3">
        <w:rPr>
          <w:noProof/>
          <w:szCs w:val="24"/>
        </w:rPr>
        <w:t xml:space="preserve">, </w:t>
      </w:r>
      <w:r w:rsidRPr="00907FD3">
        <w:rPr>
          <w:i/>
          <w:iCs/>
          <w:noProof/>
          <w:szCs w:val="24"/>
        </w:rPr>
        <w:t>31</w:t>
      </w:r>
      <w:r w:rsidRPr="00907FD3">
        <w:rPr>
          <w:noProof/>
          <w:szCs w:val="24"/>
        </w:rPr>
        <w:t>(6), 1653–1661. doi:10.1007/s10706-013-9688-5</w:t>
      </w:r>
    </w:p>
    <w:p w14:paraId="284D8B01"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Shah, N. W., Thornton, S. F., Bottrell, S. H., &amp; Spence, M. J. (2009). Biodegradation potential of MTBE in a fractured chalk aquifer under aerobic conditions in long-term uncontaminated and contaminated aquifer microcosms. </w:t>
      </w:r>
      <w:r w:rsidRPr="00907FD3">
        <w:rPr>
          <w:i/>
          <w:iCs/>
          <w:noProof/>
          <w:szCs w:val="24"/>
        </w:rPr>
        <w:t>Journal of Contaminant Hydrology</w:t>
      </w:r>
      <w:r w:rsidRPr="00907FD3">
        <w:rPr>
          <w:noProof/>
          <w:szCs w:val="24"/>
        </w:rPr>
        <w:t xml:space="preserve">, </w:t>
      </w:r>
      <w:r w:rsidRPr="00907FD3">
        <w:rPr>
          <w:i/>
          <w:iCs/>
          <w:noProof/>
          <w:szCs w:val="24"/>
        </w:rPr>
        <w:t>103</w:t>
      </w:r>
      <w:r w:rsidRPr="00907FD3">
        <w:rPr>
          <w:noProof/>
          <w:szCs w:val="24"/>
        </w:rPr>
        <w:t>(3-4), 119–133. doi:10.1016/j.jconhyd.2008.09.022</w:t>
      </w:r>
    </w:p>
    <w:p w14:paraId="41DA7DDB"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Smith, J. W. N., &amp; Kerrison, G. (2013). Benchmarking of decision-support tools used for tiered sustainable remediation appraisal. </w:t>
      </w:r>
      <w:r w:rsidRPr="00907FD3">
        <w:rPr>
          <w:i/>
          <w:iCs/>
          <w:noProof/>
          <w:szCs w:val="24"/>
        </w:rPr>
        <w:t>Water, Air, and Soil Pollution</w:t>
      </w:r>
      <w:r w:rsidRPr="00907FD3">
        <w:rPr>
          <w:noProof/>
          <w:szCs w:val="24"/>
        </w:rPr>
        <w:t xml:space="preserve">, </w:t>
      </w:r>
      <w:r w:rsidRPr="00907FD3">
        <w:rPr>
          <w:i/>
          <w:iCs/>
          <w:noProof/>
          <w:szCs w:val="24"/>
        </w:rPr>
        <w:t>224</w:t>
      </w:r>
      <w:r w:rsidRPr="00907FD3">
        <w:rPr>
          <w:noProof/>
          <w:szCs w:val="24"/>
        </w:rPr>
        <w:t>(12), 1–11. doi:10.1007/s11270-013-1706-y</w:t>
      </w:r>
    </w:p>
    <w:p w14:paraId="761B01E3"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Somsamak, P., Cowan, R. M., &amp; HÃ¤ggblom, M. M. (2001). Anaerobic biotransformation of fuel oxygenates under sulfate-reducing conditions. </w:t>
      </w:r>
      <w:r w:rsidRPr="00907FD3">
        <w:rPr>
          <w:i/>
          <w:iCs/>
          <w:noProof/>
          <w:szCs w:val="24"/>
        </w:rPr>
        <w:t>FEMS Microbiology Ecology</w:t>
      </w:r>
      <w:r w:rsidRPr="00907FD3">
        <w:rPr>
          <w:noProof/>
          <w:szCs w:val="24"/>
        </w:rPr>
        <w:t xml:space="preserve">, </w:t>
      </w:r>
      <w:r w:rsidRPr="00907FD3">
        <w:rPr>
          <w:i/>
          <w:iCs/>
          <w:noProof/>
          <w:szCs w:val="24"/>
        </w:rPr>
        <w:t>37</w:t>
      </w:r>
      <w:r w:rsidRPr="00907FD3">
        <w:rPr>
          <w:noProof/>
          <w:szCs w:val="24"/>
        </w:rPr>
        <w:t>(3), 259–264. doi:10.1111/j.1574-6941.2001.tb00873.x</w:t>
      </w:r>
    </w:p>
    <w:p w14:paraId="05245EAD"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Somsamak, P., Richnow, H. H., &amp; Haggblom, M. M. (2006). Carbon Isotope Fractionation during Anaerobic Degradation of Methyl tert-Butyl Ether under Sulfate-Reducing and Methanogenic Conditions. </w:t>
      </w:r>
      <w:r w:rsidRPr="00907FD3">
        <w:rPr>
          <w:i/>
          <w:iCs/>
          <w:noProof/>
          <w:szCs w:val="24"/>
        </w:rPr>
        <w:t>Applied and Environmental Microbiology</w:t>
      </w:r>
      <w:r w:rsidRPr="00907FD3">
        <w:rPr>
          <w:noProof/>
          <w:szCs w:val="24"/>
        </w:rPr>
        <w:t xml:space="preserve">, </w:t>
      </w:r>
      <w:r w:rsidRPr="00907FD3">
        <w:rPr>
          <w:i/>
          <w:iCs/>
          <w:noProof/>
          <w:szCs w:val="24"/>
        </w:rPr>
        <w:t>72</w:t>
      </w:r>
      <w:r w:rsidRPr="00907FD3">
        <w:rPr>
          <w:noProof/>
          <w:szCs w:val="24"/>
        </w:rPr>
        <w:t>(2), 1157–1163. doi:10.1128/AEM.72.2.1157-1163.2006</w:t>
      </w:r>
    </w:p>
    <w:p w14:paraId="5F50B40A"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Somsamak, P., Richnow, H. H., &amp; Häggblom, M. M. (2005). Carbon Isotopic Fractionation during Anaerobic Biotransformation of Methyl tert -Butyl Ether and tert -Amyl Methyl Ether. </w:t>
      </w:r>
      <w:r w:rsidRPr="00907FD3">
        <w:rPr>
          <w:i/>
          <w:iCs/>
          <w:noProof/>
          <w:szCs w:val="24"/>
        </w:rPr>
        <w:t>Environmental Science &amp; Technology</w:t>
      </w:r>
      <w:r w:rsidRPr="00907FD3">
        <w:rPr>
          <w:noProof/>
          <w:szCs w:val="24"/>
        </w:rPr>
        <w:t xml:space="preserve">, </w:t>
      </w:r>
      <w:r w:rsidRPr="00907FD3">
        <w:rPr>
          <w:i/>
          <w:iCs/>
          <w:noProof/>
          <w:szCs w:val="24"/>
        </w:rPr>
        <w:t>39</w:t>
      </w:r>
      <w:r w:rsidRPr="00907FD3">
        <w:rPr>
          <w:noProof/>
          <w:szCs w:val="24"/>
        </w:rPr>
        <w:t>(1), 103–109. doi:10.1021/es049368c</w:t>
      </w:r>
    </w:p>
    <w:p w14:paraId="3617CF61"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Spence, M. J., Bottrell, S. H., Thornton, S. F., Richnow, H. H., &amp; Spence, K. H. (2005). Hydrochemical and isotopic effects associated with petroleum fuel biodegradation pathways in a chalk aquifer. </w:t>
      </w:r>
      <w:r w:rsidRPr="00907FD3">
        <w:rPr>
          <w:i/>
          <w:iCs/>
          <w:noProof/>
          <w:szCs w:val="24"/>
        </w:rPr>
        <w:t>Journal of Contaminant Hydrology</w:t>
      </w:r>
      <w:r w:rsidRPr="00907FD3">
        <w:rPr>
          <w:noProof/>
          <w:szCs w:val="24"/>
        </w:rPr>
        <w:t xml:space="preserve">, </w:t>
      </w:r>
      <w:r w:rsidRPr="00907FD3">
        <w:rPr>
          <w:i/>
          <w:iCs/>
          <w:noProof/>
          <w:szCs w:val="24"/>
        </w:rPr>
        <w:t>79</w:t>
      </w:r>
      <w:r w:rsidRPr="00907FD3">
        <w:rPr>
          <w:noProof/>
          <w:szCs w:val="24"/>
        </w:rPr>
        <w:t>(1-2), 67–88. doi:10.1016/j.jconhyd.2005.06.003</w:t>
      </w:r>
    </w:p>
    <w:p w14:paraId="4A7B9DB8"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Suni, S., Malinen, E., Kosonen, J., Silvennoinen, H., &amp; Romantschuk, M. (2007). Electrokinetically enhanced bioremediation of creosote-contaminated soil: laboratory and field studies. </w:t>
      </w:r>
      <w:r w:rsidRPr="00907FD3">
        <w:rPr>
          <w:i/>
          <w:iCs/>
          <w:noProof/>
          <w:szCs w:val="24"/>
        </w:rPr>
        <w:t>Journal of Environmental Science and Health. Part A, Toxic/hazardous Substances &amp; Environmental Engineering</w:t>
      </w:r>
      <w:r w:rsidRPr="00907FD3">
        <w:rPr>
          <w:noProof/>
          <w:szCs w:val="24"/>
        </w:rPr>
        <w:t xml:space="preserve">, </w:t>
      </w:r>
      <w:r w:rsidRPr="00907FD3">
        <w:rPr>
          <w:i/>
          <w:iCs/>
          <w:noProof/>
          <w:szCs w:val="24"/>
        </w:rPr>
        <w:t>42</w:t>
      </w:r>
      <w:r w:rsidRPr="00907FD3">
        <w:rPr>
          <w:noProof/>
          <w:szCs w:val="24"/>
        </w:rPr>
        <w:t>(3), 277–87. doi:10.1080/10934520601134213</w:t>
      </w:r>
    </w:p>
    <w:p w14:paraId="035E81C0"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SuRF-UK. (2010). </w:t>
      </w:r>
      <w:r w:rsidRPr="00907FD3">
        <w:rPr>
          <w:i/>
          <w:iCs/>
          <w:noProof/>
          <w:szCs w:val="24"/>
        </w:rPr>
        <w:t>A Framework for Assessing the Sustainability of Soil and Groundwater Remediation</w:t>
      </w:r>
      <w:r w:rsidRPr="00907FD3">
        <w:rPr>
          <w:noProof/>
          <w:szCs w:val="24"/>
        </w:rPr>
        <w:t>. London.</w:t>
      </w:r>
    </w:p>
    <w:p w14:paraId="5BA4576C"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SuRF-UK. (2011). </w:t>
      </w:r>
      <w:r w:rsidRPr="00907FD3">
        <w:rPr>
          <w:i/>
          <w:iCs/>
          <w:noProof/>
          <w:szCs w:val="24"/>
        </w:rPr>
        <w:t>Annex 1: The SuRF-UK Inicator Set for Sutainable Remediation Assessment</w:t>
      </w:r>
      <w:r w:rsidRPr="00907FD3">
        <w:rPr>
          <w:noProof/>
          <w:szCs w:val="24"/>
        </w:rPr>
        <w:t>.</w:t>
      </w:r>
    </w:p>
    <w:p w14:paraId="4ABABEAC"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SuRF-UK. (2013a). Sustainability Assessment: Shell Terminal Facility, Madeira. </w:t>
      </w:r>
      <w:r w:rsidRPr="00907FD3">
        <w:rPr>
          <w:i/>
          <w:iCs/>
          <w:noProof/>
          <w:szCs w:val="24"/>
        </w:rPr>
        <w:t>SuRF-UK Bulletin</w:t>
      </w:r>
      <w:r w:rsidRPr="00907FD3">
        <w:rPr>
          <w:noProof/>
          <w:szCs w:val="24"/>
        </w:rPr>
        <w:t>, 1–9.</w:t>
      </w:r>
    </w:p>
    <w:p w14:paraId="7931B0A9"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SuRF-UK. (2013b). Upper Heyford - Remediation Options Appraisal. </w:t>
      </w:r>
      <w:r w:rsidRPr="00907FD3">
        <w:rPr>
          <w:i/>
          <w:iCs/>
          <w:noProof/>
          <w:szCs w:val="24"/>
        </w:rPr>
        <w:t>SuRF-UK Bulletin</w:t>
      </w:r>
      <w:r w:rsidRPr="00907FD3">
        <w:rPr>
          <w:noProof/>
          <w:szCs w:val="24"/>
        </w:rPr>
        <w:t xml:space="preserve">, </w:t>
      </w:r>
      <w:r w:rsidRPr="00907FD3">
        <w:rPr>
          <w:i/>
          <w:iCs/>
          <w:noProof/>
          <w:szCs w:val="24"/>
        </w:rPr>
        <w:t>September</w:t>
      </w:r>
      <w:r w:rsidRPr="00907FD3">
        <w:rPr>
          <w:noProof/>
          <w:szCs w:val="24"/>
        </w:rPr>
        <w:t>, 1–7.</w:t>
      </w:r>
    </w:p>
    <w:p w14:paraId="02533DFB"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US EPA. (2008). </w:t>
      </w:r>
      <w:r w:rsidRPr="00907FD3">
        <w:rPr>
          <w:i/>
          <w:iCs/>
          <w:noProof/>
          <w:szCs w:val="24"/>
        </w:rPr>
        <w:t>Incorporating Sustainable Environmental Practices into Remediation of Contaminated Sites Technology Primer Green Remediation : Incorporating Sustainable Environmental Practices into Remediation of Contaminated Sites</w:t>
      </w:r>
      <w:r w:rsidRPr="00907FD3">
        <w:rPr>
          <w:noProof/>
          <w:szCs w:val="24"/>
        </w:rPr>
        <w:t>. Cincinnati.</w:t>
      </w:r>
    </w:p>
    <w:p w14:paraId="4E7D7FF4"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Wick, L. Y., Shi, L., &amp; Harms, H. (2007). Electro-bioremediation of hydrophobic organic soil-contaminants: A review of fundamental interactions. </w:t>
      </w:r>
      <w:r w:rsidRPr="00907FD3">
        <w:rPr>
          <w:i/>
          <w:iCs/>
          <w:noProof/>
          <w:szCs w:val="24"/>
        </w:rPr>
        <w:t>Electrochimica Acta</w:t>
      </w:r>
      <w:r w:rsidRPr="00907FD3">
        <w:rPr>
          <w:noProof/>
          <w:szCs w:val="24"/>
        </w:rPr>
        <w:t xml:space="preserve">, </w:t>
      </w:r>
      <w:r w:rsidRPr="00907FD3">
        <w:rPr>
          <w:i/>
          <w:iCs/>
          <w:noProof/>
          <w:szCs w:val="24"/>
        </w:rPr>
        <w:t>52</w:t>
      </w:r>
      <w:r w:rsidRPr="00907FD3">
        <w:rPr>
          <w:noProof/>
          <w:szCs w:val="24"/>
        </w:rPr>
        <w:t>(10), 3441–3448. doi:10.1016/j.electacta.2006.03.117</w:t>
      </w:r>
    </w:p>
    <w:p w14:paraId="3FA28F35"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Wiedemeier, T. H., Rifai, H. S., Newell, C. J., &amp; Wilson, J. T. (1999). </w:t>
      </w:r>
      <w:r w:rsidRPr="00907FD3">
        <w:rPr>
          <w:i/>
          <w:iCs/>
          <w:noProof/>
          <w:szCs w:val="24"/>
        </w:rPr>
        <w:t>Natural Attenuation of Fuels and Chlorinated Solvents in the Subsurface</w:t>
      </w:r>
      <w:r w:rsidRPr="00907FD3">
        <w:rPr>
          <w:noProof/>
          <w:szCs w:val="24"/>
        </w:rPr>
        <w:t>. New York: John Wiley &amp; Sons.</w:t>
      </w:r>
    </w:p>
    <w:p w14:paraId="5A5CAD62"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Wu, M. Z., Reynolds, D. a., Prommer, H., Fourie, A., &amp; Thomas, D. G. (2012). Numerical evaluation of voltage gradient constraints on electrokinetic injection of amendments. </w:t>
      </w:r>
      <w:r w:rsidRPr="00907FD3">
        <w:rPr>
          <w:i/>
          <w:iCs/>
          <w:noProof/>
          <w:szCs w:val="24"/>
        </w:rPr>
        <w:t>Advances in Water Resources</w:t>
      </w:r>
      <w:r w:rsidRPr="00907FD3">
        <w:rPr>
          <w:noProof/>
          <w:szCs w:val="24"/>
        </w:rPr>
        <w:t xml:space="preserve">, </w:t>
      </w:r>
      <w:r w:rsidRPr="00907FD3">
        <w:rPr>
          <w:i/>
          <w:iCs/>
          <w:noProof/>
          <w:szCs w:val="24"/>
        </w:rPr>
        <w:t>38</w:t>
      </w:r>
      <w:r w:rsidRPr="00907FD3">
        <w:rPr>
          <w:noProof/>
          <w:szCs w:val="24"/>
        </w:rPr>
        <w:t>, 60–69. doi:10.1016/j.advwatres.2011.11.004</w:t>
      </w:r>
    </w:p>
    <w:p w14:paraId="30746D3B" w14:textId="77777777" w:rsidR="000E1C02" w:rsidRPr="00907FD3" w:rsidRDefault="000E1C02" w:rsidP="000E1C02">
      <w:pPr>
        <w:widowControl w:val="0"/>
        <w:autoSpaceDE w:val="0"/>
        <w:autoSpaceDN w:val="0"/>
        <w:adjustRightInd w:val="0"/>
        <w:spacing w:after="140" w:line="240" w:lineRule="auto"/>
        <w:ind w:left="480" w:hanging="480"/>
        <w:rPr>
          <w:noProof/>
          <w:szCs w:val="24"/>
        </w:rPr>
      </w:pPr>
      <w:r w:rsidRPr="00907FD3">
        <w:rPr>
          <w:noProof/>
          <w:szCs w:val="24"/>
        </w:rPr>
        <w:t xml:space="preserve">Wu, X., Alshawabkeh, A. N., Gent, D. B., Larson, S. L., &amp; Davis, J. L. (2007). Lactate transport in soil by DC fields. </w:t>
      </w:r>
      <w:r w:rsidRPr="00907FD3">
        <w:rPr>
          <w:i/>
          <w:iCs/>
          <w:noProof/>
          <w:szCs w:val="24"/>
        </w:rPr>
        <w:t>Journal of Geotechnical and Geoenvironmental Engineering</w:t>
      </w:r>
      <w:r w:rsidRPr="00907FD3">
        <w:rPr>
          <w:noProof/>
          <w:szCs w:val="24"/>
        </w:rPr>
        <w:t xml:space="preserve">, </w:t>
      </w:r>
      <w:r w:rsidRPr="00907FD3">
        <w:rPr>
          <w:i/>
          <w:iCs/>
          <w:noProof/>
          <w:szCs w:val="24"/>
        </w:rPr>
        <w:t>133</w:t>
      </w:r>
      <w:r w:rsidRPr="00907FD3">
        <w:rPr>
          <w:noProof/>
          <w:szCs w:val="24"/>
        </w:rPr>
        <w:t>(12), 1587–1596. doi:10.1061/(ASCE)1090-0241(2007)133:12(1587)</w:t>
      </w:r>
    </w:p>
    <w:p w14:paraId="7D8F4819" w14:textId="77777777" w:rsidR="000E1C02" w:rsidRPr="00907FD3" w:rsidRDefault="000E1C02" w:rsidP="000E1C02">
      <w:pPr>
        <w:widowControl w:val="0"/>
        <w:autoSpaceDE w:val="0"/>
        <w:autoSpaceDN w:val="0"/>
        <w:adjustRightInd w:val="0"/>
        <w:spacing w:after="140" w:line="240" w:lineRule="auto"/>
        <w:ind w:left="480" w:hanging="480"/>
        <w:rPr>
          <w:noProof/>
        </w:rPr>
      </w:pPr>
      <w:r w:rsidRPr="00907FD3">
        <w:rPr>
          <w:noProof/>
          <w:szCs w:val="24"/>
        </w:rPr>
        <w:t xml:space="preserve">Yuan, S., Zheng, Z., Chen, J., &amp; Lu, X. (2009). Use of solar cell in electrokinetic remediation of cadmium-contaminated soil. </w:t>
      </w:r>
      <w:r w:rsidRPr="00907FD3">
        <w:rPr>
          <w:i/>
          <w:iCs/>
          <w:noProof/>
          <w:szCs w:val="24"/>
        </w:rPr>
        <w:t>Journal of Hazardous Materials</w:t>
      </w:r>
      <w:r w:rsidRPr="00907FD3">
        <w:rPr>
          <w:noProof/>
          <w:szCs w:val="24"/>
        </w:rPr>
        <w:t xml:space="preserve">, </w:t>
      </w:r>
      <w:r w:rsidRPr="00907FD3">
        <w:rPr>
          <w:i/>
          <w:iCs/>
          <w:noProof/>
          <w:szCs w:val="24"/>
        </w:rPr>
        <w:t>162</w:t>
      </w:r>
      <w:r w:rsidRPr="00907FD3">
        <w:rPr>
          <w:noProof/>
          <w:szCs w:val="24"/>
        </w:rPr>
        <w:t>(2-3), 1583–1587. doi:10.1016/j.jhazmat.2008.06.038</w:t>
      </w:r>
    </w:p>
    <w:p w14:paraId="48C6791E" w14:textId="1A5BE87E" w:rsidR="00DA1871" w:rsidRPr="00995256" w:rsidRDefault="005236C0" w:rsidP="009C3546">
      <w:pPr>
        <w:spacing w:line="480" w:lineRule="auto"/>
        <w:jc w:val="both"/>
        <w:rPr>
          <w:b/>
        </w:rPr>
      </w:pPr>
      <w:r w:rsidRPr="00907FD3">
        <w:rPr>
          <w:b/>
        </w:rPr>
        <w:fldChar w:fldCharType="end"/>
      </w:r>
      <w:bookmarkStart w:id="27" w:name="_GoBack"/>
      <w:bookmarkEnd w:id="27"/>
    </w:p>
    <w:sectPr w:rsidR="00DA1871" w:rsidRPr="00995256" w:rsidSect="00184DE7">
      <w:headerReference w:type="default" r:id="rId45"/>
      <w:footerReference w:type="default" r:id="rId46"/>
      <w:pgSz w:w="11909" w:h="16834" w:code="9"/>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6AC94" w14:textId="77777777" w:rsidR="00877BBB" w:rsidRDefault="00877BBB" w:rsidP="008A49F6">
      <w:pPr>
        <w:spacing w:after="0" w:line="240" w:lineRule="auto"/>
      </w:pPr>
      <w:r>
        <w:separator/>
      </w:r>
    </w:p>
  </w:endnote>
  <w:endnote w:type="continuationSeparator" w:id="0">
    <w:p w14:paraId="1B5D5D70" w14:textId="77777777" w:rsidR="00877BBB" w:rsidRDefault="00877BBB" w:rsidP="008A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DE4B9" w14:textId="707BF9D3" w:rsidR="00BF7A0C" w:rsidRDefault="00BF7A0C">
    <w:pPr>
      <w:pStyle w:val="Footer"/>
    </w:pPr>
    <w:r>
      <w:fldChar w:fldCharType="begin"/>
    </w:r>
    <w:r>
      <w:instrText xml:space="preserve"> PAGE   \* MERGEFORMAT </w:instrText>
    </w:r>
    <w:r>
      <w:fldChar w:fldCharType="separate"/>
    </w:r>
    <w:r w:rsidR="00907FD3">
      <w:rPr>
        <w:noProof/>
      </w:rPr>
      <w:t>20</w:t>
    </w:r>
    <w:r>
      <w:fldChar w:fldCharType="end"/>
    </w:r>
  </w:p>
  <w:p w14:paraId="4ADC52D1" w14:textId="77777777" w:rsidR="00BF7A0C" w:rsidRDefault="00BF7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3EE3B" w14:textId="77777777" w:rsidR="00877BBB" w:rsidRDefault="00877BBB" w:rsidP="008A49F6">
      <w:pPr>
        <w:spacing w:after="0" w:line="240" w:lineRule="auto"/>
      </w:pPr>
      <w:r>
        <w:separator/>
      </w:r>
    </w:p>
  </w:footnote>
  <w:footnote w:type="continuationSeparator" w:id="0">
    <w:p w14:paraId="0F03CDE8" w14:textId="77777777" w:rsidR="00877BBB" w:rsidRDefault="00877BBB" w:rsidP="008A4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80574" w14:textId="18B326F2" w:rsidR="00BF7A0C" w:rsidRPr="00DE197D" w:rsidRDefault="00BF7A0C" w:rsidP="00F01454">
    <w:pPr>
      <w:pStyle w:val="Header"/>
    </w:pPr>
    <w:r w:rsidRPr="00DE197D">
      <w:t>Richard Gill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6274"/>
    <w:multiLevelType w:val="hybridMultilevel"/>
    <w:tmpl w:val="D9FE9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BA15D4"/>
    <w:multiLevelType w:val="hybridMultilevel"/>
    <w:tmpl w:val="4090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F516D"/>
    <w:multiLevelType w:val="hybridMultilevel"/>
    <w:tmpl w:val="DBAC09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9164C00"/>
    <w:multiLevelType w:val="hybridMultilevel"/>
    <w:tmpl w:val="ACA4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F1301"/>
    <w:multiLevelType w:val="hybridMultilevel"/>
    <w:tmpl w:val="9A3EB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A617E9"/>
    <w:multiLevelType w:val="hybridMultilevel"/>
    <w:tmpl w:val="95288C1C"/>
    <w:lvl w:ilvl="0" w:tplc="B374E53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4749"/>
    <w:multiLevelType w:val="hybridMultilevel"/>
    <w:tmpl w:val="C3B0E7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89E10DB"/>
    <w:multiLevelType w:val="hybridMultilevel"/>
    <w:tmpl w:val="E1F032D0"/>
    <w:lvl w:ilvl="0" w:tplc="771858A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75C7E"/>
    <w:multiLevelType w:val="hybridMultilevel"/>
    <w:tmpl w:val="6622A5C6"/>
    <w:lvl w:ilvl="0" w:tplc="C4B61022">
      <w:start w:val="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B219F3"/>
    <w:multiLevelType w:val="hybridMultilevel"/>
    <w:tmpl w:val="50D696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E1A746D"/>
    <w:multiLevelType w:val="hybridMultilevel"/>
    <w:tmpl w:val="71BC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F43A6"/>
    <w:multiLevelType w:val="hybridMultilevel"/>
    <w:tmpl w:val="06403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C0C9A"/>
    <w:multiLevelType w:val="hybridMultilevel"/>
    <w:tmpl w:val="C6040F9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FC4576A"/>
    <w:multiLevelType w:val="hybridMultilevel"/>
    <w:tmpl w:val="7C7AE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A2634B"/>
    <w:multiLevelType w:val="hybridMultilevel"/>
    <w:tmpl w:val="7E388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F80CF0"/>
    <w:multiLevelType w:val="hybridMultilevel"/>
    <w:tmpl w:val="CA0235FA"/>
    <w:lvl w:ilvl="0" w:tplc="D23621AA">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475C1"/>
    <w:multiLevelType w:val="hybridMultilevel"/>
    <w:tmpl w:val="98F68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676DD"/>
    <w:multiLevelType w:val="hybridMultilevel"/>
    <w:tmpl w:val="B080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CB7128"/>
    <w:multiLevelType w:val="hybridMultilevel"/>
    <w:tmpl w:val="01A6AD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0B258F5"/>
    <w:multiLevelType w:val="hybridMultilevel"/>
    <w:tmpl w:val="F0D6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D21CF3"/>
    <w:multiLevelType w:val="hybridMultilevel"/>
    <w:tmpl w:val="C0B0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884665"/>
    <w:multiLevelType w:val="hybridMultilevel"/>
    <w:tmpl w:val="16A88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0F12CB"/>
    <w:multiLevelType w:val="hybridMultilevel"/>
    <w:tmpl w:val="6FC8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343558"/>
    <w:multiLevelType w:val="hybridMultilevel"/>
    <w:tmpl w:val="69CAF7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BFA165C"/>
    <w:multiLevelType w:val="hybridMultilevel"/>
    <w:tmpl w:val="DBAC09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06361C6"/>
    <w:multiLevelType w:val="hybridMultilevel"/>
    <w:tmpl w:val="D7A462C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5440D29"/>
    <w:multiLevelType w:val="hybridMultilevel"/>
    <w:tmpl w:val="40C8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B545F4"/>
    <w:multiLevelType w:val="hybridMultilevel"/>
    <w:tmpl w:val="D708E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B787DC4"/>
    <w:multiLevelType w:val="hybridMultilevel"/>
    <w:tmpl w:val="29BA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BF05EE"/>
    <w:multiLevelType w:val="hybridMultilevel"/>
    <w:tmpl w:val="2474D6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4410D78"/>
    <w:multiLevelType w:val="hybridMultilevel"/>
    <w:tmpl w:val="AB347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30530"/>
    <w:multiLevelType w:val="hybridMultilevel"/>
    <w:tmpl w:val="6134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38285D"/>
    <w:multiLevelType w:val="hybridMultilevel"/>
    <w:tmpl w:val="87429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635D52"/>
    <w:multiLevelType w:val="hybridMultilevel"/>
    <w:tmpl w:val="DFE02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9A2C76"/>
    <w:multiLevelType w:val="hybridMultilevel"/>
    <w:tmpl w:val="B888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43CFE"/>
    <w:multiLevelType w:val="hybridMultilevel"/>
    <w:tmpl w:val="4E58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165C78"/>
    <w:multiLevelType w:val="hybridMultilevel"/>
    <w:tmpl w:val="773A5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327B44"/>
    <w:multiLevelType w:val="hybridMultilevel"/>
    <w:tmpl w:val="6C48A6BC"/>
    <w:lvl w:ilvl="0" w:tplc="E31C361A">
      <w:start w:val="1"/>
      <w:numFmt w:val="decimal"/>
      <w:lvlText w:val="%1."/>
      <w:lvlJc w:val="left"/>
      <w:pPr>
        <w:tabs>
          <w:tab w:val="num" w:pos="720"/>
        </w:tabs>
        <w:ind w:left="720" w:hanging="360"/>
      </w:pPr>
      <w:rPr>
        <w:rFonts w:cs="Times New Roman"/>
      </w:rPr>
    </w:lvl>
    <w:lvl w:ilvl="1" w:tplc="0DDAE75E" w:tentative="1">
      <w:start w:val="1"/>
      <w:numFmt w:val="decimal"/>
      <w:lvlText w:val="%2."/>
      <w:lvlJc w:val="left"/>
      <w:pPr>
        <w:tabs>
          <w:tab w:val="num" w:pos="1440"/>
        </w:tabs>
        <w:ind w:left="1440" w:hanging="360"/>
      </w:pPr>
      <w:rPr>
        <w:rFonts w:cs="Times New Roman"/>
      </w:rPr>
    </w:lvl>
    <w:lvl w:ilvl="2" w:tplc="90848A58" w:tentative="1">
      <w:start w:val="1"/>
      <w:numFmt w:val="decimal"/>
      <w:lvlText w:val="%3."/>
      <w:lvlJc w:val="left"/>
      <w:pPr>
        <w:tabs>
          <w:tab w:val="num" w:pos="2160"/>
        </w:tabs>
        <w:ind w:left="2160" w:hanging="360"/>
      </w:pPr>
      <w:rPr>
        <w:rFonts w:cs="Times New Roman"/>
      </w:rPr>
    </w:lvl>
    <w:lvl w:ilvl="3" w:tplc="EA987D2E" w:tentative="1">
      <w:start w:val="1"/>
      <w:numFmt w:val="decimal"/>
      <w:lvlText w:val="%4."/>
      <w:lvlJc w:val="left"/>
      <w:pPr>
        <w:tabs>
          <w:tab w:val="num" w:pos="2880"/>
        </w:tabs>
        <w:ind w:left="2880" w:hanging="360"/>
      </w:pPr>
      <w:rPr>
        <w:rFonts w:cs="Times New Roman"/>
      </w:rPr>
    </w:lvl>
    <w:lvl w:ilvl="4" w:tplc="B41C2B90" w:tentative="1">
      <w:start w:val="1"/>
      <w:numFmt w:val="decimal"/>
      <w:lvlText w:val="%5."/>
      <w:lvlJc w:val="left"/>
      <w:pPr>
        <w:tabs>
          <w:tab w:val="num" w:pos="3600"/>
        </w:tabs>
        <w:ind w:left="3600" w:hanging="360"/>
      </w:pPr>
      <w:rPr>
        <w:rFonts w:cs="Times New Roman"/>
      </w:rPr>
    </w:lvl>
    <w:lvl w:ilvl="5" w:tplc="85823380" w:tentative="1">
      <w:start w:val="1"/>
      <w:numFmt w:val="decimal"/>
      <w:lvlText w:val="%6."/>
      <w:lvlJc w:val="left"/>
      <w:pPr>
        <w:tabs>
          <w:tab w:val="num" w:pos="4320"/>
        </w:tabs>
        <w:ind w:left="4320" w:hanging="360"/>
      </w:pPr>
      <w:rPr>
        <w:rFonts w:cs="Times New Roman"/>
      </w:rPr>
    </w:lvl>
    <w:lvl w:ilvl="6" w:tplc="17E8819E" w:tentative="1">
      <w:start w:val="1"/>
      <w:numFmt w:val="decimal"/>
      <w:lvlText w:val="%7."/>
      <w:lvlJc w:val="left"/>
      <w:pPr>
        <w:tabs>
          <w:tab w:val="num" w:pos="5040"/>
        </w:tabs>
        <w:ind w:left="5040" w:hanging="360"/>
      </w:pPr>
      <w:rPr>
        <w:rFonts w:cs="Times New Roman"/>
      </w:rPr>
    </w:lvl>
    <w:lvl w:ilvl="7" w:tplc="0D165C0A" w:tentative="1">
      <w:start w:val="1"/>
      <w:numFmt w:val="decimal"/>
      <w:lvlText w:val="%8."/>
      <w:lvlJc w:val="left"/>
      <w:pPr>
        <w:tabs>
          <w:tab w:val="num" w:pos="5760"/>
        </w:tabs>
        <w:ind w:left="5760" w:hanging="360"/>
      </w:pPr>
      <w:rPr>
        <w:rFonts w:cs="Times New Roman"/>
      </w:rPr>
    </w:lvl>
    <w:lvl w:ilvl="8" w:tplc="7CFE9864" w:tentative="1">
      <w:start w:val="1"/>
      <w:numFmt w:val="decimal"/>
      <w:lvlText w:val="%9."/>
      <w:lvlJc w:val="left"/>
      <w:pPr>
        <w:tabs>
          <w:tab w:val="num" w:pos="6480"/>
        </w:tabs>
        <w:ind w:left="6480" w:hanging="360"/>
      </w:pPr>
      <w:rPr>
        <w:rFonts w:cs="Times New Roman"/>
      </w:rPr>
    </w:lvl>
  </w:abstractNum>
  <w:abstractNum w:abstractNumId="38" w15:restartNumberingAfterBreak="0">
    <w:nsid w:val="73472B84"/>
    <w:multiLevelType w:val="hybridMultilevel"/>
    <w:tmpl w:val="46AC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0239E3"/>
    <w:multiLevelType w:val="hybridMultilevel"/>
    <w:tmpl w:val="00AE7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974ACB"/>
    <w:multiLevelType w:val="hybridMultilevel"/>
    <w:tmpl w:val="7EA8952E"/>
    <w:lvl w:ilvl="0" w:tplc="4409000F">
      <w:start w:val="1"/>
      <w:numFmt w:val="decimal"/>
      <w:lvlText w:val="%1."/>
      <w:lvlJc w:val="left"/>
      <w:pPr>
        <w:ind w:left="720" w:hanging="360"/>
      </w:pPr>
      <w:rPr>
        <w:rFonts w:cs="Times New Roman"/>
      </w:rPr>
    </w:lvl>
    <w:lvl w:ilvl="1" w:tplc="44090019">
      <w:start w:val="1"/>
      <w:numFmt w:val="lowerLetter"/>
      <w:lvlText w:val="%2."/>
      <w:lvlJc w:val="left"/>
      <w:pPr>
        <w:ind w:left="1440" w:hanging="360"/>
      </w:pPr>
      <w:rPr>
        <w:rFonts w:cs="Times New Roman"/>
      </w:rPr>
    </w:lvl>
    <w:lvl w:ilvl="2" w:tplc="4409001B">
      <w:start w:val="1"/>
      <w:numFmt w:val="lowerRoman"/>
      <w:lvlText w:val="%3."/>
      <w:lvlJc w:val="right"/>
      <w:pPr>
        <w:ind w:left="2160" w:hanging="180"/>
      </w:pPr>
      <w:rPr>
        <w:rFonts w:cs="Times New Roman"/>
      </w:rPr>
    </w:lvl>
    <w:lvl w:ilvl="3" w:tplc="4409000F">
      <w:start w:val="1"/>
      <w:numFmt w:val="decimal"/>
      <w:lvlText w:val="%4."/>
      <w:lvlJc w:val="left"/>
      <w:pPr>
        <w:ind w:left="2880" w:hanging="360"/>
      </w:pPr>
      <w:rPr>
        <w:rFonts w:cs="Times New Roman"/>
      </w:rPr>
    </w:lvl>
    <w:lvl w:ilvl="4" w:tplc="44090019">
      <w:start w:val="1"/>
      <w:numFmt w:val="lowerLetter"/>
      <w:lvlText w:val="%5."/>
      <w:lvlJc w:val="left"/>
      <w:pPr>
        <w:ind w:left="3600" w:hanging="360"/>
      </w:pPr>
      <w:rPr>
        <w:rFonts w:cs="Times New Roman"/>
      </w:rPr>
    </w:lvl>
    <w:lvl w:ilvl="5" w:tplc="4409001B">
      <w:start w:val="1"/>
      <w:numFmt w:val="lowerRoman"/>
      <w:lvlText w:val="%6."/>
      <w:lvlJc w:val="right"/>
      <w:pPr>
        <w:ind w:left="4320" w:hanging="180"/>
      </w:pPr>
      <w:rPr>
        <w:rFonts w:cs="Times New Roman"/>
      </w:rPr>
    </w:lvl>
    <w:lvl w:ilvl="6" w:tplc="4409000F">
      <w:start w:val="1"/>
      <w:numFmt w:val="decimal"/>
      <w:lvlText w:val="%7."/>
      <w:lvlJc w:val="left"/>
      <w:pPr>
        <w:ind w:left="5040" w:hanging="360"/>
      </w:pPr>
      <w:rPr>
        <w:rFonts w:cs="Times New Roman"/>
      </w:rPr>
    </w:lvl>
    <w:lvl w:ilvl="7" w:tplc="44090019">
      <w:start w:val="1"/>
      <w:numFmt w:val="lowerLetter"/>
      <w:lvlText w:val="%8."/>
      <w:lvlJc w:val="left"/>
      <w:pPr>
        <w:ind w:left="5760" w:hanging="360"/>
      </w:pPr>
      <w:rPr>
        <w:rFonts w:cs="Times New Roman"/>
      </w:rPr>
    </w:lvl>
    <w:lvl w:ilvl="8" w:tplc="4409001B">
      <w:start w:val="1"/>
      <w:numFmt w:val="lowerRoman"/>
      <w:lvlText w:val="%9."/>
      <w:lvlJc w:val="right"/>
      <w:pPr>
        <w:ind w:left="6480" w:hanging="180"/>
      </w:pPr>
      <w:rPr>
        <w:rFonts w:cs="Times New Roman"/>
      </w:rPr>
    </w:lvl>
  </w:abstractNum>
  <w:abstractNum w:abstractNumId="41" w15:restartNumberingAfterBreak="0">
    <w:nsid w:val="76E63290"/>
    <w:multiLevelType w:val="hybridMultilevel"/>
    <w:tmpl w:val="0B727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F709E5"/>
    <w:multiLevelType w:val="hybridMultilevel"/>
    <w:tmpl w:val="74C2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697365"/>
    <w:multiLevelType w:val="hybridMultilevel"/>
    <w:tmpl w:val="957E9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CB5F70"/>
    <w:multiLevelType w:val="multilevel"/>
    <w:tmpl w:val="090676CE"/>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num w:numId="1">
    <w:abstractNumId w:val="32"/>
  </w:num>
  <w:num w:numId="2">
    <w:abstractNumId w:val="28"/>
  </w:num>
  <w:num w:numId="3">
    <w:abstractNumId w:val="11"/>
  </w:num>
  <w:num w:numId="4">
    <w:abstractNumId w:val="16"/>
  </w:num>
  <w:num w:numId="5">
    <w:abstractNumId w:val="20"/>
  </w:num>
  <w:num w:numId="6">
    <w:abstractNumId w:val="22"/>
  </w:num>
  <w:num w:numId="7">
    <w:abstractNumId w:val="13"/>
  </w:num>
  <w:num w:numId="8">
    <w:abstractNumId w:val="6"/>
  </w:num>
  <w:num w:numId="9">
    <w:abstractNumId w:val="2"/>
  </w:num>
  <w:num w:numId="10">
    <w:abstractNumId w:val="24"/>
  </w:num>
  <w:num w:numId="11">
    <w:abstractNumId w:val="31"/>
  </w:num>
  <w:num w:numId="12">
    <w:abstractNumId w:val="14"/>
  </w:num>
  <w:num w:numId="13">
    <w:abstractNumId w:val="41"/>
  </w:num>
  <w:num w:numId="14">
    <w:abstractNumId w:val="27"/>
  </w:num>
  <w:num w:numId="15">
    <w:abstractNumId w:val="30"/>
  </w:num>
  <w:num w:numId="16">
    <w:abstractNumId w:val="15"/>
  </w:num>
  <w:num w:numId="17">
    <w:abstractNumId w:val="19"/>
  </w:num>
  <w:num w:numId="18">
    <w:abstractNumId w:val="12"/>
  </w:num>
  <w:num w:numId="19">
    <w:abstractNumId w:val="25"/>
  </w:num>
  <w:num w:numId="20">
    <w:abstractNumId w:val="21"/>
  </w:num>
  <w:num w:numId="21">
    <w:abstractNumId w:val="42"/>
  </w:num>
  <w:num w:numId="22">
    <w:abstractNumId w:val="39"/>
  </w:num>
  <w:num w:numId="23">
    <w:abstractNumId w:val="33"/>
  </w:num>
  <w:num w:numId="24">
    <w:abstractNumId w:val="0"/>
  </w:num>
  <w:num w:numId="25">
    <w:abstractNumId w:val="4"/>
  </w:num>
  <w:num w:numId="26">
    <w:abstractNumId w:val="38"/>
  </w:num>
  <w:num w:numId="27">
    <w:abstractNumId w:val="9"/>
  </w:num>
  <w:num w:numId="28">
    <w:abstractNumId w:val="18"/>
  </w:num>
  <w:num w:numId="29">
    <w:abstractNumId w:val="17"/>
  </w:num>
  <w:num w:numId="30">
    <w:abstractNumId w:val="36"/>
  </w:num>
  <w:num w:numId="31">
    <w:abstractNumId w:val="43"/>
  </w:num>
  <w:num w:numId="32">
    <w:abstractNumId w:val="10"/>
  </w:num>
  <w:num w:numId="33">
    <w:abstractNumId w:val="3"/>
  </w:num>
  <w:num w:numId="34">
    <w:abstractNumId w:val="34"/>
  </w:num>
  <w:num w:numId="35">
    <w:abstractNumId w:val="26"/>
  </w:num>
  <w:num w:numId="36">
    <w:abstractNumId w:val="44"/>
  </w:num>
  <w:num w:numId="37">
    <w:abstractNumId w:val="37"/>
  </w:num>
  <w:num w:numId="38">
    <w:abstractNumId w:val="29"/>
  </w:num>
  <w:num w:numId="39">
    <w:abstractNumId w:val="23"/>
  </w:num>
  <w:num w:numId="40">
    <w:abstractNumId w:val="5"/>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
  </w:num>
  <w:num w:numId="44">
    <w:abstractNumId w:val="7"/>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0FB"/>
    <w:rsid w:val="000139C7"/>
    <w:rsid w:val="00013EE1"/>
    <w:rsid w:val="0001766E"/>
    <w:rsid w:val="00022F96"/>
    <w:rsid w:val="00023304"/>
    <w:rsid w:val="00024B71"/>
    <w:rsid w:val="0002746C"/>
    <w:rsid w:val="0003330B"/>
    <w:rsid w:val="00034070"/>
    <w:rsid w:val="00035850"/>
    <w:rsid w:val="00040443"/>
    <w:rsid w:val="0004178B"/>
    <w:rsid w:val="00041B24"/>
    <w:rsid w:val="000524B0"/>
    <w:rsid w:val="00053202"/>
    <w:rsid w:val="000535F3"/>
    <w:rsid w:val="00056002"/>
    <w:rsid w:val="000563C9"/>
    <w:rsid w:val="00060A84"/>
    <w:rsid w:val="000631FE"/>
    <w:rsid w:val="000728CB"/>
    <w:rsid w:val="00072A12"/>
    <w:rsid w:val="00072B4E"/>
    <w:rsid w:val="000753E8"/>
    <w:rsid w:val="00086037"/>
    <w:rsid w:val="000905B6"/>
    <w:rsid w:val="00091637"/>
    <w:rsid w:val="0009326C"/>
    <w:rsid w:val="000A26D9"/>
    <w:rsid w:val="000A3928"/>
    <w:rsid w:val="000A5723"/>
    <w:rsid w:val="000A6DAA"/>
    <w:rsid w:val="000B4C0E"/>
    <w:rsid w:val="000C13C1"/>
    <w:rsid w:val="000C2E8D"/>
    <w:rsid w:val="000D04C2"/>
    <w:rsid w:val="000D636F"/>
    <w:rsid w:val="000D744A"/>
    <w:rsid w:val="000E0359"/>
    <w:rsid w:val="000E09F9"/>
    <w:rsid w:val="000E0F12"/>
    <w:rsid w:val="000E1C02"/>
    <w:rsid w:val="000E1E43"/>
    <w:rsid w:val="000E2BFA"/>
    <w:rsid w:val="000E374C"/>
    <w:rsid w:val="000E44B6"/>
    <w:rsid w:val="000E6B7D"/>
    <w:rsid w:val="00101E3A"/>
    <w:rsid w:val="00111FFC"/>
    <w:rsid w:val="0012109B"/>
    <w:rsid w:val="00123EE7"/>
    <w:rsid w:val="00125FAB"/>
    <w:rsid w:val="00127739"/>
    <w:rsid w:val="0013209D"/>
    <w:rsid w:val="00135962"/>
    <w:rsid w:val="001474D4"/>
    <w:rsid w:val="00151F10"/>
    <w:rsid w:val="00153FC3"/>
    <w:rsid w:val="001639F5"/>
    <w:rsid w:val="00163D7C"/>
    <w:rsid w:val="00164067"/>
    <w:rsid w:val="0016524B"/>
    <w:rsid w:val="00174319"/>
    <w:rsid w:val="0017476E"/>
    <w:rsid w:val="00175E8A"/>
    <w:rsid w:val="00177C36"/>
    <w:rsid w:val="001832D1"/>
    <w:rsid w:val="0018431D"/>
    <w:rsid w:val="00184DE7"/>
    <w:rsid w:val="00184F29"/>
    <w:rsid w:val="00185BC7"/>
    <w:rsid w:val="00185D91"/>
    <w:rsid w:val="00187388"/>
    <w:rsid w:val="00190032"/>
    <w:rsid w:val="0019069C"/>
    <w:rsid w:val="00192296"/>
    <w:rsid w:val="00194604"/>
    <w:rsid w:val="0019758C"/>
    <w:rsid w:val="001A0FAA"/>
    <w:rsid w:val="001A1C96"/>
    <w:rsid w:val="001A4A53"/>
    <w:rsid w:val="001A575F"/>
    <w:rsid w:val="001B57E7"/>
    <w:rsid w:val="001B5A95"/>
    <w:rsid w:val="001B701E"/>
    <w:rsid w:val="001C736A"/>
    <w:rsid w:val="001D467F"/>
    <w:rsid w:val="001D5A22"/>
    <w:rsid w:val="001D7BB5"/>
    <w:rsid w:val="001E063E"/>
    <w:rsid w:val="001E298E"/>
    <w:rsid w:val="001E532E"/>
    <w:rsid w:val="001E781A"/>
    <w:rsid w:val="001F038A"/>
    <w:rsid w:val="001F5054"/>
    <w:rsid w:val="001F5EA7"/>
    <w:rsid w:val="001F618E"/>
    <w:rsid w:val="0020028A"/>
    <w:rsid w:val="00202280"/>
    <w:rsid w:val="00203476"/>
    <w:rsid w:val="00205B5E"/>
    <w:rsid w:val="00206C26"/>
    <w:rsid w:val="00210CCF"/>
    <w:rsid w:val="00211B0C"/>
    <w:rsid w:val="00212F04"/>
    <w:rsid w:val="00214F84"/>
    <w:rsid w:val="00215C5A"/>
    <w:rsid w:val="00220E69"/>
    <w:rsid w:val="00232615"/>
    <w:rsid w:val="00232AD9"/>
    <w:rsid w:val="002350B5"/>
    <w:rsid w:val="00247DE4"/>
    <w:rsid w:val="00250521"/>
    <w:rsid w:val="00250669"/>
    <w:rsid w:val="00260507"/>
    <w:rsid w:val="002712A0"/>
    <w:rsid w:val="002714AA"/>
    <w:rsid w:val="002715D2"/>
    <w:rsid w:val="00271716"/>
    <w:rsid w:val="00272E39"/>
    <w:rsid w:val="00273365"/>
    <w:rsid w:val="00280F2C"/>
    <w:rsid w:val="00283954"/>
    <w:rsid w:val="00291B1B"/>
    <w:rsid w:val="00291C32"/>
    <w:rsid w:val="00293702"/>
    <w:rsid w:val="002A23B6"/>
    <w:rsid w:val="002A7F9D"/>
    <w:rsid w:val="002B3561"/>
    <w:rsid w:val="002B6221"/>
    <w:rsid w:val="002C0286"/>
    <w:rsid w:val="002C1429"/>
    <w:rsid w:val="002C63AC"/>
    <w:rsid w:val="002C7B69"/>
    <w:rsid w:val="002D1D45"/>
    <w:rsid w:val="002D489E"/>
    <w:rsid w:val="002E366E"/>
    <w:rsid w:val="002E70A6"/>
    <w:rsid w:val="002E7218"/>
    <w:rsid w:val="002E7573"/>
    <w:rsid w:val="002E7F2F"/>
    <w:rsid w:val="002F3AFA"/>
    <w:rsid w:val="002F63CD"/>
    <w:rsid w:val="002F6E03"/>
    <w:rsid w:val="0030104D"/>
    <w:rsid w:val="00305736"/>
    <w:rsid w:val="00311BCF"/>
    <w:rsid w:val="00314BE8"/>
    <w:rsid w:val="00314E0D"/>
    <w:rsid w:val="00315746"/>
    <w:rsid w:val="00315C15"/>
    <w:rsid w:val="003161E8"/>
    <w:rsid w:val="003236E4"/>
    <w:rsid w:val="00323816"/>
    <w:rsid w:val="00333507"/>
    <w:rsid w:val="00334230"/>
    <w:rsid w:val="003371F4"/>
    <w:rsid w:val="003379C2"/>
    <w:rsid w:val="00342EAF"/>
    <w:rsid w:val="0034794B"/>
    <w:rsid w:val="003543EA"/>
    <w:rsid w:val="0035704B"/>
    <w:rsid w:val="00361942"/>
    <w:rsid w:val="003627A9"/>
    <w:rsid w:val="00362F0E"/>
    <w:rsid w:val="003631CD"/>
    <w:rsid w:val="00363BC5"/>
    <w:rsid w:val="00367ED1"/>
    <w:rsid w:val="00370751"/>
    <w:rsid w:val="00371563"/>
    <w:rsid w:val="00371756"/>
    <w:rsid w:val="00372435"/>
    <w:rsid w:val="00372E41"/>
    <w:rsid w:val="00373410"/>
    <w:rsid w:val="00374833"/>
    <w:rsid w:val="003775D3"/>
    <w:rsid w:val="00377D08"/>
    <w:rsid w:val="00380A8A"/>
    <w:rsid w:val="00381571"/>
    <w:rsid w:val="00381AC2"/>
    <w:rsid w:val="003833D4"/>
    <w:rsid w:val="00385F50"/>
    <w:rsid w:val="00386055"/>
    <w:rsid w:val="00386966"/>
    <w:rsid w:val="00390EC4"/>
    <w:rsid w:val="00391CDD"/>
    <w:rsid w:val="0039612E"/>
    <w:rsid w:val="003971B5"/>
    <w:rsid w:val="003A27E7"/>
    <w:rsid w:val="003A285D"/>
    <w:rsid w:val="003A45C5"/>
    <w:rsid w:val="003A4DE6"/>
    <w:rsid w:val="003B001A"/>
    <w:rsid w:val="003B0EB4"/>
    <w:rsid w:val="003B36B5"/>
    <w:rsid w:val="003B61F7"/>
    <w:rsid w:val="003B63BE"/>
    <w:rsid w:val="003B7E45"/>
    <w:rsid w:val="003C0198"/>
    <w:rsid w:val="003C04C6"/>
    <w:rsid w:val="003C0EA0"/>
    <w:rsid w:val="003C1DB3"/>
    <w:rsid w:val="003C463B"/>
    <w:rsid w:val="003C4912"/>
    <w:rsid w:val="003D28AB"/>
    <w:rsid w:val="003D735B"/>
    <w:rsid w:val="003E2A5D"/>
    <w:rsid w:val="003E3831"/>
    <w:rsid w:val="003E4A52"/>
    <w:rsid w:val="003E4DEA"/>
    <w:rsid w:val="003E59A4"/>
    <w:rsid w:val="003E7D0E"/>
    <w:rsid w:val="003F00C4"/>
    <w:rsid w:val="003F4338"/>
    <w:rsid w:val="003F4A50"/>
    <w:rsid w:val="00402301"/>
    <w:rsid w:val="004040FB"/>
    <w:rsid w:val="00404590"/>
    <w:rsid w:val="004053F5"/>
    <w:rsid w:val="00413CE4"/>
    <w:rsid w:val="00414369"/>
    <w:rsid w:val="00422484"/>
    <w:rsid w:val="00432F54"/>
    <w:rsid w:val="004403B3"/>
    <w:rsid w:val="00443BE6"/>
    <w:rsid w:val="004526CB"/>
    <w:rsid w:val="004555A4"/>
    <w:rsid w:val="004608FC"/>
    <w:rsid w:val="00463B28"/>
    <w:rsid w:val="00464F32"/>
    <w:rsid w:val="004651D7"/>
    <w:rsid w:val="0047111A"/>
    <w:rsid w:val="0047340A"/>
    <w:rsid w:val="00474FFC"/>
    <w:rsid w:val="00477A5D"/>
    <w:rsid w:val="004816D5"/>
    <w:rsid w:val="00483392"/>
    <w:rsid w:val="00483C6B"/>
    <w:rsid w:val="004849A9"/>
    <w:rsid w:val="004850D0"/>
    <w:rsid w:val="0048580D"/>
    <w:rsid w:val="00485BE2"/>
    <w:rsid w:val="00492778"/>
    <w:rsid w:val="00493391"/>
    <w:rsid w:val="00494BE2"/>
    <w:rsid w:val="004A5609"/>
    <w:rsid w:val="004B40E5"/>
    <w:rsid w:val="004B5D80"/>
    <w:rsid w:val="004B6321"/>
    <w:rsid w:val="004C51B7"/>
    <w:rsid w:val="004C6AC5"/>
    <w:rsid w:val="004D171B"/>
    <w:rsid w:val="004D1C61"/>
    <w:rsid w:val="004D5CFC"/>
    <w:rsid w:val="004D67BC"/>
    <w:rsid w:val="004D6CED"/>
    <w:rsid w:val="004E33C2"/>
    <w:rsid w:val="004E3670"/>
    <w:rsid w:val="004E53C9"/>
    <w:rsid w:val="004F1E09"/>
    <w:rsid w:val="004F2863"/>
    <w:rsid w:val="004F3173"/>
    <w:rsid w:val="004F3B86"/>
    <w:rsid w:val="00504BBF"/>
    <w:rsid w:val="00504C5D"/>
    <w:rsid w:val="00505B5E"/>
    <w:rsid w:val="005063BB"/>
    <w:rsid w:val="00506D27"/>
    <w:rsid w:val="005107B8"/>
    <w:rsid w:val="00510D55"/>
    <w:rsid w:val="005151D9"/>
    <w:rsid w:val="005236C0"/>
    <w:rsid w:val="0053093E"/>
    <w:rsid w:val="005334D7"/>
    <w:rsid w:val="00536855"/>
    <w:rsid w:val="00540EB4"/>
    <w:rsid w:val="00542EFA"/>
    <w:rsid w:val="00544215"/>
    <w:rsid w:val="00546403"/>
    <w:rsid w:val="00553D37"/>
    <w:rsid w:val="0056345E"/>
    <w:rsid w:val="00564588"/>
    <w:rsid w:val="0056670C"/>
    <w:rsid w:val="005671B5"/>
    <w:rsid w:val="0056786D"/>
    <w:rsid w:val="005709F4"/>
    <w:rsid w:val="00571440"/>
    <w:rsid w:val="00575099"/>
    <w:rsid w:val="00575D7C"/>
    <w:rsid w:val="00577D58"/>
    <w:rsid w:val="0058214C"/>
    <w:rsid w:val="00594008"/>
    <w:rsid w:val="00595295"/>
    <w:rsid w:val="005A099B"/>
    <w:rsid w:val="005A1F2C"/>
    <w:rsid w:val="005A2462"/>
    <w:rsid w:val="005B0F4A"/>
    <w:rsid w:val="005B5E2F"/>
    <w:rsid w:val="005C2F0A"/>
    <w:rsid w:val="005C3993"/>
    <w:rsid w:val="005C3F19"/>
    <w:rsid w:val="005C3F70"/>
    <w:rsid w:val="005C638C"/>
    <w:rsid w:val="005D1D46"/>
    <w:rsid w:val="005D22BC"/>
    <w:rsid w:val="005D459C"/>
    <w:rsid w:val="005D6E2F"/>
    <w:rsid w:val="005D777D"/>
    <w:rsid w:val="005D7FC9"/>
    <w:rsid w:val="005E12F7"/>
    <w:rsid w:val="005E1620"/>
    <w:rsid w:val="005E308A"/>
    <w:rsid w:val="005E4C20"/>
    <w:rsid w:val="005E74A6"/>
    <w:rsid w:val="005E7D50"/>
    <w:rsid w:val="005F2D9A"/>
    <w:rsid w:val="005F39ED"/>
    <w:rsid w:val="005F640A"/>
    <w:rsid w:val="005F687A"/>
    <w:rsid w:val="005F7996"/>
    <w:rsid w:val="0060238F"/>
    <w:rsid w:val="006033FA"/>
    <w:rsid w:val="00607021"/>
    <w:rsid w:val="00613235"/>
    <w:rsid w:val="00614434"/>
    <w:rsid w:val="00616A6A"/>
    <w:rsid w:val="0062249A"/>
    <w:rsid w:val="00626633"/>
    <w:rsid w:val="006302EB"/>
    <w:rsid w:val="00630D8F"/>
    <w:rsid w:val="0063578B"/>
    <w:rsid w:val="00636F1A"/>
    <w:rsid w:val="00637390"/>
    <w:rsid w:val="00641CB2"/>
    <w:rsid w:val="00642F32"/>
    <w:rsid w:val="00646E34"/>
    <w:rsid w:val="00650727"/>
    <w:rsid w:val="00650F39"/>
    <w:rsid w:val="00651A79"/>
    <w:rsid w:val="006521EC"/>
    <w:rsid w:val="00653023"/>
    <w:rsid w:val="006535FA"/>
    <w:rsid w:val="00654581"/>
    <w:rsid w:val="006546FD"/>
    <w:rsid w:val="00655578"/>
    <w:rsid w:val="00661447"/>
    <w:rsid w:val="00661D01"/>
    <w:rsid w:val="00661DB8"/>
    <w:rsid w:val="006644FF"/>
    <w:rsid w:val="00665668"/>
    <w:rsid w:val="00665D78"/>
    <w:rsid w:val="006752FE"/>
    <w:rsid w:val="00680E64"/>
    <w:rsid w:val="00681139"/>
    <w:rsid w:val="006846E4"/>
    <w:rsid w:val="00684D78"/>
    <w:rsid w:val="006852C7"/>
    <w:rsid w:val="00686FB8"/>
    <w:rsid w:val="006948C6"/>
    <w:rsid w:val="00697BE2"/>
    <w:rsid w:val="006A1BB9"/>
    <w:rsid w:val="006A3A64"/>
    <w:rsid w:val="006A611F"/>
    <w:rsid w:val="006A6DD1"/>
    <w:rsid w:val="006A737C"/>
    <w:rsid w:val="006B0FB0"/>
    <w:rsid w:val="006B2147"/>
    <w:rsid w:val="006B6326"/>
    <w:rsid w:val="006B7109"/>
    <w:rsid w:val="006C351E"/>
    <w:rsid w:val="006C74AA"/>
    <w:rsid w:val="006D551F"/>
    <w:rsid w:val="006D579D"/>
    <w:rsid w:val="006D59E8"/>
    <w:rsid w:val="006E0AEB"/>
    <w:rsid w:val="006F2564"/>
    <w:rsid w:val="006F5586"/>
    <w:rsid w:val="006F74AD"/>
    <w:rsid w:val="00701318"/>
    <w:rsid w:val="007020DB"/>
    <w:rsid w:val="00704054"/>
    <w:rsid w:val="00711E04"/>
    <w:rsid w:val="00711F73"/>
    <w:rsid w:val="007200C1"/>
    <w:rsid w:val="00722B2C"/>
    <w:rsid w:val="0072331D"/>
    <w:rsid w:val="00724516"/>
    <w:rsid w:val="007367CD"/>
    <w:rsid w:val="00737E09"/>
    <w:rsid w:val="00743449"/>
    <w:rsid w:val="0074644C"/>
    <w:rsid w:val="00754A85"/>
    <w:rsid w:val="00757416"/>
    <w:rsid w:val="007619B7"/>
    <w:rsid w:val="00762E2E"/>
    <w:rsid w:val="007654B2"/>
    <w:rsid w:val="00765A55"/>
    <w:rsid w:val="007721BD"/>
    <w:rsid w:val="00772E57"/>
    <w:rsid w:val="00782F63"/>
    <w:rsid w:val="0078488A"/>
    <w:rsid w:val="00791ED0"/>
    <w:rsid w:val="007971E6"/>
    <w:rsid w:val="007A04DF"/>
    <w:rsid w:val="007A27CF"/>
    <w:rsid w:val="007A3425"/>
    <w:rsid w:val="007A4ADD"/>
    <w:rsid w:val="007A52C6"/>
    <w:rsid w:val="007A61F4"/>
    <w:rsid w:val="007A7F2D"/>
    <w:rsid w:val="007B21CA"/>
    <w:rsid w:val="007B2AFF"/>
    <w:rsid w:val="007B40B5"/>
    <w:rsid w:val="007B5E7C"/>
    <w:rsid w:val="007C2093"/>
    <w:rsid w:val="007C3356"/>
    <w:rsid w:val="007C4D41"/>
    <w:rsid w:val="007C5673"/>
    <w:rsid w:val="007C5E8D"/>
    <w:rsid w:val="007C6808"/>
    <w:rsid w:val="007D21DB"/>
    <w:rsid w:val="007D2E85"/>
    <w:rsid w:val="007D3648"/>
    <w:rsid w:val="007D7247"/>
    <w:rsid w:val="007D7CCE"/>
    <w:rsid w:val="007F13C5"/>
    <w:rsid w:val="007F4910"/>
    <w:rsid w:val="007F5485"/>
    <w:rsid w:val="007F64CD"/>
    <w:rsid w:val="007F65C1"/>
    <w:rsid w:val="008002E0"/>
    <w:rsid w:val="00806010"/>
    <w:rsid w:val="00811219"/>
    <w:rsid w:val="0081142A"/>
    <w:rsid w:val="00814A61"/>
    <w:rsid w:val="008235F3"/>
    <w:rsid w:val="00824197"/>
    <w:rsid w:val="00833A5B"/>
    <w:rsid w:val="00834978"/>
    <w:rsid w:val="00834B76"/>
    <w:rsid w:val="00840CB2"/>
    <w:rsid w:val="0084297A"/>
    <w:rsid w:val="008469BE"/>
    <w:rsid w:val="00854086"/>
    <w:rsid w:val="00854BD8"/>
    <w:rsid w:val="008560EE"/>
    <w:rsid w:val="00861458"/>
    <w:rsid w:val="0086274B"/>
    <w:rsid w:val="00871212"/>
    <w:rsid w:val="0087147C"/>
    <w:rsid w:val="00871A13"/>
    <w:rsid w:val="00872A00"/>
    <w:rsid w:val="008757CC"/>
    <w:rsid w:val="00876A1C"/>
    <w:rsid w:val="00877BBB"/>
    <w:rsid w:val="00881ACA"/>
    <w:rsid w:val="00885DCC"/>
    <w:rsid w:val="00887866"/>
    <w:rsid w:val="00887DF0"/>
    <w:rsid w:val="008934AB"/>
    <w:rsid w:val="008936E7"/>
    <w:rsid w:val="008956EC"/>
    <w:rsid w:val="008A1294"/>
    <w:rsid w:val="008A49F6"/>
    <w:rsid w:val="008A558C"/>
    <w:rsid w:val="008B0946"/>
    <w:rsid w:val="008B1D79"/>
    <w:rsid w:val="008B2842"/>
    <w:rsid w:val="008B668B"/>
    <w:rsid w:val="008B73C6"/>
    <w:rsid w:val="008C0510"/>
    <w:rsid w:val="008C6C40"/>
    <w:rsid w:val="008D0BC7"/>
    <w:rsid w:val="008D2B7E"/>
    <w:rsid w:val="008D3A93"/>
    <w:rsid w:val="008E05A4"/>
    <w:rsid w:val="008E088C"/>
    <w:rsid w:val="008E22B6"/>
    <w:rsid w:val="008E2EB0"/>
    <w:rsid w:val="008E3213"/>
    <w:rsid w:val="008E6658"/>
    <w:rsid w:val="008E72E3"/>
    <w:rsid w:val="008F24E5"/>
    <w:rsid w:val="008F291B"/>
    <w:rsid w:val="00900BE3"/>
    <w:rsid w:val="00902C93"/>
    <w:rsid w:val="00903122"/>
    <w:rsid w:val="00903A44"/>
    <w:rsid w:val="00903EBF"/>
    <w:rsid w:val="00906519"/>
    <w:rsid w:val="00907FD3"/>
    <w:rsid w:val="0091019C"/>
    <w:rsid w:val="00911CAC"/>
    <w:rsid w:val="0091224B"/>
    <w:rsid w:val="009209DD"/>
    <w:rsid w:val="009214C4"/>
    <w:rsid w:val="00923772"/>
    <w:rsid w:val="0092421B"/>
    <w:rsid w:val="00925D01"/>
    <w:rsid w:val="00927CD7"/>
    <w:rsid w:val="00931591"/>
    <w:rsid w:val="0093160D"/>
    <w:rsid w:val="00932DBA"/>
    <w:rsid w:val="009336B1"/>
    <w:rsid w:val="00933FC3"/>
    <w:rsid w:val="00934352"/>
    <w:rsid w:val="00935D99"/>
    <w:rsid w:val="00935FA7"/>
    <w:rsid w:val="0093747B"/>
    <w:rsid w:val="009434F3"/>
    <w:rsid w:val="009446D2"/>
    <w:rsid w:val="0094571B"/>
    <w:rsid w:val="00945A50"/>
    <w:rsid w:val="00953E5D"/>
    <w:rsid w:val="009626A6"/>
    <w:rsid w:val="00963D12"/>
    <w:rsid w:val="00964FCC"/>
    <w:rsid w:val="00964FE7"/>
    <w:rsid w:val="00976A6C"/>
    <w:rsid w:val="0098200C"/>
    <w:rsid w:val="0098625D"/>
    <w:rsid w:val="00991D5F"/>
    <w:rsid w:val="009939BE"/>
    <w:rsid w:val="00995256"/>
    <w:rsid w:val="009A20BE"/>
    <w:rsid w:val="009A43C5"/>
    <w:rsid w:val="009A4EB6"/>
    <w:rsid w:val="009B1A39"/>
    <w:rsid w:val="009B4164"/>
    <w:rsid w:val="009B58A7"/>
    <w:rsid w:val="009C0E74"/>
    <w:rsid w:val="009C12DF"/>
    <w:rsid w:val="009C1F13"/>
    <w:rsid w:val="009C3546"/>
    <w:rsid w:val="009C3BC0"/>
    <w:rsid w:val="009D66E0"/>
    <w:rsid w:val="009D7FBB"/>
    <w:rsid w:val="009E3D0E"/>
    <w:rsid w:val="009E4398"/>
    <w:rsid w:val="009E656E"/>
    <w:rsid w:val="009F1689"/>
    <w:rsid w:val="009F1F94"/>
    <w:rsid w:val="009F4F95"/>
    <w:rsid w:val="009F5947"/>
    <w:rsid w:val="00A01040"/>
    <w:rsid w:val="00A01FD9"/>
    <w:rsid w:val="00A02AAA"/>
    <w:rsid w:val="00A03123"/>
    <w:rsid w:val="00A05EF3"/>
    <w:rsid w:val="00A070C8"/>
    <w:rsid w:val="00A12247"/>
    <w:rsid w:val="00A1351A"/>
    <w:rsid w:val="00A166CC"/>
    <w:rsid w:val="00A24F3E"/>
    <w:rsid w:val="00A25F84"/>
    <w:rsid w:val="00A27147"/>
    <w:rsid w:val="00A32599"/>
    <w:rsid w:val="00A3612E"/>
    <w:rsid w:val="00A36DBC"/>
    <w:rsid w:val="00A415E0"/>
    <w:rsid w:val="00A4252B"/>
    <w:rsid w:val="00A43802"/>
    <w:rsid w:val="00A45158"/>
    <w:rsid w:val="00A51813"/>
    <w:rsid w:val="00A6377C"/>
    <w:rsid w:val="00A63E84"/>
    <w:rsid w:val="00A650CE"/>
    <w:rsid w:val="00A6604D"/>
    <w:rsid w:val="00A71076"/>
    <w:rsid w:val="00A7287A"/>
    <w:rsid w:val="00A73EEE"/>
    <w:rsid w:val="00A741DC"/>
    <w:rsid w:val="00A7564E"/>
    <w:rsid w:val="00A76809"/>
    <w:rsid w:val="00A82515"/>
    <w:rsid w:val="00A837DD"/>
    <w:rsid w:val="00A84457"/>
    <w:rsid w:val="00A863E0"/>
    <w:rsid w:val="00A86DFD"/>
    <w:rsid w:val="00A9040B"/>
    <w:rsid w:val="00A951E2"/>
    <w:rsid w:val="00A960F5"/>
    <w:rsid w:val="00AA1710"/>
    <w:rsid w:val="00AA1FB7"/>
    <w:rsid w:val="00AA4ACF"/>
    <w:rsid w:val="00AA594E"/>
    <w:rsid w:val="00AA70DC"/>
    <w:rsid w:val="00AA769B"/>
    <w:rsid w:val="00AB07B1"/>
    <w:rsid w:val="00AB11E4"/>
    <w:rsid w:val="00AB1FBF"/>
    <w:rsid w:val="00AB2CBC"/>
    <w:rsid w:val="00AB2EC5"/>
    <w:rsid w:val="00AB32D0"/>
    <w:rsid w:val="00AB36BD"/>
    <w:rsid w:val="00AB4DFE"/>
    <w:rsid w:val="00AD0AFC"/>
    <w:rsid w:val="00AD2C77"/>
    <w:rsid w:val="00AD5954"/>
    <w:rsid w:val="00AD5C92"/>
    <w:rsid w:val="00AD776F"/>
    <w:rsid w:val="00AD7ED6"/>
    <w:rsid w:val="00AE7753"/>
    <w:rsid w:val="00AF0314"/>
    <w:rsid w:val="00AF0556"/>
    <w:rsid w:val="00AF3E91"/>
    <w:rsid w:val="00AF522A"/>
    <w:rsid w:val="00AF541B"/>
    <w:rsid w:val="00B02FC7"/>
    <w:rsid w:val="00B034A2"/>
    <w:rsid w:val="00B03B77"/>
    <w:rsid w:val="00B05115"/>
    <w:rsid w:val="00B0748F"/>
    <w:rsid w:val="00B11704"/>
    <w:rsid w:val="00B11A79"/>
    <w:rsid w:val="00B132FF"/>
    <w:rsid w:val="00B16921"/>
    <w:rsid w:val="00B174B6"/>
    <w:rsid w:val="00B227D9"/>
    <w:rsid w:val="00B23F34"/>
    <w:rsid w:val="00B24B73"/>
    <w:rsid w:val="00B24D56"/>
    <w:rsid w:val="00B42307"/>
    <w:rsid w:val="00B432A0"/>
    <w:rsid w:val="00B433C3"/>
    <w:rsid w:val="00B448C0"/>
    <w:rsid w:val="00B4707F"/>
    <w:rsid w:val="00B541F3"/>
    <w:rsid w:val="00B54703"/>
    <w:rsid w:val="00B55640"/>
    <w:rsid w:val="00B5705B"/>
    <w:rsid w:val="00B61701"/>
    <w:rsid w:val="00B66A1F"/>
    <w:rsid w:val="00B674BA"/>
    <w:rsid w:val="00B704B8"/>
    <w:rsid w:val="00B70796"/>
    <w:rsid w:val="00B72068"/>
    <w:rsid w:val="00B72408"/>
    <w:rsid w:val="00B736E4"/>
    <w:rsid w:val="00B755EF"/>
    <w:rsid w:val="00B75BF4"/>
    <w:rsid w:val="00B7687E"/>
    <w:rsid w:val="00B77045"/>
    <w:rsid w:val="00B80E61"/>
    <w:rsid w:val="00B83628"/>
    <w:rsid w:val="00B853A8"/>
    <w:rsid w:val="00B8778B"/>
    <w:rsid w:val="00B9040D"/>
    <w:rsid w:val="00B91A12"/>
    <w:rsid w:val="00B94997"/>
    <w:rsid w:val="00BA0889"/>
    <w:rsid w:val="00BA09F6"/>
    <w:rsid w:val="00BA0BD0"/>
    <w:rsid w:val="00BA232C"/>
    <w:rsid w:val="00BA2E25"/>
    <w:rsid w:val="00BA3CE8"/>
    <w:rsid w:val="00BA5EB1"/>
    <w:rsid w:val="00BA619F"/>
    <w:rsid w:val="00BA643B"/>
    <w:rsid w:val="00BB0D30"/>
    <w:rsid w:val="00BB20B7"/>
    <w:rsid w:val="00BB2DFC"/>
    <w:rsid w:val="00BB580B"/>
    <w:rsid w:val="00BB5A7C"/>
    <w:rsid w:val="00BB68CD"/>
    <w:rsid w:val="00BC4239"/>
    <w:rsid w:val="00BC488E"/>
    <w:rsid w:val="00BD202A"/>
    <w:rsid w:val="00BD4CE0"/>
    <w:rsid w:val="00BD513F"/>
    <w:rsid w:val="00BE021B"/>
    <w:rsid w:val="00BE0319"/>
    <w:rsid w:val="00BE0BBE"/>
    <w:rsid w:val="00BE1DFE"/>
    <w:rsid w:val="00BE3C88"/>
    <w:rsid w:val="00BE544A"/>
    <w:rsid w:val="00BE5E94"/>
    <w:rsid w:val="00BF0D8B"/>
    <w:rsid w:val="00BF1036"/>
    <w:rsid w:val="00BF157B"/>
    <w:rsid w:val="00BF1D07"/>
    <w:rsid w:val="00BF3B03"/>
    <w:rsid w:val="00BF7A0C"/>
    <w:rsid w:val="00BF7E39"/>
    <w:rsid w:val="00C00C26"/>
    <w:rsid w:val="00C02FB5"/>
    <w:rsid w:val="00C02FCC"/>
    <w:rsid w:val="00C032CA"/>
    <w:rsid w:val="00C05C05"/>
    <w:rsid w:val="00C06440"/>
    <w:rsid w:val="00C077E3"/>
    <w:rsid w:val="00C10589"/>
    <w:rsid w:val="00C11F55"/>
    <w:rsid w:val="00C14ECA"/>
    <w:rsid w:val="00C16ECC"/>
    <w:rsid w:val="00C23596"/>
    <w:rsid w:val="00C248E5"/>
    <w:rsid w:val="00C307F6"/>
    <w:rsid w:val="00C32C2B"/>
    <w:rsid w:val="00C359A3"/>
    <w:rsid w:val="00C369CB"/>
    <w:rsid w:val="00C43A67"/>
    <w:rsid w:val="00C50886"/>
    <w:rsid w:val="00C5115D"/>
    <w:rsid w:val="00C51186"/>
    <w:rsid w:val="00C52E15"/>
    <w:rsid w:val="00C54069"/>
    <w:rsid w:val="00C55179"/>
    <w:rsid w:val="00C56A4E"/>
    <w:rsid w:val="00C645AD"/>
    <w:rsid w:val="00C672A4"/>
    <w:rsid w:val="00C70FD7"/>
    <w:rsid w:val="00C710B5"/>
    <w:rsid w:val="00C74593"/>
    <w:rsid w:val="00C818E8"/>
    <w:rsid w:val="00C8261C"/>
    <w:rsid w:val="00C877CB"/>
    <w:rsid w:val="00C92D5C"/>
    <w:rsid w:val="00C94B8C"/>
    <w:rsid w:val="00C96E35"/>
    <w:rsid w:val="00CA3D8D"/>
    <w:rsid w:val="00CA468B"/>
    <w:rsid w:val="00CB00F6"/>
    <w:rsid w:val="00CB3B40"/>
    <w:rsid w:val="00CB7C07"/>
    <w:rsid w:val="00CB7CF5"/>
    <w:rsid w:val="00CC597B"/>
    <w:rsid w:val="00CC77B2"/>
    <w:rsid w:val="00CD38D8"/>
    <w:rsid w:val="00CD6458"/>
    <w:rsid w:val="00CE24DE"/>
    <w:rsid w:val="00CE259B"/>
    <w:rsid w:val="00CE3E8D"/>
    <w:rsid w:val="00CE406C"/>
    <w:rsid w:val="00CE5571"/>
    <w:rsid w:val="00CE5FF4"/>
    <w:rsid w:val="00CE7DF6"/>
    <w:rsid w:val="00CF3432"/>
    <w:rsid w:val="00CF457C"/>
    <w:rsid w:val="00D049AD"/>
    <w:rsid w:val="00D063F1"/>
    <w:rsid w:val="00D07B39"/>
    <w:rsid w:val="00D104B4"/>
    <w:rsid w:val="00D14BF6"/>
    <w:rsid w:val="00D15739"/>
    <w:rsid w:val="00D15A88"/>
    <w:rsid w:val="00D173B4"/>
    <w:rsid w:val="00D216D1"/>
    <w:rsid w:val="00D41D45"/>
    <w:rsid w:val="00D440A7"/>
    <w:rsid w:val="00D46242"/>
    <w:rsid w:val="00D4728A"/>
    <w:rsid w:val="00D50A25"/>
    <w:rsid w:val="00D51DE8"/>
    <w:rsid w:val="00D542BA"/>
    <w:rsid w:val="00D54C1F"/>
    <w:rsid w:val="00D61B88"/>
    <w:rsid w:val="00D6339E"/>
    <w:rsid w:val="00D6349D"/>
    <w:rsid w:val="00D65558"/>
    <w:rsid w:val="00D65A6E"/>
    <w:rsid w:val="00D74DFD"/>
    <w:rsid w:val="00D7574D"/>
    <w:rsid w:val="00D8167D"/>
    <w:rsid w:val="00D81878"/>
    <w:rsid w:val="00D85416"/>
    <w:rsid w:val="00D90B9F"/>
    <w:rsid w:val="00D91C32"/>
    <w:rsid w:val="00D93258"/>
    <w:rsid w:val="00DA1871"/>
    <w:rsid w:val="00DA277A"/>
    <w:rsid w:val="00DA2ED3"/>
    <w:rsid w:val="00DA73A3"/>
    <w:rsid w:val="00DB291C"/>
    <w:rsid w:val="00DB3401"/>
    <w:rsid w:val="00DB537C"/>
    <w:rsid w:val="00DC5235"/>
    <w:rsid w:val="00DC5F96"/>
    <w:rsid w:val="00DD0E36"/>
    <w:rsid w:val="00DD4B02"/>
    <w:rsid w:val="00DE06D1"/>
    <w:rsid w:val="00DE0C4A"/>
    <w:rsid w:val="00DE1351"/>
    <w:rsid w:val="00DE197D"/>
    <w:rsid w:val="00DE4122"/>
    <w:rsid w:val="00DE5B4F"/>
    <w:rsid w:val="00DF0C92"/>
    <w:rsid w:val="00DF2996"/>
    <w:rsid w:val="00DF3782"/>
    <w:rsid w:val="00E0012E"/>
    <w:rsid w:val="00E0026F"/>
    <w:rsid w:val="00E0059B"/>
    <w:rsid w:val="00E0115C"/>
    <w:rsid w:val="00E03342"/>
    <w:rsid w:val="00E057D4"/>
    <w:rsid w:val="00E162B5"/>
    <w:rsid w:val="00E1698C"/>
    <w:rsid w:val="00E16F5D"/>
    <w:rsid w:val="00E2097F"/>
    <w:rsid w:val="00E3061A"/>
    <w:rsid w:val="00E378D0"/>
    <w:rsid w:val="00E37AB5"/>
    <w:rsid w:val="00E40F0D"/>
    <w:rsid w:val="00E42245"/>
    <w:rsid w:val="00E50BF5"/>
    <w:rsid w:val="00E526B5"/>
    <w:rsid w:val="00E540D9"/>
    <w:rsid w:val="00E5436A"/>
    <w:rsid w:val="00E54A8D"/>
    <w:rsid w:val="00E54B40"/>
    <w:rsid w:val="00E554AC"/>
    <w:rsid w:val="00E5765D"/>
    <w:rsid w:val="00E661E9"/>
    <w:rsid w:val="00E66617"/>
    <w:rsid w:val="00E710BC"/>
    <w:rsid w:val="00E74D17"/>
    <w:rsid w:val="00E93CF1"/>
    <w:rsid w:val="00E943A4"/>
    <w:rsid w:val="00E9482C"/>
    <w:rsid w:val="00E972DA"/>
    <w:rsid w:val="00EB0279"/>
    <w:rsid w:val="00EB0972"/>
    <w:rsid w:val="00EB2C10"/>
    <w:rsid w:val="00EB4C6E"/>
    <w:rsid w:val="00EB6484"/>
    <w:rsid w:val="00EB71B8"/>
    <w:rsid w:val="00EB7877"/>
    <w:rsid w:val="00EB78FF"/>
    <w:rsid w:val="00EC07A3"/>
    <w:rsid w:val="00EC6639"/>
    <w:rsid w:val="00EC73DC"/>
    <w:rsid w:val="00ED0072"/>
    <w:rsid w:val="00ED31BC"/>
    <w:rsid w:val="00ED36F3"/>
    <w:rsid w:val="00ED37A4"/>
    <w:rsid w:val="00ED70F7"/>
    <w:rsid w:val="00EE034A"/>
    <w:rsid w:val="00EE3748"/>
    <w:rsid w:val="00EE3D33"/>
    <w:rsid w:val="00EE3D4C"/>
    <w:rsid w:val="00EE72F8"/>
    <w:rsid w:val="00EF00B3"/>
    <w:rsid w:val="00EF1A31"/>
    <w:rsid w:val="00EF2559"/>
    <w:rsid w:val="00EF3C56"/>
    <w:rsid w:val="00EF452D"/>
    <w:rsid w:val="00EF5414"/>
    <w:rsid w:val="00EF6C05"/>
    <w:rsid w:val="00F01454"/>
    <w:rsid w:val="00F01AF1"/>
    <w:rsid w:val="00F01E94"/>
    <w:rsid w:val="00F06AD0"/>
    <w:rsid w:val="00F118F6"/>
    <w:rsid w:val="00F13508"/>
    <w:rsid w:val="00F15F1A"/>
    <w:rsid w:val="00F2315E"/>
    <w:rsid w:val="00F26C70"/>
    <w:rsid w:val="00F30469"/>
    <w:rsid w:val="00F30566"/>
    <w:rsid w:val="00F32C65"/>
    <w:rsid w:val="00F33A9E"/>
    <w:rsid w:val="00F352DA"/>
    <w:rsid w:val="00F37286"/>
    <w:rsid w:val="00F404E9"/>
    <w:rsid w:val="00F414DD"/>
    <w:rsid w:val="00F41545"/>
    <w:rsid w:val="00F417A4"/>
    <w:rsid w:val="00F46022"/>
    <w:rsid w:val="00F51FA4"/>
    <w:rsid w:val="00F52A6C"/>
    <w:rsid w:val="00F52A74"/>
    <w:rsid w:val="00F52EFA"/>
    <w:rsid w:val="00F601DD"/>
    <w:rsid w:val="00F60A57"/>
    <w:rsid w:val="00F613A5"/>
    <w:rsid w:val="00F636CB"/>
    <w:rsid w:val="00F63A90"/>
    <w:rsid w:val="00F63DBD"/>
    <w:rsid w:val="00F701EC"/>
    <w:rsid w:val="00F71717"/>
    <w:rsid w:val="00F7383C"/>
    <w:rsid w:val="00F74062"/>
    <w:rsid w:val="00F74767"/>
    <w:rsid w:val="00F75F49"/>
    <w:rsid w:val="00F77D6B"/>
    <w:rsid w:val="00F82EC5"/>
    <w:rsid w:val="00F852FF"/>
    <w:rsid w:val="00F942EF"/>
    <w:rsid w:val="00F96353"/>
    <w:rsid w:val="00F96B6C"/>
    <w:rsid w:val="00FA0AF9"/>
    <w:rsid w:val="00FA1F2A"/>
    <w:rsid w:val="00FA28CB"/>
    <w:rsid w:val="00FA2EDC"/>
    <w:rsid w:val="00FB31F3"/>
    <w:rsid w:val="00FC10BC"/>
    <w:rsid w:val="00FD2DC7"/>
    <w:rsid w:val="00FD3C0D"/>
    <w:rsid w:val="00FD4B16"/>
    <w:rsid w:val="00FD565B"/>
    <w:rsid w:val="00FD6423"/>
    <w:rsid w:val="00FD6EED"/>
    <w:rsid w:val="00FD79A8"/>
    <w:rsid w:val="00FE1CE4"/>
    <w:rsid w:val="00FE3296"/>
    <w:rsid w:val="00FE5089"/>
    <w:rsid w:val="00FF0FBB"/>
    <w:rsid w:val="00FF43CB"/>
    <w:rsid w:val="00FF7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5B621919"/>
  <w15:docId w15:val="{9B850F76-B4ED-49B8-8B9B-B28EDEE2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3365"/>
    <w:pPr>
      <w:spacing w:after="200" w:line="276" w:lineRule="auto"/>
    </w:pPr>
    <w:rPr>
      <w:sz w:val="22"/>
      <w:szCs w:val="22"/>
      <w:lang w:val="en-US" w:eastAsia="en-US"/>
    </w:rPr>
  </w:style>
  <w:style w:type="paragraph" w:styleId="Heading1">
    <w:name w:val="heading 1"/>
    <w:basedOn w:val="Normal"/>
    <w:next w:val="Normal"/>
    <w:link w:val="Heading1Char"/>
    <w:qFormat/>
    <w:locked/>
    <w:rsid w:val="00CB7CF5"/>
    <w:pPr>
      <w:keepNext/>
      <w:keepLines/>
      <w:spacing w:before="240" w:after="240"/>
      <w:outlineLvl w:val="0"/>
    </w:pPr>
    <w:rPr>
      <w:rFonts w:eastAsiaTheme="majorEastAsia" w:cstheme="majorBidi"/>
      <w:b/>
      <w:szCs w:val="32"/>
    </w:rPr>
  </w:style>
  <w:style w:type="paragraph" w:styleId="Heading2">
    <w:name w:val="heading 2"/>
    <w:basedOn w:val="Normal"/>
    <w:next w:val="Normal"/>
    <w:link w:val="Heading2Char"/>
    <w:unhideWhenUsed/>
    <w:qFormat/>
    <w:locked/>
    <w:rsid w:val="00CB7CF5"/>
    <w:pPr>
      <w:keepNext/>
      <w:keepLines/>
      <w:spacing w:before="280" w:after="240"/>
      <w:outlineLvl w:val="1"/>
    </w:pPr>
    <w:rPr>
      <w:rFonts w:eastAsiaTheme="majorEastAsia" w:cstheme="majorBidi"/>
      <w:i/>
      <w:szCs w:val="26"/>
    </w:rPr>
  </w:style>
  <w:style w:type="paragraph" w:styleId="Heading3">
    <w:name w:val="heading 3"/>
    <w:basedOn w:val="Normal"/>
    <w:next w:val="Normal"/>
    <w:link w:val="Heading3Char"/>
    <w:unhideWhenUsed/>
    <w:qFormat/>
    <w:locked/>
    <w:rsid w:val="00CB7CF5"/>
    <w:pPr>
      <w:keepNext/>
      <w:keepLines/>
      <w:spacing w:before="160" w:after="12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040FB"/>
    <w:pPr>
      <w:ind w:left="720"/>
      <w:contextualSpacing/>
    </w:pPr>
  </w:style>
  <w:style w:type="paragraph" w:styleId="Header">
    <w:name w:val="header"/>
    <w:basedOn w:val="Normal"/>
    <w:link w:val="HeaderChar"/>
    <w:uiPriority w:val="99"/>
    <w:rsid w:val="008A49F6"/>
    <w:pPr>
      <w:tabs>
        <w:tab w:val="center" w:pos="4680"/>
        <w:tab w:val="right" w:pos="9360"/>
      </w:tabs>
      <w:spacing w:after="0" w:line="240" w:lineRule="auto"/>
    </w:pPr>
  </w:style>
  <w:style w:type="character" w:customStyle="1" w:styleId="HeaderChar">
    <w:name w:val="Header Char"/>
    <w:link w:val="Header"/>
    <w:uiPriority w:val="99"/>
    <w:locked/>
    <w:rsid w:val="008A49F6"/>
    <w:rPr>
      <w:rFonts w:cs="Times New Roman"/>
    </w:rPr>
  </w:style>
  <w:style w:type="paragraph" w:styleId="Footer">
    <w:name w:val="footer"/>
    <w:basedOn w:val="Normal"/>
    <w:link w:val="FooterChar"/>
    <w:uiPriority w:val="99"/>
    <w:rsid w:val="008A49F6"/>
    <w:pPr>
      <w:tabs>
        <w:tab w:val="center" w:pos="4680"/>
        <w:tab w:val="right" w:pos="9360"/>
      </w:tabs>
      <w:spacing w:after="0" w:line="240" w:lineRule="auto"/>
    </w:pPr>
  </w:style>
  <w:style w:type="character" w:customStyle="1" w:styleId="FooterChar">
    <w:name w:val="Footer Char"/>
    <w:link w:val="Footer"/>
    <w:uiPriority w:val="99"/>
    <w:locked/>
    <w:rsid w:val="008A49F6"/>
    <w:rPr>
      <w:rFonts w:cs="Times New Roman"/>
    </w:rPr>
  </w:style>
  <w:style w:type="table" w:styleId="TableGrid">
    <w:name w:val="Table Grid"/>
    <w:basedOn w:val="TableNormal"/>
    <w:uiPriority w:val="99"/>
    <w:rsid w:val="004D1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D1C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D1C61"/>
    <w:rPr>
      <w:rFonts w:ascii="Tahoma" w:hAnsi="Tahoma" w:cs="Tahoma"/>
      <w:sz w:val="16"/>
      <w:szCs w:val="16"/>
    </w:rPr>
  </w:style>
  <w:style w:type="paragraph" w:styleId="Caption">
    <w:name w:val="caption"/>
    <w:basedOn w:val="Normal"/>
    <w:next w:val="Normal"/>
    <w:uiPriority w:val="99"/>
    <w:qFormat/>
    <w:rsid w:val="00250521"/>
    <w:pPr>
      <w:spacing w:line="240" w:lineRule="auto"/>
    </w:pPr>
    <w:rPr>
      <w:bCs/>
      <w:szCs w:val="18"/>
    </w:rPr>
  </w:style>
  <w:style w:type="character" w:styleId="CommentReference">
    <w:name w:val="annotation reference"/>
    <w:uiPriority w:val="99"/>
    <w:semiHidden/>
    <w:rsid w:val="00824197"/>
    <w:rPr>
      <w:rFonts w:cs="Times New Roman"/>
      <w:sz w:val="16"/>
      <w:szCs w:val="16"/>
    </w:rPr>
  </w:style>
  <w:style w:type="paragraph" w:styleId="CommentText">
    <w:name w:val="annotation text"/>
    <w:basedOn w:val="Normal"/>
    <w:link w:val="CommentTextChar"/>
    <w:uiPriority w:val="99"/>
    <w:rsid w:val="00824197"/>
    <w:pPr>
      <w:spacing w:line="240" w:lineRule="auto"/>
    </w:pPr>
    <w:rPr>
      <w:sz w:val="20"/>
      <w:szCs w:val="20"/>
    </w:rPr>
  </w:style>
  <w:style w:type="character" w:customStyle="1" w:styleId="CommentTextChar">
    <w:name w:val="Comment Text Char"/>
    <w:link w:val="CommentText"/>
    <w:uiPriority w:val="99"/>
    <w:locked/>
    <w:rsid w:val="00824197"/>
    <w:rPr>
      <w:rFonts w:cs="Times New Roman"/>
      <w:sz w:val="20"/>
      <w:szCs w:val="20"/>
    </w:rPr>
  </w:style>
  <w:style w:type="paragraph" w:styleId="CommentSubject">
    <w:name w:val="annotation subject"/>
    <w:basedOn w:val="CommentText"/>
    <w:next w:val="CommentText"/>
    <w:link w:val="CommentSubjectChar"/>
    <w:uiPriority w:val="99"/>
    <w:semiHidden/>
    <w:rsid w:val="00824197"/>
    <w:rPr>
      <w:b/>
      <w:bCs/>
    </w:rPr>
  </w:style>
  <w:style w:type="character" w:customStyle="1" w:styleId="CommentSubjectChar">
    <w:name w:val="Comment Subject Char"/>
    <w:link w:val="CommentSubject"/>
    <w:uiPriority w:val="99"/>
    <w:semiHidden/>
    <w:locked/>
    <w:rsid w:val="00824197"/>
    <w:rPr>
      <w:rFonts w:cs="Times New Roman"/>
      <w:b/>
      <w:bCs/>
      <w:sz w:val="20"/>
      <w:szCs w:val="20"/>
    </w:rPr>
  </w:style>
  <w:style w:type="paragraph" w:styleId="Revision">
    <w:name w:val="Revision"/>
    <w:hidden/>
    <w:uiPriority w:val="99"/>
    <w:semiHidden/>
    <w:rsid w:val="00FD2DC7"/>
    <w:rPr>
      <w:sz w:val="22"/>
      <w:szCs w:val="22"/>
      <w:lang w:val="en-US" w:eastAsia="en-US"/>
    </w:rPr>
  </w:style>
  <w:style w:type="character" w:styleId="PlaceholderText">
    <w:name w:val="Placeholder Text"/>
    <w:uiPriority w:val="99"/>
    <w:semiHidden/>
    <w:rsid w:val="00086037"/>
    <w:rPr>
      <w:rFonts w:cs="Times New Roman"/>
      <w:color w:val="808080"/>
    </w:rPr>
  </w:style>
  <w:style w:type="character" w:styleId="LineNumber">
    <w:name w:val="line number"/>
    <w:uiPriority w:val="99"/>
    <w:semiHidden/>
    <w:rsid w:val="00EF00B3"/>
    <w:rPr>
      <w:rFonts w:cs="Times New Roman"/>
    </w:rPr>
  </w:style>
  <w:style w:type="paragraph" w:styleId="NormalWeb">
    <w:name w:val="Normal (Web)"/>
    <w:basedOn w:val="Normal"/>
    <w:uiPriority w:val="99"/>
    <w:semiHidden/>
    <w:rsid w:val="00995256"/>
    <w:pPr>
      <w:spacing w:before="100" w:beforeAutospacing="1" w:after="100" w:afterAutospacing="1" w:line="240" w:lineRule="auto"/>
    </w:pPr>
    <w:rPr>
      <w:rFonts w:ascii="Times New Roman" w:hAnsi="Times New Roman"/>
      <w:sz w:val="24"/>
      <w:szCs w:val="24"/>
      <w:lang w:val="en-GB" w:eastAsia="en-GB"/>
    </w:rPr>
  </w:style>
  <w:style w:type="paragraph" w:customStyle="1" w:styleId="indent">
    <w:name w:val="indent"/>
    <w:basedOn w:val="Normal"/>
    <w:link w:val="indentChar"/>
    <w:rsid w:val="00EF541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right" w:pos="11850"/>
      </w:tabs>
      <w:spacing w:after="240" w:line="240" w:lineRule="auto"/>
      <w:ind w:left="1134"/>
      <w:jc w:val="both"/>
    </w:pPr>
    <w:rPr>
      <w:rFonts w:ascii="Arial" w:eastAsia="Calibri" w:hAnsi="Arial"/>
      <w:sz w:val="20"/>
      <w:szCs w:val="20"/>
      <w:lang w:val="en-GB" w:eastAsia="x-none"/>
    </w:rPr>
  </w:style>
  <w:style w:type="character" w:customStyle="1" w:styleId="indentChar">
    <w:name w:val="indent Char"/>
    <w:link w:val="indent"/>
    <w:rsid w:val="00EF5414"/>
    <w:rPr>
      <w:rFonts w:ascii="Arial" w:eastAsia="Calibri" w:hAnsi="Arial"/>
      <w:lang w:val="en-GB" w:eastAsia="x-none" w:bidi="ar-SA"/>
    </w:rPr>
  </w:style>
  <w:style w:type="paragraph" w:styleId="Title">
    <w:name w:val="Title"/>
    <w:basedOn w:val="Normal"/>
    <w:next w:val="Normal"/>
    <w:link w:val="TitleChar"/>
    <w:uiPriority w:val="99"/>
    <w:qFormat/>
    <w:locked/>
    <w:rsid w:val="008002E0"/>
    <w:pPr>
      <w:pBdr>
        <w:bottom w:val="single" w:sz="4" w:space="4" w:color="auto"/>
      </w:pBdr>
      <w:spacing w:after="300" w:line="240" w:lineRule="auto"/>
      <w:contextualSpacing/>
    </w:pPr>
    <w:rPr>
      <w:rFonts w:ascii="Cambria" w:hAnsi="Cambria"/>
      <w:spacing w:val="5"/>
      <w:kern w:val="28"/>
      <w:sz w:val="52"/>
      <w:szCs w:val="52"/>
      <w:lang w:val="en-GB"/>
    </w:rPr>
  </w:style>
  <w:style w:type="character" w:customStyle="1" w:styleId="TitleChar">
    <w:name w:val="Title Char"/>
    <w:link w:val="Title"/>
    <w:uiPriority w:val="99"/>
    <w:rsid w:val="008002E0"/>
    <w:rPr>
      <w:rFonts w:ascii="Cambria" w:hAnsi="Cambria"/>
      <w:spacing w:val="5"/>
      <w:kern w:val="28"/>
      <w:sz w:val="52"/>
      <w:szCs w:val="52"/>
      <w:lang w:eastAsia="en-US"/>
    </w:rPr>
  </w:style>
  <w:style w:type="character" w:customStyle="1" w:styleId="Heading1Char">
    <w:name w:val="Heading 1 Char"/>
    <w:basedOn w:val="DefaultParagraphFont"/>
    <w:link w:val="Heading1"/>
    <w:rsid w:val="00CB7CF5"/>
    <w:rPr>
      <w:rFonts w:eastAsiaTheme="majorEastAsia" w:cstheme="majorBidi"/>
      <w:b/>
      <w:sz w:val="22"/>
      <w:szCs w:val="32"/>
      <w:lang w:val="en-US" w:eastAsia="en-US"/>
    </w:rPr>
  </w:style>
  <w:style w:type="character" w:customStyle="1" w:styleId="Heading2Char">
    <w:name w:val="Heading 2 Char"/>
    <w:basedOn w:val="DefaultParagraphFont"/>
    <w:link w:val="Heading2"/>
    <w:rsid w:val="00CB7CF5"/>
    <w:rPr>
      <w:rFonts w:eastAsiaTheme="majorEastAsia" w:cstheme="majorBidi"/>
      <w:i/>
      <w:sz w:val="22"/>
      <w:szCs w:val="26"/>
      <w:lang w:val="en-US" w:eastAsia="en-US"/>
    </w:rPr>
  </w:style>
  <w:style w:type="character" w:customStyle="1" w:styleId="Heading3Char">
    <w:name w:val="Heading 3 Char"/>
    <w:basedOn w:val="DefaultParagraphFont"/>
    <w:link w:val="Heading3"/>
    <w:rsid w:val="00CB7CF5"/>
    <w:rPr>
      <w:rFonts w:eastAsiaTheme="majorEastAsia" w:cstheme="majorBidi"/>
      <w: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7325">
      <w:bodyDiv w:val="1"/>
      <w:marLeft w:val="0"/>
      <w:marRight w:val="0"/>
      <w:marTop w:val="0"/>
      <w:marBottom w:val="0"/>
      <w:divBdr>
        <w:top w:val="none" w:sz="0" w:space="0" w:color="auto"/>
        <w:left w:val="none" w:sz="0" w:space="0" w:color="auto"/>
        <w:bottom w:val="none" w:sz="0" w:space="0" w:color="auto"/>
        <w:right w:val="none" w:sz="0" w:space="0" w:color="auto"/>
      </w:divBdr>
    </w:div>
    <w:div w:id="637033741">
      <w:bodyDiv w:val="1"/>
      <w:marLeft w:val="0"/>
      <w:marRight w:val="0"/>
      <w:marTop w:val="0"/>
      <w:marBottom w:val="0"/>
      <w:divBdr>
        <w:top w:val="none" w:sz="0" w:space="0" w:color="auto"/>
        <w:left w:val="none" w:sz="0" w:space="0" w:color="auto"/>
        <w:bottom w:val="none" w:sz="0" w:space="0" w:color="auto"/>
        <w:right w:val="none" w:sz="0" w:space="0" w:color="auto"/>
      </w:divBdr>
    </w:div>
    <w:div w:id="765198952">
      <w:bodyDiv w:val="1"/>
      <w:marLeft w:val="0"/>
      <w:marRight w:val="0"/>
      <w:marTop w:val="0"/>
      <w:marBottom w:val="0"/>
      <w:divBdr>
        <w:top w:val="none" w:sz="0" w:space="0" w:color="auto"/>
        <w:left w:val="none" w:sz="0" w:space="0" w:color="auto"/>
        <w:bottom w:val="none" w:sz="0" w:space="0" w:color="auto"/>
        <w:right w:val="none" w:sz="0" w:space="0" w:color="auto"/>
      </w:divBdr>
      <w:divsChild>
        <w:div w:id="1129973086">
          <w:marLeft w:val="0"/>
          <w:marRight w:val="0"/>
          <w:marTop w:val="0"/>
          <w:marBottom w:val="0"/>
          <w:divBdr>
            <w:top w:val="none" w:sz="0" w:space="0" w:color="auto"/>
            <w:left w:val="none" w:sz="0" w:space="0" w:color="auto"/>
            <w:bottom w:val="none" w:sz="0" w:space="0" w:color="auto"/>
            <w:right w:val="none" w:sz="0" w:space="0" w:color="auto"/>
          </w:divBdr>
          <w:divsChild>
            <w:div w:id="987048710">
              <w:marLeft w:val="0"/>
              <w:marRight w:val="0"/>
              <w:marTop w:val="0"/>
              <w:marBottom w:val="0"/>
              <w:divBdr>
                <w:top w:val="none" w:sz="0" w:space="0" w:color="auto"/>
                <w:left w:val="none" w:sz="0" w:space="0" w:color="auto"/>
                <w:bottom w:val="none" w:sz="0" w:space="0" w:color="auto"/>
                <w:right w:val="none" w:sz="0" w:space="0" w:color="auto"/>
              </w:divBdr>
              <w:divsChild>
                <w:div w:id="75590716">
                  <w:marLeft w:val="0"/>
                  <w:marRight w:val="0"/>
                  <w:marTop w:val="0"/>
                  <w:marBottom w:val="0"/>
                  <w:divBdr>
                    <w:top w:val="none" w:sz="0" w:space="0" w:color="auto"/>
                    <w:left w:val="none" w:sz="0" w:space="0" w:color="auto"/>
                    <w:bottom w:val="none" w:sz="0" w:space="0" w:color="auto"/>
                    <w:right w:val="none" w:sz="0" w:space="0" w:color="auto"/>
                  </w:divBdr>
                  <w:divsChild>
                    <w:div w:id="1798644162">
                      <w:marLeft w:val="0"/>
                      <w:marRight w:val="0"/>
                      <w:marTop w:val="0"/>
                      <w:marBottom w:val="0"/>
                      <w:divBdr>
                        <w:top w:val="none" w:sz="0" w:space="0" w:color="auto"/>
                        <w:left w:val="none" w:sz="0" w:space="0" w:color="auto"/>
                        <w:bottom w:val="none" w:sz="0" w:space="0" w:color="auto"/>
                        <w:right w:val="none" w:sz="0" w:space="0" w:color="auto"/>
                      </w:divBdr>
                      <w:divsChild>
                        <w:div w:id="228881809">
                          <w:marLeft w:val="0"/>
                          <w:marRight w:val="0"/>
                          <w:marTop w:val="0"/>
                          <w:marBottom w:val="0"/>
                          <w:divBdr>
                            <w:top w:val="none" w:sz="0" w:space="0" w:color="auto"/>
                            <w:left w:val="none" w:sz="0" w:space="0" w:color="auto"/>
                            <w:bottom w:val="none" w:sz="0" w:space="0" w:color="auto"/>
                            <w:right w:val="none" w:sz="0" w:space="0" w:color="auto"/>
                          </w:divBdr>
                          <w:divsChild>
                            <w:div w:id="1457135936">
                              <w:marLeft w:val="0"/>
                              <w:marRight w:val="0"/>
                              <w:marTop w:val="0"/>
                              <w:marBottom w:val="0"/>
                              <w:divBdr>
                                <w:top w:val="none" w:sz="0" w:space="0" w:color="auto"/>
                                <w:left w:val="none" w:sz="0" w:space="0" w:color="auto"/>
                                <w:bottom w:val="none" w:sz="0" w:space="0" w:color="auto"/>
                                <w:right w:val="none" w:sz="0" w:space="0" w:color="auto"/>
                              </w:divBdr>
                              <w:divsChild>
                                <w:div w:id="105464066">
                                  <w:marLeft w:val="0"/>
                                  <w:marRight w:val="0"/>
                                  <w:marTop w:val="0"/>
                                  <w:marBottom w:val="0"/>
                                  <w:divBdr>
                                    <w:top w:val="none" w:sz="0" w:space="0" w:color="auto"/>
                                    <w:left w:val="none" w:sz="0" w:space="0" w:color="auto"/>
                                    <w:bottom w:val="none" w:sz="0" w:space="0" w:color="auto"/>
                                    <w:right w:val="none" w:sz="0" w:space="0" w:color="auto"/>
                                  </w:divBdr>
                                  <w:divsChild>
                                    <w:div w:id="1853642575">
                                      <w:marLeft w:val="0"/>
                                      <w:marRight w:val="0"/>
                                      <w:marTop w:val="0"/>
                                      <w:marBottom w:val="0"/>
                                      <w:divBdr>
                                        <w:top w:val="none" w:sz="0" w:space="0" w:color="auto"/>
                                        <w:left w:val="none" w:sz="0" w:space="0" w:color="auto"/>
                                        <w:bottom w:val="none" w:sz="0" w:space="0" w:color="auto"/>
                                        <w:right w:val="none" w:sz="0" w:space="0" w:color="auto"/>
                                      </w:divBdr>
                                      <w:divsChild>
                                        <w:div w:id="1269048837">
                                          <w:marLeft w:val="0"/>
                                          <w:marRight w:val="0"/>
                                          <w:marTop w:val="0"/>
                                          <w:marBottom w:val="0"/>
                                          <w:divBdr>
                                            <w:top w:val="none" w:sz="0" w:space="0" w:color="auto"/>
                                            <w:left w:val="none" w:sz="0" w:space="0" w:color="auto"/>
                                            <w:bottom w:val="none" w:sz="0" w:space="0" w:color="auto"/>
                                            <w:right w:val="none" w:sz="0" w:space="0" w:color="auto"/>
                                          </w:divBdr>
                                          <w:divsChild>
                                            <w:div w:id="1668442394">
                                              <w:marLeft w:val="0"/>
                                              <w:marRight w:val="0"/>
                                              <w:marTop w:val="0"/>
                                              <w:marBottom w:val="0"/>
                                              <w:divBdr>
                                                <w:top w:val="none" w:sz="0" w:space="0" w:color="auto"/>
                                                <w:left w:val="none" w:sz="0" w:space="0" w:color="auto"/>
                                                <w:bottom w:val="none" w:sz="0" w:space="0" w:color="auto"/>
                                                <w:right w:val="none" w:sz="0" w:space="0" w:color="auto"/>
                                              </w:divBdr>
                                              <w:divsChild>
                                                <w:div w:id="21369987">
                                                  <w:marLeft w:val="0"/>
                                                  <w:marRight w:val="0"/>
                                                  <w:marTop w:val="0"/>
                                                  <w:marBottom w:val="0"/>
                                                  <w:divBdr>
                                                    <w:top w:val="none" w:sz="0" w:space="0" w:color="auto"/>
                                                    <w:left w:val="none" w:sz="0" w:space="0" w:color="auto"/>
                                                    <w:bottom w:val="none" w:sz="0" w:space="0" w:color="auto"/>
                                                    <w:right w:val="none" w:sz="0" w:space="0" w:color="auto"/>
                                                  </w:divBdr>
                                                  <w:divsChild>
                                                    <w:div w:id="809833340">
                                                      <w:marLeft w:val="0"/>
                                                      <w:marRight w:val="0"/>
                                                      <w:marTop w:val="0"/>
                                                      <w:marBottom w:val="0"/>
                                                      <w:divBdr>
                                                        <w:top w:val="none" w:sz="0" w:space="0" w:color="auto"/>
                                                        <w:left w:val="none" w:sz="0" w:space="0" w:color="auto"/>
                                                        <w:bottom w:val="none" w:sz="0" w:space="0" w:color="auto"/>
                                                        <w:right w:val="none" w:sz="0" w:space="0" w:color="auto"/>
                                                      </w:divBdr>
                                                      <w:divsChild>
                                                        <w:div w:id="420881191">
                                                          <w:marLeft w:val="0"/>
                                                          <w:marRight w:val="0"/>
                                                          <w:marTop w:val="0"/>
                                                          <w:marBottom w:val="0"/>
                                                          <w:divBdr>
                                                            <w:top w:val="none" w:sz="0" w:space="0" w:color="auto"/>
                                                            <w:left w:val="none" w:sz="0" w:space="0" w:color="auto"/>
                                                            <w:bottom w:val="none" w:sz="0" w:space="0" w:color="auto"/>
                                                            <w:right w:val="none" w:sz="0" w:space="0" w:color="auto"/>
                                                          </w:divBdr>
                                                          <w:divsChild>
                                                            <w:div w:id="67385215">
                                                              <w:marLeft w:val="0"/>
                                                              <w:marRight w:val="0"/>
                                                              <w:marTop w:val="0"/>
                                                              <w:marBottom w:val="0"/>
                                                              <w:divBdr>
                                                                <w:top w:val="none" w:sz="0" w:space="0" w:color="auto"/>
                                                                <w:left w:val="none" w:sz="0" w:space="0" w:color="auto"/>
                                                                <w:bottom w:val="none" w:sz="0" w:space="0" w:color="auto"/>
                                                                <w:right w:val="none" w:sz="0" w:space="0" w:color="auto"/>
                                                              </w:divBdr>
                                                              <w:divsChild>
                                                                <w:div w:id="979457640">
                                                                  <w:marLeft w:val="0"/>
                                                                  <w:marRight w:val="0"/>
                                                                  <w:marTop w:val="0"/>
                                                                  <w:marBottom w:val="0"/>
                                                                  <w:divBdr>
                                                                    <w:top w:val="none" w:sz="0" w:space="0" w:color="auto"/>
                                                                    <w:left w:val="none" w:sz="0" w:space="0" w:color="auto"/>
                                                                    <w:bottom w:val="none" w:sz="0" w:space="0" w:color="auto"/>
                                                                    <w:right w:val="none" w:sz="0" w:space="0" w:color="auto"/>
                                                                  </w:divBdr>
                                                                  <w:divsChild>
                                                                    <w:div w:id="2123767537">
                                                                      <w:marLeft w:val="0"/>
                                                                      <w:marRight w:val="0"/>
                                                                      <w:marTop w:val="0"/>
                                                                      <w:marBottom w:val="0"/>
                                                                      <w:divBdr>
                                                                        <w:top w:val="none" w:sz="0" w:space="0" w:color="auto"/>
                                                                        <w:left w:val="none" w:sz="0" w:space="0" w:color="auto"/>
                                                                        <w:bottom w:val="none" w:sz="0" w:space="0" w:color="auto"/>
                                                                        <w:right w:val="none" w:sz="0" w:space="0" w:color="auto"/>
                                                                      </w:divBdr>
                                                                      <w:divsChild>
                                                                        <w:div w:id="705717200">
                                                                          <w:marLeft w:val="0"/>
                                                                          <w:marRight w:val="0"/>
                                                                          <w:marTop w:val="0"/>
                                                                          <w:marBottom w:val="0"/>
                                                                          <w:divBdr>
                                                                            <w:top w:val="none" w:sz="0" w:space="0" w:color="auto"/>
                                                                            <w:left w:val="none" w:sz="0" w:space="0" w:color="auto"/>
                                                                            <w:bottom w:val="none" w:sz="0" w:space="0" w:color="auto"/>
                                                                            <w:right w:val="none" w:sz="0" w:space="0" w:color="auto"/>
                                                                          </w:divBdr>
                                                                          <w:divsChild>
                                                                            <w:div w:id="1676497698">
                                                                              <w:marLeft w:val="0"/>
                                                                              <w:marRight w:val="0"/>
                                                                              <w:marTop w:val="0"/>
                                                                              <w:marBottom w:val="0"/>
                                                                              <w:divBdr>
                                                                                <w:top w:val="none" w:sz="0" w:space="0" w:color="auto"/>
                                                                                <w:left w:val="none" w:sz="0" w:space="0" w:color="auto"/>
                                                                                <w:bottom w:val="none" w:sz="0" w:space="0" w:color="auto"/>
                                                                                <w:right w:val="none" w:sz="0" w:space="0" w:color="auto"/>
                                                                              </w:divBdr>
                                                                              <w:divsChild>
                                                                                <w:div w:id="11177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983458">
      <w:bodyDiv w:val="1"/>
      <w:marLeft w:val="0"/>
      <w:marRight w:val="0"/>
      <w:marTop w:val="0"/>
      <w:marBottom w:val="0"/>
      <w:divBdr>
        <w:top w:val="none" w:sz="0" w:space="0" w:color="auto"/>
        <w:left w:val="none" w:sz="0" w:space="0" w:color="auto"/>
        <w:bottom w:val="none" w:sz="0" w:space="0" w:color="auto"/>
        <w:right w:val="none" w:sz="0" w:space="0" w:color="auto"/>
      </w:divBdr>
    </w:div>
    <w:div w:id="1021593496">
      <w:bodyDiv w:val="1"/>
      <w:marLeft w:val="0"/>
      <w:marRight w:val="0"/>
      <w:marTop w:val="0"/>
      <w:marBottom w:val="0"/>
      <w:divBdr>
        <w:top w:val="none" w:sz="0" w:space="0" w:color="auto"/>
        <w:left w:val="none" w:sz="0" w:space="0" w:color="auto"/>
        <w:bottom w:val="none" w:sz="0" w:space="0" w:color="auto"/>
        <w:right w:val="none" w:sz="0" w:space="0" w:color="auto"/>
      </w:divBdr>
      <w:divsChild>
        <w:div w:id="563218543">
          <w:marLeft w:val="0"/>
          <w:marRight w:val="0"/>
          <w:marTop w:val="0"/>
          <w:marBottom w:val="0"/>
          <w:divBdr>
            <w:top w:val="none" w:sz="0" w:space="0" w:color="auto"/>
            <w:left w:val="none" w:sz="0" w:space="0" w:color="auto"/>
            <w:bottom w:val="none" w:sz="0" w:space="0" w:color="auto"/>
            <w:right w:val="none" w:sz="0" w:space="0" w:color="auto"/>
          </w:divBdr>
          <w:divsChild>
            <w:div w:id="1080371069">
              <w:marLeft w:val="0"/>
              <w:marRight w:val="0"/>
              <w:marTop w:val="0"/>
              <w:marBottom w:val="0"/>
              <w:divBdr>
                <w:top w:val="none" w:sz="0" w:space="0" w:color="auto"/>
                <w:left w:val="none" w:sz="0" w:space="0" w:color="auto"/>
                <w:bottom w:val="none" w:sz="0" w:space="0" w:color="auto"/>
                <w:right w:val="none" w:sz="0" w:space="0" w:color="auto"/>
              </w:divBdr>
              <w:divsChild>
                <w:div w:id="300817878">
                  <w:marLeft w:val="0"/>
                  <w:marRight w:val="0"/>
                  <w:marTop w:val="0"/>
                  <w:marBottom w:val="0"/>
                  <w:divBdr>
                    <w:top w:val="none" w:sz="0" w:space="0" w:color="auto"/>
                    <w:left w:val="none" w:sz="0" w:space="0" w:color="auto"/>
                    <w:bottom w:val="none" w:sz="0" w:space="0" w:color="auto"/>
                    <w:right w:val="none" w:sz="0" w:space="0" w:color="auto"/>
                  </w:divBdr>
                  <w:divsChild>
                    <w:div w:id="1191333608">
                      <w:marLeft w:val="0"/>
                      <w:marRight w:val="0"/>
                      <w:marTop w:val="0"/>
                      <w:marBottom w:val="0"/>
                      <w:divBdr>
                        <w:top w:val="none" w:sz="0" w:space="0" w:color="auto"/>
                        <w:left w:val="none" w:sz="0" w:space="0" w:color="auto"/>
                        <w:bottom w:val="none" w:sz="0" w:space="0" w:color="auto"/>
                        <w:right w:val="none" w:sz="0" w:space="0" w:color="auto"/>
                      </w:divBdr>
                      <w:divsChild>
                        <w:div w:id="6613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619028">
      <w:marLeft w:val="0"/>
      <w:marRight w:val="0"/>
      <w:marTop w:val="0"/>
      <w:marBottom w:val="0"/>
      <w:divBdr>
        <w:top w:val="none" w:sz="0" w:space="0" w:color="auto"/>
        <w:left w:val="none" w:sz="0" w:space="0" w:color="auto"/>
        <w:bottom w:val="none" w:sz="0" w:space="0" w:color="auto"/>
        <w:right w:val="none" w:sz="0" w:space="0" w:color="auto"/>
      </w:divBdr>
    </w:div>
    <w:div w:id="1803619032">
      <w:marLeft w:val="0"/>
      <w:marRight w:val="0"/>
      <w:marTop w:val="0"/>
      <w:marBottom w:val="0"/>
      <w:divBdr>
        <w:top w:val="none" w:sz="0" w:space="0" w:color="auto"/>
        <w:left w:val="none" w:sz="0" w:space="0" w:color="auto"/>
        <w:bottom w:val="none" w:sz="0" w:space="0" w:color="auto"/>
        <w:right w:val="none" w:sz="0" w:space="0" w:color="auto"/>
      </w:divBdr>
      <w:divsChild>
        <w:div w:id="1803619029">
          <w:marLeft w:val="547"/>
          <w:marRight w:val="0"/>
          <w:marTop w:val="0"/>
          <w:marBottom w:val="0"/>
          <w:divBdr>
            <w:top w:val="none" w:sz="0" w:space="0" w:color="auto"/>
            <w:left w:val="none" w:sz="0" w:space="0" w:color="auto"/>
            <w:bottom w:val="none" w:sz="0" w:space="0" w:color="auto"/>
            <w:right w:val="none" w:sz="0" w:space="0" w:color="auto"/>
          </w:divBdr>
        </w:div>
        <w:div w:id="1803619030">
          <w:marLeft w:val="547"/>
          <w:marRight w:val="0"/>
          <w:marTop w:val="0"/>
          <w:marBottom w:val="0"/>
          <w:divBdr>
            <w:top w:val="none" w:sz="0" w:space="0" w:color="auto"/>
            <w:left w:val="none" w:sz="0" w:space="0" w:color="auto"/>
            <w:bottom w:val="none" w:sz="0" w:space="0" w:color="auto"/>
            <w:right w:val="none" w:sz="0" w:space="0" w:color="auto"/>
          </w:divBdr>
        </w:div>
        <w:div w:id="1803619031">
          <w:marLeft w:val="547"/>
          <w:marRight w:val="0"/>
          <w:marTop w:val="0"/>
          <w:marBottom w:val="0"/>
          <w:divBdr>
            <w:top w:val="none" w:sz="0" w:space="0" w:color="auto"/>
            <w:left w:val="none" w:sz="0" w:space="0" w:color="auto"/>
            <w:bottom w:val="none" w:sz="0" w:space="0" w:color="auto"/>
            <w:right w:val="none" w:sz="0" w:space="0" w:color="auto"/>
          </w:divBdr>
        </w:div>
        <w:div w:id="1803619033">
          <w:marLeft w:val="547"/>
          <w:marRight w:val="0"/>
          <w:marTop w:val="0"/>
          <w:marBottom w:val="0"/>
          <w:divBdr>
            <w:top w:val="none" w:sz="0" w:space="0" w:color="auto"/>
            <w:left w:val="none" w:sz="0" w:space="0" w:color="auto"/>
            <w:bottom w:val="none" w:sz="0" w:space="0" w:color="auto"/>
            <w:right w:val="none" w:sz="0" w:space="0" w:color="auto"/>
          </w:divBdr>
        </w:div>
        <w:div w:id="1803619034">
          <w:marLeft w:val="547"/>
          <w:marRight w:val="0"/>
          <w:marTop w:val="0"/>
          <w:marBottom w:val="0"/>
          <w:divBdr>
            <w:top w:val="none" w:sz="0" w:space="0" w:color="auto"/>
            <w:left w:val="none" w:sz="0" w:space="0" w:color="auto"/>
            <w:bottom w:val="none" w:sz="0" w:space="0" w:color="auto"/>
            <w:right w:val="none" w:sz="0" w:space="0" w:color="auto"/>
          </w:divBdr>
        </w:div>
        <w:div w:id="1803619035">
          <w:marLeft w:val="547"/>
          <w:marRight w:val="0"/>
          <w:marTop w:val="0"/>
          <w:marBottom w:val="0"/>
          <w:divBdr>
            <w:top w:val="none" w:sz="0" w:space="0" w:color="auto"/>
            <w:left w:val="none" w:sz="0" w:space="0" w:color="auto"/>
            <w:bottom w:val="none" w:sz="0" w:space="0" w:color="auto"/>
            <w:right w:val="none" w:sz="0" w:space="0" w:color="auto"/>
          </w:divBdr>
        </w:div>
        <w:div w:id="1803619038">
          <w:marLeft w:val="547"/>
          <w:marRight w:val="0"/>
          <w:marTop w:val="0"/>
          <w:marBottom w:val="0"/>
          <w:divBdr>
            <w:top w:val="none" w:sz="0" w:space="0" w:color="auto"/>
            <w:left w:val="none" w:sz="0" w:space="0" w:color="auto"/>
            <w:bottom w:val="none" w:sz="0" w:space="0" w:color="auto"/>
            <w:right w:val="none" w:sz="0" w:space="0" w:color="auto"/>
          </w:divBdr>
        </w:div>
      </w:divsChild>
    </w:div>
    <w:div w:id="1803619036">
      <w:marLeft w:val="0"/>
      <w:marRight w:val="0"/>
      <w:marTop w:val="0"/>
      <w:marBottom w:val="0"/>
      <w:divBdr>
        <w:top w:val="none" w:sz="0" w:space="0" w:color="auto"/>
        <w:left w:val="none" w:sz="0" w:space="0" w:color="auto"/>
        <w:bottom w:val="none" w:sz="0" w:space="0" w:color="auto"/>
        <w:right w:val="none" w:sz="0" w:space="0" w:color="auto"/>
      </w:divBdr>
    </w:div>
    <w:div w:id="18036190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oleObject" Target="embeddings/oleObject11.bin"/><Relationship Id="rId39" Type="http://schemas.openxmlformats.org/officeDocument/2006/relationships/oleObject" Target="embeddings/oleObject19.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media/image11.emf"/><Relationship Id="rId42" Type="http://schemas.openxmlformats.org/officeDocument/2006/relationships/oleObject" Target="embeddings/oleObject21.bin"/><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oleObject" Target="embeddings/oleObject7.bin"/><Relationship Id="rId29" Type="http://schemas.openxmlformats.org/officeDocument/2006/relationships/oleObject" Target="embeddings/oleObject13.bin"/><Relationship Id="rId41"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emf"/><Relationship Id="rId32" Type="http://schemas.openxmlformats.org/officeDocument/2006/relationships/image" Target="media/image10.emf"/><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9.emf"/><Relationship Id="rId36" Type="http://schemas.openxmlformats.org/officeDocument/2006/relationships/image" Target="media/image12.emf"/><Relationship Id="rId10" Type="http://schemas.openxmlformats.org/officeDocument/2006/relationships/image" Target="media/image3.emf"/><Relationship Id="rId19" Type="http://schemas.openxmlformats.org/officeDocument/2006/relationships/oleObject" Target="embeddings/oleObject6.bin"/><Relationship Id="rId31" Type="http://schemas.openxmlformats.org/officeDocument/2006/relationships/oleObject" Target="embeddings/oleObject14.bin"/><Relationship Id="rId44"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image" Target="media/image7.emf"/><Relationship Id="rId27" Type="http://schemas.openxmlformats.org/officeDocument/2006/relationships/oleObject" Target="embeddings/oleObject12.bin"/><Relationship Id="rId30" Type="http://schemas.openxmlformats.org/officeDocument/2006/relationships/image" Target="media/image90.emf"/><Relationship Id="rId35" Type="http://schemas.openxmlformats.org/officeDocument/2006/relationships/oleObject" Target="embeddings/oleObject16.bin"/><Relationship Id="rId43" Type="http://schemas.openxmlformats.org/officeDocument/2006/relationships/image" Target="media/image130.e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52629-3629-4AE2-8754-E2ED454A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21137</Words>
  <Characters>120483</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Sustainability assessment of electrokinetic bioremediation compared with conventional remediation options for an MTBE-contaminated site</vt:lpstr>
    </vt:vector>
  </TitlesOfParts>
  <Company>Shell</Company>
  <LinksUpToDate>false</LinksUpToDate>
  <CharactersWithSpaces>141338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 assessment of electrokinetic bioremediation compared with conventional remediation options for an MTBE-contaminated site</dc:title>
  <dc:creator>Gill, Richard GSNL-UNKNOWN</dc:creator>
  <cp:lastModifiedBy>Richard Gill</cp:lastModifiedBy>
  <cp:revision>2</cp:revision>
  <cp:lastPrinted>2016-03-16T11:12:00Z</cp:lastPrinted>
  <dcterms:created xsi:type="dcterms:W3CDTF">2016-04-17T12:53:00Z</dcterms:created>
  <dcterms:modified xsi:type="dcterms:W3CDTF">2016-04-17T12:53:00Z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richard.gill@sheffield.ac.uk@www.mendeley.com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http://www.zotero.org/styles/chemosphere</vt:lpwstr>
  </property>
  <property fmtid="{D5CDD505-2E9C-101B-9397-08002B2CF9AE}" pid="10" name="Mendeley Recent Style Name 2_1">
    <vt:lpwstr>Chemosphere</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16th edition (note)</vt:lpwstr>
  </property>
  <property fmtid="{D5CDD505-2E9C-101B-9397-08002B2CF9AE}" pid="15" name="Mendeley Recent Style Id 5_1">
    <vt:lpwstr>http://www.zotero.org/styles/environmental-science-and-technology</vt:lpwstr>
  </property>
  <property fmtid="{D5CDD505-2E9C-101B-9397-08002B2CF9AE}" pid="16" name="Mendeley Recent Style Name 5_1">
    <vt:lpwstr>Environmental Science &amp; Technology</vt:lpwstr>
  </property>
  <property fmtid="{D5CDD505-2E9C-101B-9397-08002B2CF9AE}" pid="17" name="Mendeley Recent Style Id 6_1">
    <vt:lpwstr>http://www.zotero.org/styles/harvard-the-university-of-sheffield-school-of-east-asian-studies</vt:lpwstr>
  </property>
  <property fmtid="{D5CDD505-2E9C-101B-9397-08002B2CF9AE}" pid="18" name="Mendeley Recent Style Name 6_1">
    <vt:lpwstr>Harvard - The University of Sheffield - School of East Asian Studies</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(author-date)</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_AdHocReviewCycleID">
    <vt:i4>1530813790</vt:i4>
  </property>
  <property fmtid="{D5CDD505-2E9C-101B-9397-08002B2CF9AE}" pid="26" name="_NewReviewCycle">
    <vt:lpwstr/>
  </property>
  <property fmtid="{D5CDD505-2E9C-101B-9397-08002B2CF9AE}" pid="27" name="_EmailSubject">
    <vt:lpwstr>Draft version of sustainability paper</vt:lpwstr>
  </property>
  <property fmtid="{D5CDD505-2E9C-101B-9397-08002B2CF9AE}" pid="28" name="_AuthorEmail">
    <vt:lpwstr>ged.sojka@aecom.com</vt:lpwstr>
  </property>
  <property fmtid="{D5CDD505-2E9C-101B-9397-08002B2CF9AE}" pid="29" name="_AuthorEmailDisplayName">
    <vt:lpwstr>Sojka, Ged</vt:lpwstr>
  </property>
  <property fmtid="{D5CDD505-2E9C-101B-9397-08002B2CF9AE}" pid="30" name="_ReviewingToolsShownOnce">
    <vt:lpwstr/>
  </property>
</Properties>
</file>