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73" w:rsidRDefault="00807A73" w:rsidP="00807A73">
      <w:pPr>
        <w:ind w:left="567" w:right="379"/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A62721">
        <w:rPr>
          <w:rFonts w:cstheme="minorHAnsi"/>
          <w:b/>
          <w:sz w:val="28"/>
          <w:szCs w:val="28"/>
          <w:u w:val="single"/>
        </w:rPr>
        <w:t xml:space="preserve">Appendix 9: </w:t>
      </w:r>
      <w:r w:rsidRPr="00A62721">
        <w:rPr>
          <w:rFonts w:cstheme="minorHAnsi"/>
          <w:b/>
          <w:bCs/>
          <w:sz w:val="28"/>
          <w:szCs w:val="28"/>
          <w:u w:val="single"/>
        </w:rPr>
        <w:t xml:space="preserve">A 15-Point Checklist of Criteria for Good Thematic Analysis Process </w:t>
      </w:r>
      <w:r w:rsidRPr="00992338">
        <w:rPr>
          <w:rFonts w:cstheme="minorHAnsi"/>
          <w:b/>
          <w:bCs/>
          <w:sz w:val="28"/>
          <w:szCs w:val="28"/>
          <w:u w:val="single"/>
        </w:rPr>
        <w:t>(Braun and Clarke, 2006)</w:t>
      </w:r>
    </w:p>
    <w:p w:rsidR="00807A73" w:rsidRPr="00A62721" w:rsidRDefault="00807A73" w:rsidP="00807A73">
      <w:pPr>
        <w:ind w:left="567" w:right="379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807A73" w:rsidRPr="00A62721" w:rsidRDefault="00807A73" w:rsidP="00807A73">
      <w:pPr>
        <w:autoSpaceDE w:val="0"/>
        <w:autoSpaceDN w:val="0"/>
        <w:adjustRightInd w:val="0"/>
        <w:spacing w:after="0" w:line="240" w:lineRule="auto"/>
        <w:ind w:left="567" w:right="379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732"/>
      </w:tblGrid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  <w:r w:rsidRPr="00A62721">
              <w:rPr>
                <w:rFonts w:cstheme="minorHAnsi"/>
                <w:sz w:val="24"/>
                <w:szCs w:val="24"/>
              </w:rPr>
              <w:t>Transcription</w:t>
            </w: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1.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95"/>
            </w:pPr>
            <w:r w:rsidRPr="00A62721">
              <w:rPr>
                <w:rFonts w:cstheme="minorHAnsi"/>
                <w:sz w:val="24"/>
                <w:szCs w:val="24"/>
              </w:rPr>
              <w:t>The data have been transcribed to an appropriate level of detail, and the transcripts have been checked against the tapes for ‘accuracy’.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  <w:r w:rsidRPr="00A62721">
              <w:rPr>
                <w:rFonts w:cstheme="minorHAnsi"/>
                <w:sz w:val="24"/>
                <w:szCs w:val="24"/>
              </w:rPr>
              <w:t>Coding</w:t>
            </w: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2.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</w:pPr>
            <w:r w:rsidRPr="00A62721">
              <w:rPr>
                <w:rFonts w:cstheme="minorHAnsi"/>
                <w:sz w:val="24"/>
                <w:szCs w:val="24"/>
              </w:rPr>
              <w:t>Each data item has been given equal attention in the coding process.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3.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</w:pPr>
            <w:r w:rsidRPr="00A62721">
              <w:rPr>
                <w:rFonts w:cstheme="minorHAnsi"/>
                <w:sz w:val="24"/>
                <w:szCs w:val="24"/>
              </w:rPr>
              <w:t>Themes have not been generated from a few vivid examples (an anecdotal approach) but, instead, the coding process has been thorough, inclusive and comprehensive.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4.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</w:pPr>
            <w:r w:rsidRPr="00A62721">
              <w:rPr>
                <w:rFonts w:cstheme="minorHAnsi"/>
                <w:sz w:val="24"/>
                <w:szCs w:val="24"/>
              </w:rPr>
              <w:t>All relevant extracts for all each theme have been collated.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5.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</w:pPr>
            <w:r w:rsidRPr="00A62721">
              <w:rPr>
                <w:rFonts w:cstheme="minorHAnsi"/>
                <w:sz w:val="24"/>
                <w:szCs w:val="24"/>
              </w:rPr>
              <w:t>Themes have been checked against each other and back to the original data set.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6.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</w:pPr>
            <w:r w:rsidRPr="00A62721">
              <w:rPr>
                <w:rFonts w:cstheme="minorHAnsi"/>
                <w:sz w:val="24"/>
                <w:szCs w:val="24"/>
              </w:rPr>
              <w:t>Themes are internally coherent, consistent, and distinctive.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  <w:r w:rsidRPr="00A62721">
              <w:rPr>
                <w:rFonts w:cstheme="minorHAnsi"/>
                <w:sz w:val="24"/>
                <w:szCs w:val="24"/>
              </w:rPr>
              <w:t>Analysis</w:t>
            </w: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7.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</w:pPr>
            <w:r w:rsidRPr="00A62721">
              <w:rPr>
                <w:rFonts w:cstheme="minorHAnsi"/>
                <w:sz w:val="24"/>
                <w:szCs w:val="24"/>
              </w:rPr>
              <w:t>Data have been analysed rather than just paraphrased or described.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8.</w:t>
            </w:r>
          </w:p>
        </w:tc>
        <w:tc>
          <w:tcPr>
            <w:tcW w:w="5732" w:type="dxa"/>
          </w:tcPr>
          <w:p w:rsidR="00807A73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</w:pPr>
            <w:r w:rsidRPr="00A62721">
              <w:rPr>
                <w:rFonts w:cstheme="minorHAnsi"/>
                <w:sz w:val="24"/>
                <w:szCs w:val="24"/>
              </w:rPr>
              <w:t>Analysis and data match each other – the extracts illustrate the analytic claims.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9.</w:t>
            </w:r>
          </w:p>
        </w:tc>
        <w:tc>
          <w:tcPr>
            <w:tcW w:w="5732" w:type="dxa"/>
          </w:tcPr>
          <w:p w:rsidR="00807A73" w:rsidRPr="00A62721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>Analysis tells a convincing and well-organised story about the data and topic.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10.</w:t>
            </w:r>
          </w:p>
        </w:tc>
        <w:tc>
          <w:tcPr>
            <w:tcW w:w="5732" w:type="dxa"/>
          </w:tcPr>
          <w:p w:rsidR="00807A73" w:rsidRPr="00A62721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>A good balance between analytic narrative and illustrative extracts is provided.</w:t>
            </w:r>
          </w:p>
        </w:tc>
      </w:tr>
      <w:tr w:rsidR="00807A73" w:rsidTr="00807A73">
        <w:tc>
          <w:tcPr>
            <w:tcW w:w="1951" w:type="dxa"/>
          </w:tcPr>
          <w:p w:rsidR="00807A73" w:rsidRDefault="00807A73" w:rsidP="00807A73">
            <w:pPr>
              <w:ind w:right="379"/>
            </w:pPr>
            <w:r w:rsidRPr="00A62721">
              <w:rPr>
                <w:rFonts w:cstheme="minorHAnsi"/>
                <w:sz w:val="24"/>
                <w:szCs w:val="24"/>
              </w:rPr>
              <w:t>Overall</w:t>
            </w: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11.</w:t>
            </w:r>
          </w:p>
        </w:tc>
        <w:tc>
          <w:tcPr>
            <w:tcW w:w="5732" w:type="dxa"/>
          </w:tcPr>
          <w:p w:rsidR="00807A73" w:rsidRPr="00A62721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>Enough time has been allocated to comple</w:t>
            </w:r>
            <w:r>
              <w:rPr>
                <w:rFonts w:cstheme="minorHAnsi"/>
                <w:sz w:val="24"/>
                <w:szCs w:val="24"/>
              </w:rPr>
              <w:t xml:space="preserve">te all phases of the analysis </w:t>
            </w:r>
            <w:r w:rsidRPr="00A62721">
              <w:rPr>
                <w:rFonts w:cstheme="minorHAnsi"/>
                <w:sz w:val="24"/>
                <w:szCs w:val="24"/>
              </w:rPr>
              <w:t>adequately, without rushing a phase or giving it a once-over-lightly.</w:t>
            </w:r>
          </w:p>
        </w:tc>
      </w:tr>
      <w:tr w:rsidR="00807A73" w:rsidTr="00807A73">
        <w:tc>
          <w:tcPr>
            <w:tcW w:w="1951" w:type="dxa"/>
          </w:tcPr>
          <w:p w:rsidR="00807A73" w:rsidRPr="00A62721" w:rsidRDefault="00807A73" w:rsidP="00807A73">
            <w:pPr>
              <w:ind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>Written report</w:t>
            </w: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12.</w:t>
            </w:r>
          </w:p>
        </w:tc>
        <w:tc>
          <w:tcPr>
            <w:tcW w:w="5732" w:type="dxa"/>
          </w:tcPr>
          <w:p w:rsidR="00807A73" w:rsidRPr="00A62721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>The assumptions about ThA are clearly explicated.</w:t>
            </w:r>
          </w:p>
        </w:tc>
      </w:tr>
      <w:tr w:rsidR="00807A73" w:rsidTr="00807A73">
        <w:tc>
          <w:tcPr>
            <w:tcW w:w="1951" w:type="dxa"/>
          </w:tcPr>
          <w:p w:rsidR="00807A73" w:rsidRPr="00A62721" w:rsidRDefault="00807A73" w:rsidP="00807A73">
            <w:pPr>
              <w:ind w:righ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13.</w:t>
            </w:r>
          </w:p>
        </w:tc>
        <w:tc>
          <w:tcPr>
            <w:tcW w:w="5732" w:type="dxa"/>
          </w:tcPr>
          <w:p w:rsidR="00807A73" w:rsidRPr="00A62721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 xml:space="preserve">There is a good fit between what you claim you do, and </w:t>
            </w:r>
            <w:r w:rsidR="003160E7">
              <w:rPr>
                <w:rFonts w:cstheme="minorHAnsi"/>
                <w:sz w:val="24"/>
                <w:szCs w:val="24"/>
              </w:rPr>
              <w:t>what you show you have done – ie</w:t>
            </w:r>
            <w:r w:rsidRPr="00A62721">
              <w:rPr>
                <w:rFonts w:cstheme="minorHAnsi"/>
                <w:sz w:val="24"/>
                <w:szCs w:val="24"/>
              </w:rPr>
              <w:t>, described method and reported analysis are consistent.</w:t>
            </w:r>
          </w:p>
        </w:tc>
      </w:tr>
      <w:tr w:rsidR="00807A73" w:rsidTr="00807A73">
        <w:tc>
          <w:tcPr>
            <w:tcW w:w="1951" w:type="dxa"/>
          </w:tcPr>
          <w:p w:rsidR="00807A73" w:rsidRPr="00A62721" w:rsidRDefault="00807A73" w:rsidP="00807A73">
            <w:pPr>
              <w:ind w:righ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14.</w:t>
            </w:r>
          </w:p>
        </w:tc>
        <w:tc>
          <w:tcPr>
            <w:tcW w:w="5732" w:type="dxa"/>
          </w:tcPr>
          <w:p w:rsidR="00807A73" w:rsidRPr="00A62721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>The language and concepts used in the report are consistent with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62721">
              <w:rPr>
                <w:rFonts w:cstheme="minorHAnsi"/>
                <w:sz w:val="24"/>
                <w:szCs w:val="24"/>
              </w:rPr>
              <w:t>epistemological position of the analysis.</w:t>
            </w:r>
          </w:p>
        </w:tc>
      </w:tr>
      <w:tr w:rsidR="00807A73" w:rsidTr="00807A73">
        <w:tc>
          <w:tcPr>
            <w:tcW w:w="1951" w:type="dxa"/>
          </w:tcPr>
          <w:p w:rsidR="00807A73" w:rsidRPr="00A62721" w:rsidRDefault="00807A73" w:rsidP="00807A73">
            <w:pPr>
              <w:ind w:right="37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A73" w:rsidRDefault="00807A73" w:rsidP="00807A73">
            <w:pPr>
              <w:ind w:right="379"/>
            </w:pPr>
            <w:r>
              <w:t>15.</w:t>
            </w:r>
          </w:p>
        </w:tc>
        <w:tc>
          <w:tcPr>
            <w:tcW w:w="5732" w:type="dxa"/>
          </w:tcPr>
          <w:p w:rsidR="00807A73" w:rsidRPr="00A62721" w:rsidRDefault="00807A73" w:rsidP="00807A73">
            <w:pPr>
              <w:tabs>
                <w:tab w:val="left" w:pos="5415"/>
              </w:tabs>
              <w:autoSpaceDE w:val="0"/>
              <w:autoSpaceDN w:val="0"/>
              <w:adjustRightInd w:val="0"/>
              <w:ind w:left="34" w:right="379"/>
              <w:rPr>
                <w:rFonts w:cstheme="minorHAnsi"/>
                <w:sz w:val="24"/>
                <w:szCs w:val="24"/>
              </w:rPr>
            </w:pPr>
            <w:r w:rsidRPr="00A62721">
              <w:rPr>
                <w:rFonts w:cstheme="minorHAnsi"/>
                <w:sz w:val="24"/>
                <w:szCs w:val="24"/>
              </w:rPr>
              <w:t xml:space="preserve">The researcher is positioned as </w:t>
            </w:r>
            <w:r w:rsidRPr="00A62721">
              <w:rPr>
                <w:rFonts w:cstheme="minorHAnsi"/>
                <w:i/>
                <w:iCs/>
                <w:sz w:val="24"/>
                <w:szCs w:val="24"/>
              </w:rPr>
              <w:t xml:space="preserve">active </w:t>
            </w:r>
            <w:r w:rsidRPr="00A62721">
              <w:rPr>
                <w:rFonts w:cstheme="minorHAnsi"/>
                <w:sz w:val="24"/>
                <w:szCs w:val="24"/>
              </w:rPr>
              <w:t>in the research process; themes do not just ‘emerge’.</w:t>
            </w:r>
          </w:p>
        </w:tc>
      </w:tr>
    </w:tbl>
    <w:p w:rsidR="00807A73" w:rsidRDefault="00807A73" w:rsidP="00807A73">
      <w:pPr>
        <w:ind w:left="567" w:right="379"/>
      </w:pPr>
    </w:p>
    <w:p w:rsidR="00807A73" w:rsidRDefault="00807A73" w:rsidP="00807A73">
      <w:pPr>
        <w:ind w:left="567" w:right="379"/>
      </w:pPr>
      <w:r w:rsidRPr="00A62721">
        <w:rPr>
          <w:rFonts w:cstheme="minorHAnsi"/>
          <w:sz w:val="24"/>
          <w:szCs w:val="24"/>
        </w:rPr>
        <w:t>(Braun and Clark, 2006, p37)</w:t>
      </w:r>
    </w:p>
    <w:sectPr w:rsidR="00807A73" w:rsidSect="008A0569">
      <w:footerReference w:type="default" r:id="rId7"/>
      <w:pgSz w:w="11906" w:h="16838"/>
      <w:pgMar w:top="1440" w:right="1440" w:bottom="1440" w:left="1440" w:header="708" w:footer="708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55" w:rsidRDefault="00F83B55" w:rsidP="00807A73">
      <w:pPr>
        <w:spacing w:after="0" w:line="240" w:lineRule="auto"/>
      </w:pPr>
      <w:r>
        <w:separator/>
      </w:r>
    </w:p>
  </w:endnote>
  <w:endnote w:type="continuationSeparator" w:id="0">
    <w:p w:rsidR="00F83B55" w:rsidRDefault="00F83B55" w:rsidP="0080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96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BDA" w:rsidRDefault="00543B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B55">
          <w:rPr>
            <w:noProof/>
          </w:rPr>
          <w:t>247</w:t>
        </w:r>
        <w:r>
          <w:rPr>
            <w:noProof/>
          </w:rPr>
          <w:fldChar w:fldCharType="end"/>
        </w:r>
      </w:p>
    </w:sdtContent>
  </w:sdt>
  <w:p w:rsidR="00807A73" w:rsidRDefault="00543BDA" w:rsidP="00543BDA">
    <w:pPr>
      <w:pStyle w:val="Footer"/>
      <w:ind w:left="567"/>
    </w:pPr>
    <w:r>
      <w:t>Mary K Leighton – DEdPsy Thesis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55" w:rsidRDefault="00F83B55" w:rsidP="00807A73">
      <w:pPr>
        <w:spacing w:after="0" w:line="240" w:lineRule="auto"/>
      </w:pPr>
      <w:r>
        <w:separator/>
      </w:r>
    </w:p>
  </w:footnote>
  <w:footnote w:type="continuationSeparator" w:id="0">
    <w:p w:rsidR="00F83B55" w:rsidRDefault="00F83B55" w:rsidP="00807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3"/>
    <w:rsid w:val="003160E7"/>
    <w:rsid w:val="00543BDA"/>
    <w:rsid w:val="00807A73"/>
    <w:rsid w:val="008A0569"/>
    <w:rsid w:val="00AD522B"/>
    <w:rsid w:val="00C7364F"/>
    <w:rsid w:val="00D20BCF"/>
    <w:rsid w:val="00D23CCF"/>
    <w:rsid w:val="00D80783"/>
    <w:rsid w:val="00F13C33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73"/>
  </w:style>
  <w:style w:type="paragraph" w:styleId="Footer">
    <w:name w:val="footer"/>
    <w:basedOn w:val="Normal"/>
    <w:link w:val="FooterChar"/>
    <w:uiPriority w:val="99"/>
    <w:unhideWhenUsed/>
    <w:rsid w:val="0080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73"/>
  </w:style>
  <w:style w:type="paragraph" w:styleId="Footer">
    <w:name w:val="footer"/>
    <w:basedOn w:val="Normal"/>
    <w:link w:val="FooterChar"/>
    <w:uiPriority w:val="99"/>
    <w:unhideWhenUsed/>
    <w:rsid w:val="0080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6</cp:revision>
  <dcterms:created xsi:type="dcterms:W3CDTF">2015-06-26T10:46:00Z</dcterms:created>
  <dcterms:modified xsi:type="dcterms:W3CDTF">2016-03-31T10:14:00Z</dcterms:modified>
</cp:coreProperties>
</file>