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9E" w:rsidRPr="000A2073" w:rsidRDefault="00BA75E7" w:rsidP="00637596">
      <w:pPr>
        <w:pStyle w:val="Heading1"/>
        <w:spacing w:before="0" w:after="120" w:line="360" w:lineRule="auto"/>
        <w:jc w:val="center"/>
      </w:pPr>
      <w:r w:rsidRPr="000A2073">
        <w:t>Contents</w:t>
      </w:r>
    </w:p>
    <w:p w:rsidR="00BA75E7" w:rsidRDefault="00BA75E7" w:rsidP="00637596">
      <w:pPr>
        <w:spacing w:after="120" w:line="360" w:lineRule="auto"/>
      </w:pPr>
    </w:p>
    <w:p w:rsidR="00BA75E7" w:rsidRPr="00BA75E7" w:rsidRDefault="00BA75E7" w:rsidP="00637596">
      <w:pPr>
        <w:spacing w:after="120" w:line="360" w:lineRule="auto"/>
      </w:pPr>
    </w:p>
    <w:p w:rsidR="00BA75E7" w:rsidRPr="00E56B8E" w:rsidRDefault="00EA3A39" w:rsidP="00EA3A39">
      <w:pPr>
        <w:spacing w:after="120" w:line="360" w:lineRule="auto"/>
        <w:ind w:left="2160"/>
        <w:rPr>
          <w:rFonts w:asciiTheme="majorHAnsi" w:hAnsiTheme="majorHAnsi"/>
          <w:sz w:val="32"/>
          <w:szCs w:val="32"/>
        </w:rPr>
      </w:pPr>
      <w:r w:rsidRPr="00E56B8E">
        <w:rPr>
          <w:rFonts w:asciiTheme="majorHAnsi" w:hAnsiTheme="majorHAnsi"/>
          <w:sz w:val="32"/>
          <w:szCs w:val="32"/>
        </w:rPr>
        <w:t>Abstract</w:t>
      </w:r>
      <w:r w:rsidRPr="00E56B8E">
        <w:rPr>
          <w:rFonts w:asciiTheme="majorHAnsi" w:hAnsiTheme="majorHAnsi"/>
          <w:sz w:val="32"/>
          <w:szCs w:val="32"/>
        </w:rPr>
        <w:tab/>
      </w:r>
      <w:r w:rsidRPr="00E56B8E">
        <w:rPr>
          <w:rFonts w:asciiTheme="majorHAnsi" w:hAnsiTheme="majorHAnsi"/>
          <w:sz w:val="32"/>
          <w:szCs w:val="32"/>
        </w:rPr>
        <w:tab/>
      </w:r>
      <w:r w:rsidRPr="00E56B8E">
        <w:rPr>
          <w:rFonts w:asciiTheme="majorHAnsi" w:hAnsiTheme="majorHAnsi"/>
          <w:sz w:val="32"/>
          <w:szCs w:val="32"/>
        </w:rPr>
        <w:tab/>
      </w:r>
      <w:r w:rsidRPr="00E56B8E">
        <w:rPr>
          <w:rFonts w:asciiTheme="majorHAnsi" w:hAnsiTheme="majorHAnsi"/>
          <w:sz w:val="32"/>
          <w:szCs w:val="32"/>
        </w:rPr>
        <w:tab/>
      </w:r>
      <w:r w:rsidRPr="00E56B8E">
        <w:rPr>
          <w:rFonts w:asciiTheme="majorHAnsi" w:hAnsiTheme="majorHAnsi"/>
          <w:sz w:val="32"/>
          <w:szCs w:val="32"/>
        </w:rPr>
        <w:tab/>
      </w:r>
      <w:r w:rsidR="00BA75E7" w:rsidRPr="00E56B8E">
        <w:rPr>
          <w:rFonts w:asciiTheme="majorHAnsi" w:hAnsiTheme="majorHAnsi"/>
          <w:sz w:val="32"/>
          <w:szCs w:val="32"/>
        </w:rPr>
        <w:t>II</w:t>
      </w:r>
    </w:p>
    <w:p w:rsidR="00BA75E7" w:rsidRPr="00E56B8E" w:rsidRDefault="00BA75E7" w:rsidP="00EA3A39">
      <w:pPr>
        <w:spacing w:after="120" w:line="360" w:lineRule="auto"/>
        <w:ind w:left="1440" w:firstLine="720"/>
        <w:rPr>
          <w:rFonts w:asciiTheme="majorHAnsi" w:hAnsiTheme="majorHAnsi"/>
          <w:sz w:val="32"/>
          <w:szCs w:val="32"/>
        </w:rPr>
      </w:pPr>
      <w:r w:rsidRPr="00E56B8E">
        <w:rPr>
          <w:rFonts w:asciiTheme="majorHAnsi" w:hAnsiTheme="majorHAnsi"/>
          <w:sz w:val="32"/>
          <w:szCs w:val="32"/>
        </w:rPr>
        <w:t>Acknowledgements</w:t>
      </w:r>
      <w:r w:rsidR="00EA3A39" w:rsidRPr="00E56B8E">
        <w:rPr>
          <w:rFonts w:asciiTheme="majorHAnsi" w:hAnsiTheme="majorHAnsi"/>
          <w:sz w:val="32"/>
          <w:szCs w:val="32"/>
        </w:rPr>
        <w:tab/>
      </w:r>
      <w:r w:rsidR="00EA3A39" w:rsidRPr="00E56B8E">
        <w:rPr>
          <w:rFonts w:asciiTheme="majorHAnsi" w:hAnsiTheme="majorHAnsi"/>
          <w:sz w:val="32"/>
          <w:szCs w:val="32"/>
        </w:rPr>
        <w:tab/>
      </w:r>
      <w:r w:rsidRPr="00E56B8E">
        <w:rPr>
          <w:rFonts w:asciiTheme="majorHAnsi" w:hAnsiTheme="majorHAnsi"/>
          <w:sz w:val="32"/>
          <w:szCs w:val="32"/>
        </w:rPr>
        <w:tab/>
        <w:t>III</w:t>
      </w:r>
    </w:p>
    <w:p w:rsidR="00BA75E7" w:rsidRPr="00E56B8E" w:rsidRDefault="00BA75E7" w:rsidP="00EA3A39">
      <w:pPr>
        <w:spacing w:after="120" w:line="360" w:lineRule="auto"/>
        <w:ind w:left="1440" w:firstLine="720"/>
        <w:rPr>
          <w:rFonts w:asciiTheme="majorHAnsi" w:hAnsiTheme="majorHAnsi"/>
          <w:sz w:val="32"/>
          <w:szCs w:val="32"/>
        </w:rPr>
      </w:pPr>
      <w:r w:rsidRPr="00E56B8E">
        <w:rPr>
          <w:rFonts w:asciiTheme="majorHAnsi" w:hAnsiTheme="majorHAnsi"/>
          <w:sz w:val="32"/>
          <w:szCs w:val="32"/>
        </w:rPr>
        <w:t>Declaration</w:t>
      </w:r>
      <w:r w:rsidRPr="00E56B8E">
        <w:rPr>
          <w:rFonts w:asciiTheme="majorHAnsi" w:hAnsiTheme="majorHAnsi"/>
          <w:sz w:val="32"/>
          <w:szCs w:val="32"/>
        </w:rPr>
        <w:tab/>
      </w:r>
      <w:r w:rsidR="00EA3A39" w:rsidRPr="00E56B8E">
        <w:rPr>
          <w:rFonts w:asciiTheme="majorHAnsi" w:hAnsiTheme="majorHAnsi"/>
          <w:sz w:val="32"/>
          <w:szCs w:val="32"/>
        </w:rPr>
        <w:tab/>
      </w:r>
      <w:r w:rsidR="00EA3A39" w:rsidRPr="00E56B8E">
        <w:rPr>
          <w:rFonts w:asciiTheme="majorHAnsi" w:hAnsiTheme="majorHAnsi"/>
          <w:sz w:val="32"/>
          <w:szCs w:val="32"/>
        </w:rPr>
        <w:tab/>
      </w:r>
      <w:r w:rsidR="00EA3A39" w:rsidRPr="00E56B8E">
        <w:rPr>
          <w:rFonts w:asciiTheme="majorHAnsi" w:hAnsiTheme="majorHAnsi"/>
          <w:sz w:val="32"/>
          <w:szCs w:val="32"/>
        </w:rPr>
        <w:tab/>
      </w:r>
      <w:r w:rsidRPr="00E56B8E">
        <w:rPr>
          <w:rFonts w:asciiTheme="majorHAnsi" w:hAnsiTheme="majorHAnsi"/>
          <w:sz w:val="32"/>
          <w:szCs w:val="32"/>
        </w:rPr>
        <w:t>IV</w:t>
      </w:r>
    </w:p>
    <w:p w:rsidR="00BA75E7" w:rsidRPr="00E56B8E" w:rsidRDefault="00BA75E7" w:rsidP="00EA3A39">
      <w:pPr>
        <w:spacing w:after="120" w:line="360" w:lineRule="auto"/>
        <w:ind w:left="1440" w:firstLine="720"/>
        <w:rPr>
          <w:rFonts w:asciiTheme="majorHAnsi" w:hAnsiTheme="majorHAnsi"/>
          <w:sz w:val="32"/>
          <w:szCs w:val="32"/>
        </w:rPr>
      </w:pPr>
      <w:r w:rsidRPr="00E56B8E">
        <w:rPr>
          <w:rFonts w:asciiTheme="majorHAnsi" w:hAnsiTheme="majorHAnsi"/>
          <w:sz w:val="32"/>
          <w:szCs w:val="32"/>
        </w:rPr>
        <w:t>Abbreviations</w:t>
      </w:r>
      <w:r w:rsidRPr="00E56B8E">
        <w:rPr>
          <w:rFonts w:asciiTheme="majorHAnsi" w:hAnsiTheme="majorHAnsi"/>
          <w:sz w:val="32"/>
          <w:szCs w:val="32"/>
        </w:rPr>
        <w:tab/>
      </w:r>
      <w:r w:rsidR="00EA3A39" w:rsidRPr="00E56B8E">
        <w:rPr>
          <w:rFonts w:asciiTheme="majorHAnsi" w:hAnsiTheme="majorHAnsi"/>
          <w:sz w:val="32"/>
          <w:szCs w:val="32"/>
        </w:rPr>
        <w:tab/>
      </w:r>
      <w:r w:rsidRPr="00E56B8E">
        <w:rPr>
          <w:rFonts w:asciiTheme="majorHAnsi" w:hAnsiTheme="majorHAnsi"/>
          <w:sz w:val="32"/>
          <w:szCs w:val="32"/>
        </w:rPr>
        <w:tab/>
      </w:r>
      <w:r w:rsidRPr="00E56B8E">
        <w:rPr>
          <w:rFonts w:asciiTheme="majorHAnsi" w:hAnsiTheme="majorHAnsi"/>
          <w:sz w:val="32"/>
          <w:szCs w:val="32"/>
        </w:rPr>
        <w:tab/>
        <w:t>V</w:t>
      </w:r>
    </w:p>
    <w:p w:rsidR="00EA3A39" w:rsidRDefault="00EA3A39" w:rsidP="00637596">
      <w:pPr>
        <w:spacing w:after="120" w:line="360" w:lineRule="auto"/>
        <w:rPr>
          <w:rFonts w:asciiTheme="majorHAnsi" w:hAnsiTheme="majorHAnsi"/>
          <w:b/>
          <w:color w:val="17365D" w:themeColor="text2" w:themeShade="BF"/>
          <w:sz w:val="36"/>
          <w:szCs w:val="36"/>
        </w:rPr>
      </w:pPr>
    </w:p>
    <w:p w:rsidR="00BA75E7" w:rsidRPr="009014BA" w:rsidRDefault="00EA3A39" w:rsidP="00637596">
      <w:pPr>
        <w:spacing w:after="120" w:line="360" w:lineRule="auto"/>
        <w:rPr>
          <w:rFonts w:asciiTheme="majorHAnsi" w:hAnsiTheme="majorHAnsi"/>
          <w:b/>
          <w:color w:val="153357"/>
          <w:sz w:val="36"/>
          <w:szCs w:val="36"/>
        </w:rPr>
      </w:pPr>
      <w:r w:rsidRPr="009014BA">
        <w:rPr>
          <w:rFonts w:asciiTheme="majorHAnsi" w:hAnsiTheme="majorHAnsi"/>
          <w:b/>
          <w:color w:val="153357"/>
          <w:sz w:val="36"/>
          <w:szCs w:val="36"/>
        </w:rPr>
        <w:t xml:space="preserve">Chapter 1 – Introduction ……………………………………   </w:t>
      </w:r>
      <w:r w:rsidR="00BA75E7" w:rsidRPr="009014BA">
        <w:rPr>
          <w:rFonts w:asciiTheme="majorHAnsi" w:hAnsiTheme="majorHAnsi"/>
          <w:b/>
          <w:color w:val="153357"/>
          <w:sz w:val="36"/>
          <w:szCs w:val="36"/>
        </w:rPr>
        <w:t>1</w:t>
      </w:r>
    </w:p>
    <w:p w:rsidR="00BA75E7" w:rsidRPr="009014BA" w:rsidRDefault="00BA75E7" w:rsidP="00637596">
      <w:pPr>
        <w:spacing w:after="120" w:line="360" w:lineRule="auto"/>
        <w:rPr>
          <w:rFonts w:asciiTheme="majorHAnsi" w:hAnsiTheme="majorHAnsi"/>
          <w:b/>
          <w:color w:val="153357"/>
          <w:sz w:val="36"/>
          <w:szCs w:val="36"/>
        </w:rPr>
      </w:pPr>
      <w:r w:rsidRPr="009014BA">
        <w:rPr>
          <w:rFonts w:asciiTheme="majorHAnsi" w:hAnsiTheme="majorHAnsi"/>
          <w:b/>
          <w:color w:val="153357"/>
          <w:sz w:val="36"/>
          <w:szCs w:val="36"/>
        </w:rPr>
        <w:t xml:space="preserve">Chapter 2 – Synthesis and </w:t>
      </w:r>
      <w:r w:rsidR="000A2073" w:rsidRPr="009014BA">
        <w:rPr>
          <w:rFonts w:asciiTheme="majorHAnsi" w:hAnsiTheme="majorHAnsi"/>
          <w:b/>
          <w:color w:val="153357"/>
          <w:sz w:val="36"/>
          <w:szCs w:val="36"/>
        </w:rPr>
        <w:t xml:space="preserve">DNA </w:t>
      </w:r>
      <w:r w:rsidR="00EA3A39" w:rsidRPr="009014BA">
        <w:rPr>
          <w:rFonts w:asciiTheme="majorHAnsi" w:hAnsiTheme="majorHAnsi"/>
          <w:b/>
          <w:color w:val="153357"/>
          <w:sz w:val="36"/>
          <w:szCs w:val="36"/>
        </w:rPr>
        <w:t>Binding</w:t>
      </w:r>
      <w:r w:rsidR="00EA3A39" w:rsidRPr="009014BA">
        <w:rPr>
          <w:rFonts w:asciiTheme="majorHAnsi" w:hAnsiTheme="majorHAnsi"/>
          <w:b/>
          <w:color w:val="153357"/>
          <w:sz w:val="36"/>
          <w:szCs w:val="36"/>
        </w:rPr>
        <w:tab/>
        <w:t xml:space="preserve">……………..   </w:t>
      </w:r>
      <w:r w:rsidR="00430AD6" w:rsidRPr="009014BA">
        <w:rPr>
          <w:rFonts w:asciiTheme="majorHAnsi" w:hAnsiTheme="majorHAnsi"/>
          <w:b/>
          <w:color w:val="153357"/>
          <w:sz w:val="36"/>
          <w:szCs w:val="36"/>
        </w:rPr>
        <w:t>5</w:t>
      </w:r>
      <w:r w:rsidR="00EA3A39" w:rsidRPr="009014BA">
        <w:rPr>
          <w:rFonts w:asciiTheme="majorHAnsi" w:hAnsiTheme="majorHAnsi"/>
          <w:b/>
          <w:color w:val="153357"/>
          <w:sz w:val="36"/>
          <w:szCs w:val="36"/>
        </w:rPr>
        <w:t>8</w:t>
      </w:r>
    </w:p>
    <w:p w:rsidR="00BA75E7" w:rsidRPr="009014BA" w:rsidRDefault="00BA75E7" w:rsidP="00637596">
      <w:pPr>
        <w:spacing w:after="120" w:line="360" w:lineRule="auto"/>
        <w:rPr>
          <w:rFonts w:asciiTheme="majorHAnsi" w:hAnsiTheme="majorHAnsi"/>
          <w:b/>
          <w:color w:val="153357"/>
          <w:sz w:val="36"/>
          <w:szCs w:val="36"/>
        </w:rPr>
      </w:pPr>
      <w:r w:rsidRPr="009014BA">
        <w:rPr>
          <w:rFonts w:asciiTheme="majorHAnsi" w:hAnsiTheme="majorHAnsi"/>
          <w:b/>
          <w:color w:val="153357"/>
          <w:sz w:val="36"/>
          <w:szCs w:val="36"/>
        </w:rPr>
        <w:t>Chapter 3 – Cytotoxicity</w:t>
      </w:r>
      <w:r w:rsidR="00EA3A39" w:rsidRPr="009014BA">
        <w:rPr>
          <w:rFonts w:asciiTheme="majorHAnsi" w:hAnsiTheme="majorHAnsi"/>
          <w:b/>
          <w:color w:val="153357"/>
          <w:sz w:val="36"/>
          <w:szCs w:val="36"/>
        </w:rPr>
        <w:t xml:space="preserve"> ……………………………………..   </w:t>
      </w:r>
      <w:r w:rsidR="007309CC" w:rsidRPr="009014BA">
        <w:rPr>
          <w:rFonts w:asciiTheme="majorHAnsi" w:hAnsiTheme="majorHAnsi"/>
          <w:b/>
          <w:color w:val="153357"/>
          <w:sz w:val="36"/>
          <w:szCs w:val="36"/>
        </w:rPr>
        <w:t>7</w:t>
      </w:r>
      <w:r w:rsidR="00EB3F69">
        <w:rPr>
          <w:rFonts w:asciiTheme="majorHAnsi" w:hAnsiTheme="majorHAnsi"/>
          <w:b/>
          <w:color w:val="153357"/>
          <w:sz w:val="36"/>
          <w:szCs w:val="36"/>
        </w:rPr>
        <w:t>2</w:t>
      </w:r>
    </w:p>
    <w:p w:rsidR="00BA75E7" w:rsidRPr="009014BA" w:rsidRDefault="00BA75E7" w:rsidP="00637596">
      <w:pPr>
        <w:spacing w:after="120" w:line="360" w:lineRule="auto"/>
        <w:rPr>
          <w:rFonts w:asciiTheme="majorHAnsi" w:hAnsiTheme="majorHAnsi"/>
          <w:b/>
          <w:color w:val="153357"/>
          <w:sz w:val="36"/>
          <w:szCs w:val="36"/>
        </w:rPr>
      </w:pPr>
      <w:r w:rsidRPr="009014BA">
        <w:rPr>
          <w:rFonts w:asciiTheme="majorHAnsi" w:hAnsiTheme="majorHAnsi"/>
          <w:b/>
          <w:color w:val="153357"/>
          <w:sz w:val="36"/>
          <w:szCs w:val="36"/>
        </w:rPr>
        <w:t xml:space="preserve">Chapter 4 – </w:t>
      </w:r>
      <w:r w:rsidR="000A2073" w:rsidRPr="009014BA">
        <w:rPr>
          <w:rFonts w:asciiTheme="majorHAnsi" w:hAnsiTheme="majorHAnsi"/>
          <w:b/>
          <w:color w:val="153357"/>
          <w:sz w:val="36"/>
          <w:szCs w:val="36"/>
        </w:rPr>
        <w:t>Phototoxicty</w:t>
      </w:r>
      <w:r w:rsidR="00EA3A39" w:rsidRPr="009014BA">
        <w:rPr>
          <w:rFonts w:asciiTheme="majorHAnsi" w:hAnsiTheme="majorHAnsi"/>
          <w:b/>
          <w:color w:val="153357"/>
          <w:sz w:val="36"/>
          <w:szCs w:val="36"/>
        </w:rPr>
        <w:t xml:space="preserve"> ……………………………………</w:t>
      </w:r>
      <w:r w:rsidR="007309CC" w:rsidRPr="009014BA">
        <w:rPr>
          <w:rFonts w:asciiTheme="majorHAnsi" w:hAnsiTheme="majorHAnsi"/>
          <w:b/>
          <w:color w:val="153357"/>
          <w:sz w:val="36"/>
          <w:szCs w:val="36"/>
        </w:rPr>
        <w:t xml:space="preserve">   </w:t>
      </w:r>
      <w:r w:rsidR="00EB6CF5" w:rsidRPr="009014BA">
        <w:rPr>
          <w:rFonts w:asciiTheme="majorHAnsi" w:hAnsiTheme="majorHAnsi"/>
          <w:b/>
          <w:color w:val="153357"/>
          <w:sz w:val="36"/>
          <w:szCs w:val="36"/>
        </w:rPr>
        <w:t>10</w:t>
      </w:r>
      <w:r w:rsidR="00212AEF">
        <w:rPr>
          <w:rFonts w:asciiTheme="majorHAnsi" w:hAnsiTheme="majorHAnsi"/>
          <w:b/>
          <w:color w:val="153357"/>
          <w:sz w:val="36"/>
          <w:szCs w:val="36"/>
        </w:rPr>
        <w:t>8</w:t>
      </w:r>
    </w:p>
    <w:p w:rsidR="00BA75E7" w:rsidRPr="009014BA" w:rsidRDefault="000A2073" w:rsidP="00637596">
      <w:pPr>
        <w:spacing w:after="120" w:line="360" w:lineRule="auto"/>
        <w:rPr>
          <w:rFonts w:asciiTheme="majorHAnsi" w:hAnsiTheme="majorHAnsi"/>
          <w:b/>
          <w:color w:val="153357"/>
          <w:sz w:val="36"/>
          <w:szCs w:val="36"/>
        </w:rPr>
      </w:pPr>
      <w:r w:rsidRPr="009014BA">
        <w:rPr>
          <w:rFonts w:asciiTheme="majorHAnsi" w:hAnsiTheme="majorHAnsi"/>
          <w:b/>
          <w:color w:val="153357"/>
          <w:sz w:val="36"/>
          <w:szCs w:val="36"/>
        </w:rPr>
        <w:t>Chapter 5</w:t>
      </w:r>
      <w:r w:rsidR="00BA75E7" w:rsidRPr="009014BA">
        <w:rPr>
          <w:rFonts w:asciiTheme="majorHAnsi" w:hAnsiTheme="majorHAnsi"/>
          <w:b/>
          <w:color w:val="153357"/>
          <w:sz w:val="36"/>
          <w:szCs w:val="36"/>
        </w:rPr>
        <w:t xml:space="preserve"> – Conclusions</w:t>
      </w:r>
      <w:r w:rsidRPr="009014BA">
        <w:rPr>
          <w:rFonts w:asciiTheme="majorHAnsi" w:hAnsiTheme="majorHAnsi"/>
          <w:b/>
          <w:color w:val="153357"/>
          <w:sz w:val="36"/>
          <w:szCs w:val="36"/>
        </w:rPr>
        <w:t xml:space="preserve"> and Future Work</w:t>
      </w:r>
      <w:r w:rsidR="00EA3A39" w:rsidRPr="009014BA">
        <w:rPr>
          <w:rFonts w:asciiTheme="majorHAnsi" w:hAnsiTheme="majorHAnsi"/>
          <w:b/>
          <w:color w:val="153357"/>
          <w:sz w:val="36"/>
          <w:szCs w:val="36"/>
        </w:rPr>
        <w:t xml:space="preserve"> …………</w:t>
      </w:r>
      <w:r w:rsidR="007309CC" w:rsidRPr="009014BA">
        <w:rPr>
          <w:rFonts w:asciiTheme="majorHAnsi" w:hAnsiTheme="majorHAnsi"/>
          <w:b/>
          <w:color w:val="153357"/>
          <w:sz w:val="36"/>
          <w:szCs w:val="36"/>
        </w:rPr>
        <w:t xml:space="preserve">   </w:t>
      </w:r>
      <w:r w:rsidR="00EB6CF5" w:rsidRPr="009014BA">
        <w:rPr>
          <w:rFonts w:asciiTheme="majorHAnsi" w:hAnsiTheme="majorHAnsi"/>
          <w:b/>
          <w:color w:val="153357"/>
          <w:sz w:val="36"/>
          <w:szCs w:val="36"/>
        </w:rPr>
        <w:t>1</w:t>
      </w:r>
      <w:r w:rsidR="002F2567">
        <w:rPr>
          <w:rFonts w:asciiTheme="majorHAnsi" w:hAnsiTheme="majorHAnsi"/>
          <w:b/>
          <w:color w:val="153357"/>
          <w:sz w:val="36"/>
          <w:szCs w:val="36"/>
        </w:rPr>
        <w:t>30</w:t>
      </w:r>
    </w:p>
    <w:p w:rsidR="00BA75E7" w:rsidRPr="009014BA" w:rsidRDefault="000A2073" w:rsidP="00637596">
      <w:pPr>
        <w:spacing w:after="120" w:line="360" w:lineRule="auto"/>
        <w:rPr>
          <w:rFonts w:asciiTheme="majorHAnsi" w:hAnsiTheme="majorHAnsi"/>
          <w:b/>
          <w:color w:val="153357"/>
          <w:sz w:val="36"/>
          <w:szCs w:val="36"/>
        </w:rPr>
      </w:pPr>
      <w:r w:rsidRPr="009014BA">
        <w:rPr>
          <w:rFonts w:asciiTheme="majorHAnsi" w:hAnsiTheme="majorHAnsi"/>
          <w:b/>
          <w:color w:val="153357"/>
          <w:sz w:val="36"/>
          <w:szCs w:val="36"/>
        </w:rPr>
        <w:t>Chapter 6</w:t>
      </w:r>
      <w:r w:rsidR="00BA75E7" w:rsidRPr="009014BA">
        <w:rPr>
          <w:rFonts w:asciiTheme="majorHAnsi" w:hAnsiTheme="majorHAnsi"/>
          <w:b/>
          <w:color w:val="153357"/>
          <w:sz w:val="36"/>
          <w:szCs w:val="36"/>
        </w:rPr>
        <w:t xml:space="preserve"> – Experimental</w:t>
      </w:r>
      <w:r w:rsidR="00BA75E7" w:rsidRPr="009014BA">
        <w:rPr>
          <w:rFonts w:asciiTheme="majorHAnsi" w:hAnsiTheme="majorHAnsi"/>
          <w:b/>
          <w:color w:val="153357"/>
          <w:sz w:val="36"/>
          <w:szCs w:val="36"/>
        </w:rPr>
        <w:tab/>
      </w:r>
      <w:r w:rsidR="00EA3A39" w:rsidRPr="009014BA">
        <w:rPr>
          <w:rFonts w:asciiTheme="majorHAnsi" w:hAnsiTheme="majorHAnsi"/>
          <w:b/>
          <w:color w:val="153357"/>
          <w:sz w:val="36"/>
          <w:szCs w:val="36"/>
        </w:rPr>
        <w:t>………………………………….</w:t>
      </w:r>
      <w:r w:rsidR="007309CC" w:rsidRPr="009014BA">
        <w:rPr>
          <w:rFonts w:asciiTheme="majorHAnsi" w:hAnsiTheme="majorHAnsi"/>
          <w:b/>
          <w:color w:val="153357"/>
          <w:sz w:val="36"/>
          <w:szCs w:val="36"/>
        </w:rPr>
        <w:t xml:space="preserve">   </w:t>
      </w:r>
      <w:r w:rsidR="0029198D">
        <w:rPr>
          <w:rFonts w:asciiTheme="majorHAnsi" w:hAnsiTheme="majorHAnsi"/>
          <w:b/>
          <w:color w:val="153357"/>
          <w:sz w:val="36"/>
          <w:szCs w:val="36"/>
        </w:rPr>
        <w:t>136</w:t>
      </w:r>
    </w:p>
    <w:p w:rsidR="00BA75E7" w:rsidRPr="009014BA" w:rsidRDefault="00EA3A39" w:rsidP="00637596">
      <w:pPr>
        <w:spacing w:after="120" w:line="360" w:lineRule="auto"/>
        <w:rPr>
          <w:rFonts w:asciiTheme="majorHAnsi" w:hAnsiTheme="majorHAnsi"/>
          <w:color w:val="153357"/>
          <w:sz w:val="36"/>
          <w:szCs w:val="36"/>
        </w:rPr>
      </w:pPr>
      <w:r w:rsidRPr="009014BA">
        <w:rPr>
          <w:rFonts w:asciiTheme="majorHAnsi" w:hAnsiTheme="majorHAnsi"/>
          <w:b/>
          <w:color w:val="153357"/>
          <w:sz w:val="36"/>
          <w:szCs w:val="36"/>
        </w:rPr>
        <w:t>Chapter 7 – Appendices ……………………………………..   1</w:t>
      </w:r>
      <w:r w:rsidR="0029198D">
        <w:rPr>
          <w:rFonts w:asciiTheme="majorHAnsi" w:hAnsiTheme="majorHAnsi"/>
          <w:b/>
          <w:color w:val="153357"/>
          <w:sz w:val="36"/>
          <w:szCs w:val="36"/>
        </w:rPr>
        <w:t>72</w:t>
      </w:r>
      <w:bookmarkStart w:id="0" w:name="_GoBack"/>
      <w:bookmarkEnd w:id="0"/>
    </w:p>
    <w:p w:rsidR="00BA75E7" w:rsidRDefault="00BA75E7" w:rsidP="00637596">
      <w:pPr>
        <w:spacing w:after="120" w:line="360" w:lineRule="auto"/>
      </w:pPr>
      <w:r>
        <w:br w:type="page"/>
      </w:r>
    </w:p>
    <w:p w:rsidR="00BA75E7" w:rsidRDefault="00BA75E7" w:rsidP="00637596">
      <w:pPr>
        <w:pStyle w:val="Heading1"/>
        <w:spacing w:before="0" w:after="120" w:line="360" w:lineRule="auto"/>
        <w:jc w:val="center"/>
      </w:pPr>
      <w:r w:rsidRPr="00BA75E7">
        <w:lastRenderedPageBreak/>
        <w:t>Abstract</w:t>
      </w:r>
    </w:p>
    <w:p w:rsidR="00C73227" w:rsidRDefault="00C73227" w:rsidP="00637596">
      <w:pPr>
        <w:spacing w:after="120" w:line="360" w:lineRule="auto"/>
      </w:pPr>
    </w:p>
    <w:p w:rsidR="009506B9" w:rsidRPr="00420E7B" w:rsidRDefault="009506B9" w:rsidP="009506B9">
      <w:pPr>
        <w:spacing w:after="120" w:line="360" w:lineRule="auto"/>
        <w:rPr>
          <w:i/>
        </w:rPr>
      </w:pPr>
      <w:r w:rsidRPr="00420E7B">
        <w:rPr>
          <w:i/>
        </w:rPr>
        <w:t xml:space="preserve">This thesis details chemistry and cell biology </w:t>
      </w:r>
      <w:r>
        <w:rPr>
          <w:i/>
        </w:rPr>
        <w:t xml:space="preserve">based </w:t>
      </w:r>
      <w:r w:rsidRPr="00420E7B">
        <w:rPr>
          <w:i/>
        </w:rPr>
        <w:t>interdisciplinary stud</w:t>
      </w:r>
      <w:r>
        <w:rPr>
          <w:i/>
        </w:rPr>
        <w:t>ies</w:t>
      </w:r>
      <w:r w:rsidRPr="00420E7B">
        <w:rPr>
          <w:i/>
        </w:rPr>
        <w:t xml:space="preserve"> </w:t>
      </w:r>
      <w:r>
        <w:rPr>
          <w:i/>
        </w:rPr>
        <w:t>on</w:t>
      </w:r>
      <w:r w:rsidRPr="00420E7B">
        <w:rPr>
          <w:i/>
        </w:rPr>
        <w:t xml:space="preserve"> a series of ruthenium based biomolecular probes </w:t>
      </w:r>
      <w:r>
        <w:rPr>
          <w:i/>
        </w:rPr>
        <w:t xml:space="preserve">that </w:t>
      </w:r>
      <w:r w:rsidRPr="00420E7B">
        <w:rPr>
          <w:i/>
        </w:rPr>
        <w:t>were synthesised and investigated for their anti-cancer properties.</w:t>
      </w:r>
    </w:p>
    <w:p w:rsidR="009506B9" w:rsidRPr="00420E7B" w:rsidRDefault="009506B9" w:rsidP="009506B9">
      <w:pPr>
        <w:spacing w:after="120" w:line="360" w:lineRule="auto"/>
        <w:rPr>
          <w:i/>
        </w:rPr>
      </w:pPr>
      <w:r>
        <w:rPr>
          <w:i/>
        </w:rPr>
        <w:t>The</w:t>
      </w:r>
      <w:r w:rsidRPr="00420E7B">
        <w:rPr>
          <w:i/>
        </w:rPr>
        <w:t xml:space="preserve"> previously reported mononuclear ruthenium-based [(phen)</w:t>
      </w:r>
      <w:r w:rsidRPr="00420E7B">
        <w:rPr>
          <w:i/>
          <w:vertAlign w:val="subscript"/>
        </w:rPr>
        <w:t>2</w:t>
      </w:r>
      <w:r w:rsidRPr="00420E7B">
        <w:rPr>
          <w:i/>
        </w:rPr>
        <w:t>Ru(tpphz)]</w:t>
      </w:r>
      <w:r w:rsidRPr="00420E7B">
        <w:rPr>
          <w:i/>
          <w:vertAlign w:val="superscript"/>
        </w:rPr>
        <w:t xml:space="preserve">2+ </w:t>
      </w:r>
      <w:r w:rsidRPr="00420E7B">
        <w:rPr>
          <w:i/>
        </w:rPr>
        <w:t xml:space="preserve">and three related </w:t>
      </w:r>
      <w:r>
        <w:rPr>
          <w:i/>
        </w:rPr>
        <w:t xml:space="preserve">new </w:t>
      </w:r>
      <w:r w:rsidRPr="00420E7B">
        <w:rPr>
          <w:i/>
        </w:rPr>
        <w:t>complexes were synthesised as a series to explore DNA binding. Binding to genomic DNA in vitro was confirmed for all complexes utilising their luminescence properties – specifically the DNA light switch effect via aqueous luminescence titrations.</w:t>
      </w:r>
    </w:p>
    <w:p w:rsidR="009506B9" w:rsidRPr="00420E7B" w:rsidRDefault="009506B9" w:rsidP="009506B9">
      <w:pPr>
        <w:spacing w:after="120" w:line="360" w:lineRule="auto"/>
        <w:rPr>
          <w:i/>
        </w:rPr>
      </w:pPr>
      <w:r w:rsidRPr="00420E7B">
        <w:rPr>
          <w:i/>
        </w:rPr>
        <w:t>Cellular activity in the model of cisplatin sensitive/resistant A2780/A2780cis human ovarian carcinoma was then studied, with IC</w:t>
      </w:r>
      <w:r w:rsidRPr="00420E7B">
        <w:rPr>
          <w:i/>
          <w:vertAlign w:val="subscript"/>
        </w:rPr>
        <w:t>50</w:t>
      </w:r>
      <w:r w:rsidRPr="00420E7B">
        <w:rPr>
          <w:i/>
        </w:rPr>
        <w:t xml:space="preserve"> concentrations determined for each complex in each cell line and adequately repeated. This revealed a clear series of toxicit</w:t>
      </w:r>
      <w:r>
        <w:rPr>
          <w:i/>
        </w:rPr>
        <w:t>ies</w:t>
      </w:r>
      <w:r w:rsidRPr="00420E7B">
        <w:rPr>
          <w:i/>
        </w:rPr>
        <w:t xml:space="preserve"> </w:t>
      </w:r>
      <w:r>
        <w:rPr>
          <w:i/>
        </w:rPr>
        <w:t>comparable to</w:t>
      </w:r>
      <w:r w:rsidRPr="00420E7B">
        <w:rPr>
          <w:i/>
        </w:rPr>
        <w:t xml:space="preserve"> the level of cisplatin</w:t>
      </w:r>
      <w:r>
        <w:rPr>
          <w:i/>
        </w:rPr>
        <w:t xml:space="preserve">, furthermore </w:t>
      </w:r>
      <w:r w:rsidRPr="00420E7B">
        <w:rPr>
          <w:i/>
        </w:rPr>
        <w:t>a variety of positive and negative cross resistance profiles</w:t>
      </w:r>
      <w:r>
        <w:rPr>
          <w:i/>
        </w:rPr>
        <w:t xml:space="preserve"> were observed</w:t>
      </w:r>
      <w:r w:rsidRPr="00420E7B">
        <w:rPr>
          <w:i/>
        </w:rPr>
        <w:t xml:space="preserve">. Time lapse microscopy data was then obtained </w:t>
      </w:r>
      <w:r>
        <w:rPr>
          <w:i/>
        </w:rPr>
        <w:t>for</w:t>
      </w:r>
      <w:r w:rsidRPr="00420E7B">
        <w:rPr>
          <w:i/>
        </w:rPr>
        <w:t xml:space="preserve"> each complex and cell line permutation to visualize the mode of cell death, and a proteomic study was conducted with the aim of gathering more mechanistic detail behind the cell death pathway.</w:t>
      </w:r>
    </w:p>
    <w:p w:rsidR="009506B9" w:rsidRPr="00420E7B" w:rsidRDefault="009506B9" w:rsidP="009506B9">
      <w:pPr>
        <w:spacing w:after="120" w:line="360" w:lineRule="auto"/>
        <w:rPr>
          <w:i/>
        </w:rPr>
      </w:pPr>
      <w:r>
        <w:rPr>
          <w:i/>
        </w:rPr>
        <w:t>After optimisation</w:t>
      </w:r>
      <w:r w:rsidRPr="00420E7B">
        <w:rPr>
          <w:i/>
        </w:rPr>
        <w:t xml:space="preserve"> </w:t>
      </w:r>
      <w:r>
        <w:rPr>
          <w:i/>
        </w:rPr>
        <w:t xml:space="preserve">of a consistent workable protocol, </w:t>
      </w:r>
      <w:proofErr w:type="spellStart"/>
      <w:r>
        <w:rPr>
          <w:i/>
        </w:rPr>
        <w:t>p</w:t>
      </w:r>
      <w:r w:rsidRPr="00420E7B">
        <w:rPr>
          <w:i/>
        </w:rPr>
        <w:t>hotocytotoxicty</w:t>
      </w:r>
      <w:proofErr w:type="spellEnd"/>
      <w:r w:rsidRPr="00420E7B">
        <w:rPr>
          <w:i/>
        </w:rPr>
        <w:t xml:space="preserve"> was also investigated</w:t>
      </w:r>
      <w:r>
        <w:rPr>
          <w:i/>
        </w:rPr>
        <w:t xml:space="preserve">. Although this work was </w:t>
      </w:r>
      <w:r w:rsidRPr="00420E7B">
        <w:rPr>
          <w:i/>
        </w:rPr>
        <w:t>primarily with the ruthenium-rhenium and ruthenium-platinum binuclear complexes</w:t>
      </w:r>
      <w:r>
        <w:rPr>
          <w:i/>
        </w:rPr>
        <w:t xml:space="preserve"> of the original series, further systems </w:t>
      </w:r>
      <w:r w:rsidRPr="00420E7B">
        <w:rPr>
          <w:i/>
        </w:rPr>
        <w:t>incorporating ruthenium-rhenium molecules</w:t>
      </w:r>
      <w:r>
        <w:rPr>
          <w:i/>
        </w:rPr>
        <w:t xml:space="preserve"> were also investigated</w:t>
      </w:r>
      <w:r w:rsidRPr="00420E7B">
        <w:rPr>
          <w:i/>
        </w:rPr>
        <w:t xml:space="preserve">. </w:t>
      </w:r>
      <w:r>
        <w:rPr>
          <w:i/>
        </w:rPr>
        <w:t>I</w:t>
      </w:r>
      <w:r w:rsidRPr="00420E7B">
        <w:rPr>
          <w:i/>
        </w:rPr>
        <w:t>nteresting</w:t>
      </w:r>
      <w:r>
        <w:rPr>
          <w:i/>
        </w:rPr>
        <w:t xml:space="preserve">ly, these studies </w:t>
      </w:r>
      <w:r w:rsidRPr="00420E7B">
        <w:rPr>
          <w:i/>
        </w:rPr>
        <w:t>revealed</w:t>
      </w:r>
      <w:r>
        <w:rPr>
          <w:i/>
        </w:rPr>
        <w:t xml:space="preserve"> </w:t>
      </w:r>
      <w:r w:rsidRPr="00420E7B">
        <w:rPr>
          <w:i/>
        </w:rPr>
        <w:t xml:space="preserve">contrasting phototoxic activity and a particularly impressive phototoxic index score </w:t>
      </w:r>
      <w:r>
        <w:rPr>
          <w:i/>
        </w:rPr>
        <w:t>for a Ru</w:t>
      </w:r>
      <w:r w:rsidRPr="00EC7B43">
        <w:rPr>
          <w:i/>
          <w:vertAlign w:val="subscript"/>
        </w:rPr>
        <w:t>2</w:t>
      </w:r>
      <w:r>
        <w:rPr>
          <w:i/>
        </w:rPr>
        <w:t>Re</w:t>
      </w:r>
      <w:r w:rsidRPr="00EC7B43">
        <w:rPr>
          <w:i/>
          <w:vertAlign w:val="subscript"/>
        </w:rPr>
        <w:t>2</w:t>
      </w:r>
      <w:r>
        <w:rPr>
          <w:i/>
        </w:rPr>
        <w:t xml:space="preserve"> </w:t>
      </w:r>
      <w:r w:rsidRPr="00420E7B">
        <w:rPr>
          <w:i/>
        </w:rPr>
        <w:t>macrocycli</w:t>
      </w:r>
      <w:r>
        <w:rPr>
          <w:i/>
        </w:rPr>
        <w:t>c cation.</w:t>
      </w:r>
    </w:p>
    <w:p w:rsidR="00BA75E7" w:rsidRDefault="00BA75E7" w:rsidP="00637596">
      <w:pPr>
        <w:spacing w:after="120" w:line="360" w:lineRule="auto"/>
        <w:rPr>
          <w:szCs w:val="24"/>
        </w:rPr>
      </w:pPr>
      <w:r>
        <w:rPr>
          <w:szCs w:val="24"/>
        </w:rPr>
        <w:br w:type="page"/>
      </w:r>
    </w:p>
    <w:p w:rsidR="00BA75E7" w:rsidRDefault="00BA75E7" w:rsidP="00637596">
      <w:pPr>
        <w:pStyle w:val="Heading1"/>
        <w:spacing w:before="0" w:after="120" w:line="360" w:lineRule="auto"/>
        <w:jc w:val="center"/>
      </w:pPr>
      <w:r w:rsidRPr="00BA75E7">
        <w:lastRenderedPageBreak/>
        <w:t>Acknowledgements</w:t>
      </w:r>
    </w:p>
    <w:p w:rsidR="00C73227" w:rsidRDefault="00C73227" w:rsidP="00637596">
      <w:pPr>
        <w:spacing w:after="120" w:line="360" w:lineRule="auto"/>
      </w:pPr>
    </w:p>
    <w:p w:rsidR="00BA75E7" w:rsidRDefault="0012491D" w:rsidP="0012491D">
      <w:pPr>
        <w:spacing w:after="120" w:line="360" w:lineRule="auto"/>
      </w:pPr>
      <w:r>
        <w:t xml:space="preserve">I would like to thank first and foremost </w:t>
      </w:r>
      <w:r w:rsidR="00B13792">
        <w:t xml:space="preserve">my parents for </w:t>
      </w:r>
      <w:r>
        <w:t>the</w:t>
      </w:r>
      <w:r w:rsidR="00FA369E">
        <w:t>ir</w:t>
      </w:r>
      <w:r>
        <w:t xml:space="preserve"> support through</w:t>
      </w:r>
      <w:r w:rsidR="00FA369E">
        <w:t>out every stage of my education –</w:t>
      </w:r>
      <w:r>
        <w:t xml:space="preserve"> </w:t>
      </w:r>
      <w:r w:rsidR="00B13792">
        <w:t>without you none of my</w:t>
      </w:r>
      <w:r>
        <w:t xml:space="preserve"> achievements would be possible. I am also indebted to Lauren </w:t>
      </w:r>
      <w:r w:rsidR="00B13792">
        <w:t xml:space="preserve">and </w:t>
      </w:r>
      <w:r>
        <w:t xml:space="preserve">would like to </w:t>
      </w:r>
      <w:r w:rsidR="00B13792">
        <w:t xml:space="preserve">applaud </w:t>
      </w:r>
      <w:r>
        <w:t xml:space="preserve">the hard work she has also done </w:t>
      </w:r>
      <w:r w:rsidR="00B13792">
        <w:t xml:space="preserve">for her own </w:t>
      </w:r>
      <w:r w:rsidR="00FA369E">
        <w:t>accomplishments</w:t>
      </w:r>
      <w:r>
        <w:t xml:space="preserve"> and </w:t>
      </w:r>
      <w:r w:rsidR="00B13792">
        <w:t>express great gratitude for always making</w:t>
      </w:r>
      <w:r>
        <w:t xml:space="preserve"> life outside of work a joy.</w:t>
      </w:r>
    </w:p>
    <w:p w:rsidR="0012491D" w:rsidRDefault="0012491D" w:rsidP="0012491D">
      <w:pPr>
        <w:spacing w:after="120" w:line="360" w:lineRule="auto"/>
      </w:pPr>
      <w:r>
        <w:t xml:space="preserve">Many friends have been </w:t>
      </w:r>
      <w:r w:rsidR="009506B9">
        <w:t>crucial</w:t>
      </w:r>
      <w:r>
        <w:t xml:space="preserve"> over the years, but in this latest chapter special mention should go to Hiwa who has sat beside me from the day I started in the Thomas group and has listened to me more than anyone else, in and out of the la</w:t>
      </w:r>
      <w:r w:rsidR="00B13792">
        <w:t xml:space="preserve">b, with </w:t>
      </w:r>
      <w:r>
        <w:t xml:space="preserve">Jack and Claire also </w:t>
      </w:r>
      <w:r w:rsidR="00B13792">
        <w:t>providing</w:t>
      </w:r>
      <w:r>
        <w:t xml:space="preserve"> great friendship and dedication to falafel on a Friday.</w:t>
      </w:r>
    </w:p>
    <w:p w:rsidR="0012491D" w:rsidRPr="00BA75E7" w:rsidRDefault="0012491D" w:rsidP="0012491D">
      <w:pPr>
        <w:spacing w:after="120" w:line="360" w:lineRule="auto"/>
      </w:pPr>
      <w:r>
        <w:t>Friends both</w:t>
      </w:r>
      <w:r w:rsidR="009506B9">
        <w:t xml:space="preserve"> </w:t>
      </w:r>
      <w:r>
        <w:t xml:space="preserve">in Sheffield and much further afield </w:t>
      </w:r>
      <w:r w:rsidR="00B13792">
        <w:t>have been</w:t>
      </w:r>
      <w:r w:rsidR="009506B9">
        <w:t xml:space="preserve"> greatly</w:t>
      </w:r>
      <w:r w:rsidR="00B13792">
        <w:t xml:space="preserve"> appreciated – notably Ben and James for living with me and creating an abundance of memories. Wednesday football has been a vital part of the weekly routine and thanks must go to Joe, Matt, Nathan, Scott, </w:t>
      </w:r>
      <w:proofErr w:type="spellStart"/>
      <w:r w:rsidR="00B13792">
        <w:t>Methers</w:t>
      </w:r>
      <w:proofErr w:type="spellEnd"/>
      <w:r w:rsidR="00B13792">
        <w:t xml:space="preserve"> and all the rest. Belper has remained a homely place and, in addition to family such as Lisa, Andy and Ben (and the new feline arrival of Molly a crucial PhD milestone) this is largely in part to Rob, Callum, Ash, Josh Jones and Potter for many enjoyable reunions. Influences from America have remained present too, w</w:t>
      </w:r>
      <w:r w:rsidR="009506B9">
        <w:t>ith a memorable holiday and</w:t>
      </w:r>
      <w:r w:rsidR="00B13792">
        <w:t xml:space="preserve"> recently it has been touching to see Ray</w:t>
      </w:r>
      <w:r w:rsidR="009506B9">
        <w:t xml:space="preserve"> beginning</w:t>
      </w:r>
      <w:r w:rsidR="00B13792">
        <w:t xml:space="preserve"> his own family.</w:t>
      </w:r>
    </w:p>
    <w:p w:rsidR="0012491D" w:rsidRDefault="009506B9" w:rsidP="0012491D">
      <w:pPr>
        <w:spacing w:after="120" w:line="360" w:lineRule="auto"/>
        <w:rPr>
          <w:szCs w:val="24"/>
        </w:rPr>
      </w:pPr>
      <w:r>
        <w:rPr>
          <w:szCs w:val="24"/>
        </w:rPr>
        <w:t xml:space="preserve">I am very grateful to </w:t>
      </w:r>
      <w:r w:rsidR="00B13792">
        <w:rPr>
          <w:szCs w:val="24"/>
        </w:rPr>
        <w:t xml:space="preserve">Jim Thomas </w:t>
      </w:r>
      <w:r>
        <w:rPr>
          <w:szCs w:val="24"/>
        </w:rPr>
        <w:t xml:space="preserve">who </w:t>
      </w:r>
      <w:r w:rsidR="00B13792">
        <w:rPr>
          <w:szCs w:val="24"/>
        </w:rPr>
        <w:t xml:space="preserve">has always had </w:t>
      </w:r>
      <w:r>
        <w:rPr>
          <w:szCs w:val="24"/>
        </w:rPr>
        <w:t xml:space="preserve">resolute </w:t>
      </w:r>
      <w:r w:rsidR="00B13792">
        <w:rPr>
          <w:szCs w:val="24"/>
        </w:rPr>
        <w:t>belief and given</w:t>
      </w:r>
      <w:r>
        <w:rPr>
          <w:szCs w:val="24"/>
        </w:rPr>
        <w:t xml:space="preserve"> me much confidence, and </w:t>
      </w:r>
      <w:r w:rsidR="00B13792">
        <w:rPr>
          <w:szCs w:val="24"/>
        </w:rPr>
        <w:t xml:space="preserve">group members past and present </w:t>
      </w:r>
      <w:r>
        <w:rPr>
          <w:szCs w:val="24"/>
        </w:rPr>
        <w:t xml:space="preserve">for a </w:t>
      </w:r>
      <w:r w:rsidR="00B13792">
        <w:rPr>
          <w:szCs w:val="24"/>
        </w:rPr>
        <w:t xml:space="preserve">great research </w:t>
      </w:r>
      <w:r>
        <w:rPr>
          <w:szCs w:val="24"/>
        </w:rPr>
        <w:t>environment. Considerable time</w:t>
      </w:r>
      <w:r w:rsidR="00B13792">
        <w:rPr>
          <w:szCs w:val="24"/>
        </w:rPr>
        <w:t xml:space="preserve"> has been spent in </w:t>
      </w:r>
      <w:r>
        <w:rPr>
          <w:szCs w:val="24"/>
        </w:rPr>
        <w:t>the</w:t>
      </w:r>
      <w:r w:rsidR="00B13792">
        <w:rPr>
          <w:szCs w:val="24"/>
        </w:rPr>
        <w:t xml:space="preserve"> </w:t>
      </w:r>
      <w:r w:rsidR="0012491D">
        <w:rPr>
          <w:szCs w:val="24"/>
        </w:rPr>
        <w:t>B</w:t>
      </w:r>
      <w:r w:rsidR="00B13792">
        <w:rPr>
          <w:szCs w:val="24"/>
        </w:rPr>
        <w:t>i</w:t>
      </w:r>
      <w:r w:rsidR="00430AD6">
        <w:rPr>
          <w:szCs w:val="24"/>
        </w:rPr>
        <w:t>omedical Science</w:t>
      </w:r>
      <w:r>
        <w:rPr>
          <w:szCs w:val="24"/>
        </w:rPr>
        <w:t xml:space="preserve"> department</w:t>
      </w:r>
      <w:r w:rsidR="00430AD6">
        <w:rPr>
          <w:szCs w:val="24"/>
        </w:rPr>
        <w:t xml:space="preserve">, and I hope </w:t>
      </w:r>
      <w:r w:rsidR="00B13792">
        <w:rPr>
          <w:szCs w:val="24"/>
        </w:rPr>
        <w:t>my next perio</w:t>
      </w:r>
      <w:r w:rsidR="00430AD6">
        <w:rPr>
          <w:szCs w:val="24"/>
        </w:rPr>
        <w:t xml:space="preserve">d of research </w:t>
      </w:r>
      <w:r w:rsidR="00B13792">
        <w:rPr>
          <w:szCs w:val="24"/>
        </w:rPr>
        <w:t>can go some way to repaying the opportunity</w:t>
      </w:r>
      <w:r>
        <w:rPr>
          <w:szCs w:val="24"/>
        </w:rPr>
        <w:t xml:space="preserve"> </w:t>
      </w:r>
      <w:r w:rsidR="00B13792">
        <w:rPr>
          <w:szCs w:val="24"/>
        </w:rPr>
        <w:t xml:space="preserve">and welcome shown </w:t>
      </w:r>
      <w:r>
        <w:rPr>
          <w:szCs w:val="24"/>
        </w:rPr>
        <w:t xml:space="preserve">by </w:t>
      </w:r>
      <w:proofErr w:type="spellStart"/>
      <w:r>
        <w:rPr>
          <w:szCs w:val="24"/>
        </w:rPr>
        <w:t>Prof.</w:t>
      </w:r>
      <w:proofErr w:type="spellEnd"/>
      <w:r>
        <w:rPr>
          <w:szCs w:val="24"/>
        </w:rPr>
        <w:t xml:space="preserve"> Carl </w:t>
      </w:r>
      <w:proofErr w:type="spellStart"/>
      <w:r>
        <w:rPr>
          <w:szCs w:val="24"/>
        </w:rPr>
        <w:t>Smythe</w:t>
      </w:r>
      <w:proofErr w:type="spellEnd"/>
      <w:r>
        <w:rPr>
          <w:szCs w:val="24"/>
        </w:rPr>
        <w:t xml:space="preserve"> and</w:t>
      </w:r>
      <w:r w:rsidR="00B13792">
        <w:rPr>
          <w:szCs w:val="24"/>
        </w:rPr>
        <w:t xml:space="preserve"> members of his research group. Aside from Jim, </w:t>
      </w:r>
      <w:r w:rsidR="00430AD6">
        <w:rPr>
          <w:szCs w:val="24"/>
        </w:rPr>
        <w:t xml:space="preserve">there </w:t>
      </w:r>
      <w:r w:rsidR="00B13792">
        <w:rPr>
          <w:szCs w:val="24"/>
        </w:rPr>
        <w:t xml:space="preserve">has been </w:t>
      </w:r>
      <w:r w:rsidR="00430AD6">
        <w:rPr>
          <w:szCs w:val="24"/>
        </w:rPr>
        <w:t>no</w:t>
      </w:r>
      <w:r w:rsidR="00B13792">
        <w:rPr>
          <w:szCs w:val="24"/>
        </w:rPr>
        <w:t xml:space="preserve"> greater scientific mentor than Dr. Martin Gill, through his early </w:t>
      </w:r>
      <w:r>
        <w:rPr>
          <w:szCs w:val="24"/>
        </w:rPr>
        <w:t>guidance in tissue culture and</w:t>
      </w:r>
      <w:r w:rsidR="00B13792">
        <w:rPr>
          <w:szCs w:val="24"/>
        </w:rPr>
        <w:t xml:space="preserve"> counsel since, and recently Dr. Da</w:t>
      </w:r>
      <w:r>
        <w:rPr>
          <w:szCs w:val="24"/>
        </w:rPr>
        <w:t xml:space="preserve">vid </w:t>
      </w:r>
      <w:proofErr w:type="spellStart"/>
      <w:r>
        <w:rPr>
          <w:szCs w:val="24"/>
        </w:rPr>
        <w:t>Turton</w:t>
      </w:r>
      <w:proofErr w:type="spellEnd"/>
      <w:r>
        <w:rPr>
          <w:szCs w:val="24"/>
        </w:rPr>
        <w:t xml:space="preserve"> has been a respected,</w:t>
      </w:r>
      <w:r w:rsidR="00B13792">
        <w:rPr>
          <w:szCs w:val="24"/>
        </w:rPr>
        <w:t xml:space="preserve"> helpful colleague.</w:t>
      </w:r>
    </w:p>
    <w:p w:rsidR="00BA75E7" w:rsidRDefault="00B13792" w:rsidP="0012491D">
      <w:pPr>
        <w:spacing w:after="120" w:line="360" w:lineRule="auto"/>
        <w:rPr>
          <w:szCs w:val="24"/>
        </w:rPr>
      </w:pPr>
      <w:r>
        <w:rPr>
          <w:szCs w:val="24"/>
        </w:rPr>
        <w:t xml:space="preserve">Last, but not least, since returning from a fascinating and eye-opening expedition gathering biodiversity data in </w:t>
      </w:r>
      <w:r w:rsidR="0012491D">
        <w:rPr>
          <w:szCs w:val="24"/>
        </w:rPr>
        <w:t>Guyana</w:t>
      </w:r>
      <w:r w:rsidR="00FA369E">
        <w:rPr>
          <w:szCs w:val="24"/>
        </w:rPr>
        <w:t>,</w:t>
      </w:r>
      <w:r>
        <w:rPr>
          <w:szCs w:val="24"/>
        </w:rPr>
        <w:t xml:space="preserve"> my continued pursuit of bird ringing has been a great retreat and passion, and for all those very </w:t>
      </w:r>
      <w:r w:rsidR="009506B9">
        <w:rPr>
          <w:szCs w:val="24"/>
        </w:rPr>
        <w:t xml:space="preserve">early Saturday mornings when </w:t>
      </w:r>
      <w:r>
        <w:rPr>
          <w:szCs w:val="24"/>
        </w:rPr>
        <w:t>worries were put aside I would like to thank Steve, Phil and Bryn.</w:t>
      </w:r>
    </w:p>
    <w:p w:rsidR="00BA75E7" w:rsidRDefault="00BA75E7" w:rsidP="00637596">
      <w:pPr>
        <w:pStyle w:val="Heading1"/>
        <w:spacing w:before="0" w:after="120" w:line="360" w:lineRule="auto"/>
        <w:jc w:val="center"/>
      </w:pPr>
      <w:r w:rsidRPr="00BA75E7">
        <w:lastRenderedPageBreak/>
        <w:t>Declaration</w:t>
      </w:r>
    </w:p>
    <w:p w:rsidR="00C73227" w:rsidRDefault="00C73227" w:rsidP="00637596">
      <w:pPr>
        <w:spacing w:after="120" w:line="360" w:lineRule="auto"/>
      </w:pPr>
    </w:p>
    <w:p w:rsidR="00BA75E7" w:rsidRDefault="00BA75E7" w:rsidP="00637596">
      <w:pPr>
        <w:spacing w:after="120" w:line="360" w:lineRule="auto"/>
        <w:jc w:val="center"/>
      </w:pPr>
      <w:r>
        <w:t>A</w:t>
      </w:r>
      <w:r w:rsidR="00637596">
        <w:t>ll work contained herein is an original work of the author, unless specifically referenced otherwise. Some results have already been submitted to peer-reviewed journals and will be published subject to acceptance.</w:t>
      </w:r>
    </w:p>
    <w:p w:rsidR="00637596" w:rsidRDefault="00637596" w:rsidP="00637596">
      <w:pPr>
        <w:spacing w:after="120" w:line="360" w:lineRule="auto"/>
        <w:jc w:val="center"/>
      </w:pPr>
    </w:p>
    <w:p w:rsidR="00637596" w:rsidRDefault="00637596" w:rsidP="00637596">
      <w:pPr>
        <w:spacing w:after="120" w:line="360" w:lineRule="auto"/>
        <w:jc w:val="center"/>
      </w:pPr>
      <w:r>
        <w:t xml:space="preserve">Paul James </w:t>
      </w:r>
      <w:proofErr w:type="spellStart"/>
      <w:r>
        <w:t>Jarman</w:t>
      </w:r>
      <w:proofErr w:type="spellEnd"/>
    </w:p>
    <w:p w:rsidR="00BA75E7" w:rsidRPr="00637596" w:rsidRDefault="00637596" w:rsidP="00637596">
      <w:pPr>
        <w:spacing w:after="120" w:line="360" w:lineRule="auto"/>
        <w:jc w:val="center"/>
      </w:pPr>
      <w:r>
        <w:t>November 2015</w:t>
      </w:r>
      <w:r w:rsidR="00BA75E7">
        <w:rPr>
          <w:szCs w:val="24"/>
        </w:rPr>
        <w:br w:type="page"/>
      </w:r>
    </w:p>
    <w:p w:rsidR="00BA75E7" w:rsidRDefault="00BA75E7" w:rsidP="00637596">
      <w:pPr>
        <w:pStyle w:val="Heading1"/>
        <w:spacing w:before="0" w:after="120" w:line="360" w:lineRule="auto"/>
        <w:jc w:val="center"/>
      </w:pPr>
      <w:r w:rsidRPr="00BA75E7">
        <w:lastRenderedPageBreak/>
        <w:t>Abbreviations</w:t>
      </w:r>
    </w:p>
    <w:p w:rsidR="00420E7B" w:rsidRPr="00420E7B" w:rsidRDefault="00420E7B" w:rsidP="00420E7B">
      <w:pPr>
        <w:spacing w:after="0"/>
        <w:jc w:val="center"/>
        <w:rPr>
          <w:sz w:val="12"/>
          <w:szCs w:val="12"/>
        </w:rPr>
      </w:pP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proofErr w:type="gramStart"/>
      <w:r w:rsidRPr="00420E7B">
        <w:rPr>
          <w:sz w:val="22"/>
        </w:rPr>
        <w:t>bipy</w:t>
      </w:r>
      <w:proofErr w:type="gramEnd"/>
      <w:r w:rsidRPr="00420E7B">
        <w:rPr>
          <w:sz w:val="22"/>
        </w:rPr>
        <w:t xml:space="preserve"> - bipyridine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BSA - bovine serum albumin</w:t>
      </w:r>
    </w:p>
    <w:p w:rsidR="00420E7B" w:rsidRPr="00420E7B" w:rsidRDefault="000B37C2" w:rsidP="00420E7B">
      <w:pPr>
        <w:spacing w:after="120" w:line="240" w:lineRule="auto"/>
        <w:jc w:val="center"/>
        <w:rPr>
          <w:sz w:val="22"/>
        </w:rPr>
      </w:pPr>
      <w:proofErr w:type="gramStart"/>
      <w:r w:rsidRPr="00420E7B">
        <w:rPr>
          <w:sz w:val="22"/>
        </w:rPr>
        <w:t>cisplatin</w:t>
      </w:r>
      <w:proofErr w:type="gramEnd"/>
      <w:r w:rsidRPr="00420E7B">
        <w:rPr>
          <w:sz w:val="22"/>
        </w:rPr>
        <w:t xml:space="preserve"> -</w:t>
      </w:r>
      <w:r w:rsidR="00420E7B" w:rsidRPr="00420E7B">
        <w:rPr>
          <w:sz w:val="22"/>
        </w:rPr>
        <w:t xml:space="preserve"> diamminedichloroplatinum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DNA - deoxyribonucleic acid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DPQ - 1,10-phenanthroline-5,</w:t>
      </w:r>
      <w:proofErr w:type="gramStart"/>
      <w:r w:rsidRPr="00420E7B">
        <w:rPr>
          <w:sz w:val="22"/>
        </w:rPr>
        <w:t>6-dione</w:t>
      </w:r>
      <w:proofErr w:type="gramEnd"/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FBS - fetal bovine serum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HCl - hydrochloric acid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IC</w:t>
      </w:r>
      <w:r w:rsidRPr="00420E7B">
        <w:rPr>
          <w:sz w:val="22"/>
          <w:vertAlign w:val="subscript"/>
        </w:rPr>
        <w:t>50</w:t>
      </w:r>
      <w:r w:rsidRPr="00420E7B">
        <w:rPr>
          <w:sz w:val="22"/>
        </w:rPr>
        <w:t xml:space="preserve"> - half maximal inhibitory concentration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ICP-MS - Inductively coupled plasma mass spectrometry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K</w:t>
      </w:r>
      <w:r w:rsidRPr="00420E7B">
        <w:rPr>
          <w:sz w:val="22"/>
          <w:vertAlign w:val="subscript"/>
        </w:rPr>
        <w:t>2</w:t>
      </w:r>
      <w:r w:rsidRPr="00420E7B">
        <w:rPr>
          <w:sz w:val="22"/>
        </w:rPr>
        <w:t>[PtCl</w:t>
      </w:r>
      <w:r w:rsidRPr="00420E7B">
        <w:rPr>
          <w:sz w:val="22"/>
          <w:vertAlign w:val="subscript"/>
        </w:rPr>
        <w:t>4</w:t>
      </w:r>
      <w:r w:rsidRPr="00420E7B">
        <w:rPr>
          <w:sz w:val="22"/>
        </w:rPr>
        <w:t>] - potassium tetrachloroplatinate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LISA - light irradiation source apparatus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MLCT - metal-to-ligand-charge-transfer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MQ H</w:t>
      </w:r>
      <w:r w:rsidRPr="00420E7B">
        <w:rPr>
          <w:sz w:val="22"/>
          <w:vertAlign w:val="subscript"/>
        </w:rPr>
        <w:t>2</w:t>
      </w:r>
      <w:r>
        <w:rPr>
          <w:sz w:val="22"/>
        </w:rPr>
        <w:t xml:space="preserve">O </w:t>
      </w:r>
      <w:r w:rsidRPr="00420E7B">
        <w:rPr>
          <w:sz w:val="22"/>
        </w:rPr>
        <w:t xml:space="preserve">- </w:t>
      </w:r>
      <w:proofErr w:type="spellStart"/>
      <w:r w:rsidRPr="00420E7B">
        <w:rPr>
          <w:sz w:val="22"/>
        </w:rPr>
        <w:t>milli</w:t>
      </w:r>
      <w:proofErr w:type="spellEnd"/>
      <w:r w:rsidRPr="00420E7B">
        <w:rPr>
          <w:sz w:val="22"/>
        </w:rPr>
        <w:t>-Q ultrapure water filtration/deionization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MS - mass spectrometry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MTT - 3-(4,5-dimethylthiazol-2-yl)-2,5-diphenyltetrazolium bromide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N</w:t>
      </w:r>
      <w:r w:rsidRPr="00420E7B">
        <w:rPr>
          <w:sz w:val="22"/>
          <w:vertAlign w:val="subscript"/>
        </w:rPr>
        <w:t>2</w:t>
      </w:r>
      <w:r w:rsidRPr="00420E7B">
        <w:rPr>
          <w:sz w:val="22"/>
        </w:rPr>
        <w:t xml:space="preserve"> - nitrogen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NH</w:t>
      </w:r>
      <w:r w:rsidRPr="00420E7B">
        <w:rPr>
          <w:sz w:val="22"/>
          <w:vertAlign w:val="subscript"/>
        </w:rPr>
        <w:t>4</w:t>
      </w:r>
      <w:r w:rsidRPr="00420E7B">
        <w:rPr>
          <w:sz w:val="22"/>
        </w:rPr>
        <w:t>PF</w:t>
      </w:r>
      <w:r w:rsidRPr="00420E7B">
        <w:rPr>
          <w:sz w:val="22"/>
          <w:vertAlign w:val="subscript"/>
        </w:rPr>
        <w:t>6</w:t>
      </w:r>
      <w:r w:rsidRPr="00420E7B">
        <w:rPr>
          <w:sz w:val="22"/>
        </w:rPr>
        <w:t xml:space="preserve"> - ammonium hexafluorophosphate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NMR - nuclear magnetic resonance spectroscopy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PBS - phosphate buffered saline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Pd/C - palladium on carbon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proofErr w:type="gramStart"/>
      <w:r w:rsidRPr="00420E7B">
        <w:rPr>
          <w:sz w:val="22"/>
        </w:rPr>
        <w:t>phen</w:t>
      </w:r>
      <w:proofErr w:type="gramEnd"/>
      <w:r w:rsidRPr="00420E7B">
        <w:rPr>
          <w:sz w:val="22"/>
        </w:rPr>
        <w:t xml:space="preserve"> - phenanthroline</w:t>
      </w:r>
    </w:p>
    <w:p w:rsidR="00420E7B" w:rsidRPr="00420E7B" w:rsidRDefault="000B37C2" w:rsidP="00420E7B">
      <w:pPr>
        <w:spacing w:after="120" w:line="240" w:lineRule="auto"/>
        <w:jc w:val="center"/>
        <w:rPr>
          <w:sz w:val="22"/>
        </w:rPr>
      </w:pPr>
      <w:proofErr w:type="gramStart"/>
      <w:r>
        <w:rPr>
          <w:sz w:val="22"/>
        </w:rPr>
        <w:t>phen-diamine</w:t>
      </w:r>
      <w:proofErr w:type="gramEnd"/>
      <w:r>
        <w:rPr>
          <w:sz w:val="22"/>
        </w:rPr>
        <w:t xml:space="preserve"> - 1,10-p</w:t>
      </w:r>
      <w:r w:rsidRPr="00420E7B">
        <w:rPr>
          <w:sz w:val="22"/>
        </w:rPr>
        <w:t>h</w:t>
      </w:r>
      <w:r>
        <w:rPr>
          <w:sz w:val="22"/>
        </w:rPr>
        <w:t>en</w:t>
      </w:r>
      <w:r w:rsidRPr="00420E7B">
        <w:rPr>
          <w:sz w:val="22"/>
        </w:rPr>
        <w:t>anthroline-5,6-diamine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proofErr w:type="gramStart"/>
      <w:r w:rsidRPr="00420E7B">
        <w:rPr>
          <w:sz w:val="22"/>
        </w:rPr>
        <w:t>phen-dioxime</w:t>
      </w:r>
      <w:proofErr w:type="gramEnd"/>
      <w:r w:rsidRPr="00420E7B">
        <w:rPr>
          <w:sz w:val="22"/>
        </w:rPr>
        <w:t xml:space="preserve"> - 1,10-phenanthroline-5,6-dioxime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PI - phototoxic index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Re(CO)</w:t>
      </w:r>
      <w:r w:rsidRPr="00420E7B">
        <w:rPr>
          <w:sz w:val="22"/>
          <w:vertAlign w:val="subscript"/>
        </w:rPr>
        <w:t>5</w:t>
      </w:r>
      <w:r w:rsidRPr="00420E7B">
        <w:rPr>
          <w:sz w:val="22"/>
        </w:rPr>
        <w:t xml:space="preserve">Cl - </w:t>
      </w:r>
      <w:proofErr w:type="spellStart"/>
      <w:r w:rsidRPr="00420E7B">
        <w:rPr>
          <w:sz w:val="22"/>
        </w:rPr>
        <w:t>pentacarbonyl</w:t>
      </w:r>
      <w:proofErr w:type="spellEnd"/>
      <w:r w:rsidRPr="00420E7B">
        <w:rPr>
          <w:sz w:val="22"/>
        </w:rPr>
        <w:t xml:space="preserve"> rhenium chloride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RNA - ribonucleic acid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>RPMI medium - Roswell park memorial institute medium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r w:rsidRPr="00420E7B">
        <w:rPr>
          <w:sz w:val="22"/>
        </w:rPr>
        <w:t xml:space="preserve">SDS-PAGE - sodium dodecyl </w:t>
      </w:r>
      <w:proofErr w:type="spellStart"/>
      <w:r w:rsidRPr="00420E7B">
        <w:rPr>
          <w:sz w:val="22"/>
        </w:rPr>
        <w:t>sulfate</w:t>
      </w:r>
      <w:proofErr w:type="spellEnd"/>
      <w:r w:rsidRPr="00420E7B">
        <w:rPr>
          <w:sz w:val="22"/>
        </w:rPr>
        <w:t xml:space="preserve"> polyacrylamide gel electrophoresis</w:t>
      </w:r>
    </w:p>
    <w:p w:rsidR="00420E7B" w:rsidRPr="00420E7B" w:rsidRDefault="00715FBE" w:rsidP="00420E7B">
      <w:pPr>
        <w:spacing w:after="120" w:line="240" w:lineRule="auto"/>
        <w:jc w:val="center"/>
        <w:rPr>
          <w:sz w:val="22"/>
        </w:rPr>
      </w:pPr>
      <w:r>
        <w:rPr>
          <w:sz w:val="22"/>
        </w:rPr>
        <w:t>SILAC - s</w:t>
      </w:r>
      <w:r w:rsidR="00420E7B" w:rsidRPr="00420E7B">
        <w:rPr>
          <w:sz w:val="22"/>
        </w:rPr>
        <w:t xml:space="preserve">table </w:t>
      </w:r>
      <w:r>
        <w:rPr>
          <w:sz w:val="22"/>
        </w:rPr>
        <w:t>i</w:t>
      </w:r>
      <w:r w:rsidRPr="00420E7B">
        <w:rPr>
          <w:sz w:val="22"/>
        </w:rPr>
        <w:t>sotope</w:t>
      </w:r>
      <w:r w:rsidR="00420E7B" w:rsidRPr="00420E7B">
        <w:rPr>
          <w:sz w:val="22"/>
        </w:rPr>
        <w:t xml:space="preserve"> </w:t>
      </w:r>
      <w:r>
        <w:rPr>
          <w:sz w:val="22"/>
        </w:rPr>
        <w:t>l</w:t>
      </w:r>
      <w:r w:rsidR="00420E7B" w:rsidRPr="00420E7B">
        <w:rPr>
          <w:sz w:val="22"/>
        </w:rPr>
        <w:t xml:space="preserve">abelling by </w:t>
      </w:r>
      <w:r>
        <w:rPr>
          <w:sz w:val="22"/>
        </w:rPr>
        <w:t>a</w:t>
      </w:r>
      <w:r w:rsidR="00420E7B" w:rsidRPr="00420E7B">
        <w:rPr>
          <w:sz w:val="22"/>
        </w:rPr>
        <w:t xml:space="preserve">mino </w:t>
      </w:r>
      <w:r>
        <w:rPr>
          <w:sz w:val="22"/>
        </w:rPr>
        <w:t>a</w:t>
      </w:r>
      <w:r w:rsidR="00420E7B" w:rsidRPr="00420E7B">
        <w:rPr>
          <w:sz w:val="22"/>
        </w:rPr>
        <w:t xml:space="preserve">cids in </w:t>
      </w:r>
      <w:r>
        <w:rPr>
          <w:sz w:val="22"/>
        </w:rPr>
        <w:t>c</w:t>
      </w:r>
      <w:r w:rsidR="00420E7B" w:rsidRPr="00420E7B">
        <w:rPr>
          <w:sz w:val="22"/>
        </w:rPr>
        <w:t xml:space="preserve">ell </w:t>
      </w:r>
      <w:r>
        <w:rPr>
          <w:sz w:val="22"/>
        </w:rPr>
        <w:t>c</w:t>
      </w:r>
      <w:r w:rsidR="00420E7B" w:rsidRPr="00420E7B">
        <w:rPr>
          <w:sz w:val="22"/>
        </w:rPr>
        <w:t>ulture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proofErr w:type="gramStart"/>
      <w:r w:rsidRPr="00420E7B">
        <w:rPr>
          <w:sz w:val="22"/>
        </w:rPr>
        <w:t>taptp</w:t>
      </w:r>
      <w:proofErr w:type="gramEnd"/>
      <w:r w:rsidRPr="00420E7B">
        <w:rPr>
          <w:sz w:val="22"/>
        </w:rPr>
        <w:t xml:space="preserve"> - 4,5,9,18-tetraazaphenanthreno[9,10-b] triphenylene</w:t>
      </w:r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proofErr w:type="gramStart"/>
      <w:r w:rsidRPr="00420E7B">
        <w:rPr>
          <w:sz w:val="22"/>
        </w:rPr>
        <w:t>tpphz</w:t>
      </w:r>
      <w:proofErr w:type="gramEnd"/>
      <w:r w:rsidRPr="00420E7B">
        <w:rPr>
          <w:sz w:val="22"/>
        </w:rPr>
        <w:t xml:space="preserve"> - </w:t>
      </w:r>
      <w:proofErr w:type="spellStart"/>
      <w:r w:rsidRPr="00420E7B">
        <w:rPr>
          <w:sz w:val="22"/>
        </w:rPr>
        <w:t>tetrapyridophenazine</w:t>
      </w:r>
      <w:proofErr w:type="spellEnd"/>
    </w:p>
    <w:p w:rsidR="00420E7B" w:rsidRPr="00420E7B" w:rsidRDefault="00420E7B" w:rsidP="00420E7B">
      <w:pPr>
        <w:spacing w:after="120" w:line="240" w:lineRule="auto"/>
        <w:jc w:val="center"/>
        <w:rPr>
          <w:sz w:val="22"/>
        </w:rPr>
      </w:pPr>
      <w:proofErr w:type="spellStart"/>
      <w:proofErr w:type="gramStart"/>
      <w:r w:rsidRPr="00420E7B">
        <w:rPr>
          <w:sz w:val="22"/>
        </w:rPr>
        <w:t>λ</w:t>
      </w:r>
      <w:r w:rsidRPr="00420E7B">
        <w:rPr>
          <w:sz w:val="22"/>
          <w:vertAlign w:val="subscript"/>
        </w:rPr>
        <w:t>max</w:t>
      </w:r>
      <w:proofErr w:type="spellEnd"/>
      <w:proofErr w:type="gramEnd"/>
      <w:r w:rsidRPr="00420E7B">
        <w:rPr>
          <w:sz w:val="22"/>
        </w:rPr>
        <w:t xml:space="preserve"> - maximum emission wavelength</w:t>
      </w:r>
    </w:p>
    <w:p w:rsidR="00BA75E7" w:rsidRPr="00420E7B" w:rsidRDefault="00420E7B" w:rsidP="00420E7B">
      <w:pPr>
        <w:spacing w:after="120" w:line="240" w:lineRule="auto"/>
        <w:jc w:val="center"/>
        <w:rPr>
          <w:sz w:val="22"/>
        </w:rPr>
      </w:pPr>
      <w:proofErr w:type="gramStart"/>
      <w:r w:rsidRPr="00420E7B">
        <w:rPr>
          <w:sz w:val="22"/>
        </w:rPr>
        <w:t>φ(</w:t>
      </w:r>
      <w:proofErr w:type="gramEnd"/>
      <w:r w:rsidRPr="00420E7B">
        <w:rPr>
          <w:sz w:val="22"/>
          <w:vertAlign w:val="superscript"/>
        </w:rPr>
        <w:t>1</w:t>
      </w:r>
      <w:r w:rsidRPr="00420E7B">
        <w:rPr>
          <w:sz w:val="22"/>
        </w:rPr>
        <w:t>O</w:t>
      </w:r>
      <w:r w:rsidRPr="00420E7B">
        <w:rPr>
          <w:sz w:val="22"/>
          <w:vertAlign w:val="subscript"/>
        </w:rPr>
        <w:t>2</w:t>
      </w:r>
      <w:r w:rsidRPr="00420E7B">
        <w:rPr>
          <w:sz w:val="22"/>
        </w:rPr>
        <w:t>) - singlet oxygen quantum yield</w:t>
      </w:r>
    </w:p>
    <w:sectPr w:rsidR="00BA75E7" w:rsidRPr="00420E7B" w:rsidSect="00BA75E7">
      <w:footerReference w:type="default" r:id="rId9"/>
      <w:pgSz w:w="11906" w:h="16838"/>
      <w:pgMar w:top="1440" w:right="1440" w:bottom="1440" w:left="1440" w:header="708" w:footer="708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77" w:rsidRDefault="00335077" w:rsidP="00BA75E7">
      <w:pPr>
        <w:spacing w:after="0" w:line="240" w:lineRule="auto"/>
      </w:pPr>
      <w:r>
        <w:separator/>
      </w:r>
    </w:p>
  </w:endnote>
  <w:endnote w:type="continuationSeparator" w:id="0">
    <w:p w:rsidR="00335077" w:rsidRDefault="00335077" w:rsidP="00BA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32954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Cs w:val="24"/>
      </w:rPr>
    </w:sdtEndPr>
    <w:sdtContent>
      <w:p w:rsidR="00BA75E7" w:rsidRPr="00BA75E7" w:rsidRDefault="00BA75E7" w:rsidP="00C73227">
        <w:pPr>
          <w:pStyle w:val="Footer"/>
          <w:jc w:val="center"/>
          <w:rPr>
            <w:rFonts w:asciiTheme="majorHAnsi" w:hAnsiTheme="majorHAnsi"/>
            <w:szCs w:val="24"/>
          </w:rPr>
        </w:pPr>
        <w:r w:rsidRPr="00BA75E7">
          <w:rPr>
            <w:rFonts w:asciiTheme="majorHAnsi" w:hAnsiTheme="majorHAnsi"/>
            <w:szCs w:val="24"/>
          </w:rPr>
          <w:fldChar w:fldCharType="begin"/>
        </w:r>
        <w:r w:rsidRPr="00C73227">
          <w:rPr>
            <w:rFonts w:asciiTheme="majorHAnsi" w:hAnsiTheme="majorHAnsi"/>
            <w:szCs w:val="24"/>
          </w:rPr>
          <w:instrText xml:space="preserve"> PAGE   \* MERGEFORMAT </w:instrText>
        </w:r>
        <w:r w:rsidRPr="00BA75E7">
          <w:rPr>
            <w:rFonts w:asciiTheme="majorHAnsi" w:hAnsiTheme="majorHAnsi"/>
            <w:szCs w:val="24"/>
          </w:rPr>
          <w:fldChar w:fldCharType="separate"/>
        </w:r>
        <w:r w:rsidR="00212AEF">
          <w:rPr>
            <w:rFonts w:asciiTheme="majorHAnsi" w:hAnsiTheme="majorHAnsi"/>
            <w:noProof/>
            <w:szCs w:val="24"/>
          </w:rPr>
          <w:t>II</w:t>
        </w:r>
        <w:r w:rsidRPr="00BA75E7">
          <w:rPr>
            <w:rFonts w:asciiTheme="majorHAnsi" w:hAnsiTheme="majorHAnsi"/>
            <w:noProof/>
            <w:szCs w:val="24"/>
          </w:rPr>
          <w:fldChar w:fldCharType="end"/>
        </w:r>
      </w:p>
    </w:sdtContent>
  </w:sdt>
  <w:p w:rsidR="00BA75E7" w:rsidRPr="00BA75E7" w:rsidRDefault="00BA75E7">
    <w:pPr>
      <w:pStyle w:val="Footer"/>
      <w:rPr>
        <w:rFonts w:asciiTheme="majorHAnsi" w:hAnsiTheme="majorHAnsi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77" w:rsidRDefault="00335077" w:rsidP="00BA75E7">
      <w:pPr>
        <w:spacing w:after="0" w:line="240" w:lineRule="auto"/>
      </w:pPr>
      <w:r>
        <w:separator/>
      </w:r>
    </w:p>
  </w:footnote>
  <w:footnote w:type="continuationSeparator" w:id="0">
    <w:p w:rsidR="00335077" w:rsidRDefault="00335077" w:rsidP="00BA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783"/>
    <w:multiLevelType w:val="hybridMultilevel"/>
    <w:tmpl w:val="C46CD9BA"/>
    <w:lvl w:ilvl="0" w:tplc="896A40F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D256F"/>
    <w:multiLevelType w:val="hybridMultilevel"/>
    <w:tmpl w:val="170ECC22"/>
    <w:lvl w:ilvl="0" w:tplc="B7AAA2F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65EB6"/>
    <w:multiLevelType w:val="hybridMultilevel"/>
    <w:tmpl w:val="E69A5954"/>
    <w:lvl w:ilvl="0" w:tplc="FE084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1515FE"/>
    <w:multiLevelType w:val="hybridMultilevel"/>
    <w:tmpl w:val="A95C99C2"/>
    <w:lvl w:ilvl="0" w:tplc="79762C1C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C1B50"/>
    <w:multiLevelType w:val="hybridMultilevel"/>
    <w:tmpl w:val="61601B80"/>
    <w:lvl w:ilvl="0" w:tplc="BDEED3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7347B"/>
    <w:multiLevelType w:val="hybridMultilevel"/>
    <w:tmpl w:val="10A60AF0"/>
    <w:lvl w:ilvl="0" w:tplc="6248C52E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E7"/>
    <w:rsid w:val="000A2073"/>
    <w:rsid w:val="000B37C2"/>
    <w:rsid w:val="0012491D"/>
    <w:rsid w:val="00212AEF"/>
    <w:rsid w:val="00273299"/>
    <w:rsid w:val="0029198D"/>
    <w:rsid w:val="002F2567"/>
    <w:rsid w:val="00335077"/>
    <w:rsid w:val="00362CE5"/>
    <w:rsid w:val="00420E7B"/>
    <w:rsid w:val="00430AD6"/>
    <w:rsid w:val="004A03C3"/>
    <w:rsid w:val="004B0DF4"/>
    <w:rsid w:val="004F0DE6"/>
    <w:rsid w:val="00523DCF"/>
    <w:rsid w:val="00550173"/>
    <w:rsid w:val="005A4317"/>
    <w:rsid w:val="00637596"/>
    <w:rsid w:val="006A16AD"/>
    <w:rsid w:val="00715FBE"/>
    <w:rsid w:val="007309CC"/>
    <w:rsid w:val="008E20F8"/>
    <w:rsid w:val="009014BA"/>
    <w:rsid w:val="009506B9"/>
    <w:rsid w:val="009521B0"/>
    <w:rsid w:val="009F5E35"/>
    <w:rsid w:val="00AB522E"/>
    <w:rsid w:val="00B13792"/>
    <w:rsid w:val="00B46ED4"/>
    <w:rsid w:val="00B715B2"/>
    <w:rsid w:val="00B97E43"/>
    <w:rsid w:val="00BA75E7"/>
    <w:rsid w:val="00C73227"/>
    <w:rsid w:val="00CD47D5"/>
    <w:rsid w:val="00DC6544"/>
    <w:rsid w:val="00E56B8E"/>
    <w:rsid w:val="00EA3A39"/>
    <w:rsid w:val="00EB3F69"/>
    <w:rsid w:val="00EB6CF5"/>
    <w:rsid w:val="00F53200"/>
    <w:rsid w:val="00F964B4"/>
    <w:rsid w:val="00FA369E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2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227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BA7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E7"/>
  </w:style>
  <w:style w:type="paragraph" w:styleId="Footer">
    <w:name w:val="footer"/>
    <w:basedOn w:val="Normal"/>
    <w:link w:val="FooterChar"/>
    <w:uiPriority w:val="99"/>
    <w:unhideWhenUsed/>
    <w:rsid w:val="00BA7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E7"/>
  </w:style>
  <w:style w:type="paragraph" w:styleId="ListParagraph">
    <w:name w:val="List Paragraph"/>
    <w:basedOn w:val="Normal"/>
    <w:uiPriority w:val="34"/>
    <w:qFormat/>
    <w:rsid w:val="00BA75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73227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3A39"/>
    <w:pPr>
      <w:outlineLvl w:val="9"/>
    </w:pPr>
    <w:rPr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A3A39"/>
    <w:pPr>
      <w:spacing w:after="100"/>
      <w:ind w:left="220"/>
    </w:pPr>
    <w:rPr>
      <w:rFonts w:eastAsiaTheme="minorEastAsia"/>
      <w:sz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EA3A39"/>
    <w:pPr>
      <w:spacing w:after="100"/>
    </w:pPr>
    <w:rPr>
      <w:rFonts w:eastAsiaTheme="minorEastAsia"/>
      <w:sz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A3A39"/>
    <w:pPr>
      <w:spacing w:after="100"/>
      <w:ind w:left="440"/>
    </w:pPr>
    <w:rPr>
      <w:rFonts w:eastAsiaTheme="minorEastAsia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2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227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BA7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E7"/>
  </w:style>
  <w:style w:type="paragraph" w:styleId="Footer">
    <w:name w:val="footer"/>
    <w:basedOn w:val="Normal"/>
    <w:link w:val="FooterChar"/>
    <w:uiPriority w:val="99"/>
    <w:unhideWhenUsed/>
    <w:rsid w:val="00BA7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E7"/>
  </w:style>
  <w:style w:type="paragraph" w:styleId="ListParagraph">
    <w:name w:val="List Paragraph"/>
    <w:basedOn w:val="Normal"/>
    <w:uiPriority w:val="34"/>
    <w:qFormat/>
    <w:rsid w:val="00BA75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73227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3A39"/>
    <w:pPr>
      <w:outlineLvl w:val="9"/>
    </w:pPr>
    <w:rPr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A3A39"/>
    <w:pPr>
      <w:spacing w:after="100"/>
      <w:ind w:left="220"/>
    </w:pPr>
    <w:rPr>
      <w:rFonts w:eastAsiaTheme="minorEastAsia"/>
      <w:sz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EA3A39"/>
    <w:pPr>
      <w:spacing w:after="100"/>
    </w:pPr>
    <w:rPr>
      <w:rFonts w:eastAsiaTheme="minorEastAsia"/>
      <w:sz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A3A39"/>
    <w:pPr>
      <w:spacing w:after="100"/>
      <w:ind w:left="440"/>
    </w:pPr>
    <w:rPr>
      <w:rFonts w:eastAsiaTheme="minorEastAsia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22DED4-820F-4C92-AB97-0402A10B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Jarman</dc:creator>
  <cp:keywords/>
  <dc:description/>
  <cp:lastModifiedBy>Paul Jarman</cp:lastModifiedBy>
  <cp:revision>9</cp:revision>
  <cp:lastPrinted>2016-02-27T10:02:00Z</cp:lastPrinted>
  <dcterms:created xsi:type="dcterms:W3CDTF">2015-08-11T14:31:00Z</dcterms:created>
  <dcterms:modified xsi:type="dcterms:W3CDTF">2016-02-28T16:05:00Z</dcterms:modified>
</cp:coreProperties>
</file>