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413081" w14:textId="77777777" w:rsidR="005A234F" w:rsidRDefault="005A234F" w:rsidP="00965C7D">
      <w:pPr>
        <w:spacing w:before="2" w:after="2"/>
        <w:jc w:val="center"/>
        <w:rPr>
          <w:rFonts w:ascii="Times" w:hAnsi="Times"/>
          <w:sz w:val="36"/>
        </w:rPr>
      </w:pPr>
      <w:bookmarkStart w:id="0" w:name="_GoBack"/>
      <w:bookmarkEnd w:id="0"/>
    </w:p>
    <w:p w14:paraId="7AEEB674" w14:textId="77777777" w:rsidR="005A234F" w:rsidRDefault="005A234F" w:rsidP="00965C7D">
      <w:pPr>
        <w:spacing w:before="2" w:after="2"/>
        <w:jc w:val="center"/>
        <w:rPr>
          <w:rFonts w:ascii="Times" w:hAnsi="Times"/>
          <w:sz w:val="36"/>
        </w:rPr>
      </w:pPr>
    </w:p>
    <w:p w14:paraId="32DA6811" w14:textId="77777777" w:rsidR="005A234F" w:rsidRPr="002F74BF" w:rsidRDefault="005A234F" w:rsidP="00965C7D">
      <w:pPr>
        <w:spacing w:before="2" w:after="2"/>
        <w:jc w:val="center"/>
        <w:rPr>
          <w:rFonts w:ascii="Times" w:hAnsi="Times"/>
          <w:sz w:val="36"/>
        </w:rPr>
      </w:pPr>
      <w:r>
        <w:rPr>
          <w:rFonts w:ascii="Times" w:hAnsi="Times"/>
          <w:sz w:val="36"/>
        </w:rPr>
        <w:t>Understanding the B</w:t>
      </w:r>
      <w:r w:rsidRPr="002F74BF">
        <w:rPr>
          <w:rFonts w:ascii="Times" w:hAnsi="Times"/>
          <w:sz w:val="36"/>
        </w:rPr>
        <w:t xml:space="preserve">asis of </w:t>
      </w:r>
      <w:r>
        <w:rPr>
          <w:rFonts w:ascii="Times" w:hAnsi="Times"/>
          <w:sz w:val="36"/>
        </w:rPr>
        <w:t>P</w:t>
      </w:r>
      <w:r w:rsidRPr="002F74BF">
        <w:rPr>
          <w:rFonts w:ascii="Times" w:hAnsi="Times"/>
          <w:sz w:val="36"/>
        </w:rPr>
        <w:t xml:space="preserve">lant </w:t>
      </w:r>
      <w:r>
        <w:rPr>
          <w:rFonts w:ascii="Times" w:hAnsi="Times"/>
          <w:sz w:val="36"/>
        </w:rPr>
        <w:t>P</w:t>
      </w:r>
      <w:r w:rsidRPr="002F74BF">
        <w:rPr>
          <w:rFonts w:ascii="Times" w:hAnsi="Times"/>
          <w:sz w:val="36"/>
        </w:rPr>
        <w:t xml:space="preserve">opulation </w:t>
      </w:r>
      <w:r>
        <w:rPr>
          <w:rFonts w:ascii="Times" w:hAnsi="Times"/>
          <w:sz w:val="36"/>
        </w:rPr>
        <w:t>R</w:t>
      </w:r>
      <w:r w:rsidRPr="002F74BF">
        <w:rPr>
          <w:rFonts w:ascii="Times" w:hAnsi="Times"/>
          <w:sz w:val="36"/>
        </w:rPr>
        <w:t xml:space="preserve">esponses to </w:t>
      </w:r>
      <w:r>
        <w:rPr>
          <w:rFonts w:ascii="Times" w:hAnsi="Times"/>
          <w:sz w:val="36"/>
        </w:rPr>
        <w:t>E</w:t>
      </w:r>
      <w:r w:rsidRPr="002F74BF">
        <w:rPr>
          <w:rFonts w:ascii="Times" w:hAnsi="Times"/>
          <w:sz w:val="36"/>
        </w:rPr>
        <w:t xml:space="preserve">nvironmental </w:t>
      </w:r>
      <w:r>
        <w:rPr>
          <w:rFonts w:ascii="Times" w:hAnsi="Times"/>
          <w:sz w:val="36"/>
        </w:rPr>
        <w:t>C</w:t>
      </w:r>
      <w:r w:rsidRPr="002F74BF">
        <w:rPr>
          <w:rFonts w:ascii="Times" w:hAnsi="Times"/>
          <w:sz w:val="36"/>
        </w:rPr>
        <w:t xml:space="preserve">hange: </w:t>
      </w:r>
    </w:p>
    <w:p w14:paraId="7FD72B9D" w14:textId="77777777" w:rsidR="005A234F" w:rsidRPr="002F74BF" w:rsidRDefault="005A234F" w:rsidP="00965C7D">
      <w:pPr>
        <w:spacing w:before="2" w:after="2"/>
        <w:jc w:val="center"/>
        <w:rPr>
          <w:rFonts w:ascii="Times" w:hAnsi="Times"/>
          <w:sz w:val="36"/>
        </w:rPr>
      </w:pPr>
      <w:r w:rsidRPr="002F74BF">
        <w:rPr>
          <w:rFonts w:ascii="Times" w:hAnsi="Times"/>
          <w:sz w:val="36"/>
        </w:rPr>
        <w:t>An Environmental Metabolomics Approach</w:t>
      </w:r>
    </w:p>
    <w:p w14:paraId="7CB12543" w14:textId="77777777" w:rsidR="005A234F" w:rsidRPr="002F74BF" w:rsidRDefault="005A234F" w:rsidP="00965C7D">
      <w:pPr>
        <w:spacing w:before="2" w:after="2"/>
        <w:jc w:val="center"/>
        <w:rPr>
          <w:rFonts w:ascii="Times" w:hAnsi="Times"/>
        </w:rPr>
      </w:pPr>
    </w:p>
    <w:p w14:paraId="32EF65AA" w14:textId="77777777" w:rsidR="005A234F" w:rsidRPr="002F74BF" w:rsidRDefault="005A234F" w:rsidP="00965C7D">
      <w:pPr>
        <w:spacing w:before="2" w:after="2"/>
        <w:jc w:val="center"/>
        <w:rPr>
          <w:rFonts w:ascii="Times" w:hAnsi="Times"/>
        </w:rPr>
      </w:pPr>
    </w:p>
    <w:p w14:paraId="251BFB02" w14:textId="77777777" w:rsidR="005A234F" w:rsidRPr="002F74BF" w:rsidRDefault="005A234F" w:rsidP="00965C7D">
      <w:pPr>
        <w:spacing w:before="2" w:after="2"/>
        <w:jc w:val="center"/>
        <w:rPr>
          <w:rFonts w:ascii="Times" w:hAnsi="Times"/>
        </w:rPr>
      </w:pPr>
    </w:p>
    <w:p w14:paraId="3D7943CF" w14:textId="77777777" w:rsidR="005A234F" w:rsidRPr="002F74BF" w:rsidRDefault="005A234F" w:rsidP="00965C7D">
      <w:pPr>
        <w:spacing w:before="2" w:after="2"/>
        <w:jc w:val="center"/>
        <w:rPr>
          <w:rFonts w:ascii="Times" w:hAnsi="Times"/>
        </w:rPr>
      </w:pPr>
    </w:p>
    <w:p w14:paraId="702B2BFF" w14:textId="77777777" w:rsidR="005A234F" w:rsidRDefault="005A234F" w:rsidP="00965C7D">
      <w:pPr>
        <w:spacing w:before="2" w:after="2"/>
        <w:jc w:val="center"/>
        <w:rPr>
          <w:rFonts w:ascii="Times" w:hAnsi="Times"/>
        </w:rPr>
      </w:pPr>
    </w:p>
    <w:p w14:paraId="4343C0A2" w14:textId="77777777" w:rsidR="005A234F" w:rsidRDefault="005A234F" w:rsidP="00965C7D">
      <w:pPr>
        <w:spacing w:before="2" w:after="2"/>
        <w:jc w:val="center"/>
        <w:rPr>
          <w:rFonts w:ascii="Times" w:hAnsi="Times"/>
        </w:rPr>
      </w:pPr>
    </w:p>
    <w:p w14:paraId="1941EF61" w14:textId="77777777" w:rsidR="005A234F" w:rsidRPr="002F74BF" w:rsidRDefault="005A234F" w:rsidP="00965C7D">
      <w:pPr>
        <w:spacing w:before="2" w:after="2"/>
        <w:jc w:val="center"/>
        <w:rPr>
          <w:rFonts w:ascii="Times" w:hAnsi="Times"/>
        </w:rPr>
      </w:pPr>
    </w:p>
    <w:p w14:paraId="11891EA1" w14:textId="77777777" w:rsidR="005A234F" w:rsidRPr="002F74BF" w:rsidRDefault="005A234F" w:rsidP="00965C7D">
      <w:pPr>
        <w:spacing w:before="2" w:after="2"/>
        <w:jc w:val="center"/>
        <w:rPr>
          <w:rFonts w:ascii="Times" w:hAnsi="Times"/>
        </w:rPr>
      </w:pPr>
    </w:p>
    <w:p w14:paraId="5468B76A" w14:textId="77777777" w:rsidR="005A234F" w:rsidRPr="002F74BF" w:rsidRDefault="005A234F" w:rsidP="00965C7D">
      <w:pPr>
        <w:spacing w:before="2" w:after="2"/>
        <w:jc w:val="center"/>
        <w:rPr>
          <w:rFonts w:ascii="Times" w:hAnsi="Times"/>
          <w:sz w:val="32"/>
        </w:rPr>
      </w:pPr>
      <w:r w:rsidRPr="002F74BF">
        <w:rPr>
          <w:rFonts w:ascii="Times" w:hAnsi="Times"/>
          <w:sz w:val="32"/>
        </w:rPr>
        <w:t>Rachel George</w:t>
      </w:r>
    </w:p>
    <w:p w14:paraId="50514ECC" w14:textId="77777777" w:rsidR="005A234F" w:rsidRPr="002F74BF" w:rsidRDefault="005A234F" w:rsidP="00965C7D">
      <w:pPr>
        <w:spacing w:before="2" w:after="2"/>
        <w:jc w:val="center"/>
        <w:rPr>
          <w:rFonts w:ascii="Times" w:hAnsi="Times"/>
        </w:rPr>
      </w:pPr>
    </w:p>
    <w:p w14:paraId="5A48DA86" w14:textId="77777777" w:rsidR="005A234F" w:rsidRPr="002F74BF" w:rsidRDefault="005A234F" w:rsidP="00965C7D">
      <w:pPr>
        <w:spacing w:before="2" w:after="2"/>
        <w:jc w:val="center"/>
        <w:rPr>
          <w:rFonts w:ascii="Times" w:hAnsi="Times"/>
          <w:sz w:val="28"/>
        </w:rPr>
      </w:pPr>
      <w:r w:rsidRPr="002F74BF">
        <w:rPr>
          <w:rFonts w:ascii="Times" w:hAnsi="Times"/>
          <w:sz w:val="28"/>
        </w:rPr>
        <w:t>Submitted for the degree of PhD</w:t>
      </w:r>
    </w:p>
    <w:p w14:paraId="37F42E88" w14:textId="77777777" w:rsidR="005A234F" w:rsidRPr="002F74BF" w:rsidRDefault="005A234F" w:rsidP="00965C7D">
      <w:pPr>
        <w:spacing w:before="2"/>
        <w:jc w:val="center"/>
        <w:rPr>
          <w:rFonts w:ascii="Times" w:hAnsi="Times"/>
          <w:sz w:val="28"/>
        </w:rPr>
      </w:pPr>
      <w:r w:rsidRPr="002F74BF">
        <w:rPr>
          <w:rFonts w:ascii="Times" w:hAnsi="Times"/>
          <w:sz w:val="28"/>
        </w:rPr>
        <w:t>Department of Animal and Plant Sciences</w:t>
      </w:r>
    </w:p>
    <w:p w14:paraId="2DA9E7CE" w14:textId="77777777" w:rsidR="005A234F" w:rsidRPr="002F74BF" w:rsidRDefault="005A234F" w:rsidP="00965C7D">
      <w:pPr>
        <w:spacing w:before="2"/>
        <w:jc w:val="center"/>
        <w:rPr>
          <w:rFonts w:ascii="Times" w:hAnsi="Times"/>
          <w:sz w:val="28"/>
        </w:rPr>
      </w:pPr>
      <w:r w:rsidRPr="002F74BF">
        <w:rPr>
          <w:rFonts w:ascii="Times" w:hAnsi="Times"/>
          <w:sz w:val="28"/>
        </w:rPr>
        <w:t>University of Sheffield</w:t>
      </w:r>
    </w:p>
    <w:p w14:paraId="6A2E9FDA" w14:textId="77777777" w:rsidR="005A234F" w:rsidRPr="002F74BF" w:rsidRDefault="005A234F" w:rsidP="00965C7D">
      <w:pPr>
        <w:spacing w:before="2" w:after="2"/>
        <w:jc w:val="center"/>
        <w:rPr>
          <w:rFonts w:ascii="Times" w:hAnsi="Times"/>
          <w:sz w:val="28"/>
        </w:rPr>
      </w:pPr>
    </w:p>
    <w:p w14:paraId="19B75C1E" w14:textId="77777777" w:rsidR="005A234F" w:rsidRPr="002F74BF" w:rsidRDefault="005A234F" w:rsidP="00965C7D">
      <w:pPr>
        <w:spacing w:before="2" w:after="2"/>
        <w:jc w:val="center"/>
        <w:rPr>
          <w:rFonts w:ascii="Times" w:hAnsi="Times"/>
          <w:sz w:val="28"/>
        </w:rPr>
      </w:pPr>
      <w:r>
        <w:rPr>
          <w:rFonts w:ascii="Times" w:hAnsi="Times"/>
          <w:sz w:val="28"/>
        </w:rPr>
        <w:t>April 2015</w:t>
      </w:r>
    </w:p>
    <w:p w14:paraId="2A55B049" w14:textId="77777777" w:rsidR="005A234F" w:rsidRDefault="005A234F" w:rsidP="00965C7D">
      <w:pPr>
        <w:spacing w:before="2" w:after="2"/>
        <w:rPr>
          <w:rFonts w:ascii="Times" w:hAnsi="Times"/>
        </w:rPr>
      </w:pPr>
    </w:p>
    <w:p w14:paraId="34589BA4" w14:textId="77777777" w:rsidR="005A234F" w:rsidRDefault="005A234F" w:rsidP="00965C7D">
      <w:pPr>
        <w:spacing w:before="2" w:after="2"/>
        <w:rPr>
          <w:rFonts w:ascii="Times" w:hAnsi="Times"/>
        </w:rPr>
      </w:pPr>
    </w:p>
    <w:p w14:paraId="518A4ED7" w14:textId="77777777" w:rsidR="00965C7D" w:rsidRDefault="00965C7D" w:rsidP="00965C7D">
      <w:pPr>
        <w:spacing w:before="2" w:after="2"/>
        <w:rPr>
          <w:rFonts w:ascii="Times" w:hAnsi="Times"/>
        </w:rPr>
      </w:pPr>
    </w:p>
    <w:p w14:paraId="41FF5E6E" w14:textId="77777777" w:rsidR="00965C7D" w:rsidRDefault="00965C7D" w:rsidP="00965C7D">
      <w:pPr>
        <w:spacing w:before="2" w:after="2"/>
        <w:rPr>
          <w:rFonts w:ascii="Times" w:hAnsi="Times"/>
        </w:rPr>
      </w:pPr>
    </w:p>
    <w:p w14:paraId="7CD67102" w14:textId="77777777" w:rsidR="00965C7D" w:rsidRDefault="00965C7D" w:rsidP="00965C7D">
      <w:pPr>
        <w:spacing w:before="2" w:after="2"/>
        <w:rPr>
          <w:rFonts w:ascii="Times" w:hAnsi="Times"/>
        </w:rPr>
      </w:pPr>
    </w:p>
    <w:p w14:paraId="49BA4BC4" w14:textId="77777777" w:rsidR="00965C7D" w:rsidRDefault="00965C7D" w:rsidP="00965C7D">
      <w:pPr>
        <w:spacing w:before="2" w:after="2"/>
        <w:rPr>
          <w:rFonts w:ascii="Times" w:hAnsi="Times"/>
        </w:rPr>
      </w:pPr>
    </w:p>
    <w:p w14:paraId="0AF989BB" w14:textId="77777777" w:rsidR="00965C7D" w:rsidRDefault="00965C7D" w:rsidP="00965C7D">
      <w:pPr>
        <w:spacing w:before="2" w:after="2"/>
        <w:rPr>
          <w:rFonts w:ascii="Times" w:hAnsi="Times"/>
        </w:rPr>
      </w:pPr>
    </w:p>
    <w:p w14:paraId="22257126" w14:textId="77777777" w:rsidR="00965C7D" w:rsidRDefault="00965C7D" w:rsidP="00965C7D">
      <w:pPr>
        <w:spacing w:before="2" w:after="2"/>
        <w:rPr>
          <w:rFonts w:ascii="Times" w:hAnsi="Times"/>
        </w:rPr>
      </w:pPr>
    </w:p>
    <w:p w14:paraId="11728AB6" w14:textId="77777777" w:rsidR="00965C7D" w:rsidRDefault="00965C7D" w:rsidP="00965C7D">
      <w:pPr>
        <w:spacing w:before="2" w:after="2"/>
        <w:rPr>
          <w:rFonts w:ascii="Times" w:hAnsi="Times"/>
        </w:rPr>
      </w:pPr>
    </w:p>
    <w:p w14:paraId="72401BAA" w14:textId="77777777" w:rsidR="00965C7D" w:rsidRDefault="00965C7D" w:rsidP="00965C7D">
      <w:pPr>
        <w:spacing w:before="2" w:after="2"/>
        <w:rPr>
          <w:rFonts w:ascii="Times" w:hAnsi="Times"/>
        </w:rPr>
      </w:pPr>
    </w:p>
    <w:p w14:paraId="207247C3" w14:textId="77777777" w:rsidR="00965C7D" w:rsidRDefault="00965C7D" w:rsidP="00965C7D">
      <w:pPr>
        <w:spacing w:before="2" w:after="2"/>
        <w:rPr>
          <w:rFonts w:ascii="Times" w:hAnsi="Times"/>
        </w:rPr>
      </w:pPr>
    </w:p>
    <w:p w14:paraId="5B37D92F" w14:textId="77777777" w:rsidR="00965C7D" w:rsidRDefault="00965C7D" w:rsidP="00965C7D">
      <w:pPr>
        <w:spacing w:before="2" w:after="2"/>
        <w:rPr>
          <w:rFonts w:ascii="Times" w:hAnsi="Times"/>
        </w:rPr>
      </w:pPr>
    </w:p>
    <w:p w14:paraId="0893B5A5" w14:textId="77777777" w:rsidR="00965C7D" w:rsidRDefault="00965C7D" w:rsidP="00965C7D">
      <w:pPr>
        <w:spacing w:before="2" w:after="2"/>
        <w:rPr>
          <w:rFonts w:ascii="Times" w:hAnsi="Times"/>
        </w:rPr>
      </w:pPr>
    </w:p>
    <w:p w14:paraId="25AC3F0E" w14:textId="77777777" w:rsidR="00965C7D" w:rsidRDefault="00965C7D" w:rsidP="00965C7D">
      <w:pPr>
        <w:spacing w:before="2" w:after="2"/>
        <w:rPr>
          <w:rFonts w:ascii="Times" w:hAnsi="Times"/>
        </w:rPr>
      </w:pPr>
    </w:p>
    <w:p w14:paraId="5BFBB3D5" w14:textId="77777777" w:rsidR="00965C7D" w:rsidRDefault="00965C7D" w:rsidP="00965C7D">
      <w:pPr>
        <w:spacing w:before="2" w:after="2"/>
        <w:rPr>
          <w:rFonts w:ascii="Times" w:hAnsi="Times"/>
        </w:rPr>
      </w:pPr>
    </w:p>
    <w:p w14:paraId="622ED19C" w14:textId="77777777" w:rsidR="00965C7D" w:rsidRDefault="00965C7D" w:rsidP="00965C7D">
      <w:pPr>
        <w:spacing w:before="2" w:after="2"/>
        <w:rPr>
          <w:rFonts w:ascii="Times" w:hAnsi="Times"/>
        </w:rPr>
      </w:pPr>
    </w:p>
    <w:p w14:paraId="392C48B4" w14:textId="77777777" w:rsidR="00965C7D" w:rsidRDefault="00965C7D" w:rsidP="00965C7D">
      <w:pPr>
        <w:spacing w:before="2" w:after="2"/>
        <w:rPr>
          <w:rFonts w:ascii="Times" w:hAnsi="Times"/>
        </w:rPr>
      </w:pPr>
    </w:p>
    <w:p w14:paraId="72EE04F8" w14:textId="77777777" w:rsidR="00965C7D" w:rsidRDefault="00965C7D" w:rsidP="00965C7D">
      <w:pPr>
        <w:spacing w:before="2" w:after="2"/>
        <w:rPr>
          <w:rFonts w:ascii="Times" w:hAnsi="Times"/>
        </w:rPr>
      </w:pPr>
    </w:p>
    <w:p w14:paraId="3041874B" w14:textId="77777777" w:rsidR="00965C7D" w:rsidRDefault="00965C7D" w:rsidP="00965C7D">
      <w:pPr>
        <w:spacing w:before="2" w:after="2"/>
        <w:rPr>
          <w:rFonts w:ascii="Times" w:hAnsi="Times"/>
        </w:rPr>
      </w:pPr>
    </w:p>
    <w:p w14:paraId="5CF022FC" w14:textId="77777777" w:rsidR="00965C7D" w:rsidRDefault="00965C7D" w:rsidP="00965C7D">
      <w:pPr>
        <w:spacing w:before="2" w:after="2"/>
        <w:rPr>
          <w:rFonts w:ascii="Times" w:hAnsi="Times"/>
        </w:rPr>
      </w:pPr>
    </w:p>
    <w:p w14:paraId="037AF61E" w14:textId="77777777" w:rsidR="00965C7D" w:rsidRDefault="00965C7D" w:rsidP="00965C7D">
      <w:pPr>
        <w:spacing w:before="2" w:after="2"/>
        <w:rPr>
          <w:rFonts w:ascii="Times" w:hAnsi="Times"/>
        </w:rPr>
      </w:pPr>
    </w:p>
    <w:p w14:paraId="4657A21E" w14:textId="77777777" w:rsidR="005A234F" w:rsidRDefault="005A234F" w:rsidP="00965C7D">
      <w:pPr>
        <w:spacing w:before="2" w:after="2"/>
        <w:rPr>
          <w:rFonts w:ascii="Times" w:hAnsi="Times"/>
        </w:rPr>
      </w:pPr>
    </w:p>
    <w:p w14:paraId="2AF333F0" w14:textId="77777777" w:rsidR="005A234F" w:rsidRDefault="005A234F" w:rsidP="00965C7D">
      <w:pPr>
        <w:spacing w:before="2" w:after="2" w:line="360" w:lineRule="auto"/>
        <w:rPr>
          <w:rFonts w:ascii="Times" w:hAnsi="Times"/>
        </w:rPr>
      </w:pPr>
      <w:r>
        <w:rPr>
          <w:rFonts w:ascii="Times" w:hAnsi="Times"/>
        </w:rPr>
        <w:lastRenderedPageBreak/>
        <w:t>Acknowledgements</w:t>
      </w:r>
    </w:p>
    <w:p w14:paraId="4F1C4C43" w14:textId="77777777" w:rsidR="005A234F" w:rsidRDefault="005A234F" w:rsidP="00965C7D">
      <w:pPr>
        <w:spacing w:before="2" w:after="2" w:line="360" w:lineRule="auto"/>
        <w:rPr>
          <w:rFonts w:ascii="Times" w:hAnsi="Times"/>
        </w:rPr>
      </w:pPr>
      <w:r>
        <w:rPr>
          <w:rFonts w:ascii="Times" w:hAnsi="Times"/>
        </w:rPr>
        <w:t xml:space="preserve">I would like to thank my supervisors Professor Rob Freckleton, Professor Mike Burrell and Dr Matthew Davey for their guidance and advice throughout this PhD. </w:t>
      </w:r>
    </w:p>
    <w:p w14:paraId="0BA68A86" w14:textId="77777777" w:rsidR="005A234F" w:rsidRDefault="005A234F" w:rsidP="00965C7D">
      <w:pPr>
        <w:spacing w:before="2" w:after="2" w:line="360" w:lineRule="auto"/>
        <w:rPr>
          <w:rFonts w:ascii="Times" w:hAnsi="Times"/>
        </w:rPr>
      </w:pPr>
      <w:r>
        <w:rPr>
          <w:rFonts w:ascii="Times" w:hAnsi="Times"/>
        </w:rPr>
        <w:t xml:space="preserve">I am particularly grateful to Rob, who gave me the opportunity to take part in this fantastic study. I thank Mike, who shaped my view of how to be a quality scientist and Matt for his much valued support and constant enthusiasm for my project. </w:t>
      </w:r>
    </w:p>
    <w:p w14:paraId="0F1CE48A" w14:textId="77777777" w:rsidR="005A234F" w:rsidRDefault="005A234F" w:rsidP="00965C7D">
      <w:pPr>
        <w:spacing w:before="2" w:after="2" w:line="360" w:lineRule="auto"/>
        <w:rPr>
          <w:rFonts w:ascii="Times" w:hAnsi="Times"/>
        </w:rPr>
      </w:pPr>
      <w:r>
        <w:rPr>
          <w:rFonts w:ascii="Times" w:hAnsi="Times"/>
        </w:rPr>
        <w:t>My thanks go to Mark Ooi for guiding me through the world of ecology and sand dunes, and whisking us off on field work adventures.</w:t>
      </w:r>
    </w:p>
    <w:p w14:paraId="62783BE7" w14:textId="77777777" w:rsidR="005A234F" w:rsidRDefault="005A234F" w:rsidP="00965C7D">
      <w:pPr>
        <w:spacing w:before="2" w:after="2" w:line="360" w:lineRule="auto"/>
        <w:rPr>
          <w:rFonts w:ascii="Times" w:hAnsi="Times"/>
        </w:rPr>
      </w:pPr>
      <w:r>
        <w:rPr>
          <w:rFonts w:ascii="Times" w:hAnsi="Times"/>
        </w:rPr>
        <w:t>I am also indebted to my colleagues and friends at the University of Sheffield, for their continued advice, support and encouragement. Particular thanks go to Remi Vergnon, Kirsty Burnett and Rebecca Atkinson who have gone out of their way (and to Norfolk) to assist me in times of need. Particular analytic assistance came from Heather Walker. I have met many great people in Sheffield, the occupants of D59, E101, and C214 have been a great support to me.</w:t>
      </w:r>
    </w:p>
    <w:p w14:paraId="399EE87B" w14:textId="77777777" w:rsidR="005A234F" w:rsidRDefault="005A234F" w:rsidP="00965C7D">
      <w:pPr>
        <w:spacing w:before="2" w:after="2" w:line="360" w:lineRule="auto"/>
        <w:rPr>
          <w:rFonts w:ascii="Times" w:hAnsi="Times"/>
        </w:rPr>
      </w:pPr>
      <w:r>
        <w:rPr>
          <w:rFonts w:ascii="Times" w:hAnsi="Times"/>
        </w:rPr>
        <w:t xml:space="preserve">My work would not have been possible without the support of my family and friends. </w:t>
      </w:r>
    </w:p>
    <w:p w14:paraId="20498F2D" w14:textId="77777777" w:rsidR="005A234F" w:rsidRDefault="005A234F" w:rsidP="00965C7D">
      <w:pPr>
        <w:spacing w:before="2" w:after="2" w:line="360" w:lineRule="auto"/>
        <w:rPr>
          <w:rFonts w:ascii="Times" w:hAnsi="Times"/>
        </w:rPr>
      </w:pPr>
      <w:r>
        <w:rPr>
          <w:rFonts w:ascii="Times" w:hAnsi="Times"/>
        </w:rPr>
        <w:t xml:space="preserve">This research was funded by the Leverhulme Trust, for which I am very grateful. </w:t>
      </w:r>
    </w:p>
    <w:p w14:paraId="410678AE" w14:textId="77777777" w:rsidR="005A234F" w:rsidRDefault="005A234F" w:rsidP="00965C7D">
      <w:pPr>
        <w:spacing w:before="2" w:after="2" w:line="360" w:lineRule="auto"/>
        <w:rPr>
          <w:rFonts w:ascii="Times" w:hAnsi="Times"/>
        </w:rPr>
      </w:pPr>
    </w:p>
    <w:p w14:paraId="3050820E" w14:textId="77777777" w:rsidR="005A234F" w:rsidRDefault="005A234F" w:rsidP="00965C7D">
      <w:pPr>
        <w:spacing w:before="2" w:after="2" w:line="360" w:lineRule="auto"/>
        <w:rPr>
          <w:rFonts w:ascii="Times" w:hAnsi="Times"/>
        </w:rPr>
      </w:pPr>
    </w:p>
    <w:p w14:paraId="1B9A1A92" w14:textId="77777777" w:rsidR="005A234F" w:rsidRDefault="005A234F" w:rsidP="00965C7D">
      <w:pPr>
        <w:spacing w:before="2" w:after="2" w:line="360" w:lineRule="auto"/>
        <w:rPr>
          <w:rFonts w:ascii="Times" w:hAnsi="Times"/>
        </w:rPr>
      </w:pPr>
    </w:p>
    <w:p w14:paraId="1F4084D6" w14:textId="77777777" w:rsidR="00965C7D" w:rsidRDefault="00965C7D" w:rsidP="00965C7D">
      <w:pPr>
        <w:spacing w:before="2" w:after="2" w:line="360" w:lineRule="auto"/>
        <w:rPr>
          <w:rFonts w:ascii="Times" w:hAnsi="Times"/>
        </w:rPr>
      </w:pPr>
    </w:p>
    <w:p w14:paraId="0934D877" w14:textId="77777777" w:rsidR="00965C7D" w:rsidRDefault="00965C7D" w:rsidP="00965C7D">
      <w:pPr>
        <w:spacing w:before="2" w:after="2" w:line="360" w:lineRule="auto"/>
        <w:rPr>
          <w:rFonts w:ascii="Times" w:hAnsi="Times"/>
        </w:rPr>
      </w:pPr>
    </w:p>
    <w:p w14:paraId="4B611516" w14:textId="77777777" w:rsidR="00965C7D" w:rsidRDefault="00965C7D" w:rsidP="00965C7D">
      <w:pPr>
        <w:spacing w:before="2" w:after="2" w:line="360" w:lineRule="auto"/>
        <w:rPr>
          <w:rFonts w:ascii="Times" w:hAnsi="Times"/>
        </w:rPr>
      </w:pPr>
    </w:p>
    <w:p w14:paraId="6672CE3F" w14:textId="77777777" w:rsidR="00965C7D" w:rsidRDefault="00965C7D" w:rsidP="00965C7D">
      <w:pPr>
        <w:spacing w:before="2" w:after="2" w:line="360" w:lineRule="auto"/>
        <w:rPr>
          <w:rFonts w:ascii="Times" w:hAnsi="Times"/>
        </w:rPr>
      </w:pPr>
    </w:p>
    <w:p w14:paraId="5D5F3E3F" w14:textId="77777777" w:rsidR="00965C7D" w:rsidRDefault="00965C7D" w:rsidP="00965C7D">
      <w:pPr>
        <w:spacing w:before="2" w:after="2" w:line="360" w:lineRule="auto"/>
        <w:rPr>
          <w:rFonts w:ascii="Times" w:hAnsi="Times"/>
        </w:rPr>
      </w:pPr>
    </w:p>
    <w:p w14:paraId="29E3DE4A" w14:textId="77777777" w:rsidR="00965C7D" w:rsidRDefault="00965C7D" w:rsidP="00965C7D">
      <w:pPr>
        <w:spacing w:before="2" w:after="2" w:line="360" w:lineRule="auto"/>
        <w:rPr>
          <w:rFonts w:ascii="Times" w:hAnsi="Times"/>
        </w:rPr>
      </w:pPr>
    </w:p>
    <w:p w14:paraId="3F5B9F20" w14:textId="77777777" w:rsidR="00965C7D" w:rsidRDefault="00965C7D" w:rsidP="00965C7D">
      <w:pPr>
        <w:spacing w:before="2" w:after="2" w:line="360" w:lineRule="auto"/>
        <w:rPr>
          <w:rFonts w:ascii="Times" w:hAnsi="Times"/>
        </w:rPr>
      </w:pPr>
    </w:p>
    <w:p w14:paraId="01FA1175" w14:textId="77777777" w:rsidR="005A234F" w:rsidRDefault="005A234F" w:rsidP="00965C7D">
      <w:pPr>
        <w:spacing w:before="2" w:after="2" w:line="360" w:lineRule="auto"/>
        <w:rPr>
          <w:rFonts w:ascii="Times" w:hAnsi="Times"/>
        </w:rPr>
      </w:pPr>
    </w:p>
    <w:p w14:paraId="717C74BE" w14:textId="77777777" w:rsidR="005A234F" w:rsidRDefault="005A234F" w:rsidP="00965C7D">
      <w:pPr>
        <w:spacing w:before="2" w:after="2" w:line="360" w:lineRule="auto"/>
        <w:rPr>
          <w:rFonts w:ascii="Times" w:hAnsi="Times"/>
        </w:rPr>
      </w:pPr>
    </w:p>
    <w:p w14:paraId="4E97828E" w14:textId="77777777" w:rsidR="005A234F" w:rsidRDefault="005A234F" w:rsidP="00965C7D">
      <w:pPr>
        <w:spacing w:before="2" w:after="2"/>
        <w:rPr>
          <w:rFonts w:ascii="Times" w:hAnsi="Times"/>
        </w:rPr>
      </w:pPr>
    </w:p>
    <w:p w14:paraId="257850C9" w14:textId="77777777" w:rsidR="005A234F" w:rsidRDefault="005A234F" w:rsidP="00965C7D">
      <w:pPr>
        <w:spacing w:before="2" w:after="2"/>
        <w:rPr>
          <w:rFonts w:ascii="Times" w:hAnsi="Times"/>
        </w:rPr>
      </w:pPr>
    </w:p>
    <w:p w14:paraId="13C008A3" w14:textId="77777777" w:rsidR="005A234F" w:rsidRDefault="005A234F" w:rsidP="00965C7D">
      <w:pPr>
        <w:spacing w:before="2" w:after="2"/>
        <w:rPr>
          <w:rFonts w:ascii="Times" w:hAnsi="Times"/>
        </w:rPr>
      </w:pPr>
    </w:p>
    <w:p w14:paraId="491811FB" w14:textId="77777777" w:rsidR="005A234F" w:rsidRDefault="005A234F" w:rsidP="00965C7D">
      <w:pPr>
        <w:spacing w:before="2" w:after="2"/>
        <w:rPr>
          <w:rFonts w:ascii="Times" w:hAnsi="Times"/>
        </w:rPr>
      </w:pPr>
    </w:p>
    <w:p w14:paraId="3B76AFF0" w14:textId="77777777" w:rsidR="005A234F" w:rsidRPr="002F74BF" w:rsidRDefault="005A234F" w:rsidP="00965C7D">
      <w:pPr>
        <w:spacing w:before="2" w:after="2"/>
        <w:rPr>
          <w:rFonts w:ascii="Times" w:hAnsi="Times"/>
        </w:rPr>
      </w:pPr>
      <w:r w:rsidRPr="002F74BF">
        <w:rPr>
          <w:rFonts w:ascii="Times" w:hAnsi="Times"/>
        </w:rPr>
        <w:t>Thesis Summary</w:t>
      </w:r>
    </w:p>
    <w:p w14:paraId="5348574A" w14:textId="77777777" w:rsidR="005A234F" w:rsidRDefault="005A234F" w:rsidP="00965C7D">
      <w:pPr>
        <w:pStyle w:val="NormalWeb"/>
        <w:spacing w:before="2" w:after="2"/>
        <w:rPr>
          <w:rFonts w:ascii="Palatino" w:hAnsi="Palatino"/>
          <w:sz w:val="22"/>
          <w:szCs w:val="22"/>
        </w:rPr>
      </w:pPr>
    </w:p>
    <w:p w14:paraId="19498834" w14:textId="77777777" w:rsidR="005A234F" w:rsidRDefault="005A234F" w:rsidP="00965C7D">
      <w:pPr>
        <w:spacing w:line="360" w:lineRule="auto"/>
        <w:rPr>
          <w:rFonts w:ascii="Times" w:hAnsi="Times"/>
        </w:rPr>
      </w:pPr>
      <w:r>
        <w:rPr>
          <w:rFonts w:ascii="Times" w:hAnsi="Times"/>
        </w:rPr>
        <w:t xml:space="preserve">In this current era of anthropogenic climate change there is a growing need to predict the ability of species and communities to persist under future climate scenarios and land-use regimes. Understanding the </w:t>
      </w:r>
      <w:r w:rsidRPr="009953BF">
        <w:rPr>
          <w:rFonts w:ascii="Times" w:hAnsi="Times"/>
        </w:rPr>
        <w:t>mechanisms underpinning interaction</w:t>
      </w:r>
      <w:r>
        <w:rPr>
          <w:rFonts w:ascii="Times" w:hAnsi="Times"/>
        </w:rPr>
        <w:t>s</w:t>
      </w:r>
      <w:r w:rsidRPr="009953BF">
        <w:rPr>
          <w:rFonts w:ascii="Times" w:hAnsi="Times"/>
        </w:rPr>
        <w:t xml:space="preserve"> between plants and environmental variation</w:t>
      </w:r>
      <w:r>
        <w:rPr>
          <w:rFonts w:ascii="Times" w:hAnsi="Times"/>
        </w:rPr>
        <w:t xml:space="preserve"> is key to this. To elucidate the importance of plant response mechanisms, an environmental metabolomics approach was applied to assesses the interaction between environment and plants in the metabolic phenotype.</w:t>
      </w:r>
    </w:p>
    <w:p w14:paraId="34FAEFF5" w14:textId="77777777" w:rsidR="005A234F" w:rsidRDefault="005A234F" w:rsidP="00965C7D">
      <w:pPr>
        <w:spacing w:line="360" w:lineRule="auto"/>
        <w:rPr>
          <w:rFonts w:ascii="Times" w:hAnsi="Times"/>
        </w:rPr>
      </w:pPr>
      <w:r>
        <w:rPr>
          <w:rFonts w:ascii="Times" w:hAnsi="Times"/>
        </w:rPr>
        <w:tab/>
        <w:t>Phenotypic traits (phenology, productivity and reproductive) varied significantly between populations in a number of species, under the absence of environmental variation. Many of the trait patterns had a genetic basis, though the importance of environmental maternal effects was also highlighted.</w:t>
      </w:r>
    </w:p>
    <w:p w14:paraId="19D46545" w14:textId="77777777" w:rsidR="005A234F" w:rsidRDefault="005A234F" w:rsidP="00965C7D">
      <w:pPr>
        <w:spacing w:line="360" w:lineRule="auto"/>
        <w:rPr>
          <w:rFonts w:ascii="Times" w:hAnsi="Times"/>
        </w:rPr>
      </w:pPr>
      <w:r>
        <w:rPr>
          <w:rFonts w:ascii="Times" w:hAnsi="Times"/>
        </w:rPr>
        <w:tab/>
        <w:t xml:space="preserve">Metabolically fingerprinting five species of winter annual plants showed that species living together in a community have distinct metabolic phenotypes. While it could be expected that plants growing together in a community would share similar traits because they respond to the same environmental stimuli, this work highlights that species are fulfilling different metabolic niches within this community. </w:t>
      </w:r>
    </w:p>
    <w:p w14:paraId="043DC4B0" w14:textId="77777777" w:rsidR="005A234F" w:rsidRDefault="005A234F" w:rsidP="00965C7D">
      <w:pPr>
        <w:spacing w:line="360" w:lineRule="auto"/>
        <w:ind w:firstLine="720"/>
        <w:rPr>
          <w:rFonts w:ascii="Times" w:hAnsi="Times"/>
        </w:rPr>
      </w:pPr>
      <w:r>
        <w:rPr>
          <w:rFonts w:ascii="Times" w:hAnsi="Times"/>
        </w:rPr>
        <w:t xml:space="preserve">Analysis of metabolic trait variation between populations growing under standard environmental conditions elicited species-specific responses. Variation in traits between populations related to variation in environmental conditions, highlighting that some species may adapted to local climates metabolically. Contrasting patterns of intra-specific metabolic </w:t>
      </w:r>
      <w:r w:rsidRPr="007732C7">
        <w:rPr>
          <w:rFonts w:ascii="Times" w:hAnsi="Times"/>
        </w:rPr>
        <w:t xml:space="preserve">variation suggested that plant responses such as phenotypic plasticity to environmental variation </w:t>
      </w:r>
      <w:r>
        <w:rPr>
          <w:rFonts w:ascii="Times" w:hAnsi="Times"/>
        </w:rPr>
        <w:t xml:space="preserve">could play a key role in the </w:t>
      </w:r>
      <w:r w:rsidRPr="007732C7">
        <w:rPr>
          <w:rFonts w:ascii="Times" w:hAnsi="Times"/>
        </w:rPr>
        <w:t xml:space="preserve">control of metabolism. </w:t>
      </w:r>
    </w:p>
    <w:p w14:paraId="50AF4564" w14:textId="77777777" w:rsidR="005A234F" w:rsidRDefault="005A234F" w:rsidP="00965C7D">
      <w:pPr>
        <w:spacing w:line="360" w:lineRule="auto"/>
        <w:ind w:firstLine="720"/>
        <w:rPr>
          <w:rFonts w:ascii="Times" w:hAnsi="Times"/>
        </w:rPr>
      </w:pPr>
      <w:r w:rsidRPr="003C6D47">
        <w:rPr>
          <w:rFonts w:ascii="Times" w:hAnsi="Times"/>
        </w:rPr>
        <w:t xml:space="preserve">Plants growing in their natural habitat represent a valuable resource for elucidating mechanisms of acclimation to environmental constraints. </w:t>
      </w:r>
      <w:r>
        <w:rPr>
          <w:rFonts w:ascii="Times" w:hAnsi="Times"/>
        </w:rPr>
        <w:t xml:space="preserve">Metabolic variation of field samples could not be detected at small spatial scales encapsulating habitat heterogeneity. Metabolic differences could be detected at larger scales, such as the population level, though regional scales showed the largest metabolic variation. </w:t>
      </w:r>
    </w:p>
    <w:p w14:paraId="6F05E2AB" w14:textId="77777777" w:rsidR="005A234F" w:rsidRPr="00825A8D" w:rsidRDefault="005A234F" w:rsidP="00965C7D">
      <w:pPr>
        <w:spacing w:line="360" w:lineRule="auto"/>
        <w:rPr>
          <w:rFonts w:ascii="Times" w:hAnsi="Times"/>
        </w:rPr>
      </w:pPr>
    </w:p>
    <w:p w14:paraId="4FD5B60D" w14:textId="77777777" w:rsidR="005A234F" w:rsidRDefault="005A234F" w:rsidP="00965C7D">
      <w:pPr>
        <w:spacing w:before="2" w:after="2" w:line="360" w:lineRule="auto"/>
        <w:rPr>
          <w:rFonts w:ascii="Times" w:hAnsi="Times"/>
        </w:rPr>
      </w:pPr>
    </w:p>
    <w:p w14:paraId="54B5FB58" w14:textId="77777777" w:rsidR="005A234F" w:rsidRDefault="005A234F" w:rsidP="00965C7D">
      <w:pPr>
        <w:spacing w:before="2" w:after="2" w:line="360" w:lineRule="auto"/>
        <w:rPr>
          <w:rFonts w:ascii="Times" w:hAnsi="Times"/>
        </w:rPr>
      </w:pPr>
    </w:p>
    <w:p w14:paraId="64784B03" w14:textId="77777777" w:rsidR="005A234F" w:rsidRDefault="005A234F" w:rsidP="00965C7D">
      <w:pPr>
        <w:spacing w:before="2" w:after="2" w:line="360" w:lineRule="auto"/>
        <w:rPr>
          <w:rFonts w:ascii="Times" w:hAnsi="Times"/>
        </w:rPr>
      </w:pPr>
    </w:p>
    <w:p w14:paraId="75E2AF71" w14:textId="77777777" w:rsidR="005A234F" w:rsidRDefault="005A234F"/>
    <w:p w14:paraId="14717DD6" w14:textId="77777777" w:rsidR="005A234F" w:rsidRPr="00950697" w:rsidRDefault="005A234F">
      <w:pPr>
        <w:rPr>
          <w:b/>
          <w:u w:val="single"/>
        </w:rPr>
      </w:pPr>
      <w:r w:rsidRPr="00950697">
        <w:rPr>
          <w:b/>
          <w:u w:val="single"/>
        </w:rPr>
        <w:t>List of Figures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42"/>
        <w:gridCol w:w="5812"/>
        <w:gridCol w:w="992"/>
      </w:tblGrid>
      <w:tr w:rsidR="005A234F" w:rsidRPr="00F03BB1" w14:paraId="75F629FE" w14:textId="77777777">
        <w:trPr>
          <w:cantSplit/>
          <w:trHeight w:val="284"/>
        </w:trPr>
        <w:tc>
          <w:tcPr>
            <w:tcW w:w="1242" w:type="dxa"/>
          </w:tcPr>
          <w:p w14:paraId="60F530EA" w14:textId="77777777" w:rsidR="005A234F" w:rsidRPr="00F03BB1" w:rsidRDefault="005A234F" w:rsidP="00965C7D">
            <w:pPr>
              <w:rPr>
                <w:rFonts w:ascii="Times" w:hAnsi="Times"/>
                <w:sz w:val="20"/>
                <w:szCs w:val="20"/>
              </w:rPr>
            </w:pPr>
            <w:r w:rsidRPr="00F03BB1">
              <w:rPr>
                <w:rFonts w:ascii="Times" w:hAnsi="Times"/>
                <w:sz w:val="20"/>
                <w:szCs w:val="20"/>
              </w:rPr>
              <w:t>Figure</w:t>
            </w:r>
          </w:p>
        </w:tc>
        <w:tc>
          <w:tcPr>
            <w:tcW w:w="5812" w:type="dxa"/>
          </w:tcPr>
          <w:p w14:paraId="3962675C" w14:textId="77777777" w:rsidR="005A234F" w:rsidRPr="00F03BB1" w:rsidRDefault="005A234F" w:rsidP="00965C7D">
            <w:pPr>
              <w:rPr>
                <w:rFonts w:ascii="Times" w:hAnsi="Times"/>
                <w:sz w:val="20"/>
                <w:szCs w:val="20"/>
              </w:rPr>
            </w:pPr>
            <w:r w:rsidRPr="00F03BB1">
              <w:rPr>
                <w:rFonts w:ascii="Times" w:hAnsi="Times"/>
                <w:sz w:val="20"/>
                <w:szCs w:val="20"/>
              </w:rPr>
              <w:t>Title</w:t>
            </w:r>
          </w:p>
        </w:tc>
        <w:tc>
          <w:tcPr>
            <w:tcW w:w="992" w:type="dxa"/>
          </w:tcPr>
          <w:p w14:paraId="0F2412E9" w14:textId="77777777" w:rsidR="005A234F" w:rsidRPr="00F03BB1" w:rsidRDefault="005A234F" w:rsidP="00965C7D">
            <w:pPr>
              <w:rPr>
                <w:rFonts w:ascii="Times" w:hAnsi="Times"/>
                <w:sz w:val="20"/>
                <w:szCs w:val="20"/>
              </w:rPr>
            </w:pPr>
            <w:r w:rsidRPr="00F03BB1">
              <w:rPr>
                <w:rFonts w:ascii="Times" w:hAnsi="Times"/>
                <w:sz w:val="20"/>
                <w:szCs w:val="20"/>
              </w:rPr>
              <w:t>Page</w:t>
            </w:r>
          </w:p>
        </w:tc>
      </w:tr>
      <w:tr w:rsidR="005A234F" w:rsidRPr="00F03BB1" w14:paraId="3ACB7899" w14:textId="77777777">
        <w:trPr>
          <w:cantSplit/>
          <w:trHeight w:val="284"/>
        </w:trPr>
        <w:tc>
          <w:tcPr>
            <w:tcW w:w="7054" w:type="dxa"/>
            <w:gridSpan w:val="2"/>
          </w:tcPr>
          <w:p w14:paraId="07CDDB12" w14:textId="77777777" w:rsidR="005A234F" w:rsidRPr="00F03BB1" w:rsidRDefault="005A234F" w:rsidP="00965C7D">
            <w:pPr>
              <w:rPr>
                <w:rFonts w:ascii="Times" w:hAnsi="Times"/>
                <w:sz w:val="20"/>
                <w:szCs w:val="20"/>
              </w:rPr>
            </w:pPr>
            <w:r w:rsidRPr="00F03BB1">
              <w:rPr>
                <w:rFonts w:ascii="Times" w:hAnsi="Times"/>
                <w:b/>
                <w:sz w:val="28"/>
                <w:szCs w:val="28"/>
              </w:rPr>
              <w:t>Chapter 2.</w:t>
            </w:r>
          </w:p>
        </w:tc>
        <w:tc>
          <w:tcPr>
            <w:tcW w:w="992" w:type="dxa"/>
          </w:tcPr>
          <w:p w14:paraId="7F5A0053" w14:textId="77777777" w:rsidR="005A234F" w:rsidRPr="00F03BB1" w:rsidRDefault="005A234F" w:rsidP="00965C7D">
            <w:pPr>
              <w:rPr>
                <w:rFonts w:ascii="Times" w:hAnsi="Times"/>
                <w:sz w:val="20"/>
                <w:szCs w:val="20"/>
              </w:rPr>
            </w:pPr>
          </w:p>
        </w:tc>
      </w:tr>
      <w:tr w:rsidR="005A234F" w:rsidRPr="00F03BB1" w14:paraId="17E880C9" w14:textId="77777777">
        <w:trPr>
          <w:cantSplit/>
          <w:trHeight w:val="284"/>
        </w:trPr>
        <w:tc>
          <w:tcPr>
            <w:tcW w:w="1242" w:type="dxa"/>
          </w:tcPr>
          <w:p w14:paraId="2ADE5695" w14:textId="77777777" w:rsidR="005A234F" w:rsidRPr="00F03BB1" w:rsidRDefault="005A234F" w:rsidP="00965C7D">
            <w:pPr>
              <w:rPr>
                <w:rFonts w:ascii="Times" w:hAnsi="Times"/>
                <w:sz w:val="20"/>
                <w:szCs w:val="20"/>
              </w:rPr>
            </w:pPr>
            <w:r w:rsidRPr="00F03BB1">
              <w:rPr>
                <w:rFonts w:ascii="Times" w:hAnsi="Times"/>
                <w:sz w:val="20"/>
                <w:szCs w:val="20"/>
              </w:rPr>
              <w:t xml:space="preserve">Fig 2.1. </w:t>
            </w:r>
          </w:p>
        </w:tc>
        <w:tc>
          <w:tcPr>
            <w:tcW w:w="5812" w:type="dxa"/>
          </w:tcPr>
          <w:p w14:paraId="2EAC532B" w14:textId="77777777" w:rsidR="005A234F" w:rsidRPr="00F03BB1" w:rsidRDefault="005A234F" w:rsidP="00965C7D">
            <w:pPr>
              <w:rPr>
                <w:rFonts w:ascii="Times" w:hAnsi="Times"/>
                <w:sz w:val="20"/>
                <w:szCs w:val="20"/>
              </w:rPr>
            </w:pPr>
            <w:r w:rsidRPr="00F03BB1">
              <w:rPr>
                <w:rFonts w:ascii="Times" w:hAnsi="Times"/>
                <w:sz w:val="20"/>
                <w:szCs w:val="20"/>
              </w:rPr>
              <w:t xml:space="preserve">Diagram indicating the location of field sites. </w:t>
            </w:r>
          </w:p>
        </w:tc>
        <w:tc>
          <w:tcPr>
            <w:tcW w:w="992" w:type="dxa"/>
          </w:tcPr>
          <w:p w14:paraId="23FF6593" w14:textId="4D8466B0" w:rsidR="005A234F" w:rsidRPr="00F03BB1" w:rsidRDefault="00A91AC0" w:rsidP="00965C7D">
            <w:pPr>
              <w:rPr>
                <w:rFonts w:ascii="Times" w:hAnsi="Times"/>
                <w:sz w:val="20"/>
                <w:szCs w:val="20"/>
              </w:rPr>
            </w:pPr>
            <w:r>
              <w:rPr>
                <w:rFonts w:ascii="Times" w:hAnsi="Times"/>
                <w:sz w:val="20"/>
                <w:szCs w:val="20"/>
              </w:rPr>
              <w:t>2</w:t>
            </w:r>
            <w:r w:rsidR="00774184">
              <w:rPr>
                <w:rFonts w:ascii="Times" w:hAnsi="Times"/>
                <w:sz w:val="20"/>
                <w:szCs w:val="20"/>
              </w:rPr>
              <w:t>4</w:t>
            </w:r>
          </w:p>
        </w:tc>
      </w:tr>
      <w:tr w:rsidR="005A234F" w:rsidRPr="00F03BB1" w14:paraId="6666A056" w14:textId="77777777">
        <w:trPr>
          <w:cantSplit/>
          <w:trHeight w:val="284"/>
        </w:trPr>
        <w:tc>
          <w:tcPr>
            <w:tcW w:w="1242" w:type="dxa"/>
          </w:tcPr>
          <w:p w14:paraId="4DA16454" w14:textId="77777777" w:rsidR="005A234F" w:rsidRPr="00F03BB1" w:rsidRDefault="005A234F" w:rsidP="00965C7D">
            <w:pPr>
              <w:rPr>
                <w:rFonts w:ascii="Times" w:hAnsi="Times"/>
                <w:sz w:val="20"/>
                <w:szCs w:val="20"/>
              </w:rPr>
            </w:pPr>
            <w:r w:rsidRPr="00F03BB1">
              <w:rPr>
                <w:rFonts w:ascii="Times" w:hAnsi="Times"/>
                <w:sz w:val="20"/>
                <w:szCs w:val="20"/>
              </w:rPr>
              <w:t xml:space="preserve">Fig 2.2. </w:t>
            </w:r>
          </w:p>
        </w:tc>
        <w:tc>
          <w:tcPr>
            <w:tcW w:w="5812" w:type="dxa"/>
          </w:tcPr>
          <w:p w14:paraId="4392C507" w14:textId="77777777" w:rsidR="005A234F" w:rsidRPr="00F03BB1" w:rsidRDefault="005A234F" w:rsidP="00965C7D">
            <w:pPr>
              <w:rPr>
                <w:rFonts w:ascii="Times" w:hAnsi="Times"/>
                <w:sz w:val="20"/>
                <w:szCs w:val="20"/>
              </w:rPr>
            </w:pPr>
            <w:r w:rsidRPr="00F03BB1">
              <w:rPr>
                <w:rFonts w:ascii="Times" w:hAnsi="Times"/>
                <w:sz w:val="20"/>
                <w:szCs w:val="20"/>
              </w:rPr>
              <w:t>Drawing of Arenaria serpyllifolia (L.). A, plant; B, bract; C, flower; D, petal; E, stamen; F, capsule; G, seed (Butcher, 1961).</w:t>
            </w:r>
          </w:p>
        </w:tc>
        <w:tc>
          <w:tcPr>
            <w:tcW w:w="992" w:type="dxa"/>
          </w:tcPr>
          <w:p w14:paraId="709D8790" w14:textId="0305593E" w:rsidR="005A234F" w:rsidRPr="00F03BB1" w:rsidRDefault="00A91AC0" w:rsidP="00774184">
            <w:pPr>
              <w:rPr>
                <w:rFonts w:ascii="Times" w:hAnsi="Times"/>
                <w:sz w:val="20"/>
                <w:szCs w:val="20"/>
              </w:rPr>
            </w:pPr>
            <w:r>
              <w:rPr>
                <w:rFonts w:ascii="Times" w:hAnsi="Times"/>
                <w:sz w:val="20"/>
                <w:szCs w:val="20"/>
              </w:rPr>
              <w:t>2</w:t>
            </w:r>
            <w:r w:rsidR="00774184">
              <w:rPr>
                <w:rFonts w:ascii="Times" w:hAnsi="Times"/>
                <w:sz w:val="20"/>
                <w:szCs w:val="20"/>
              </w:rPr>
              <w:t>7</w:t>
            </w:r>
          </w:p>
        </w:tc>
      </w:tr>
      <w:tr w:rsidR="005A234F" w:rsidRPr="00F03BB1" w14:paraId="664C86ED" w14:textId="77777777">
        <w:trPr>
          <w:cantSplit/>
          <w:trHeight w:val="284"/>
        </w:trPr>
        <w:tc>
          <w:tcPr>
            <w:tcW w:w="1242" w:type="dxa"/>
          </w:tcPr>
          <w:p w14:paraId="0A21FB5B" w14:textId="77777777" w:rsidR="005A234F" w:rsidRPr="00F03BB1" w:rsidRDefault="005A234F" w:rsidP="00965C7D">
            <w:pPr>
              <w:rPr>
                <w:rFonts w:ascii="Times" w:hAnsi="Times"/>
                <w:sz w:val="20"/>
                <w:szCs w:val="20"/>
              </w:rPr>
            </w:pPr>
            <w:r w:rsidRPr="00F03BB1">
              <w:rPr>
                <w:rFonts w:ascii="Times" w:hAnsi="Times"/>
                <w:sz w:val="20"/>
                <w:szCs w:val="20"/>
              </w:rPr>
              <w:t xml:space="preserve">Fig 2.3. </w:t>
            </w:r>
          </w:p>
        </w:tc>
        <w:tc>
          <w:tcPr>
            <w:tcW w:w="5812" w:type="dxa"/>
          </w:tcPr>
          <w:p w14:paraId="54B48C0D" w14:textId="77777777" w:rsidR="005A234F" w:rsidRPr="00F03BB1" w:rsidRDefault="005A234F" w:rsidP="00965C7D">
            <w:pPr>
              <w:rPr>
                <w:rFonts w:ascii="Times" w:hAnsi="Times"/>
                <w:sz w:val="20"/>
                <w:szCs w:val="20"/>
              </w:rPr>
            </w:pPr>
            <w:r w:rsidRPr="00F03BB1">
              <w:rPr>
                <w:rFonts w:ascii="Times" w:hAnsi="Times"/>
                <w:sz w:val="20"/>
                <w:szCs w:val="20"/>
              </w:rPr>
              <w:t>Drawing of Cerastium diffusum (L.). A, bract; B, sepal; C, petal; D, pistil; E, capsule; F, seed. (Butcher, 1961)</w:t>
            </w:r>
          </w:p>
        </w:tc>
        <w:tc>
          <w:tcPr>
            <w:tcW w:w="992" w:type="dxa"/>
          </w:tcPr>
          <w:p w14:paraId="2D6DBF31" w14:textId="6E557C4B" w:rsidR="005A234F" w:rsidRPr="00F03BB1" w:rsidRDefault="00A91AC0" w:rsidP="00774184">
            <w:pPr>
              <w:rPr>
                <w:rFonts w:ascii="Times" w:hAnsi="Times"/>
                <w:sz w:val="20"/>
                <w:szCs w:val="20"/>
              </w:rPr>
            </w:pPr>
            <w:r>
              <w:rPr>
                <w:rFonts w:ascii="Times" w:hAnsi="Times"/>
                <w:sz w:val="20"/>
                <w:szCs w:val="20"/>
              </w:rPr>
              <w:t>2</w:t>
            </w:r>
            <w:r w:rsidR="00774184">
              <w:rPr>
                <w:rFonts w:ascii="Times" w:hAnsi="Times"/>
                <w:sz w:val="20"/>
                <w:szCs w:val="20"/>
              </w:rPr>
              <w:t>7</w:t>
            </w:r>
          </w:p>
        </w:tc>
      </w:tr>
      <w:tr w:rsidR="005A234F" w:rsidRPr="00F03BB1" w14:paraId="7E2DB022" w14:textId="77777777">
        <w:trPr>
          <w:cantSplit/>
          <w:trHeight w:val="284"/>
        </w:trPr>
        <w:tc>
          <w:tcPr>
            <w:tcW w:w="1242" w:type="dxa"/>
          </w:tcPr>
          <w:p w14:paraId="20E120EB" w14:textId="77777777" w:rsidR="005A234F" w:rsidRPr="00F03BB1" w:rsidRDefault="005A234F" w:rsidP="00965C7D">
            <w:pPr>
              <w:rPr>
                <w:rFonts w:ascii="Times" w:hAnsi="Times"/>
                <w:sz w:val="20"/>
                <w:szCs w:val="20"/>
              </w:rPr>
            </w:pPr>
            <w:r w:rsidRPr="00F03BB1">
              <w:rPr>
                <w:rFonts w:ascii="Times" w:hAnsi="Times"/>
                <w:sz w:val="20"/>
                <w:szCs w:val="20"/>
              </w:rPr>
              <w:t xml:space="preserve">Fig 2.4. </w:t>
            </w:r>
          </w:p>
        </w:tc>
        <w:tc>
          <w:tcPr>
            <w:tcW w:w="5812" w:type="dxa"/>
          </w:tcPr>
          <w:p w14:paraId="77B8A3A5" w14:textId="77777777" w:rsidR="005A234F" w:rsidRPr="00F03BB1" w:rsidRDefault="005A234F" w:rsidP="00965C7D">
            <w:pPr>
              <w:rPr>
                <w:rFonts w:ascii="Times" w:hAnsi="Times"/>
                <w:sz w:val="20"/>
                <w:szCs w:val="20"/>
              </w:rPr>
            </w:pPr>
            <w:r w:rsidRPr="00F03BB1">
              <w:rPr>
                <w:rFonts w:ascii="Times" w:hAnsi="Times"/>
                <w:sz w:val="20"/>
                <w:szCs w:val="20"/>
              </w:rPr>
              <w:t>Drawing of Erodium cicutarium (L.). A, calyx; B, petals; C, stamen; D, staminodes; E, fruit; F, seed (ventral and lateral views). (Butcher, 1961)</w:t>
            </w:r>
          </w:p>
        </w:tc>
        <w:tc>
          <w:tcPr>
            <w:tcW w:w="992" w:type="dxa"/>
          </w:tcPr>
          <w:p w14:paraId="016AEDB3" w14:textId="4B546D2A" w:rsidR="005A234F" w:rsidRPr="00F03BB1" w:rsidRDefault="00A91AC0" w:rsidP="00774184">
            <w:pPr>
              <w:rPr>
                <w:rFonts w:ascii="Times" w:hAnsi="Times"/>
                <w:sz w:val="20"/>
                <w:szCs w:val="20"/>
              </w:rPr>
            </w:pPr>
            <w:r>
              <w:rPr>
                <w:rFonts w:ascii="Times" w:hAnsi="Times"/>
                <w:sz w:val="20"/>
                <w:szCs w:val="20"/>
              </w:rPr>
              <w:t>2</w:t>
            </w:r>
            <w:r w:rsidR="00774184">
              <w:rPr>
                <w:rFonts w:ascii="Times" w:hAnsi="Times"/>
                <w:sz w:val="20"/>
                <w:szCs w:val="20"/>
              </w:rPr>
              <w:t>8</w:t>
            </w:r>
          </w:p>
        </w:tc>
      </w:tr>
      <w:tr w:rsidR="005A234F" w:rsidRPr="00F03BB1" w14:paraId="5D36E518" w14:textId="77777777">
        <w:trPr>
          <w:cantSplit/>
          <w:trHeight w:val="284"/>
        </w:trPr>
        <w:tc>
          <w:tcPr>
            <w:tcW w:w="1242" w:type="dxa"/>
          </w:tcPr>
          <w:p w14:paraId="39CB0CD4" w14:textId="77777777" w:rsidR="005A234F" w:rsidRPr="00F03BB1" w:rsidRDefault="005A234F" w:rsidP="00965C7D">
            <w:pPr>
              <w:rPr>
                <w:rFonts w:ascii="Times" w:hAnsi="Times"/>
                <w:sz w:val="20"/>
                <w:szCs w:val="20"/>
              </w:rPr>
            </w:pPr>
            <w:r w:rsidRPr="00F03BB1">
              <w:rPr>
                <w:rFonts w:ascii="Times" w:hAnsi="Times"/>
                <w:sz w:val="20"/>
                <w:szCs w:val="20"/>
              </w:rPr>
              <w:t xml:space="preserve">Fig 2.5. </w:t>
            </w:r>
          </w:p>
        </w:tc>
        <w:tc>
          <w:tcPr>
            <w:tcW w:w="5812" w:type="dxa"/>
          </w:tcPr>
          <w:p w14:paraId="3DB7E56D" w14:textId="77777777" w:rsidR="005A234F" w:rsidRPr="00F03BB1" w:rsidRDefault="005A234F" w:rsidP="00965C7D">
            <w:pPr>
              <w:rPr>
                <w:rFonts w:ascii="Times" w:hAnsi="Times"/>
                <w:sz w:val="20"/>
                <w:szCs w:val="20"/>
              </w:rPr>
            </w:pPr>
            <w:r w:rsidRPr="00F03BB1">
              <w:rPr>
                <w:rFonts w:ascii="Times" w:hAnsi="Times"/>
                <w:sz w:val="20"/>
                <w:szCs w:val="20"/>
              </w:rPr>
              <w:t>Phleum arenarium (L.). A, spikelet; B, lemma; C, palea; D, flower; E, ligule; F, seed. (Butcher, 1961)</w:t>
            </w:r>
          </w:p>
        </w:tc>
        <w:tc>
          <w:tcPr>
            <w:tcW w:w="992" w:type="dxa"/>
          </w:tcPr>
          <w:p w14:paraId="52E95A38" w14:textId="16FD62F8" w:rsidR="005A234F" w:rsidRPr="00F03BB1" w:rsidRDefault="005A234F" w:rsidP="00774184">
            <w:pPr>
              <w:rPr>
                <w:rFonts w:ascii="Times" w:hAnsi="Times"/>
                <w:sz w:val="20"/>
                <w:szCs w:val="20"/>
              </w:rPr>
            </w:pPr>
            <w:r>
              <w:rPr>
                <w:rFonts w:ascii="Times" w:hAnsi="Times"/>
                <w:sz w:val="20"/>
                <w:szCs w:val="20"/>
              </w:rPr>
              <w:t>2</w:t>
            </w:r>
            <w:r w:rsidR="00774184">
              <w:rPr>
                <w:rFonts w:ascii="Times" w:hAnsi="Times"/>
                <w:sz w:val="20"/>
                <w:szCs w:val="20"/>
              </w:rPr>
              <w:t>8</w:t>
            </w:r>
          </w:p>
        </w:tc>
      </w:tr>
      <w:tr w:rsidR="005A234F" w:rsidRPr="00F03BB1" w14:paraId="0534CB76" w14:textId="77777777">
        <w:trPr>
          <w:cantSplit/>
          <w:trHeight w:val="284"/>
        </w:trPr>
        <w:tc>
          <w:tcPr>
            <w:tcW w:w="1242" w:type="dxa"/>
          </w:tcPr>
          <w:p w14:paraId="1DFF9FE4" w14:textId="77777777" w:rsidR="005A234F" w:rsidRPr="00F03BB1" w:rsidRDefault="005A234F" w:rsidP="00965C7D">
            <w:pPr>
              <w:rPr>
                <w:rFonts w:ascii="Times" w:hAnsi="Times"/>
                <w:sz w:val="20"/>
                <w:szCs w:val="20"/>
              </w:rPr>
            </w:pPr>
            <w:r w:rsidRPr="00F03BB1">
              <w:rPr>
                <w:rFonts w:ascii="Times" w:hAnsi="Times"/>
                <w:sz w:val="20"/>
                <w:szCs w:val="20"/>
              </w:rPr>
              <w:t xml:space="preserve">Fig 2.6. </w:t>
            </w:r>
          </w:p>
        </w:tc>
        <w:tc>
          <w:tcPr>
            <w:tcW w:w="5812" w:type="dxa"/>
          </w:tcPr>
          <w:p w14:paraId="72A59CF5" w14:textId="77777777" w:rsidR="005A234F" w:rsidRPr="00F03BB1" w:rsidRDefault="005A234F" w:rsidP="00965C7D">
            <w:pPr>
              <w:rPr>
                <w:rFonts w:ascii="Times" w:hAnsi="Times"/>
                <w:sz w:val="20"/>
                <w:szCs w:val="20"/>
              </w:rPr>
            </w:pPr>
            <w:r w:rsidRPr="00F03BB1">
              <w:rPr>
                <w:rFonts w:ascii="Times" w:hAnsi="Times"/>
                <w:sz w:val="20"/>
                <w:szCs w:val="20"/>
              </w:rPr>
              <w:t>Drawing of Senecio vulgaris (L.). A, flower-head; B, floret; C, phyllaries; D, achene. (Butcher, 1961)</w:t>
            </w:r>
          </w:p>
        </w:tc>
        <w:tc>
          <w:tcPr>
            <w:tcW w:w="992" w:type="dxa"/>
          </w:tcPr>
          <w:p w14:paraId="56834682" w14:textId="2287749E" w:rsidR="005A234F" w:rsidRPr="00F03BB1" w:rsidRDefault="005A234F" w:rsidP="00774184">
            <w:pPr>
              <w:rPr>
                <w:rFonts w:ascii="Times" w:hAnsi="Times"/>
                <w:sz w:val="20"/>
                <w:szCs w:val="20"/>
              </w:rPr>
            </w:pPr>
            <w:r>
              <w:rPr>
                <w:rFonts w:ascii="Times" w:hAnsi="Times"/>
                <w:sz w:val="20"/>
                <w:szCs w:val="20"/>
              </w:rPr>
              <w:t>2</w:t>
            </w:r>
            <w:r w:rsidR="00774184">
              <w:rPr>
                <w:rFonts w:ascii="Times" w:hAnsi="Times"/>
                <w:sz w:val="20"/>
                <w:szCs w:val="20"/>
              </w:rPr>
              <w:t>9</w:t>
            </w:r>
          </w:p>
        </w:tc>
      </w:tr>
      <w:tr w:rsidR="005A234F" w:rsidRPr="00F03BB1" w14:paraId="03E19FE9" w14:textId="77777777">
        <w:trPr>
          <w:cantSplit/>
          <w:trHeight w:val="284"/>
        </w:trPr>
        <w:tc>
          <w:tcPr>
            <w:tcW w:w="1242" w:type="dxa"/>
          </w:tcPr>
          <w:p w14:paraId="556E265D" w14:textId="77777777" w:rsidR="005A234F" w:rsidRPr="00F03BB1" w:rsidRDefault="005A234F" w:rsidP="00965C7D">
            <w:pPr>
              <w:rPr>
                <w:rFonts w:ascii="Times" w:hAnsi="Times"/>
                <w:sz w:val="20"/>
                <w:szCs w:val="20"/>
              </w:rPr>
            </w:pPr>
            <w:r w:rsidRPr="00F03BB1">
              <w:rPr>
                <w:rFonts w:ascii="Times" w:hAnsi="Times"/>
                <w:sz w:val="20"/>
                <w:szCs w:val="20"/>
              </w:rPr>
              <w:t xml:space="preserve">Fig 2.7. </w:t>
            </w:r>
          </w:p>
        </w:tc>
        <w:tc>
          <w:tcPr>
            <w:tcW w:w="5812" w:type="dxa"/>
          </w:tcPr>
          <w:p w14:paraId="7DC295F9" w14:textId="77777777" w:rsidR="005A234F" w:rsidRPr="00F03BB1" w:rsidRDefault="005A234F" w:rsidP="00965C7D">
            <w:pPr>
              <w:rPr>
                <w:rFonts w:ascii="Times" w:hAnsi="Times"/>
                <w:sz w:val="20"/>
                <w:szCs w:val="20"/>
              </w:rPr>
            </w:pPr>
            <w:r w:rsidRPr="00F03BB1">
              <w:rPr>
                <w:rFonts w:ascii="Times" w:hAnsi="Times"/>
                <w:sz w:val="20"/>
                <w:szCs w:val="20"/>
              </w:rPr>
              <w:t>Drawing of Veronica arvensis (L.). A, calyx; B, flower; C, capsule; D, seed (ventral and lateral views)(Butcher, 1961)</w:t>
            </w:r>
          </w:p>
        </w:tc>
        <w:tc>
          <w:tcPr>
            <w:tcW w:w="992" w:type="dxa"/>
          </w:tcPr>
          <w:p w14:paraId="2D0069A5" w14:textId="0676C90E" w:rsidR="005A234F" w:rsidRPr="00F03BB1" w:rsidRDefault="005A234F" w:rsidP="00774184">
            <w:pPr>
              <w:rPr>
                <w:rFonts w:ascii="Times" w:hAnsi="Times"/>
                <w:sz w:val="20"/>
                <w:szCs w:val="20"/>
              </w:rPr>
            </w:pPr>
            <w:r>
              <w:rPr>
                <w:rFonts w:ascii="Times" w:hAnsi="Times"/>
                <w:sz w:val="20"/>
                <w:szCs w:val="20"/>
              </w:rPr>
              <w:t>2</w:t>
            </w:r>
            <w:r w:rsidR="00774184">
              <w:rPr>
                <w:rFonts w:ascii="Times" w:hAnsi="Times"/>
                <w:sz w:val="20"/>
                <w:szCs w:val="20"/>
              </w:rPr>
              <w:t>9</w:t>
            </w:r>
          </w:p>
        </w:tc>
      </w:tr>
      <w:tr w:rsidR="005A234F" w:rsidRPr="00F03BB1" w14:paraId="37CA9985" w14:textId="77777777">
        <w:trPr>
          <w:cantSplit/>
          <w:trHeight w:val="284"/>
        </w:trPr>
        <w:tc>
          <w:tcPr>
            <w:tcW w:w="1242" w:type="dxa"/>
          </w:tcPr>
          <w:p w14:paraId="01C04D45" w14:textId="77777777" w:rsidR="005A234F" w:rsidRPr="00F03BB1" w:rsidRDefault="005A234F" w:rsidP="00965C7D">
            <w:pPr>
              <w:rPr>
                <w:rFonts w:ascii="Times" w:hAnsi="Times"/>
                <w:sz w:val="20"/>
                <w:szCs w:val="20"/>
              </w:rPr>
            </w:pPr>
            <w:r>
              <w:rPr>
                <w:rFonts w:ascii="Times" w:hAnsi="Times"/>
                <w:sz w:val="20"/>
                <w:szCs w:val="20"/>
              </w:rPr>
              <w:t>Fig 2.8</w:t>
            </w:r>
          </w:p>
        </w:tc>
        <w:tc>
          <w:tcPr>
            <w:tcW w:w="5812" w:type="dxa"/>
          </w:tcPr>
          <w:p w14:paraId="4960F634" w14:textId="77777777" w:rsidR="005A234F" w:rsidRPr="00077487" w:rsidRDefault="005A234F" w:rsidP="00965C7D">
            <w:pPr>
              <w:pStyle w:val="BodyJB"/>
              <w:spacing w:line="240" w:lineRule="auto"/>
              <w:rPr>
                <w:sz w:val="20"/>
                <w:szCs w:val="20"/>
              </w:rPr>
            </w:pPr>
            <w:r w:rsidRPr="00077487">
              <w:rPr>
                <w:sz w:val="20"/>
                <w:szCs w:val="20"/>
              </w:rPr>
              <w:t>Phylogenetic summary of species, branch lengths correspond to the evolutionary divergence time.</w:t>
            </w:r>
          </w:p>
          <w:p w14:paraId="7E2C6993" w14:textId="77777777" w:rsidR="005A234F" w:rsidRDefault="005A234F" w:rsidP="00965C7D">
            <w:pPr>
              <w:rPr>
                <w:rFonts w:ascii="Times" w:hAnsi="Times"/>
                <w:sz w:val="20"/>
                <w:szCs w:val="20"/>
              </w:rPr>
            </w:pPr>
          </w:p>
          <w:p w14:paraId="27D21431" w14:textId="77777777" w:rsidR="00FB67DB" w:rsidRPr="00F03BB1" w:rsidRDefault="00FB67DB" w:rsidP="00965C7D">
            <w:pPr>
              <w:rPr>
                <w:rFonts w:ascii="Times" w:hAnsi="Times"/>
                <w:sz w:val="20"/>
                <w:szCs w:val="20"/>
              </w:rPr>
            </w:pPr>
          </w:p>
        </w:tc>
        <w:tc>
          <w:tcPr>
            <w:tcW w:w="992" w:type="dxa"/>
          </w:tcPr>
          <w:p w14:paraId="415D6A7A" w14:textId="5F5668C4" w:rsidR="005A234F" w:rsidRPr="00F03BB1" w:rsidRDefault="00774184" w:rsidP="00965C7D">
            <w:pPr>
              <w:rPr>
                <w:rFonts w:ascii="Times" w:hAnsi="Times"/>
                <w:sz w:val="20"/>
                <w:szCs w:val="20"/>
              </w:rPr>
            </w:pPr>
            <w:r>
              <w:rPr>
                <w:rFonts w:ascii="Times" w:hAnsi="Times"/>
                <w:sz w:val="20"/>
                <w:szCs w:val="20"/>
              </w:rPr>
              <w:t>31</w:t>
            </w:r>
          </w:p>
        </w:tc>
      </w:tr>
      <w:tr w:rsidR="005A234F" w:rsidRPr="00F03BB1" w14:paraId="22D8FBAF" w14:textId="77777777">
        <w:trPr>
          <w:cantSplit/>
          <w:trHeight w:val="284"/>
        </w:trPr>
        <w:tc>
          <w:tcPr>
            <w:tcW w:w="7054" w:type="dxa"/>
            <w:gridSpan w:val="2"/>
          </w:tcPr>
          <w:p w14:paraId="72705CEE" w14:textId="77777777" w:rsidR="005A234F" w:rsidRPr="00F03BB1" w:rsidRDefault="005A234F" w:rsidP="00965C7D">
            <w:pPr>
              <w:rPr>
                <w:rFonts w:ascii="Times" w:hAnsi="Times"/>
                <w:b/>
                <w:sz w:val="28"/>
                <w:szCs w:val="28"/>
              </w:rPr>
            </w:pPr>
            <w:r w:rsidRPr="00F03BB1">
              <w:rPr>
                <w:rFonts w:ascii="Times" w:hAnsi="Times"/>
                <w:b/>
                <w:sz w:val="28"/>
                <w:szCs w:val="28"/>
              </w:rPr>
              <w:t>Chapter 3</w:t>
            </w:r>
          </w:p>
        </w:tc>
        <w:tc>
          <w:tcPr>
            <w:tcW w:w="992" w:type="dxa"/>
          </w:tcPr>
          <w:p w14:paraId="5BA9F997" w14:textId="77777777" w:rsidR="005A234F" w:rsidRPr="00F03BB1" w:rsidRDefault="005A234F" w:rsidP="00965C7D">
            <w:pPr>
              <w:rPr>
                <w:rFonts w:ascii="Times" w:hAnsi="Times"/>
                <w:sz w:val="20"/>
                <w:szCs w:val="20"/>
              </w:rPr>
            </w:pPr>
          </w:p>
        </w:tc>
      </w:tr>
      <w:tr w:rsidR="005A234F" w:rsidRPr="00F03BB1" w14:paraId="3B64CFB7" w14:textId="77777777">
        <w:trPr>
          <w:cantSplit/>
          <w:trHeight w:val="284"/>
        </w:trPr>
        <w:tc>
          <w:tcPr>
            <w:tcW w:w="1242" w:type="dxa"/>
          </w:tcPr>
          <w:p w14:paraId="793C3CA4" w14:textId="77777777" w:rsidR="005A234F" w:rsidRPr="00F03BB1" w:rsidRDefault="005A234F" w:rsidP="00965C7D">
            <w:pPr>
              <w:rPr>
                <w:rFonts w:ascii="Times" w:hAnsi="Times"/>
                <w:sz w:val="20"/>
                <w:szCs w:val="20"/>
              </w:rPr>
            </w:pPr>
            <w:r w:rsidRPr="00F03BB1">
              <w:rPr>
                <w:rFonts w:ascii="Times" w:hAnsi="Times"/>
                <w:sz w:val="20"/>
                <w:szCs w:val="20"/>
              </w:rPr>
              <w:t>Fig 3.1</w:t>
            </w:r>
          </w:p>
        </w:tc>
        <w:tc>
          <w:tcPr>
            <w:tcW w:w="5812" w:type="dxa"/>
          </w:tcPr>
          <w:p w14:paraId="16EF5824" w14:textId="77777777" w:rsidR="005A234F" w:rsidRPr="00F03BB1" w:rsidRDefault="005A234F" w:rsidP="00965C7D">
            <w:pPr>
              <w:rPr>
                <w:rFonts w:ascii="Times" w:hAnsi="Times"/>
                <w:sz w:val="20"/>
                <w:szCs w:val="20"/>
              </w:rPr>
            </w:pPr>
            <w:r w:rsidRPr="00F03BB1">
              <w:rPr>
                <w:rFonts w:ascii="Times" w:hAnsi="Times"/>
                <w:sz w:val="20"/>
                <w:szCs w:val="20"/>
              </w:rPr>
              <w:t xml:space="preserve">Trait values averaged per population for F2 generation plants of </w:t>
            </w:r>
            <w:r w:rsidRPr="00F03BB1">
              <w:rPr>
                <w:rFonts w:ascii="Times" w:hAnsi="Times"/>
                <w:i/>
                <w:sz w:val="20"/>
                <w:szCs w:val="20"/>
              </w:rPr>
              <w:t>A. serpyllifolia</w:t>
            </w:r>
            <w:r w:rsidRPr="00F03BB1">
              <w:rPr>
                <w:rFonts w:ascii="Times" w:hAnsi="Times"/>
                <w:sz w:val="20"/>
                <w:szCs w:val="20"/>
              </w:rPr>
              <w:t xml:space="preserve"> (red bars), </w:t>
            </w:r>
            <w:r w:rsidRPr="00F03BB1">
              <w:rPr>
                <w:rFonts w:ascii="Times" w:hAnsi="Times"/>
                <w:i/>
                <w:sz w:val="20"/>
                <w:szCs w:val="20"/>
              </w:rPr>
              <w:t>C. diffusum</w:t>
            </w:r>
            <w:r w:rsidRPr="00F03BB1">
              <w:rPr>
                <w:rFonts w:ascii="Times" w:hAnsi="Times"/>
                <w:sz w:val="20"/>
                <w:szCs w:val="20"/>
              </w:rPr>
              <w:t xml:space="preserve"> (blue bars), </w:t>
            </w:r>
            <w:r w:rsidRPr="00F03BB1">
              <w:rPr>
                <w:rFonts w:ascii="Times" w:hAnsi="Times"/>
                <w:i/>
                <w:sz w:val="20"/>
                <w:szCs w:val="20"/>
              </w:rPr>
              <w:t>P. arenarium</w:t>
            </w:r>
            <w:r w:rsidRPr="00F03BB1">
              <w:rPr>
                <w:rFonts w:ascii="Times" w:hAnsi="Times"/>
                <w:sz w:val="20"/>
                <w:szCs w:val="20"/>
              </w:rPr>
              <w:t xml:space="preserve"> (green bars), </w:t>
            </w:r>
            <w:r w:rsidRPr="00F03BB1">
              <w:rPr>
                <w:rFonts w:ascii="Times" w:hAnsi="Times"/>
                <w:i/>
                <w:sz w:val="20"/>
                <w:szCs w:val="20"/>
              </w:rPr>
              <w:t>S. vulgaris</w:t>
            </w:r>
            <w:r w:rsidRPr="00F03BB1">
              <w:rPr>
                <w:rFonts w:ascii="Times" w:hAnsi="Times"/>
                <w:sz w:val="20"/>
                <w:szCs w:val="20"/>
              </w:rPr>
              <w:t xml:space="preserve"> (purple bars) and </w:t>
            </w:r>
            <w:r w:rsidRPr="00F03BB1">
              <w:rPr>
                <w:rFonts w:ascii="Times" w:hAnsi="Times"/>
                <w:i/>
                <w:sz w:val="20"/>
                <w:szCs w:val="20"/>
              </w:rPr>
              <w:t>V. arvensis</w:t>
            </w:r>
            <w:r w:rsidRPr="00F03BB1">
              <w:rPr>
                <w:rFonts w:ascii="Times" w:hAnsi="Times"/>
                <w:sz w:val="20"/>
                <w:szCs w:val="20"/>
              </w:rPr>
              <w:t xml:space="preserve"> (orange bars) in traits a. flowering time; b. flowering height; c. number of ripe fruit; d. number of seed per plant; e. number of seed per fruit; f. final height; g. dry weight.</w:t>
            </w:r>
          </w:p>
          <w:p w14:paraId="77151A97" w14:textId="77777777" w:rsidR="005A234F" w:rsidRPr="00F03BB1" w:rsidRDefault="005A234F" w:rsidP="00965C7D">
            <w:pPr>
              <w:rPr>
                <w:rFonts w:ascii="Times" w:hAnsi="Times"/>
                <w:sz w:val="20"/>
                <w:szCs w:val="20"/>
              </w:rPr>
            </w:pPr>
          </w:p>
        </w:tc>
        <w:tc>
          <w:tcPr>
            <w:tcW w:w="992" w:type="dxa"/>
          </w:tcPr>
          <w:p w14:paraId="7FAA17ED" w14:textId="7E5D936D" w:rsidR="005A234F" w:rsidRPr="00F03BB1" w:rsidRDefault="00774184" w:rsidP="00965C7D">
            <w:pPr>
              <w:rPr>
                <w:rFonts w:ascii="Times" w:hAnsi="Times"/>
                <w:sz w:val="20"/>
                <w:szCs w:val="20"/>
              </w:rPr>
            </w:pPr>
            <w:r>
              <w:rPr>
                <w:rFonts w:ascii="Times" w:hAnsi="Times"/>
                <w:sz w:val="20"/>
                <w:szCs w:val="20"/>
              </w:rPr>
              <w:t>46</w:t>
            </w:r>
          </w:p>
        </w:tc>
      </w:tr>
      <w:tr w:rsidR="005A234F" w:rsidRPr="00F03BB1" w14:paraId="1C43EB17" w14:textId="77777777">
        <w:trPr>
          <w:cantSplit/>
          <w:trHeight w:val="284"/>
        </w:trPr>
        <w:tc>
          <w:tcPr>
            <w:tcW w:w="1242" w:type="dxa"/>
          </w:tcPr>
          <w:p w14:paraId="2581799F" w14:textId="77777777" w:rsidR="005A234F" w:rsidRPr="00F03BB1" w:rsidRDefault="005A234F" w:rsidP="00965C7D">
            <w:pPr>
              <w:rPr>
                <w:rFonts w:ascii="Times" w:hAnsi="Times"/>
                <w:sz w:val="20"/>
                <w:szCs w:val="20"/>
              </w:rPr>
            </w:pPr>
            <w:r w:rsidRPr="00F03BB1">
              <w:rPr>
                <w:rFonts w:ascii="Times" w:hAnsi="Times"/>
                <w:sz w:val="20"/>
                <w:szCs w:val="20"/>
              </w:rPr>
              <w:t>Fig. 3.2.</w:t>
            </w:r>
          </w:p>
        </w:tc>
        <w:tc>
          <w:tcPr>
            <w:tcW w:w="5812" w:type="dxa"/>
          </w:tcPr>
          <w:p w14:paraId="73238FF1" w14:textId="77777777" w:rsidR="005A234F" w:rsidRPr="00F03BB1" w:rsidRDefault="005A234F" w:rsidP="00965C7D">
            <w:pPr>
              <w:rPr>
                <w:rFonts w:ascii="Times" w:hAnsi="Times"/>
                <w:sz w:val="20"/>
                <w:szCs w:val="20"/>
              </w:rPr>
            </w:pPr>
            <w:r w:rsidRPr="00F03BB1">
              <w:rPr>
                <w:rFonts w:ascii="Times" w:hAnsi="Times"/>
                <w:sz w:val="20"/>
                <w:szCs w:val="20"/>
              </w:rPr>
              <w:t>Average trait values for all species per population for traits flowering time, flowering height, number of ripe fruit, number of seed per plant, number of seed per fruit, final height, dry weight, for F1 generation (pink line), and b. F2 generation (gold line) plants</w:t>
            </w:r>
          </w:p>
        </w:tc>
        <w:tc>
          <w:tcPr>
            <w:tcW w:w="992" w:type="dxa"/>
          </w:tcPr>
          <w:p w14:paraId="3655FFD2" w14:textId="5196F048" w:rsidR="005A234F" w:rsidRPr="00F03BB1" w:rsidRDefault="00A91AC0" w:rsidP="007C2CF6">
            <w:pPr>
              <w:rPr>
                <w:rFonts w:ascii="Times" w:hAnsi="Times"/>
                <w:sz w:val="20"/>
                <w:szCs w:val="20"/>
              </w:rPr>
            </w:pPr>
            <w:r>
              <w:rPr>
                <w:rFonts w:ascii="Times" w:hAnsi="Times"/>
                <w:sz w:val="20"/>
                <w:szCs w:val="20"/>
              </w:rPr>
              <w:t>5</w:t>
            </w:r>
            <w:r w:rsidR="007C2CF6">
              <w:rPr>
                <w:rFonts w:ascii="Times" w:hAnsi="Times"/>
                <w:sz w:val="20"/>
                <w:szCs w:val="20"/>
              </w:rPr>
              <w:t>3</w:t>
            </w:r>
          </w:p>
        </w:tc>
      </w:tr>
      <w:tr w:rsidR="005A234F" w:rsidRPr="00F03BB1" w14:paraId="5FE1DA11" w14:textId="77777777">
        <w:trPr>
          <w:cantSplit/>
          <w:trHeight w:val="284"/>
        </w:trPr>
        <w:tc>
          <w:tcPr>
            <w:tcW w:w="1242" w:type="dxa"/>
          </w:tcPr>
          <w:p w14:paraId="749E95FD" w14:textId="77777777" w:rsidR="005A234F" w:rsidRPr="00F03BB1" w:rsidRDefault="005A234F" w:rsidP="00965C7D">
            <w:pPr>
              <w:rPr>
                <w:rFonts w:ascii="Times" w:hAnsi="Times"/>
                <w:sz w:val="20"/>
                <w:szCs w:val="20"/>
              </w:rPr>
            </w:pPr>
          </w:p>
        </w:tc>
        <w:tc>
          <w:tcPr>
            <w:tcW w:w="5812" w:type="dxa"/>
          </w:tcPr>
          <w:p w14:paraId="08DB2018" w14:textId="77777777" w:rsidR="005A234F" w:rsidRDefault="005A234F" w:rsidP="00965C7D">
            <w:pPr>
              <w:rPr>
                <w:rFonts w:ascii="Times" w:hAnsi="Times"/>
                <w:sz w:val="20"/>
                <w:szCs w:val="20"/>
              </w:rPr>
            </w:pPr>
          </w:p>
          <w:p w14:paraId="02ECF370" w14:textId="77777777" w:rsidR="00FB67DB" w:rsidRPr="00F03BB1" w:rsidRDefault="00FB67DB" w:rsidP="00965C7D">
            <w:pPr>
              <w:rPr>
                <w:rFonts w:ascii="Times" w:hAnsi="Times"/>
                <w:sz w:val="20"/>
                <w:szCs w:val="20"/>
              </w:rPr>
            </w:pPr>
          </w:p>
        </w:tc>
        <w:tc>
          <w:tcPr>
            <w:tcW w:w="992" w:type="dxa"/>
          </w:tcPr>
          <w:p w14:paraId="5743D226" w14:textId="77777777" w:rsidR="005A234F" w:rsidRPr="00F03BB1" w:rsidRDefault="005A234F" w:rsidP="00965C7D">
            <w:pPr>
              <w:rPr>
                <w:rFonts w:ascii="Times" w:hAnsi="Times"/>
                <w:sz w:val="20"/>
                <w:szCs w:val="20"/>
              </w:rPr>
            </w:pPr>
          </w:p>
        </w:tc>
      </w:tr>
      <w:tr w:rsidR="005A234F" w:rsidRPr="00F03BB1" w14:paraId="7885C84B" w14:textId="77777777">
        <w:trPr>
          <w:cantSplit/>
          <w:trHeight w:val="284"/>
        </w:trPr>
        <w:tc>
          <w:tcPr>
            <w:tcW w:w="7054" w:type="dxa"/>
            <w:gridSpan w:val="2"/>
          </w:tcPr>
          <w:p w14:paraId="76779BFC" w14:textId="77777777" w:rsidR="005A234F" w:rsidRPr="00F03BB1" w:rsidRDefault="005A234F" w:rsidP="00965C7D">
            <w:pPr>
              <w:rPr>
                <w:rFonts w:ascii="Times" w:hAnsi="Times"/>
                <w:b/>
                <w:sz w:val="28"/>
                <w:szCs w:val="28"/>
              </w:rPr>
            </w:pPr>
            <w:r w:rsidRPr="00F03BB1">
              <w:rPr>
                <w:rFonts w:ascii="Times" w:hAnsi="Times"/>
                <w:b/>
                <w:sz w:val="28"/>
                <w:szCs w:val="28"/>
              </w:rPr>
              <w:t>Chapter 4</w:t>
            </w:r>
          </w:p>
        </w:tc>
        <w:tc>
          <w:tcPr>
            <w:tcW w:w="992" w:type="dxa"/>
          </w:tcPr>
          <w:p w14:paraId="65A7FC45" w14:textId="77777777" w:rsidR="005A234F" w:rsidRPr="00F03BB1" w:rsidRDefault="005A234F" w:rsidP="00965C7D">
            <w:pPr>
              <w:rPr>
                <w:rFonts w:ascii="Times" w:hAnsi="Times"/>
                <w:sz w:val="20"/>
                <w:szCs w:val="20"/>
              </w:rPr>
            </w:pPr>
          </w:p>
        </w:tc>
      </w:tr>
      <w:tr w:rsidR="005A234F" w:rsidRPr="00F03BB1" w14:paraId="78E691F8" w14:textId="77777777">
        <w:trPr>
          <w:cantSplit/>
          <w:trHeight w:val="284"/>
        </w:trPr>
        <w:tc>
          <w:tcPr>
            <w:tcW w:w="1242" w:type="dxa"/>
          </w:tcPr>
          <w:p w14:paraId="3F61CE4C" w14:textId="77777777" w:rsidR="005A234F" w:rsidRPr="00F03BB1" w:rsidRDefault="005A234F" w:rsidP="00965C7D">
            <w:pPr>
              <w:rPr>
                <w:rFonts w:ascii="Times" w:hAnsi="Times"/>
                <w:sz w:val="20"/>
                <w:szCs w:val="20"/>
              </w:rPr>
            </w:pPr>
            <w:r w:rsidRPr="00F03BB1">
              <w:rPr>
                <w:rFonts w:ascii="Times" w:hAnsi="Times"/>
                <w:sz w:val="20"/>
                <w:szCs w:val="20"/>
              </w:rPr>
              <w:t>Fig. 4.1.</w:t>
            </w:r>
          </w:p>
        </w:tc>
        <w:tc>
          <w:tcPr>
            <w:tcW w:w="5812" w:type="dxa"/>
          </w:tcPr>
          <w:p w14:paraId="26340690" w14:textId="77777777" w:rsidR="005A234F" w:rsidRPr="00DD06ED" w:rsidRDefault="005A234F" w:rsidP="00965C7D">
            <w:pPr>
              <w:pStyle w:val="BodyJB"/>
              <w:spacing w:line="240" w:lineRule="auto"/>
              <w:rPr>
                <w:sz w:val="20"/>
                <w:szCs w:val="20"/>
              </w:rPr>
            </w:pPr>
            <w:r w:rsidRPr="00DD06ED">
              <w:rPr>
                <w:sz w:val="20"/>
                <w:szCs w:val="20"/>
              </w:rPr>
              <w:t xml:space="preserve">Analysis of m/z values (binned to 0.2 Da) obtained by metabolic fingerprinting of five species, of </w:t>
            </w:r>
            <w:r w:rsidRPr="00DD06ED">
              <w:rPr>
                <w:i/>
                <w:sz w:val="20"/>
                <w:szCs w:val="20"/>
              </w:rPr>
              <w:t>Arenaria serpyllifolia</w:t>
            </w:r>
            <w:r w:rsidRPr="00DD06ED">
              <w:rPr>
                <w:sz w:val="20"/>
                <w:szCs w:val="20"/>
              </w:rPr>
              <w:t xml:space="preserve"> (red triangles)</w:t>
            </w:r>
            <w:r w:rsidRPr="00DD06ED">
              <w:rPr>
                <w:i/>
                <w:sz w:val="20"/>
                <w:szCs w:val="20"/>
              </w:rPr>
              <w:t xml:space="preserve">, Cerastium diffusum </w:t>
            </w:r>
            <w:r w:rsidRPr="00DD06ED">
              <w:rPr>
                <w:sz w:val="20"/>
                <w:szCs w:val="20"/>
              </w:rPr>
              <w:t>(blue squares)</w:t>
            </w:r>
            <w:r w:rsidRPr="00DD06ED">
              <w:rPr>
                <w:i/>
                <w:sz w:val="20"/>
                <w:szCs w:val="20"/>
              </w:rPr>
              <w:t xml:space="preserve">, Phleum arenarium </w:t>
            </w:r>
            <w:r w:rsidRPr="00DD06ED">
              <w:rPr>
                <w:sz w:val="20"/>
                <w:szCs w:val="20"/>
              </w:rPr>
              <w:t>(green stars)</w:t>
            </w:r>
            <w:r w:rsidRPr="00DD06ED">
              <w:rPr>
                <w:i/>
                <w:sz w:val="20"/>
                <w:szCs w:val="20"/>
              </w:rPr>
              <w:t xml:space="preserve">, Senecio vulgaris </w:t>
            </w:r>
            <w:r w:rsidRPr="00DD06ED">
              <w:rPr>
                <w:sz w:val="20"/>
                <w:szCs w:val="20"/>
              </w:rPr>
              <w:t xml:space="preserve">(purple diamonds) </w:t>
            </w:r>
            <w:r w:rsidRPr="00DD06ED">
              <w:rPr>
                <w:i/>
                <w:sz w:val="20"/>
                <w:szCs w:val="20"/>
              </w:rPr>
              <w:t xml:space="preserve">and Veronica arvensis </w:t>
            </w:r>
            <w:r w:rsidRPr="00DD06ED">
              <w:rPr>
                <w:sz w:val="20"/>
                <w:szCs w:val="20"/>
              </w:rPr>
              <w:t xml:space="preserve">(orange crosses). Data from principal component analysis is expressed in score plot form showing data spread along PC1 and PC2 (Fig. 4.1.a) and PC3 and PC4 (Fig. 4.1.b)(percent of the variation of the data explained by each component is provided). </w:t>
            </w:r>
          </w:p>
          <w:p w14:paraId="34EC8AB2" w14:textId="77777777" w:rsidR="005A234F" w:rsidRPr="00F03BB1" w:rsidRDefault="005A234F" w:rsidP="00965C7D">
            <w:pPr>
              <w:rPr>
                <w:rFonts w:ascii="Times" w:hAnsi="Times"/>
                <w:sz w:val="20"/>
                <w:szCs w:val="20"/>
              </w:rPr>
            </w:pPr>
          </w:p>
        </w:tc>
        <w:tc>
          <w:tcPr>
            <w:tcW w:w="992" w:type="dxa"/>
          </w:tcPr>
          <w:p w14:paraId="719193F8" w14:textId="7502C912" w:rsidR="005A234F" w:rsidRPr="00F03BB1" w:rsidRDefault="00A91AC0" w:rsidP="007C2CF6">
            <w:pPr>
              <w:rPr>
                <w:rFonts w:ascii="Times" w:hAnsi="Times"/>
                <w:sz w:val="20"/>
                <w:szCs w:val="20"/>
              </w:rPr>
            </w:pPr>
            <w:r>
              <w:rPr>
                <w:rFonts w:ascii="Times" w:hAnsi="Times"/>
                <w:sz w:val="20"/>
                <w:szCs w:val="20"/>
              </w:rPr>
              <w:t>6</w:t>
            </w:r>
            <w:r w:rsidR="007C2CF6">
              <w:rPr>
                <w:rFonts w:ascii="Times" w:hAnsi="Times"/>
                <w:sz w:val="20"/>
                <w:szCs w:val="20"/>
              </w:rPr>
              <w:t>3</w:t>
            </w:r>
          </w:p>
        </w:tc>
      </w:tr>
      <w:tr w:rsidR="005A234F" w:rsidRPr="00F03BB1" w14:paraId="3A10F2BA" w14:textId="77777777">
        <w:trPr>
          <w:cantSplit/>
          <w:trHeight w:val="284"/>
        </w:trPr>
        <w:tc>
          <w:tcPr>
            <w:tcW w:w="1242" w:type="dxa"/>
          </w:tcPr>
          <w:p w14:paraId="407AC11E" w14:textId="77777777" w:rsidR="005A234F" w:rsidRPr="00F03BB1" w:rsidRDefault="005A234F" w:rsidP="00965C7D">
            <w:pPr>
              <w:rPr>
                <w:rFonts w:ascii="Times" w:hAnsi="Times"/>
                <w:sz w:val="20"/>
                <w:szCs w:val="20"/>
              </w:rPr>
            </w:pPr>
            <w:r w:rsidRPr="00F03BB1">
              <w:rPr>
                <w:rFonts w:ascii="Times" w:hAnsi="Times"/>
                <w:sz w:val="20"/>
                <w:szCs w:val="20"/>
              </w:rPr>
              <w:t>Fig 4.2.</w:t>
            </w:r>
          </w:p>
        </w:tc>
        <w:tc>
          <w:tcPr>
            <w:tcW w:w="5812" w:type="dxa"/>
          </w:tcPr>
          <w:p w14:paraId="438723C8" w14:textId="71BC637A" w:rsidR="005A234F" w:rsidRPr="00F03BB1" w:rsidRDefault="005A234F" w:rsidP="00FB67DB">
            <w:pPr>
              <w:pStyle w:val="BodyJB"/>
              <w:spacing w:line="240" w:lineRule="auto"/>
              <w:rPr>
                <w:sz w:val="20"/>
                <w:szCs w:val="20"/>
              </w:rPr>
            </w:pPr>
            <w:r w:rsidRPr="00DD06ED">
              <w:rPr>
                <w:sz w:val="20"/>
                <w:szCs w:val="20"/>
              </w:rPr>
              <w:t xml:space="preserve">Score contribution plots relating to principal component analysis of m/z values (binned to 0.2 Da) obtained by DIMs of aqueous phase. Plots indicate which bins are in high abundance (more positive) and low abundance (more negative) in a. </w:t>
            </w:r>
            <w:r w:rsidRPr="00DD06ED">
              <w:rPr>
                <w:i/>
                <w:sz w:val="20"/>
                <w:szCs w:val="20"/>
              </w:rPr>
              <w:t>Arenaria serpyllifolia,</w:t>
            </w:r>
            <w:r w:rsidRPr="00DD06ED">
              <w:rPr>
                <w:sz w:val="20"/>
                <w:szCs w:val="20"/>
              </w:rPr>
              <w:t xml:space="preserve"> b.</w:t>
            </w:r>
            <w:r w:rsidRPr="00DD06ED">
              <w:rPr>
                <w:i/>
                <w:sz w:val="20"/>
                <w:szCs w:val="20"/>
              </w:rPr>
              <w:t xml:space="preserve"> Cerastium diffusum,</w:t>
            </w:r>
            <w:r w:rsidRPr="00DD06ED">
              <w:rPr>
                <w:sz w:val="20"/>
                <w:szCs w:val="20"/>
              </w:rPr>
              <w:t xml:space="preserve"> c.</w:t>
            </w:r>
            <w:r w:rsidRPr="00DD06ED">
              <w:rPr>
                <w:i/>
                <w:sz w:val="20"/>
                <w:szCs w:val="20"/>
              </w:rPr>
              <w:t xml:space="preserve"> Phleum arenarium, </w:t>
            </w:r>
            <w:r w:rsidRPr="00DD06ED">
              <w:rPr>
                <w:sz w:val="20"/>
                <w:szCs w:val="20"/>
              </w:rPr>
              <w:t xml:space="preserve">d. </w:t>
            </w:r>
            <w:r w:rsidRPr="00DD06ED">
              <w:rPr>
                <w:i/>
                <w:sz w:val="20"/>
                <w:szCs w:val="20"/>
              </w:rPr>
              <w:t>Senecio vulgaris</w:t>
            </w:r>
            <w:r w:rsidRPr="00DD06ED">
              <w:rPr>
                <w:sz w:val="20"/>
                <w:szCs w:val="20"/>
              </w:rPr>
              <w:t xml:space="preserve"> and e. </w:t>
            </w:r>
            <w:r w:rsidRPr="00DD06ED">
              <w:rPr>
                <w:i/>
                <w:sz w:val="20"/>
                <w:szCs w:val="20"/>
              </w:rPr>
              <w:t>Veronica arvensis</w:t>
            </w:r>
            <w:r w:rsidRPr="00DD06ED">
              <w:rPr>
                <w:sz w:val="20"/>
                <w:szCs w:val="20"/>
              </w:rPr>
              <w:t xml:space="preserve"> along the principal components shown to correspond to species separation (Fig 4.1.a and b). Note differences in x-axis scale.</w:t>
            </w:r>
          </w:p>
        </w:tc>
        <w:tc>
          <w:tcPr>
            <w:tcW w:w="992" w:type="dxa"/>
          </w:tcPr>
          <w:p w14:paraId="32747DF5" w14:textId="60BD4444" w:rsidR="005A234F" w:rsidRPr="00F03BB1" w:rsidRDefault="00A91AC0" w:rsidP="007C2CF6">
            <w:pPr>
              <w:rPr>
                <w:rFonts w:ascii="Times" w:hAnsi="Times"/>
                <w:sz w:val="20"/>
                <w:szCs w:val="20"/>
              </w:rPr>
            </w:pPr>
            <w:r>
              <w:rPr>
                <w:rFonts w:ascii="Times" w:hAnsi="Times"/>
                <w:sz w:val="20"/>
                <w:szCs w:val="20"/>
              </w:rPr>
              <w:t>6</w:t>
            </w:r>
            <w:r w:rsidR="007C2CF6">
              <w:rPr>
                <w:rFonts w:ascii="Times" w:hAnsi="Times"/>
                <w:sz w:val="20"/>
                <w:szCs w:val="20"/>
              </w:rPr>
              <w:t>4</w:t>
            </w:r>
            <w:r w:rsidR="005A234F">
              <w:rPr>
                <w:rFonts w:ascii="Times" w:hAnsi="Times"/>
                <w:sz w:val="20"/>
                <w:szCs w:val="20"/>
              </w:rPr>
              <w:t>,</w:t>
            </w:r>
            <w:r>
              <w:rPr>
                <w:rFonts w:ascii="Times" w:hAnsi="Times"/>
                <w:sz w:val="20"/>
                <w:szCs w:val="20"/>
              </w:rPr>
              <w:t>6</w:t>
            </w:r>
            <w:r w:rsidR="007C2CF6">
              <w:rPr>
                <w:rFonts w:ascii="Times" w:hAnsi="Times"/>
                <w:sz w:val="20"/>
                <w:szCs w:val="20"/>
              </w:rPr>
              <w:t>5</w:t>
            </w:r>
          </w:p>
        </w:tc>
      </w:tr>
      <w:tr w:rsidR="005A234F" w:rsidRPr="00F03BB1" w14:paraId="4E0643FD" w14:textId="77777777">
        <w:trPr>
          <w:cantSplit/>
          <w:trHeight w:val="284"/>
        </w:trPr>
        <w:tc>
          <w:tcPr>
            <w:tcW w:w="1242" w:type="dxa"/>
          </w:tcPr>
          <w:p w14:paraId="373C916D" w14:textId="77777777" w:rsidR="005A234F" w:rsidRPr="00F03BB1" w:rsidRDefault="005A234F" w:rsidP="00965C7D">
            <w:pPr>
              <w:rPr>
                <w:rFonts w:ascii="Times" w:hAnsi="Times"/>
                <w:sz w:val="20"/>
                <w:szCs w:val="20"/>
              </w:rPr>
            </w:pPr>
          </w:p>
        </w:tc>
        <w:tc>
          <w:tcPr>
            <w:tcW w:w="5812" w:type="dxa"/>
          </w:tcPr>
          <w:p w14:paraId="29A3E3DB" w14:textId="77777777" w:rsidR="005A234F" w:rsidRPr="00F03BB1" w:rsidRDefault="005A234F" w:rsidP="00965C7D">
            <w:pPr>
              <w:rPr>
                <w:rFonts w:ascii="Times" w:hAnsi="Times"/>
                <w:sz w:val="20"/>
                <w:szCs w:val="20"/>
              </w:rPr>
            </w:pPr>
          </w:p>
        </w:tc>
        <w:tc>
          <w:tcPr>
            <w:tcW w:w="992" w:type="dxa"/>
          </w:tcPr>
          <w:p w14:paraId="0F69198F" w14:textId="77777777" w:rsidR="005A234F" w:rsidRPr="00F03BB1" w:rsidRDefault="005A234F" w:rsidP="00965C7D">
            <w:pPr>
              <w:rPr>
                <w:rFonts w:ascii="Times" w:hAnsi="Times"/>
                <w:sz w:val="20"/>
                <w:szCs w:val="20"/>
              </w:rPr>
            </w:pPr>
          </w:p>
        </w:tc>
      </w:tr>
      <w:tr w:rsidR="005A234F" w:rsidRPr="00F03BB1" w14:paraId="09C6C143" w14:textId="77777777">
        <w:trPr>
          <w:cantSplit/>
          <w:trHeight w:val="284"/>
        </w:trPr>
        <w:tc>
          <w:tcPr>
            <w:tcW w:w="7054" w:type="dxa"/>
            <w:gridSpan w:val="2"/>
          </w:tcPr>
          <w:p w14:paraId="73D5AF12" w14:textId="77777777" w:rsidR="005A234F" w:rsidRPr="00F03BB1" w:rsidRDefault="005A234F" w:rsidP="00965C7D">
            <w:pPr>
              <w:rPr>
                <w:rFonts w:ascii="Times" w:hAnsi="Times"/>
                <w:b/>
                <w:sz w:val="28"/>
                <w:szCs w:val="28"/>
              </w:rPr>
            </w:pPr>
            <w:r w:rsidRPr="00F03BB1">
              <w:rPr>
                <w:rFonts w:ascii="Times" w:hAnsi="Times"/>
                <w:b/>
                <w:sz w:val="28"/>
                <w:szCs w:val="28"/>
              </w:rPr>
              <w:t>Chapter 5</w:t>
            </w:r>
          </w:p>
        </w:tc>
        <w:tc>
          <w:tcPr>
            <w:tcW w:w="992" w:type="dxa"/>
          </w:tcPr>
          <w:p w14:paraId="67AA4284" w14:textId="77777777" w:rsidR="005A234F" w:rsidRPr="00F03BB1" w:rsidRDefault="005A234F" w:rsidP="00965C7D">
            <w:pPr>
              <w:rPr>
                <w:rFonts w:ascii="Times" w:hAnsi="Times"/>
                <w:sz w:val="20"/>
                <w:szCs w:val="20"/>
              </w:rPr>
            </w:pPr>
          </w:p>
        </w:tc>
      </w:tr>
      <w:tr w:rsidR="005A234F" w:rsidRPr="00F03BB1" w14:paraId="1B57F129" w14:textId="77777777">
        <w:trPr>
          <w:cantSplit/>
          <w:trHeight w:val="284"/>
        </w:trPr>
        <w:tc>
          <w:tcPr>
            <w:tcW w:w="1242" w:type="dxa"/>
          </w:tcPr>
          <w:p w14:paraId="28F0CBC2" w14:textId="77777777" w:rsidR="005A234F" w:rsidRPr="00F03BB1" w:rsidRDefault="005A234F" w:rsidP="00965C7D">
            <w:pPr>
              <w:rPr>
                <w:rFonts w:ascii="Times" w:hAnsi="Times"/>
                <w:sz w:val="20"/>
                <w:szCs w:val="20"/>
              </w:rPr>
            </w:pPr>
            <w:r w:rsidRPr="00F03BB1">
              <w:rPr>
                <w:rFonts w:ascii="Times" w:hAnsi="Times"/>
                <w:sz w:val="20"/>
                <w:szCs w:val="20"/>
              </w:rPr>
              <w:t>Fig. 5.1</w:t>
            </w:r>
          </w:p>
        </w:tc>
        <w:tc>
          <w:tcPr>
            <w:tcW w:w="5812" w:type="dxa"/>
          </w:tcPr>
          <w:p w14:paraId="38C58F98" w14:textId="77777777" w:rsidR="005A234F" w:rsidRPr="00BA6A1E" w:rsidRDefault="005A234F" w:rsidP="00965C7D">
            <w:pPr>
              <w:pStyle w:val="BodyJB"/>
              <w:spacing w:line="240" w:lineRule="auto"/>
              <w:rPr>
                <w:sz w:val="20"/>
                <w:szCs w:val="20"/>
              </w:rPr>
            </w:pPr>
            <w:r w:rsidRPr="00BA6A1E">
              <w:rPr>
                <w:sz w:val="20"/>
                <w:szCs w:val="20"/>
              </w:rPr>
              <w:t xml:space="preserve">Analysis of m/z values (binned to 0.2 Da) obtained by metabolic fingerprinting populations of four species,  a. </w:t>
            </w:r>
            <w:r w:rsidRPr="00BA6A1E">
              <w:rPr>
                <w:i/>
                <w:sz w:val="20"/>
                <w:szCs w:val="20"/>
              </w:rPr>
              <w:t xml:space="preserve">A. serpyllifolia, </w:t>
            </w:r>
            <w:r w:rsidRPr="00BA6A1E">
              <w:rPr>
                <w:sz w:val="20"/>
                <w:szCs w:val="20"/>
              </w:rPr>
              <w:t>b</w:t>
            </w:r>
            <w:r w:rsidRPr="00BA6A1E">
              <w:rPr>
                <w:i/>
                <w:sz w:val="20"/>
                <w:szCs w:val="20"/>
              </w:rPr>
              <w:t>. P. arenarium</w:t>
            </w:r>
            <w:r w:rsidRPr="00BA6A1E">
              <w:rPr>
                <w:sz w:val="20"/>
                <w:szCs w:val="20"/>
              </w:rPr>
              <w:t>,</w:t>
            </w:r>
            <w:r w:rsidRPr="00BA6A1E">
              <w:rPr>
                <w:i/>
                <w:sz w:val="20"/>
                <w:szCs w:val="20"/>
              </w:rPr>
              <w:t xml:space="preserve"> </w:t>
            </w:r>
            <w:r w:rsidRPr="00BA6A1E">
              <w:rPr>
                <w:sz w:val="20"/>
                <w:szCs w:val="20"/>
              </w:rPr>
              <w:t>c</w:t>
            </w:r>
            <w:r w:rsidRPr="00BA6A1E">
              <w:rPr>
                <w:i/>
                <w:sz w:val="20"/>
                <w:szCs w:val="20"/>
              </w:rPr>
              <w:t xml:space="preserve">. S. vulgaris and </w:t>
            </w:r>
            <w:r w:rsidRPr="00BA6A1E">
              <w:rPr>
                <w:sz w:val="20"/>
                <w:szCs w:val="20"/>
              </w:rPr>
              <w:t>d</w:t>
            </w:r>
            <w:r w:rsidRPr="00BA6A1E">
              <w:rPr>
                <w:i/>
                <w:sz w:val="20"/>
                <w:szCs w:val="20"/>
              </w:rPr>
              <w:t>. V. arvensis.</w:t>
            </w:r>
            <w:r w:rsidRPr="00BA6A1E">
              <w:rPr>
                <w:sz w:val="20"/>
                <w:szCs w:val="20"/>
              </w:rPr>
              <w:t xml:space="preserve"> Legend provides location information for each population of origin. Percent of the variation of the data explained by each component is provided.</w:t>
            </w:r>
          </w:p>
          <w:p w14:paraId="0E2283F4" w14:textId="77777777" w:rsidR="005A234F" w:rsidRPr="00F03BB1" w:rsidRDefault="005A234F" w:rsidP="00965C7D">
            <w:pPr>
              <w:rPr>
                <w:rFonts w:ascii="Times" w:hAnsi="Times"/>
                <w:sz w:val="20"/>
                <w:szCs w:val="20"/>
              </w:rPr>
            </w:pPr>
          </w:p>
        </w:tc>
        <w:tc>
          <w:tcPr>
            <w:tcW w:w="992" w:type="dxa"/>
          </w:tcPr>
          <w:p w14:paraId="5D2CD0ED" w14:textId="72EE7A69" w:rsidR="005A234F" w:rsidRPr="00F03BB1" w:rsidRDefault="00A91AC0" w:rsidP="007C2CF6">
            <w:pPr>
              <w:rPr>
                <w:rFonts w:ascii="Times" w:hAnsi="Times"/>
                <w:sz w:val="20"/>
                <w:szCs w:val="20"/>
              </w:rPr>
            </w:pPr>
            <w:r>
              <w:rPr>
                <w:rFonts w:ascii="Times" w:hAnsi="Times"/>
                <w:sz w:val="20"/>
                <w:szCs w:val="20"/>
              </w:rPr>
              <w:t>8</w:t>
            </w:r>
            <w:r w:rsidR="007C2CF6">
              <w:rPr>
                <w:rFonts w:ascii="Times" w:hAnsi="Times"/>
                <w:sz w:val="20"/>
                <w:szCs w:val="20"/>
              </w:rPr>
              <w:t>1</w:t>
            </w:r>
            <w:r>
              <w:rPr>
                <w:rFonts w:ascii="Times" w:hAnsi="Times"/>
                <w:sz w:val="20"/>
                <w:szCs w:val="20"/>
              </w:rPr>
              <w:t>,8</w:t>
            </w:r>
            <w:r w:rsidR="007C2CF6">
              <w:rPr>
                <w:rFonts w:ascii="Times" w:hAnsi="Times"/>
                <w:sz w:val="20"/>
                <w:szCs w:val="20"/>
              </w:rPr>
              <w:t>2</w:t>
            </w:r>
          </w:p>
        </w:tc>
      </w:tr>
      <w:tr w:rsidR="005A234F" w:rsidRPr="00F03BB1" w14:paraId="12CF991E" w14:textId="77777777">
        <w:trPr>
          <w:cantSplit/>
          <w:trHeight w:val="284"/>
        </w:trPr>
        <w:tc>
          <w:tcPr>
            <w:tcW w:w="1242" w:type="dxa"/>
          </w:tcPr>
          <w:p w14:paraId="17CB7C4D" w14:textId="77777777" w:rsidR="005A234F" w:rsidRPr="00F03BB1" w:rsidRDefault="005A234F" w:rsidP="00965C7D">
            <w:pPr>
              <w:rPr>
                <w:rFonts w:ascii="Times" w:hAnsi="Times"/>
                <w:sz w:val="20"/>
                <w:szCs w:val="20"/>
              </w:rPr>
            </w:pPr>
            <w:r w:rsidRPr="00F03BB1">
              <w:rPr>
                <w:rFonts w:ascii="Times" w:hAnsi="Times"/>
                <w:sz w:val="20"/>
                <w:szCs w:val="20"/>
              </w:rPr>
              <w:t>Fig. 5.2</w:t>
            </w:r>
          </w:p>
        </w:tc>
        <w:tc>
          <w:tcPr>
            <w:tcW w:w="5812" w:type="dxa"/>
          </w:tcPr>
          <w:p w14:paraId="746C579B" w14:textId="77777777" w:rsidR="005A234F" w:rsidRPr="00BA6A1E" w:rsidRDefault="005A234F" w:rsidP="00965C7D">
            <w:pPr>
              <w:pStyle w:val="BodyJB"/>
              <w:spacing w:line="240" w:lineRule="auto"/>
              <w:rPr>
                <w:sz w:val="20"/>
                <w:szCs w:val="20"/>
              </w:rPr>
            </w:pPr>
            <w:r w:rsidRPr="00BA6A1E">
              <w:rPr>
                <w:sz w:val="20"/>
                <w:szCs w:val="20"/>
              </w:rPr>
              <w:t xml:space="preserve">Analysis of m/z values (binned to 0.2 Da) obtained by metabolic fingerprinting of three populations of </w:t>
            </w:r>
            <w:r w:rsidRPr="00BA6A1E">
              <w:rPr>
                <w:i/>
                <w:sz w:val="20"/>
                <w:szCs w:val="20"/>
              </w:rPr>
              <w:t>C. diffusum diffusum,</w:t>
            </w:r>
            <w:r w:rsidRPr="00BA6A1E">
              <w:rPr>
                <w:sz w:val="20"/>
                <w:szCs w:val="20"/>
              </w:rPr>
              <w:t xml:space="preserve"> Fr1 (red triangles), Fr2 (orange triangles), Fr4 (light blue triangles). Legend provides location information for each population of origin. Data from, principal component analysis is expressed in score plot form showing data spread along PC1 and PC2 (Fig. 5.2.a)(percent of the variation of the data explained by each component is provided). Corresponding loadings plot is shown beneath the score plot (Fig. 5.2.b).</w:t>
            </w:r>
          </w:p>
          <w:p w14:paraId="7B69DA01" w14:textId="77777777" w:rsidR="005A234F" w:rsidRPr="00F03BB1" w:rsidRDefault="005A234F" w:rsidP="00965C7D">
            <w:pPr>
              <w:rPr>
                <w:rFonts w:ascii="Times" w:hAnsi="Times"/>
                <w:sz w:val="20"/>
                <w:szCs w:val="20"/>
              </w:rPr>
            </w:pPr>
          </w:p>
        </w:tc>
        <w:tc>
          <w:tcPr>
            <w:tcW w:w="992" w:type="dxa"/>
          </w:tcPr>
          <w:p w14:paraId="26DD4C94" w14:textId="0BA57F60" w:rsidR="005A234F" w:rsidRPr="00F03BB1" w:rsidRDefault="00A91AC0" w:rsidP="007C2CF6">
            <w:pPr>
              <w:rPr>
                <w:rFonts w:ascii="Times" w:hAnsi="Times"/>
                <w:sz w:val="20"/>
                <w:szCs w:val="20"/>
              </w:rPr>
            </w:pPr>
            <w:r>
              <w:rPr>
                <w:rFonts w:ascii="Times" w:hAnsi="Times"/>
                <w:sz w:val="20"/>
                <w:szCs w:val="20"/>
              </w:rPr>
              <w:t>8</w:t>
            </w:r>
            <w:r w:rsidR="007C2CF6">
              <w:rPr>
                <w:rFonts w:ascii="Times" w:hAnsi="Times"/>
                <w:sz w:val="20"/>
                <w:szCs w:val="20"/>
              </w:rPr>
              <w:t>3</w:t>
            </w:r>
          </w:p>
        </w:tc>
      </w:tr>
      <w:tr w:rsidR="005A234F" w:rsidRPr="00F03BB1" w14:paraId="2F967595" w14:textId="77777777">
        <w:trPr>
          <w:cantSplit/>
          <w:trHeight w:val="284"/>
        </w:trPr>
        <w:tc>
          <w:tcPr>
            <w:tcW w:w="1242" w:type="dxa"/>
          </w:tcPr>
          <w:p w14:paraId="4131D516" w14:textId="77777777" w:rsidR="005A234F" w:rsidRPr="00F03BB1" w:rsidRDefault="005A234F" w:rsidP="00965C7D">
            <w:pPr>
              <w:rPr>
                <w:rFonts w:ascii="Times" w:hAnsi="Times"/>
                <w:sz w:val="20"/>
                <w:szCs w:val="20"/>
              </w:rPr>
            </w:pPr>
            <w:r w:rsidRPr="00F03BB1">
              <w:rPr>
                <w:rFonts w:ascii="Times" w:hAnsi="Times"/>
                <w:sz w:val="20"/>
                <w:szCs w:val="20"/>
              </w:rPr>
              <w:t>Fig. 5.3</w:t>
            </w:r>
          </w:p>
        </w:tc>
        <w:tc>
          <w:tcPr>
            <w:tcW w:w="5812" w:type="dxa"/>
          </w:tcPr>
          <w:p w14:paraId="2FC887E2" w14:textId="77777777" w:rsidR="005A234F" w:rsidRPr="00BA6A1E" w:rsidRDefault="005A234F" w:rsidP="00965C7D">
            <w:pPr>
              <w:rPr>
                <w:rFonts w:ascii="Times" w:hAnsi="Times"/>
                <w:sz w:val="20"/>
                <w:szCs w:val="20"/>
              </w:rPr>
            </w:pPr>
            <w:r w:rsidRPr="00BA6A1E">
              <w:rPr>
                <w:rFonts w:ascii="Times" w:hAnsi="Times"/>
                <w:sz w:val="20"/>
                <w:szCs w:val="20"/>
              </w:rPr>
              <w:t xml:space="preserve">Fig. 5.3. Overview of amino acid biosynthesis showing normalised concentration values for putatively identified mass bins relating to up-regulation in Fr1 population of </w:t>
            </w:r>
            <w:r w:rsidRPr="00BA6A1E">
              <w:rPr>
                <w:rFonts w:ascii="Times" w:hAnsi="Times"/>
                <w:i/>
                <w:sz w:val="20"/>
                <w:szCs w:val="20"/>
              </w:rPr>
              <w:t>A. serpyllifolia</w:t>
            </w:r>
          </w:p>
        </w:tc>
        <w:tc>
          <w:tcPr>
            <w:tcW w:w="992" w:type="dxa"/>
          </w:tcPr>
          <w:p w14:paraId="3B11A93E" w14:textId="0F505334" w:rsidR="005A234F" w:rsidRPr="00F03BB1" w:rsidRDefault="007C2CF6" w:rsidP="00965C7D">
            <w:pPr>
              <w:rPr>
                <w:rFonts w:ascii="Times" w:hAnsi="Times"/>
                <w:sz w:val="20"/>
                <w:szCs w:val="20"/>
              </w:rPr>
            </w:pPr>
            <w:r>
              <w:rPr>
                <w:rFonts w:ascii="Times" w:hAnsi="Times"/>
                <w:sz w:val="20"/>
                <w:szCs w:val="20"/>
              </w:rPr>
              <w:t>88</w:t>
            </w:r>
          </w:p>
        </w:tc>
      </w:tr>
      <w:tr w:rsidR="005A234F" w:rsidRPr="00F03BB1" w14:paraId="47C0C535" w14:textId="77777777">
        <w:trPr>
          <w:cantSplit/>
          <w:trHeight w:val="284"/>
        </w:trPr>
        <w:tc>
          <w:tcPr>
            <w:tcW w:w="1242" w:type="dxa"/>
          </w:tcPr>
          <w:p w14:paraId="3A29A89A" w14:textId="77777777" w:rsidR="005A234F" w:rsidRPr="00F03BB1" w:rsidRDefault="005A234F" w:rsidP="00965C7D">
            <w:pPr>
              <w:rPr>
                <w:rFonts w:ascii="Times" w:hAnsi="Times"/>
                <w:sz w:val="20"/>
                <w:szCs w:val="20"/>
              </w:rPr>
            </w:pPr>
          </w:p>
        </w:tc>
        <w:tc>
          <w:tcPr>
            <w:tcW w:w="5812" w:type="dxa"/>
          </w:tcPr>
          <w:p w14:paraId="596AFD94" w14:textId="77777777" w:rsidR="005A234F" w:rsidRDefault="005A234F" w:rsidP="00965C7D">
            <w:pPr>
              <w:rPr>
                <w:rFonts w:ascii="Times" w:hAnsi="Times"/>
                <w:sz w:val="20"/>
                <w:szCs w:val="20"/>
              </w:rPr>
            </w:pPr>
          </w:p>
          <w:p w14:paraId="6B35DCC2" w14:textId="77777777" w:rsidR="00FB67DB" w:rsidRPr="00F03BB1" w:rsidRDefault="00FB67DB" w:rsidP="00965C7D">
            <w:pPr>
              <w:rPr>
                <w:rFonts w:ascii="Times" w:hAnsi="Times"/>
                <w:sz w:val="20"/>
                <w:szCs w:val="20"/>
              </w:rPr>
            </w:pPr>
          </w:p>
        </w:tc>
        <w:tc>
          <w:tcPr>
            <w:tcW w:w="992" w:type="dxa"/>
          </w:tcPr>
          <w:p w14:paraId="0C62DCE4" w14:textId="77777777" w:rsidR="005A234F" w:rsidRPr="00F03BB1" w:rsidRDefault="005A234F" w:rsidP="00965C7D">
            <w:pPr>
              <w:rPr>
                <w:rFonts w:ascii="Times" w:hAnsi="Times"/>
                <w:sz w:val="20"/>
                <w:szCs w:val="20"/>
              </w:rPr>
            </w:pPr>
          </w:p>
        </w:tc>
      </w:tr>
      <w:tr w:rsidR="005A234F" w:rsidRPr="00F03BB1" w14:paraId="6102D155" w14:textId="77777777">
        <w:trPr>
          <w:cantSplit/>
          <w:trHeight w:val="284"/>
        </w:trPr>
        <w:tc>
          <w:tcPr>
            <w:tcW w:w="7054" w:type="dxa"/>
            <w:gridSpan w:val="2"/>
          </w:tcPr>
          <w:p w14:paraId="495A6CCD" w14:textId="77777777" w:rsidR="005A234F" w:rsidRPr="00F03BB1" w:rsidRDefault="005A234F" w:rsidP="00965C7D">
            <w:pPr>
              <w:rPr>
                <w:rFonts w:ascii="Times" w:hAnsi="Times"/>
                <w:b/>
                <w:sz w:val="28"/>
                <w:szCs w:val="28"/>
              </w:rPr>
            </w:pPr>
            <w:r w:rsidRPr="00F03BB1">
              <w:rPr>
                <w:rFonts w:ascii="Times" w:hAnsi="Times"/>
                <w:b/>
                <w:sz w:val="28"/>
                <w:szCs w:val="28"/>
              </w:rPr>
              <w:t>Chapter 6</w:t>
            </w:r>
          </w:p>
        </w:tc>
        <w:tc>
          <w:tcPr>
            <w:tcW w:w="992" w:type="dxa"/>
          </w:tcPr>
          <w:p w14:paraId="2D0CD98D" w14:textId="77777777" w:rsidR="005A234F" w:rsidRPr="00F03BB1" w:rsidRDefault="005A234F" w:rsidP="00965C7D">
            <w:pPr>
              <w:rPr>
                <w:rFonts w:ascii="Times" w:hAnsi="Times"/>
                <w:sz w:val="20"/>
                <w:szCs w:val="20"/>
              </w:rPr>
            </w:pPr>
          </w:p>
        </w:tc>
      </w:tr>
      <w:tr w:rsidR="005A234F" w:rsidRPr="00F03BB1" w14:paraId="076FA51A" w14:textId="77777777">
        <w:trPr>
          <w:cantSplit/>
          <w:trHeight w:val="284"/>
        </w:trPr>
        <w:tc>
          <w:tcPr>
            <w:tcW w:w="1242" w:type="dxa"/>
          </w:tcPr>
          <w:p w14:paraId="4425A549" w14:textId="77777777" w:rsidR="005A234F" w:rsidRPr="00F03BB1" w:rsidRDefault="005A234F" w:rsidP="00965C7D">
            <w:pPr>
              <w:rPr>
                <w:rFonts w:ascii="Times" w:hAnsi="Times"/>
                <w:sz w:val="20"/>
                <w:szCs w:val="20"/>
              </w:rPr>
            </w:pPr>
            <w:r w:rsidRPr="00F03BB1">
              <w:rPr>
                <w:rFonts w:ascii="Times" w:hAnsi="Times"/>
                <w:sz w:val="20"/>
                <w:szCs w:val="20"/>
              </w:rPr>
              <w:t>Fig. 6.1</w:t>
            </w:r>
          </w:p>
        </w:tc>
        <w:tc>
          <w:tcPr>
            <w:tcW w:w="5812" w:type="dxa"/>
          </w:tcPr>
          <w:p w14:paraId="7342C193" w14:textId="77777777" w:rsidR="005A234F" w:rsidRPr="00786F9E" w:rsidRDefault="005A234F" w:rsidP="00965C7D">
            <w:pPr>
              <w:pStyle w:val="BodyJB"/>
              <w:spacing w:line="240" w:lineRule="auto"/>
              <w:rPr>
                <w:sz w:val="20"/>
                <w:szCs w:val="20"/>
                <w:highlight w:val="yellow"/>
              </w:rPr>
            </w:pPr>
            <w:r w:rsidRPr="00786F9E">
              <w:rPr>
                <w:sz w:val="20"/>
                <w:szCs w:val="20"/>
              </w:rPr>
              <w:t>Differences between flat, north-facing and south-facing m</w:t>
            </w:r>
            <w:r w:rsidRPr="00786F9E">
              <w:rPr>
                <w:sz w:val="20"/>
                <w:szCs w:val="20"/>
                <w:vertAlign w:val="superscript"/>
              </w:rPr>
              <w:t>2</w:t>
            </w:r>
            <w:r w:rsidRPr="00786F9E">
              <w:rPr>
                <w:sz w:val="20"/>
                <w:szCs w:val="20"/>
              </w:rPr>
              <w:t xml:space="preserve"> quadrats for numbers of individuals of a. </w:t>
            </w:r>
            <w:r w:rsidRPr="00786F9E">
              <w:rPr>
                <w:i/>
                <w:sz w:val="20"/>
                <w:szCs w:val="20"/>
              </w:rPr>
              <w:t>Arenaria serpyllifolia</w:t>
            </w:r>
            <w:r w:rsidRPr="00786F9E">
              <w:rPr>
                <w:sz w:val="20"/>
                <w:szCs w:val="20"/>
              </w:rPr>
              <w:t xml:space="preserve">, b. </w:t>
            </w:r>
            <w:r w:rsidRPr="00786F9E">
              <w:rPr>
                <w:i/>
                <w:sz w:val="20"/>
                <w:szCs w:val="20"/>
              </w:rPr>
              <w:t>Cerastium diffusum</w:t>
            </w:r>
            <w:r w:rsidRPr="00786F9E">
              <w:rPr>
                <w:sz w:val="20"/>
                <w:szCs w:val="20"/>
              </w:rPr>
              <w:t xml:space="preserve">, c. </w:t>
            </w:r>
            <w:r w:rsidRPr="00786F9E">
              <w:rPr>
                <w:i/>
                <w:sz w:val="20"/>
                <w:szCs w:val="20"/>
              </w:rPr>
              <w:t>Erodium cicutarium</w:t>
            </w:r>
            <w:r w:rsidRPr="00786F9E">
              <w:rPr>
                <w:sz w:val="20"/>
                <w:szCs w:val="20"/>
              </w:rPr>
              <w:t xml:space="preserve">, d. </w:t>
            </w:r>
            <w:r w:rsidRPr="00786F9E">
              <w:rPr>
                <w:i/>
                <w:sz w:val="20"/>
                <w:szCs w:val="20"/>
              </w:rPr>
              <w:t xml:space="preserve">Phleum arenarium, </w:t>
            </w:r>
            <w:r w:rsidRPr="00786F9E">
              <w:rPr>
                <w:sz w:val="20"/>
                <w:szCs w:val="20"/>
              </w:rPr>
              <w:t>e.</w:t>
            </w:r>
            <w:r w:rsidRPr="00786F9E">
              <w:rPr>
                <w:i/>
                <w:sz w:val="20"/>
                <w:szCs w:val="20"/>
              </w:rPr>
              <w:t xml:space="preserve"> Veronica arvensis</w:t>
            </w:r>
            <w:r w:rsidRPr="00786F9E">
              <w:rPr>
                <w:sz w:val="20"/>
                <w:szCs w:val="20"/>
              </w:rPr>
              <w:t>, grazing intensity measured as f. number of fecal pellets, g. % perennial cover, h. % moss cover, i. % lichen cover</w:t>
            </w:r>
          </w:p>
          <w:p w14:paraId="63091F5C" w14:textId="77777777" w:rsidR="005A234F" w:rsidRPr="00F03BB1" w:rsidRDefault="005A234F" w:rsidP="00965C7D">
            <w:pPr>
              <w:rPr>
                <w:rFonts w:ascii="Times" w:hAnsi="Times"/>
                <w:sz w:val="20"/>
                <w:szCs w:val="20"/>
              </w:rPr>
            </w:pPr>
          </w:p>
        </w:tc>
        <w:tc>
          <w:tcPr>
            <w:tcW w:w="992" w:type="dxa"/>
          </w:tcPr>
          <w:p w14:paraId="7004E91B" w14:textId="3FD1D3B4" w:rsidR="005A234F" w:rsidRPr="00F03BB1" w:rsidRDefault="00A91AC0" w:rsidP="007C2CF6">
            <w:pPr>
              <w:rPr>
                <w:rFonts w:ascii="Times" w:hAnsi="Times"/>
                <w:sz w:val="20"/>
                <w:szCs w:val="20"/>
              </w:rPr>
            </w:pPr>
            <w:r>
              <w:rPr>
                <w:rFonts w:ascii="Times" w:hAnsi="Times"/>
                <w:sz w:val="20"/>
                <w:szCs w:val="20"/>
              </w:rPr>
              <w:t>9</w:t>
            </w:r>
            <w:r w:rsidR="007C2CF6">
              <w:rPr>
                <w:rFonts w:ascii="Times" w:hAnsi="Times"/>
                <w:sz w:val="20"/>
                <w:szCs w:val="20"/>
              </w:rPr>
              <w:t>7</w:t>
            </w:r>
          </w:p>
        </w:tc>
      </w:tr>
      <w:tr w:rsidR="005A234F" w:rsidRPr="00F03BB1" w14:paraId="61477AA8" w14:textId="77777777">
        <w:trPr>
          <w:cantSplit/>
          <w:trHeight w:val="284"/>
        </w:trPr>
        <w:tc>
          <w:tcPr>
            <w:tcW w:w="1242" w:type="dxa"/>
          </w:tcPr>
          <w:p w14:paraId="611D8653" w14:textId="77777777" w:rsidR="005A234F" w:rsidRPr="00F03BB1" w:rsidRDefault="005A234F" w:rsidP="00965C7D">
            <w:pPr>
              <w:rPr>
                <w:rFonts w:ascii="Times" w:hAnsi="Times"/>
                <w:sz w:val="20"/>
                <w:szCs w:val="20"/>
              </w:rPr>
            </w:pPr>
            <w:r>
              <w:rPr>
                <w:rFonts w:ascii="Times" w:hAnsi="Times"/>
                <w:sz w:val="20"/>
                <w:szCs w:val="20"/>
              </w:rPr>
              <w:t>Fig. 6.2</w:t>
            </w:r>
          </w:p>
        </w:tc>
        <w:tc>
          <w:tcPr>
            <w:tcW w:w="5812" w:type="dxa"/>
          </w:tcPr>
          <w:p w14:paraId="44B6FA9D" w14:textId="77777777" w:rsidR="005A234F" w:rsidRPr="00786F9E" w:rsidRDefault="005A234F" w:rsidP="00965C7D">
            <w:pPr>
              <w:pStyle w:val="BodyJB"/>
              <w:spacing w:line="240" w:lineRule="auto"/>
              <w:rPr>
                <w:sz w:val="20"/>
                <w:szCs w:val="20"/>
              </w:rPr>
            </w:pPr>
            <w:r w:rsidRPr="00786F9E">
              <w:rPr>
                <w:sz w:val="20"/>
                <w:szCs w:val="20"/>
              </w:rPr>
              <w:t xml:space="preserve">Analysis of m/z values (binned to 0.2 Da) obtained by metabolic fingerprinting of five populations of </w:t>
            </w:r>
            <w:r w:rsidRPr="00786F9E">
              <w:rPr>
                <w:i/>
                <w:sz w:val="20"/>
                <w:szCs w:val="20"/>
              </w:rPr>
              <w:t>Erodium cicutarium,</w:t>
            </w:r>
            <w:r w:rsidRPr="00786F9E">
              <w:rPr>
                <w:sz w:val="20"/>
                <w:szCs w:val="20"/>
              </w:rPr>
              <w:t xml:space="preserve"> Fr1 (red), Fr2 (orange), Fr4 (dark green), GB1 (light blue), GB2 (dark blue), location details are provided in the legend to support interpretation Percent of the variation of the data explained by each component is provided.</w:t>
            </w:r>
          </w:p>
          <w:p w14:paraId="3AB9386B" w14:textId="77777777" w:rsidR="005A234F" w:rsidRPr="00F03BB1" w:rsidRDefault="005A234F" w:rsidP="00965C7D">
            <w:pPr>
              <w:rPr>
                <w:rFonts w:ascii="Times" w:hAnsi="Times"/>
                <w:sz w:val="20"/>
                <w:szCs w:val="20"/>
                <w:lang w:val="en-US"/>
              </w:rPr>
            </w:pPr>
          </w:p>
        </w:tc>
        <w:tc>
          <w:tcPr>
            <w:tcW w:w="992" w:type="dxa"/>
          </w:tcPr>
          <w:p w14:paraId="6EB64379" w14:textId="544DD0A1" w:rsidR="005A234F" w:rsidRPr="00F03BB1" w:rsidRDefault="007C2CF6" w:rsidP="00965C7D">
            <w:pPr>
              <w:rPr>
                <w:rFonts w:ascii="Times" w:hAnsi="Times"/>
                <w:sz w:val="20"/>
                <w:szCs w:val="20"/>
              </w:rPr>
            </w:pPr>
            <w:r>
              <w:rPr>
                <w:rFonts w:ascii="Times" w:hAnsi="Times"/>
                <w:sz w:val="20"/>
                <w:szCs w:val="20"/>
              </w:rPr>
              <w:t>101</w:t>
            </w:r>
          </w:p>
        </w:tc>
      </w:tr>
      <w:tr w:rsidR="005A234F" w:rsidRPr="00F03BB1" w14:paraId="66EADBC0" w14:textId="77777777">
        <w:trPr>
          <w:cantSplit/>
          <w:trHeight w:val="284"/>
        </w:trPr>
        <w:tc>
          <w:tcPr>
            <w:tcW w:w="1242" w:type="dxa"/>
          </w:tcPr>
          <w:p w14:paraId="0E39690F" w14:textId="77777777" w:rsidR="005A234F" w:rsidRPr="00F03BB1" w:rsidRDefault="005A234F" w:rsidP="00965C7D">
            <w:pPr>
              <w:rPr>
                <w:rFonts w:ascii="Times" w:hAnsi="Times"/>
                <w:sz w:val="20"/>
                <w:szCs w:val="20"/>
              </w:rPr>
            </w:pPr>
            <w:r>
              <w:rPr>
                <w:rFonts w:ascii="Times" w:hAnsi="Times"/>
                <w:sz w:val="20"/>
                <w:szCs w:val="20"/>
              </w:rPr>
              <w:t>Fig. 6.3</w:t>
            </w:r>
          </w:p>
        </w:tc>
        <w:tc>
          <w:tcPr>
            <w:tcW w:w="5812" w:type="dxa"/>
          </w:tcPr>
          <w:p w14:paraId="4B8018C0" w14:textId="77777777" w:rsidR="005A234F" w:rsidRPr="00A054F5" w:rsidRDefault="005A234F" w:rsidP="00965C7D">
            <w:pPr>
              <w:rPr>
                <w:rFonts w:ascii="Times" w:hAnsi="Times"/>
                <w:sz w:val="20"/>
                <w:szCs w:val="20"/>
                <w:lang w:val="en-US"/>
              </w:rPr>
            </w:pPr>
            <w:r w:rsidRPr="00A054F5">
              <w:rPr>
                <w:rFonts w:ascii="Times" w:hAnsi="Times"/>
                <w:sz w:val="20"/>
                <w:szCs w:val="20"/>
              </w:rPr>
              <w:t>Orthogonal partial least-square discriminant analysis (OPLS-DA) of country. a. Score plots displaying predictive t[1] versus orthogonal t</w:t>
            </w:r>
            <w:r w:rsidRPr="00A054F5">
              <w:rPr>
                <w:rFonts w:ascii="Times" w:hAnsi="Times"/>
                <w:sz w:val="20"/>
                <w:szCs w:val="20"/>
                <w:vertAlign w:val="subscript"/>
              </w:rPr>
              <w:t>O</w:t>
            </w:r>
            <w:r w:rsidRPr="00A054F5">
              <w:rPr>
                <w:rFonts w:ascii="Times" w:hAnsi="Times"/>
                <w:sz w:val="20"/>
                <w:szCs w:val="20"/>
              </w:rPr>
              <w:t>[1] components are shown, with 95% confidence ellipses (based on Hotelling's T2 statistic). b. S-plot used to visualize model loadings causing separation in plot a.  p[1]  axis represents model loadings (magnitude of each mass bin in relation to the model), p(corr)[1] axis represents the reliability modelled correlation</w:t>
            </w:r>
          </w:p>
        </w:tc>
        <w:tc>
          <w:tcPr>
            <w:tcW w:w="992" w:type="dxa"/>
          </w:tcPr>
          <w:p w14:paraId="0C424F5A" w14:textId="49F5F70C" w:rsidR="005A234F" w:rsidRPr="00F03BB1" w:rsidRDefault="007C2CF6" w:rsidP="00965C7D">
            <w:pPr>
              <w:rPr>
                <w:rFonts w:ascii="Times" w:hAnsi="Times"/>
                <w:sz w:val="20"/>
                <w:szCs w:val="20"/>
              </w:rPr>
            </w:pPr>
            <w:r>
              <w:rPr>
                <w:rFonts w:ascii="Times" w:hAnsi="Times"/>
                <w:sz w:val="20"/>
                <w:szCs w:val="20"/>
              </w:rPr>
              <w:t>102</w:t>
            </w:r>
          </w:p>
        </w:tc>
      </w:tr>
      <w:tr w:rsidR="005A234F" w:rsidRPr="00F03BB1" w14:paraId="32CB3017" w14:textId="77777777">
        <w:trPr>
          <w:cantSplit/>
          <w:trHeight w:val="284"/>
        </w:trPr>
        <w:tc>
          <w:tcPr>
            <w:tcW w:w="1242" w:type="dxa"/>
          </w:tcPr>
          <w:p w14:paraId="5AFD4D75" w14:textId="77777777" w:rsidR="005A234F" w:rsidRDefault="005A234F" w:rsidP="00965C7D">
            <w:pPr>
              <w:rPr>
                <w:rFonts w:ascii="Times" w:hAnsi="Times"/>
                <w:sz w:val="20"/>
                <w:szCs w:val="20"/>
              </w:rPr>
            </w:pPr>
          </w:p>
        </w:tc>
        <w:tc>
          <w:tcPr>
            <w:tcW w:w="5812" w:type="dxa"/>
          </w:tcPr>
          <w:p w14:paraId="4291733F" w14:textId="77777777" w:rsidR="005A234F" w:rsidRPr="00A054F5" w:rsidRDefault="005A234F" w:rsidP="00965C7D">
            <w:pPr>
              <w:pStyle w:val="BodyJB"/>
              <w:spacing w:line="240" w:lineRule="auto"/>
              <w:rPr>
                <w:sz w:val="20"/>
                <w:szCs w:val="20"/>
              </w:rPr>
            </w:pPr>
          </w:p>
        </w:tc>
        <w:tc>
          <w:tcPr>
            <w:tcW w:w="992" w:type="dxa"/>
          </w:tcPr>
          <w:p w14:paraId="60FF0762" w14:textId="77777777" w:rsidR="005A234F" w:rsidRDefault="005A234F" w:rsidP="00965C7D">
            <w:pPr>
              <w:rPr>
                <w:rFonts w:ascii="Times" w:hAnsi="Times"/>
                <w:sz w:val="20"/>
                <w:szCs w:val="20"/>
              </w:rPr>
            </w:pPr>
          </w:p>
        </w:tc>
      </w:tr>
      <w:tr w:rsidR="005A234F" w:rsidRPr="00F03BB1" w14:paraId="39CFE51D" w14:textId="77777777">
        <w:trPr>
          <w:cantSplit/>
          <w:trHeight w:val="284"/>
        </w:trPr>
        <w:tc>
          <w:tcPr>
            <w:tcW w:w="1242" w:type="dxa"/>
          </w:tcPr>
          <w:p w14:paraId="3800B501" w14:textId="77777777" w:rsidR="005A234F" w:rsidRDefault="005A234F" w:rsidP="00965C7D">
            <w:pPr>
              <w:rPr>
                <w:rFonts w:ascii="Times" w:hAnsi="Times"/>
                <w:sz w:val="20"/>
                <w:szCs w:val="20"/>
              </w:rPr>
            </w:pPr>
            <w:r>
              <w:rPr>
                <w:rFonts w:ascii="Times" w:hAnsi="Times"/>
                <w:sz w:val="20"/>
                <w:szCs w:val="20"/>
              </w:rPr>
              <w:t>Fig.6.4</w:t>
            </w:r>
          </w:p>
        </w:tc>
        <w:tc>
          <w:tcPr>
            <w:tcW w:w="5812" w:type="dxa"/>
          </w:tcPr>
          <w:p w14:paraId="0E2CA841" w14:textId="77777777" w:rsidR="005A234F" w:rsidRPr="00A054F5" w:rsidRDefault="005A234F" w:rsidP="00965C7D">
            <w:pPr>
              <w:pStyle w:val="BodyJB"/>
              <w:spacing w:line="240" w:lineRule="auto"/>
              <w:rPr>
                <w:sz w:val="20"/>
                <w:szCs w:val="20"/>
              </w:rPr>
            </w:pPr>
            <w:r w:rsidRPr="00A054F5">
              <w:rPr>
                <w:sz w:val="20"/>
                <w:szCs w:val="20"/>
              </w:rPr>
              <w:t>Normalized concentrations (averaged per population of origin) of the top five mass bins discriminating British plants (OPLS analysis, Fig. 6.3b), top row; and the top five mass bins discriminating French plants, bottom row. Averages are indicated by the central bar of the box plot and standard deviation by the error bars.</w:t>
            </w:r>
          </w:p>
        </w:tc>
        <w:tc>
          <w:tcPr>
            <w:tcW w:w="992" w:type="dxa"/>
          </w:tcPr>
          <w:p w14:paraId="623F84A0" w14:textId="0F08ED41" w:rsidR="005A234F" w:rsidRDefault="00A91AC0" w:rsidP="00965C7D">
            <w:pPr>
              <w:rPr>
                <w:rFonts w:ascii="Times" w:hAnsi="Times"/>
                <w:sz w:val="20"/>
                <w:szCs w:val="20"/>
              </w:rPr>
            </w:pPr>
            <w:r>
              <w:rPr>
                <w:rFonts w:ascii="Times" w:hAnsi="Times"/>
                <w:sz w:val="20"/>
                <w:szCs w:val="20"/>
              </w:rPr>
              <w:t>10</w:t>
            </w:r>
            <w:r w:rsidR="007C2CF6">
              <w:rPr>
                <w:rFonts w:ascii="Times" w:hAnsi="Times"/>
                <w:sz w:val="20"/>
                <w:szCs w:val="20"/>
              </w:rPr>
              <w:t>4</w:t>
            </w:r>
          </w:p>
        </w:tc>
      </w:tr>
      <w:tr w:rsidR="005A234F" w:rsidRPr="00F03BB1" w14:paraId="2137F2A2" w14:textId="77777777">
        <w:trPr>
          <w:cantSplit/>
          <w:trHeight w:val="284"/>
        </w:trPr>
        <w:tc>
          <w:tcPr>
            <w:tcW w:w="1242" w:type="dxa"/>
          </w:tcPr>
          <w:p w14:paraId="77954E17" w14:textId="77777777" w:rsidR="005A234F" w:rsidRDefault="005A234F" w:rsidP="00965C7D">
            <w:pPr>
              <w:rPr>
                <w:rFonts w:ascii="Times" w:hAnsi="Times"/>
                <w:sz w:val="20"/>
                <w:szCs w:val="20"/>
              </w:rPr>
            </w:pPr>
          </w:p>
        </w:tc>
        <w:tc>
          <w:tcPr>
            <w:tcW w:w="5812" w:type="dxa"/>
          </w:tcPr>
          <w:p w14:paraId="35E1D047" w14:textId="77777777" w:rsidR="005A234F" w:rsidRPr="00B26C87" w:rsidRDefault="005A234F" w:rsidP="00965C7D">
            <w:pPr>
              <w:pStyle w:val="BodyJB"/>
              <w:spacing w:line="240" w:lineRule="auto"/>
              <w:rPr>
                <w:sz w:val="20"/>
                <w:szCs w:val="20"/>
              </w:rPr>
            </w:pPr>
          </w:p>
        </w:tc>
        <w:tc>
          <w:tcPr>
            <w:tcW w:w="992" w:type="dxa"/>
          </w:tcPr>
          <w:p w14:paraId="32FFFA74" w14:textId="77777777" w:rsidR="005A234F" w:rsidRDefault="005A234F" w:rsidP="00965C7D">
            <w:pPr>
              <w:rPr>
                <w:rFonts w:ascii="Times" w:hAnsi="Times"/>
                <w:sz w:val="20"/>
                <w:szCs w:val="20"/>
              </w:rPr>
            </w:pPr>
          </w:p>
        </w:tc>
      </w:tr>
      <w:tr w:rsidR="005A234F" w:rsidRPr="00F03BB1" w14:paraId="4A51D586" w14:textId="77777777">
        <w:trPr>
          <w:cantSplit/>
          <w:trHeight w:val="284"/>
        </w:trPr>
        <w:tc>
          <w:tcPr>
            <w:tcW w:w="1242" w:type="dxa"/>
          </w:tcPr>
          <w:p w14:paraId="7A63F70E" w14:textId="77777777" w:rsidR="005A234F" w:rsidRPr="00F03BB1" w:rsidRDefault="005A234F" w:rsidP="00965C7D">
            <w:pPr>
              <w:rPr>
                <w:rFonts w:ascii="Times" w:hAnsi="Times"/>
                <w:sz w:val="20"/>
                <w:szCs w:val="20"/>
              </w:rPr>
            </w:pPr>
            <w:r>
              <w:rPr>
                <w:rFonts w:ascii="Times" w:hAnsi="Times"/>
                <w:sz w:val="20"/>
                <w:szCs w:val="20"/>
              </w:rPr>
              <w:t>Fig. 6.5</w:t>
            </w:r>
          </w:p>
        </w:tc>
        <w:tc>
          <w:tcPr>
            <w:tcW w:w="5812" w:type="dxa"/>
          </w:tcPr>
          <w:p w14:paraId="6809DBDB" w14:textId="77777777" w:rsidR="005A234F" w:rsidRPr="00B26C87" w:rsidRDefault="005A234F" w:rsidP="00965C7D">
            <w:pPr>
              <w:pStyle w:val="BodyJB"/>
              <w:spacing w:line="240" w:lineRule="auto"/>
              <w:rPr>
                <w:sz w:val="20"/>
                <w:szCs w:val="20"/>
              </w:rPr>
            </w:pPr>
            <w:r w:rsidRPr="00B26C87">
              <w:rPr>
                <w:sz w:val="20"/>
                <w:szCs w:val="20"/>
              </w:rPr>
              <w:t>Overview diagram of metabolite pathways overlaid with data of fold change in concentration between the two classes.</w:t>
            </w:r>
          </w:p>
          <w:p w14:paraId="5D443F7E" w14:textId="77777777" w:rsidR="005A234F" w:rsidRPr="00F03BB1" w:rsidRDefault="005A234F" w:rsidP="00965C7D">
            <w:pPr>
              <w:rPr>
                <w:rFonts w:ascii="Times" w:hAnsi="Times"/>
                <w:sz w:val="20"/>
                <w:szCs w:val="20"/>
                <w:lang w:val="en-US"/>
              </w:rPr>
            </w:pPr>
          </w:p>
        </w:tc>
        <w:tc>
          <w:tcPr>
            <w:tcW w:w="992" w:type="dxa"/>
          </w:tcPr>
          <w:p w14:paraId="1E44A3EF" w14:textId="57B8029C" w:rsidR="005A234F" w:rsidRPr="00F03BB1" w:rsidRDefault="00A91AC0" w:rsidP="00965C7D">
            <w:pPr>
              <w:rPr>
                <w:rFonts w:ascii="Times" w:hAnsi="Times"/>
                <w:sz w:val="20"/>
                <w:szCs w:val="20"/>
              </w:rPr>
            </w:pPr>
            <w:r>
              <w:rPr>
                <w:rFonts w:ascii="Times" w:hAnsi="Times"/>
                <w:sz w:val="20"/>
                <w:szCs w:val="20"/>
              </w:rPr>
              <w:t>106</w:t>
            </w:r>
          </w:p>
        </w:tc>
      </w:tr>
      <w:tr w:rsidR="005A234F" w:rsidRPr="00F03BB1" w14:paraId="07B8608C" w14:textId="77777777">
        <w:trPr>
          <w:cantSplit/>
          <w:trHeight w:val="284"/>
        </w:trPr>
        <w:tc>
          <w:tcPr>
            <w:tcW w:w="1242" w:type="dxa"/>
          </w:tcPr>
          <w:p w14:paraId="40795D61" w14:textId="77777777" w:rsidR="005A234F" w:rsidRPr="00F03BB1" w:rsidRDefault="005A234F" w:rsidP="00965C7D">
            <w:pPr>
              <w:rPr>
                <w:rFonts w:ascii="Times" w:hAnsi="Times"/>
                <w:sz w:val="20"/>
                <w:szCs w:val="20"/>
              </w:rPr>
            </w:pPr>
            <w:r>
              <w:rPr>
                <w:rFonts w:ascii="Times" w:hAnsi="Times"/>
                <w:sz w:val="20"/>
                <w:szCs w:val="20"/>
              </w:rPr>
              <w:t>Fig. 6.6</w:t>
            </w:r>
          </w:p>
        </w:tc>
        <w:tc>
          <w:tcPr>
            <w:tcW w:w="5812" w:type="dxa"/>
          </w:tcPr>
          <w:p w14:paraId="0B003B11" w14:textId="77777777" w:rsidR="005A234F" w:rsidRPr="00B26C87" w:rsidRDefault="005A234F" w:rsidP="00965C7D">
            <w:pPr>
              <w:pStyle w:val="BodyJB"/>
              <w:spacing w:line="240" w:lineRule="auto"/>
              <w:rPr>
                <w:b/>
                <w:sz w:val="20"/>
                <w:szCs w:val="20"/>
              </w:rPr>
            </w:pPr>
            <w:r w:rsidRPr="00B26C87">
              <w:rPr>
                <w:sz w:val="20"/>
                <w:szCs w:val="20"/>
              </w:rPr>
              <w:t xml:space="preserve">Analysis of m/z values (binned to 0.2 Da) obtained by metabolic fingerprinting of four populations of </w:t>
            </w:r>
            <w:r w:rsidRPr="00B26C87">
              <w:rPr>
                <w:i/>
                <w:sz w:val="20"/>
                <w:szCs w:val="20"/>
              </w:rPr>
              <w:t>Erodium cicutarium</w:t>
            </w:r>
            <w:r w:rsidRPr="00B26C87">
              <w:rPr>
                <w:sz w:val="20"/>
                <w:szCs w:val="20"/>
              </w:rPr>
              <w:t>, a. Fr2, b. Fr4, c. GB1, d. GB2. Plots show metabolic differences between plots with different aspects, flat (diamonds), north-facing (triangles), south-facing (downward triangles). Data from, principle component analysis is expressed in score plot form showing data spread along PC1 and PC2 (Fig. 6.2.a)(percent of the variation of the data explained by each component is provided).  Since score plots do not so separation between treatments, corresponding loadings plots are not shown.</w:t>
            </w:r>
          </w:p>
          <w:p w14:paraId="22E6B313" w14:textId="77777777" w:rsidR="005A234F" w:rsidRPr="00F03BB1" w:rsidRDefault="005A234F" w:rsidP="00965C7D">
            <w:pPr>
              <w:rPr>
                <w:rFonts w:ascii="Times" w:hAnsi="Times"/>
                <w:sz w:val="20"/>
                <w:szCs w:val="20"/>
                <w:lang w:val="en-US"/>
              </w:rPr>
            </w:pPr>
          </w:p>
        </w:tc>
        <w:tc>
          <w:tcPr>
            <w:tcW w:w="992" w:type="dxa"/>
          </w:tcPr>
          <w:p w14:paraId="0770A6B7" w14:textId="7F3D62EC" w:rsidR="005A234F" w:rsidRPr="00F03BB1" w:rsidRDefault="00CE5C43" w:rsidP="00965C7D">
            <w:pPr>
              <w:rPr>
                <w:rFonts w:ascii="Times" w:hAnsi="Times"/>
                <w:sz w:val="20"/>
                <w:szCs w:val="20"/>
              </w:rPr>
            </w:pPr>
            <w:r>
              <w:rPr>
                <w:rFonts w:ascii="Times" w:hAnsi="Times"/>
                <w:sz w:val="20"/>
                <w:szCs w:val="20"/>
              </w:rPr>
              <w:t>10</w:t>
            </w:r>
            <w:r w:rsidR="007C2CF6">
              <w:rPr>
                <w:rFonts w:ascii="Times" w:hAnsi="Times"/>
                <w:sz w:val="20"/>
                <w:szCs w:val="20"/>
              </w:rPr>
              <w:t>8</w:t>
            </w:r>
          </w:p>
        </w:tc>
      </w:tr>
      <w:tr w:rsidR="005A234F" w:rsidRPr="00F03BB1" w14:paraId="6A7DE032" w14:textId="77777777">
        <w:trPr>
          <w:cantSplit/>
          <w:trHeight w:val="284"/>
        </w:trPr>
        <w:tc>
          <w:tcPr>
            <w:tcW w:w="1242" w:type="dxa"/>
          </w:tcPr>
          <w:p w14:paraId="200C8435" w14:textId="77777777" w:rsidR="00FB67DB" w:rsidRPr="00F03BB1" w:rsidRDefault="00FB67DB" w:rsidP="00965C7D">
            <w:pPr>
              <w:rPr>
                <w:rFonts w:ascii="Times" w:hAnsi="Times"/>
                <w:sz w:val="20"/>
                <w:szCs w:val="20"/>
              </w:rPr>
            </w:pPr>
          </w:p>
        </w:tc>
        <w:tc>
          <w:tcPr>
            <w:tcW w:w="5812" w:type="dxa"/>
          </w:tcPr>
          <w:p w14:paraId="1B38B73A" w14:textId="77777777" w:rsidR="005A234F" w:rsidRPr="00F03BB1" w:rsidRDefault="005A234F" w:rsidP="00965C7D">
            <w:pPr>
              <w:rPr>
                <w:rFonts w:ascii="Times" w:hAnsi="Times"/>
                <w:sz w:val="20"/>
                <w:szCs w:val="20"/>
                <w:lang w:val="en-US"/>
              </w:rPr>
            </w:pPr>
          </w:p>
        </w:tc>
        <w:tc>
          <w:tcPr>
            <w:tcW w:w="992" w:type="dxa"/>
          </w:tcPr>
          <w:p w14:paraId="69D9FAF8" w14:textId="77777777" w:rsidR="005A234F" w:rsidRPr="00F03BB1" w:rsidRDefault="005A234F" w:rsidP="00965C7D">
            <w:pPr>
              <w:rPr>
                <w:rFonts w:ascii="Times" w:hAnsi="Times"/>
                <w:sz w:val="20"/>
                <w:szCs w:val="20"/>
              </w:rPr>
            </w:pPr>
          </w:p>
        </w:tc>
      </w:tr>
    </w:tbl>
    <w:p w14:paraId="2592A38D" w14:textId="77777777" w:rsidR="005A234F" w:rsidRPr="00950697" w:rsidRDefault="005A234F">
      <w:pPr>
        <w:rPr>
          <w:b/>
          <w:u w:val="single"/>
        </w:rPr>
      </w:pPr>
      <w:r w:rsidRPr="00950697">
        <w:rPr>
          <w:b/>
          <w:u w:val="single"/>
        </w:rPr>
        <w:t xml:space="preserve">List of Tables.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42"/>
        <w:gridCol w:w="5812"/>
        <w:gridCol w:w="992"/>
      </w:tblGrid>
      <w:tr w:rsidR="005A234F" w:rsidRPr="00F03BB1" w14:paraId="4DCD9227" w14:textId="77777777">
        <w:trPr>
          <w:cantSplit/>
          <w:trHeight w:val="284"/>
        </w:trPr>
        <w:tc>
          <w:tcPr>
            <w:tcW w:w="1242" w:type="dxa"/>
          </w:tcPr>
          <w:p w14:paraId="05990D33" w14:textId="77777777" w:rsidR="005A234F" w:rsidRPr="00F03BB1" w:rsidRDefault="005A234F" w:rsidP="00965C7D">
            <w:pPr>
              <w:rPr>
                <w:rFonts w:ascii="Times" w:hAnsi="Times"/>
                <w:sz w:val="20"/>
                <w:szCs w:val="20"/>
              </w:rPr>
            </w:pPr>
            <w:r w:rsidRPr="00F03BB1">
              <w:rPr>
                <w:rFonts w:ascii="Times" w:hAnsi="Times"/>
                <w:sz w:val="20"/>
                <w:szCs w:val="20"/>
              </w:rPr>
              <w:t>Table</w:t>
            </w:r>
          </w:p>
        </w:tc>
        <w:tc>
          <w:tcPr>
            <w:tcW w:w="5812" w:type="dxa"/>
          </w:tcPr>
          <w:p w14:paraId="5B9C211C" w14:textId="77777777" w:rsidR="005A234F" w:rsidRPr="00F03BB1" w:rsidRDefault="005A234F" w:rsidP="00965C7D">
            <w:pPr>
              <w:rPr>
                <w:rFonts w:ascii="Times" w:hAnsi="Times"/>
                <w:sz w:val="20"/>
                <w:szCs w:val="20"/>
              </w:rPr>
            </w:pPr>
            <w:r w:rsidRPr="00F03BB1">
              <w:rPr>
                <w:rFonts w:ascii="Times" w:hAnsi="Times"/>
                <w:sz w:val="20"/>
                <w:szCs w:val="20"/>
              </w:rPr>
              <w:t>Title</w:t>
            </w:r>
          </w:p>
        </w:tc>
        <w:tc>
          <w:tcPr>
            <w:tcW w:w="992" w:type="dxa"/>
          </w:tcPr>
          <w:p w14:paraId="0FAF293C" w14:textId="77777777" w:rsidR="005A234F" w:rsidRPr="00F03BB1" w:rsidRDefault="005A234F" w:rsidP="00965C7D">
            <w:pPr>
              <w:rPr>
                <w:rFonts w:ascii="Times" w:hAnsi="Times"/>
                <w:sz w:val="20"/>
                <w:szCs w:val="20"/>
              </w:rPr>
            </w:pPr>
            <w:r w:rsidRPr="00F03BB1">
              <w:rPr>
                <w:rFonts w:ascii="Times" w:hAnsi="Times"/>
                <w:sz w:val="20"/>
                <w:szCs w:val="20"/>
              </w:rPr>
              <w:t>Page</w:t>
            </w:r>
          </w:p>
        </w:tc>
      </w:tr>
      <w:tr w:rsidR="005A234F" w:rsidRPr="00F03BB1" w14:paraId="691B4494" w14:textId="77777777">
        <w:trPr>
          <w:cantSplit/>
          <w:trHeight w:val="284"/>
        </w:trPr>
        <w:tc>
          <w:tcPr>
            <w:tcW w:w="7054" w:type="dxa"/>
            <w:gridSpan w:val="2"/>
          </w:tcPr>
          <w:p w14:paraId="3AA9FBD4" w14:textId="77777777" w:rsidR="005A234F" w:rsidRPr="00F03BB1" w:rsidRDefault="005A234F" w:rsidP="00965C7D">
            <w:pPr>
              <w:rPr>
                <w:rFonts w:ascii="Times" w:hAnsi="Times"/>
                <w:b/>
                <w:sz w:val="28"/>
                <w:szCs w:val="28"/>
              </w:rPr>
            </w:pPr>
            <w:r w:rsidRPr="00F03BB1">
              <w:rPr>
                <w:rFonts w:ascii="Times" w:hAnsi="Times"/>
                <w:b/>
                <w:sz w:val="28"/>
                <w:szCs w:val="28"/>
              </w:rPr>
              <w:t>Chapter 2.</w:t>
            </w:r>
          </w:p>
        </w:tc>
        <w:tc>
          <w:tcPr>
            <w:tcW w:w="992" w:type="dxa"/>
          </w:tcPr>
          <w:p w14:paraId="262EB67B" w14:textId="77777777" w:rsidR="005A234F" w:rsidRPr="00F03BB1" w:rsidRDefault="005A234F" w:rsidP="00965C7D">
            <w:pPr>
              <w:rPr>
                <w:rFonts w:ascii="Times" w:hAnsi="Times"/>
                <w:sz w:val="20"/>
                <w:szCs w:val="20"/>
              </w:rPr>
            </w:pPr>
          </w:p>
        </w:tc>
      </w:tr>
      <w:tr w:rsidR="005A234F" w:rsidRPr="00F03BB1" w14:paraId="5F15D1F1" w14:textId="77777777">
        <w:trPr>
          <w:cantSplit/>
          <w:trHeight w:val="284"/>
        </w:trPr>
        <w:tc>
          <w:tcPr>
            <w:tcW w:w="1242" w:type="dxa"/>
          </w:tcPr>
          <w:p w14:paraId="5622CEEF" w14:textId="77777777" w:rsidR="005A234F" w:rsidRPr="00F03BB1" w:rsidRDefault="005A234F" w:rsidP="00965C7D">
            <w:pPr>
              <w:rPr>
                <w:rFonts w:ascii="Times" w:hAnsi="Times"/>
                <w:sz w:val="20"/>
                <w:szCs w:val="20"/>
              </w:rPr>
            </w:pPr>
            <w:r w:rsidRPr="00F03BB1">
              <w:rPr>
                <w:rFonts w:ascii="Times" w:hAnsi="Times"/>
                <w:sz w:val="20"/>
                <w:szCs w:val="20"/>
              </w:rPr>
              <w:t xml:space="preserve">Table 2.1 </w:t>
            </w:r>
          </w:p>
        </w:tc>
        <w:tc>
          <w:tcPr>
            <w:tcW w:w="5812" w:type="dxa"/>
          </w:tcPr>
          <w:p w14:paraId="1069999E" w14:textId="77777777" w:rsidR="005A234F" w:rsidRPr="00F03BB1" w:rsidRDefault="005A234F" w:rsidP="00965C7D">
            <w:pPr>
              <w:rPr>
                <w:rFonts w:ascii="Times" w:hAnsi="Times"/>
                <w:sz w:val="20"/>
                <w:szCs w:val="20"/>
              </w:rPr>
            </w:pPr>
            <w:r w:rsidRPr="00F03BB1">
              <w:rPr>
                <w:rFonts w:ascii="Times" w:hAnsi="Times"/>
                <w:sz w:val="20"/>
                <w:szCs w:val="20"/>
              </w:rPr>
              <w:t>Location of field sites studied with a summary of climate, topography and grazing intensity. Mean annual rainfall and temperature values are given for the field study period 2010-2011. Grazing intensity represents counts of rabbit fecal pellets per m2. Mean values (± SD) for slope, moss &amp; lichen cover and depth, and grazing intensities are based on m2 quadrat surveys (n=145-302; Ooi et al. unpublished data)</w:t>
            </w:r>
          </w:p>
        </w:tc>
        <w:tc>
          <w:tcPr>
            <w:tcW w:w="992" w:type="dxa"/>
          </w:tcPr>
          <w:p w14:paraId="3E37005D" w14:textId="1D6E61E9" w:rsidR="005A234F" w:rsidRPr="00F03BB1" w:rsidRDefault="00CE5C43" w:rsidP="00965C7D">
            <w:pPr>
              <w:rPr>
                <w:rFonts w:ascii="Times" w:hAnsi="Times"/>
                <w:sz w:val="20"/>
                <w:szCs w:val="20"/>
              </w:rPr>
            </w:pPr>
            <w:r>
              <w:rPr>
                <w:rFonts w:ascii="Times" w:hAnsi="Times"/>
                <w:sz w:val="20"/>
                <w:szCs w:val="20"/>
              </w:rPr>
              <w:t>2</w:t>
            </w:r>
            <w:r w:rsidR="00EC321F">
              <w:rPr>
                <w:rFonts w:ascii="Times" w:hAnsi="Times"/>
                <w:sz w:val="20"/>
                <w:szCs w:val="20"/>
              </w:rPr>
              <w:t>5</w:t>
            </w:r>
          </w:p>
        </w:tc>
      </w:tr>
      <w:tr w:rsidR="005A234F" w:rsidRPr="00F03BB1" w14:paraId="68FAAC5B" w14:textId="77777777">
        <w:trPr>
          <w:cantSplit/>
          <w:trHeight w:val="284"/>
        </w:trPr>
        <w:tc>
          <w:tcPr>
            <w:tcW w:w="1242" w:type="dxa"/>
          </w:tcPr>
          <w:p w14:paraId="6323E271" w14:textId="77777777" w:rsidR="00FB67DB" w:rsidRPr="00F03BB1" w:rsidRDefault="00FB67DB" w:rsidP="00965C7D">
            <w:pPr>
              <w:rPr>
                <w:rFonts w:ascii="Times" w:hAnsi="Times"/>
                <w:sz w:val="20"/>
                <w:szCs w:val="20"/>
              </w:rPr>
            </w:pPr>
          </w:p>
        </w:tc>
        <w:tc>
          <w:tcPr>
            <w:tcW w:w="5812" w:type="dxa"/>
          </w:tcPr>
          <w:p w14:paraId="72B2E55C" w14:textId="77777777" w:rsidR="005A234F" w:rsidRPr="00F03BB1" w:rsidRDefault="005A234F" w:rsidP="00965C7D">
            <w:pPr>
              <w:rPr>
                <w:rFonts w:ascii="Times" w:hAnsi="Times"/>
                <w:sz w:val="20"/>
                <w:szCs w:val="20"/>
              </w:rPr>
            </w:pPr>
          </w:p>
        </w:tc>
        <w:tc>
          <w:tcPr>
            <w:tcW w:w="992" w:type="dxa"/>
          </w:tcPr>
          <w:p w14:paraId="5415F23B" w14:textId="77777777" w:rsidR="005A234F" w:rsidRPr="00F03BB1" w:rsidRDefault="005A234F" w:rsidP="00965C7D">
            <w:pPr>
              <w:rPr>
                <w:rFonts w:ascii="Times" w:hAnsi="Times"/>
                <w:sz w:val="20"/>
                <w:szCs w:val="20"/>
              </w:rPr>
            </w:pPr>
          </w:p>
        </w:tc>
      </w:tr>
      <w:tr w:rsidR="005A234F" w:rsidRPr="00F03BB1" w14:paraId="5F0A6245" w14:textId="77777777">
        <w:trPr>
          <w:cantSplit/>
          <w:trHeight w:val="284"/>
        </w:trPr>
        <w:tc>
          <w:tcPr>
            <w:tcW w:w="7054" w:type="dxa"/>
            <w:gridSpan w:val="2"/>
          </w:tcPr>
          <w:p w14:paraId="73B3009D" w14:textId="77777777" w:rsidR="005A234F" w:rsidRPr="00F03BB1" w:rsidRDefault="005A234F" w:rsidP="00965C7D">
            <w:pPr>
              <w:rPr>
                <w:rFonts w:ascii="Times" w:hAnsi="Times"/>
                <w:b/>
                <w:sz w:val="28"/>
                <w:szCs w:val="28"/>
              </w:rPr>
            </w:pPr>
            <w:r w:rsidRPr="00F03BB1">
              <w:rPr>
                <w:rFonts w:ascii="Times" w:hAnsi="Times"/>
                <w:b/>
                <w:sz w:val="28"/>
                <w:szCs w:val="28"/>
              </w:rPr>
              <w:t>Chapter 3</w:t>
            </w:r>
          </w:p>
        </w:tc>
        <w:tc>
          <w:tcPr>
            <w:tcW w:w="992" w:type="dxa"/>
          </w:tcPr>
          <w:p w14:paraId="352B73E8" w14:textId="77777777" w:rsidR="005A234F" w:rsidRPr="00F03BB1" w:rsidRDefault="005A234F" w:rsidP="00965C7D">
            <w:pPr>
              <w:rPr>
                <w:rFonts w:ascii="Times" w:hAnsi="Times"/>
                <w:sz w:val="20"/>
                <w:szCs w:val="20"/>
              </w:rPr>
            </w:pPr>
          </w:p>
        </w:tc>
      </w:tr>
      <w:tr w:rsidR="005A234F" w:rsidRPr="00F03BB1" w14:paraId="57226842" w14:textId="77777777">
        <w:trPr>
          <w:cantSplit/>
          <w:trHeight w:val="284"/>
        </w:trPr>
        <w:tc>
          <w:tcPr>
            <w:tcW w:w="1242" w:type="dxa"/>
          </w:tcPr>
          <w:p w14:paraId="2C68ECD9" w14:textId="77777777" w:rsidR="005A234F" w:rsidRPr="00F03BB1" w:rsidRDefault="005A234F" w:rsidP="00965C7D">
            <w:pPr>
              <w:rPr>
                <w:rFonts w:ascii="Times" w:hAnsi="Times"/>
                <w:sz w:val="20"/>
                <w:szCs w:val="20"/>
              </w:rPr>
            </w:pPr>
            <w:r w:rsidRPr="00F03BB1">
              <w:rPr>
                <w:rFonts w:ascii="Times" w:hAnsi="Times"/>
                <w:sz w:val="20"/>
                <w:szCs w:val="20"/>
              </w:rPr>
              <w:t>Table 3.1.</w:t>
            </w:r>
          </w:p>
        </w:tc>
        <w:tc>
          <w:tcPr>
            <w:tcW w:w="5812" w:type="dxa"/>
          </w:tcPr>
          <w:p w14:paraId="50531D5E" w14:textId="77777777" w:rsidR="005A234F" w:rsidRDefault="005A234F" w:rsidP="00965C7D">
            <w:pPr>
              <w:rPr>
                <w:rFonts w:ascii="Times" w:hAnsi="Times"/>
                <w:sz w:val="20"/>
                <w:szCs w:val="20"/>
              </w:rPr>
            </w:pPr>
            <w:r w:rsidRPr="00A513B7">
              <w:rPr>
                <w:rFonts w:ascii="Times" w:hAnsi="Times"/>
                <w:sz w:val="20"/>
                <w:szCs w:val="20"/>
              </w:rPr>
              <w:t>Table of analysis of variance testing the effect of population on a. flowering time, b. number of ripe fruit, c. number of seed produced per fruit, d. number of seed produced per plant, e. dry weight and f. final height. Analyses are list for each of the five species and were performed on samples from the F2 generation only.</w:t>
            </w:r>
          </w:p>
          <w:p w14:paraId="1F9A8581" w14:textId="77777777" w:rsidR="005A234F" w:rsidRPr="00F03BB1" w:rsidRDefault="005A234F" w:rsidP="00965C7D">
            <w:pPr>
              <w:rPr>
                <w:rFonts w:ascii="Times" w:hAnsi="Times"/>
                <w:sz w:val="20"/>
                <w:szCs w:val="20"/>
              </w:rPr>
            </w:pPr>
          </w:p>
        </w:tc>
        <w:tc>
          <w:tcPr>
            <w:tcW w:w="992" w:type="dxa"/>
          </w:tcPr>
          <w:p w14:paraId="06005DFD" w14:textId="4F3C002A" w:rsidR="005A234F" w:rsidRPr="00F03BB1" w:rsidRDefault="00EC321F" w:rsidP="00965C7D">
            <w:pPr>
              <w:rPr>
                <w:rFonts w:ascii="Times" w:hAnsi="Times"/>
                <w:sz w:val="20"/>
                <w:szCs w:val="20"/>
              </w:rPr>
            </w:pPr>
            <w:r>
              <w:rPr>
                <w:rFonts w:ascii="Times" w:hAnsi="Times"/>
                <w:sz w:val="20"/>
                <w:szCs w:val="20"/>
              </w:rPr>
              <w:t>47</w:t>
            </w:r>
            <w:r w:rsidR="00CE5C43">
              <w:rPr>
                <w:rFonts w:ascii="Times" w:hAnsi="Times"/>
                <w:sz w:val="20"/>
                <w:szCs w:val="20"/>
              </w:rPr>
              <w:t>,4</w:t>
            </w:r>
            <w:r>
              <w:rPr>
                <w:rFonts w:ascii="Times" w:hAnsi="Times"/>
                <w:sz w:val="20"/>
                <w:szCs w:val="20"/>
              </w:rPr>
              <w:t>8</w:t>
            </w:r>
          </w:p>
        </w:tc>
      </w:tr>
      <w:tr w:rsidR="005A234F" w:rsidRPr="00F03BB1" w14:paraId="17ABFB52" w14:textId="77777777">
        <w:trPr>
          <w:cantSplit/>
          <w:trHeight w:val="284"/>
        </w:trPr>
        <w:tc>
          <w:tcPr>
            <w:tcW w:w="1242" w:type="dxa"/>
          </w:tcPr>
          <w:p w14:paraId="5E069267" w14:textId="77777777" w:rsidR="005A234F" w:rsidRPr="00F03BB1" w:rsidRDefault="005A234F" w:rsidP="00965C7D">
            <w:pPr>
              <w:rPr>
                <w:rFonts w:ascii="Times" w:hAnsi="Times"/>
                <w:sz w:val="20"/>
                <w:szCs w:val="20"/>
              </w:rPr>
            </w:pPr>
            <w:r w:rsidRPr="00F03BB1">
              <w:rPr>
                <w:rFonts w:ascii="Times" w:hAnsi="Times"/>
                <w:sz w:val="20"/>
                <w:szCs w:val="20"/>
              </w:rPr>
              <w:t>Table 3.2</w:t>
            </w:r>
          </w:p>
        </w:tc>
        <w:tc>
          <w:tcPr>
            <w:tcW w:w="5812" w:type="dxa"/>
          </w:tcPr>
          <w:p w14:paraId="3D2B5EDF" w14:textId="77777777" w:rsidR="005A234F" w:rsidRPr="00CB46A4" w:rsidRDefault="005A234F" w:rsidP="00965C7D">
            <w:pPr>
              <w:rPr>
                <w:rFonts w:ascii="Times" w:hAnsi="Times"/>
                <w:b/>
                <w:sz w:val="20"/>
                <w:szCs w:val="20"/>
              </w:rPr>
            </w:pPr>
            <w:r w:rsidRPr="00CB46A4">
              <w:rPr>
                <w:rFonts w:ascii="Times" w:hAnsi="Times"/>
                <w:sz w:val="20"/>
                <w:szCs w:val="20"/>
              </w:rPr>
              <w:t>Summary table of analysis of variance on the contribution of the maternal environment to population differentiation on a number of plant traits in five dune annual species. Refer to appendix for full details.</w:t>
            </w:r>
          </w:p>
          <w:p w14:paraId="43E3689A" w14:textId="77777777" w:rsidR="005A234F" w:rsidRPr="00F03BB1" w:rsidRDefault="005A234F" w:rsidP="00965C7D">
            <w:pPr>
              <w:rPr>
                <w:rFonts w:ascii="Times" w:hAnsi="Times"/>
                <w:sz w:val="20"/>
                <w:szCs w:val="20"/>
              </w:rPr>
            </w:pPr>
          </w:p>
        </w:tc>
        <w:tc>
          <w:tcPr>
            <w:tcW w:w="992" w:type="dxa"/>
          </w:tcPr>
          <w:p w14:paraId="0630C2C0" w14:textId="4B991681" w:rsidR="005A234F" w:rsidRPr="00F03BB1" w:rsidRDefault="00CE5C43" w:rsidP="00965C7D">
            <w:pPr>
              <w:rPr>
                <w:rFonts w:ascii="Times" w:hAnsi="Times"/>
                <w:sz w:val="20"/>
                <w:szCs w:val="20"/>
              </w:rPr>
            </w:pPr>
            <w:r>
              <w:rPr>
                <w:rFonts w:ascii="Times" w:hAnsi="Times"/>
                <w:sz w:val="20"/>
                <w:szCs w:val="20"/>
              </w:rPr>
              <w:t>5</w:t>
            </w:r>
            <w:r w:rsidR="00EC321F">
              <w:rPr>
                <w:rFonts w:ascii="Times" w:hAnsi="Times"/>
                <w:sz w:val="20"/>
                <w:szCs w:val="20"/>
              </w:rPr>
              <w:t>0</w:t>
            </w:r>
          </w:p>
        </w:tc>
      </w:tr>
      <w:tr w:rsidR="005A234F" w:rsidRPr="00F03BB1" w14:paraId="62AD12E6" w14:textId="77777777">
        <w:trPr>
          <w:cantSplit/>
          <w:trHeight w:val="284"/>
        </w:trPr>
        <w:tc>
          <w:tcPr>
            <w:tcW w:w="1242" w:type="dxa"/>
          </w:tcPr>
          <w:p w14:paraId="3BD53BC7" w14:textId="77777777" w:rsidR="005A234F" w:rsidRPr="00F03BB1" w:rsidRDefault="005A234F" w:rsidP="00965C7D">
            <w:pPr>
              <w:rPr>
                <w:rFonts w:ascii="Times" w:hAnsi="Times"/>
                <w:sz w:val="20"/>
                <w:szCs w:val="20"/>
              </w:rPr>
            </w:pPr>
            <w:r w:rsidRPr="00F03BB1">
              <w:rPr>
                <w:rFonts w:ascii="Times" w:hAnsi="Times"/>
                <w:sz w:val="20"/>
                <w:szCs w:val="20"/>
              </w:rPr>
              <w:t>Table 3.3</w:t>
            </w:r>
          </w:p>
        </w:tc>
        <w:tc>
          <w:tcPr>
            <w:tcW w:w="5812" w:type="dxa"/>
          </w:tcPr>
          <w:p w14:paraId="7E63039A" w14:textId="77777777" w:rsidR="005A234F" w:rsidRPr="00870A2A" w:rsidRDefault="005A234F" w:rsidP="00965C7D">
            <w:pPr>
              <w:rPr>
                <w:rFonts w:ascii="Times" w:hAnsi="Times"/>
                <w:sz w:val="20"/>
                <w:szCs w:val="20"/>
              </w:rPr>
            </w:pPr>
            <w:r w:rsidRPr="00870A2A">
              <w:rPr>
                <w:rFonts w:ascii="Times" w:hAnsi="Times"/>
                <w:sz w:val="20"/>
                <w:szCs w:val="20"/>
              </w:rPr>
              <w:t>Coefficients of variation for the changed in trait values between populations of both F1 and F2 generations for each of the five species. Arrows show an increase (black) or decrease (grey) in CV between the generations. The significance of the population x generation interaction, taken from Table 3.2. is also listed, see appendix for full details of these tests.</w:t>
            </w:r>
          </w:p>
        </w:tc>
        <w:tc>
          <w:tcPr>
            <w:tcW w:w="992" w:type="dxa"/>
          </w:tcPr>
          <w:p w14:paraId="378E21A2" w14:textId="050EBEBC" w:rsidR="005A234F" w:rsidRPr="00F03BB1" w:rsidRDefault="00CE5C43" w:rsidP="00965C7D">
            <w:pPr>
              <w:rPr>
                <w:rFonts w:ascii="Times" w:hAnsi="Times"/>
                <w:sz w:val="20"/>
                <w:szCs w:val="20"/>
              </w:rPr>
            </w:pPr>
            <w:r>
              <w:rPr>
                <w:rFonts w:ascii="Times" w:hAnsi="Times"/>
                <w:sz w:val="20"/>
                <w:szCs w:val="20"/>
              </w:rPr>
              <w:t>5</w:t>
            </w:r>
            <w:r w:rsidR="00EC321F">
              <w:rPr>
                <w:rFonts w:ascii="Times" w:hAnsi="Times"/>
                <w:sz w:val="20"/>
                <w:szCs w:val="20"/>
              </w:rPr>
              <w:t>1</w:t>
            </w:r>
          </w:p>
        </w:tc>
      </w:tr>
      <w:tr w:rsidR="005A234F" w:rsidRPr="00F03BB1" w14:paraId="3F36CB6A" w14:textId="77777777">
        <w:trPr>
          <w:cantSplit/>
          <w:trHeight w:val="284"/>
        </w:trPr>
        <w:tc>
          <w:tcPr>
            <w:tcW w:w="1242" w:type="dxa"/>
          </w:tcPr>
          <w:p w14:paraId="24BAF399" w14:textId="77777777" w:rsidR="005A234F" w:rsidRPr="00F03BB1" w:rsidRDefault="005A234F" w:rsidP="00965C7D">
            <w:pPr>
              <w:rPr>
                <w:rFonts w:ascii="Times" w:hAnsi="Times"/>
                <w:sz w:val="20"/>
                <w:szCs w:val="20"/>
              </w:rPr>
            </w:pPr>
            <w:r w:rsidRPr="00F03BB1">
              <w:rPr>
                <w:rFonts w:ascii="Times" w:hAnsi="Times"/>
                <w:sz w:val="20"/>
                <w:szCs w:val="20"/>
              </w:rPr>
              <w:t>Table 3.4</w:t>
            </w:r>
          </w:p>
        </w:tc>
        <w:tc>
          <w:tcPr>
            <w:tcW w:w="5812" w:type="dxa"/>
          </w:tcPr>
          <w:p w14:paraId="331FF998" w14:textId="77777777" w:rsidR="005A234F" w:rsidRPr="00870A2A" w:rsidRDefault="005A234F" w:rsidP="00965C7D">
            <w:pPr>
              <w:rPr>
                <w:rFonts w:ascii="Times" w:hAnsi="Times"/>
                <w:sz w:val="20"/>
                <w:szCs w:val="20"/>
              </w:rPr>
            </w:pPr>
            <w:r w:rsidRPr="00870A2A">
              <w:rPr>
                <w:rFonts w:ascii="Times" w:hAnsi="Times"/>
                <w:sz w:val="20"/>
                <w:szCs w:val="20"/>
              </w:rPr>
              <w:t xml:space="preserve">Table 3.4 Analysis of variance of latitude and generation effects on average trait values of five species scaled across sites. </w:t>
            </w:r>
          </w:p>
          <w:p w14:paraId="6CB6FADB" w14:textId="77777777" w:rsidR="005A234F" w:rsidRPr="00F03BB1" w:rsidRDefault="005A234F" w:rsidP="00965C7D">
            <w:pPr>
              <w:rPr>
                <w:rFonts w:ascii="Times" w:hAnsi="Times"/>
                <w:sz w:val="20"/>
                <w:szCs w:val="20"/>
              </w:rPr>
            </w:pPr>
          </w:p>
        </w:tc>
        <w:tc>
          <w:tcPr>
            <w:tcW w:w="992" w:type="dxa"/>
          </w:tcPr>
          <w:p w14:paraId="42C29E11" w14:textId="24EE6603" w:rsidR="005A234F" w:rsidRPr="00F03BB1" w:rsidRDefault="00CE5C43" w:rsidP="00965C7D">
            <w:pPr>
              <w:rPr>
                <w:rFonts w:ascii="Times" w:hAnsi="Times"/>
                <w:sz w:val="20"/>
                <w:szCs w:val="20"/>
              </w:rPr>
            </w:pPr>
            <w:r>
              <w:rPr>
                <w:rFonts w:ascii="Times" w:hAnsi="Times"/>
                <w:sz w:val="20"/>
                <w:szCs w:val="20"/>
              </w:rPr>
              <w:t>5</w:t>
            </w:r>
            <w:r w:rsidR="00EC321F">
              <w:rPr>
                <w:rFonts w:ascii="Times" w:hAnsi="Times"/>
                <w:sz w:val="20"/>
                <w:szCs w:val="20"/>
              </w:rPr>
              <w:t>4</w:t>
            </w:r>
          </w:p>
        </w:tc>
      </w:tr>
      <w:tr w:rsidR="005A234F" w:rsidRPr="00F03BB1" w14:paraId="63725734" w14:textId="77777777">
        <w:trPr>
          <w:cantSplit/>
          <w:trHeight w:val="284"/>
        </w:trPr>
        <w:tc>
          <w:tcPr>
            <w:tcW w:w="7054" w:type="dxa"/>
            <w:gridSpan w:val="2"/>
          </w:tcPr>
          <w:p w14:paraId="27E88F3C" w14:textId="77777777" w:rsidR="005A234F" w:rsidRPr="00F03BB1" w:rsidRDefault="005A234F" w:rsidP="00965C7D">
            <w:pPr>
              <w:rPr>
                <w:rFonts w:ascii="Times" w:hAnsi="Times"/>
                <w:sz w:val="20"/>
                <w:szCs w:val="20"/>
              </w:rPr>
            </w:pPr>
            <w:r w:rsidRPr="00F03BB1">
              <w:rPr>
                <w:rFonts w:ascii="Times" w:hAnsi="Times"/>
                <w:b/>
                <w:sz w:val="28"/>
                <w:szCs w:val="28"/>
              </w:rPr>
              <w:t>Chapter 4</w:t>
            </w:r>
          </w:p>
        </w:tc>
        <w:tc>
          <w:tcPr>
            <w:tcW w:w="992" w:type="dxa"/>
          </w:tcPr>
          <w:p w14:paraId="1FCBAB2B" w14:textId="77777777" w:rsidR="005A234F" w:rsidRPr="00F03BB1" w:rsidRDefault="005A234F" w:rsidP="00965C7D">
            <w:pPr>
              <w:rPr>
                <w:rFonts w:ascii="Times" w:hAnsi="Times"/>
                <w:sz w:val="20"/>
                <w:szCs w:val="20"/>
              </w:rPr>
            </w:pPr>
          </w:p>
        </w:tc>
      </w:tr>
      <w:tr w:rsidR="005A234F" w:rsidRPr="00F03BB1" w14:paraId="1802014B" w14:textId="77777777">
        <w:trPr>
          <w:cantSplit/>
          <w:trHeight w:val="284"/>
        </w:trPr>
        <w:tc>
          <w:tcPr>
            <w:tcW w:w="1242" w:type="dxa"/>
          </w:tcPr>
          <w:p w14:paraId="348843C7" w14:textId="77777777" w:rsidR="005A234F" w:rsidRPr="00F03BB1" w:rsidRDefault="005A234F" w:rsidP="00965C7D">
            <w:pPr>
              <w:rPr>
                <w:rFonts w:ascii="Times" w:hAnsi="Times"/>
                <w:sz w:val="20"/>
                <w:szCs w:val="20"/>
              </w:rPr>
            </w:pPr>
            <w:r w:rsidRPr="00F03BB1">
              <w:rPr>
                <w:rFonts w:ascii="Times" w:hAnsi="Times"/>
                <w:sz w:val="20"/>
                <w:szCs w:val="20"/>
              </w:rPr>
              <w:t>Table 4.1.</w:t>
            </w:r>
          </w:p>
        </w:tc>
        <w:tc>
          <w:tcPr>
            <w:tcW w:w="5812" w:type="dxa"/>
          </w:tcPr>
          <w:p w14:paraId="6A9CF39F" w14:textId="77777777" w:rsidR="005A234F" w:rsidRPr="00DD06ED" w:rsidRDefault="005A234F" w:rsidP="00965C7D">
            <w:pPr>
              <w:pStyle w:val="BodyJB"/>
              <w:spacing w:line="240" w:lineRule="auto"/>
              <w:rPr>
                <w:sz w:val="20"/>
                <w:szCs w:val="20"/>
              </w:rPr>
            </w:pPr>
            <w:r w:rsidRPr="00DD06ED">
              <w:rPr>
                <w:sz w:val="20"/>
                <w:szCs w:val="20"/>
              </w:rPr>
              <w:t>Summary of putative identifications for mass bin values that positively and negatively contribute to species separation as shown in Fig 4.1. Putative identifications are based on accurate mass, calculated as mass values falling within a bin, averaged according to species of interest. Identifications highlighted here are chosen based on similarity to the average mass value and known occurrence in plants.</w:t>
            </w:r>
          </w:p>
          <w:p w14:paraId="223AFBCC" w14:textId="77777777" w:rsidR="005A234F" w:rsidRPr="00F03BB1" w:rsidRDefault="005A234F" w:rsidP="00965C7D">
            <w:pPr>
              <w:rPr>
                <w:rFonts w:ascii="Times" w:hAnsi="Times"/>
                <w:sz w:val="20"/>
                <w:szCs w:val="20"/>
              </w:rPr>
            </w:pPr>
          </w:p>
        </w:tc>
        <w:tc>
          <w:tcPr>
            <w:tcW w:w="992" w:type="dxa"/>
          </w:tcPr>
          <w:p w14:paraId="4BDA7D34" w14:textId="639FC764" w:rsidR="005A234F" w:rsidRPr="00F03BB1" w:rsidRDefault="00EC321F" w:rsidP="00CE5C43">
            <w:pPr>
              <w:rPr>
                <w:rFonts w:ascii="Times" w:hAnsi="Times"/>
                <w:sz w:val="20"/>
                <w:szCs w:val="20"/>
              </w:rPr>
            </w:pPr>
            <w:r>
              <w:rPr>
                <w:rFonts w:ascii="Times" w:hAnsi="Times"/>
                <w:sz w:val="20"/>
                <w:szCs w:val="20"/>
              </w:rPr>
              <w:t>67</w:t>
            </w:r>
            <w:r w:rsidR="005A234F">
              <w:rPr>
                <w:rFonts w:ascii="Times" w:hAnsi="Times"/>
                <w:sz w:val="20"/>
                <w:szCs w:val="20"/>
              </w:rPr>
              <w:t>,</w:t>
            </w:r>
            <w:r w:rsidR="00CE5C43">
              <w:rPr>
                <w:rFonts w:ascii="Times" w:hAnsi="Times"/>
                <w:sz w:val="20"/>
                <w:szCs w:val="20"/>
              </w:rPr>
              <w:t>6</w:t>
            </w:r>
            <w:r>
              <w:rPr>
                <w:rFonts w:ascii="Times" w:hAnsi="Times"/>
                <w:sz w:val="20"/>
                <w:szCs w:val="20"/>
              </w:rPr>
              <w:t>8</w:t>
            </w:r>
          </w:p>
        </w:tc>
      </w:tr>
      <w:tr w:rsidR="005A234F" w:rsidRPr="00F03BB1" w14:paraId="5E1C1A1C" w14:textId="77777777">
        <w:trPr>
          <w:cantSplit/>
          <w:trHeight w:val="284"/>
        </w:trPr>
        <w:tc>
          <w:tcPr>
            <w:tcW w:w="1242" w:type="dxa"/>
          </w:tcPr>
          <w:p w14:paraId="1FF86613" w14:textId="77777777" w:rsidR="005A234F" w:rsidRPr="00F03BB1" w:rsidRDefault="005A234F" w:rsidP="00965C7D">
            <w:pPr>
              <w:rPr>
                <w:rFonts w:ascii="Times" w:hAnsi="Times"/>
                <w:sz w:val="20"/>
                <w:szCs w:val="20"/>
              </w:rPr>
            </w:pPr>
            <w:r w:rsidRPr="00F03BB1">
              <w:rPr>
                <w:rFonts w:ascii="Times" w:hAnsi="Times"/>
                <w:sz w:val="20"/>
                <w:szCs w:val="20"/>
              </w:rPr>
              <w:t>Table 4.2.</w:t>
            </w:r>
          </w:p>
        </w:tc>
        <w:tc>
          <w:tcPr>
            <w:tcW w:w="5812" w:type="dxa"/>
          </w:tcPr>
          <w:p w14:paraId="1770B9DA" w14:textId="77777777" w:rsidR="005A234F" w:rsidRPr="00DD06ED" w:rsidRDefault="005A234F" w:rsidP="00965C7D">
            <w:pPr>
              <w:rPr>
                <w:rFonts w:ascii="Times" w:hAnsi="Times"/>
                <w:sz w:val="20"/>
                <w:szCs w:val="20"/>
              </w:rPr>
            </w:pPr>
            <w:r w:rsidRPr="00DD06ED">
              <w:rPr>
                <w:rFonts w:ascii="Times" w:hAnsi="Times"/>
                <w:sz w:val="20"/>
                <w:szCs w:val="20"/>
              </w:rPr>
              <w:t>Pathways of interest based on the most discriminatory mass bins determined by ANOVA. Putative identifications of the accurate mass contained within each mass bin was first determined and then uploaded onto MetabolAnalyst mapping software.</w:t>
            </w:r>
          </w:p>
        </w:tc>
        <w:tc>
          <w:tcPr>
            <w:tcW w:w="992" w:type="dxa"/>
          </w:tcPr>
          <w:p w14:paraId="5A969698" w14:textId="4165B159" w:rsidR="005A234F" w:rsidRPr="00F03BB1" w:rsidRDefault="00CE5C43" w:rsidP="00965C7D">
            <w:pPr>
              <w:rPr>
                <w:rFonts w:ascii="Times" w:hAnsi="Times"/>
                <w:sz w:val="20"/>
                <w:szCs w:val="20"/>
              </w:rPr>
            </w:pPr>
            <w:r>
              <w:rPr>
                <w:rFonts w:ascii="Times" w:hAnsi="Times"/>
                <w:sz w:val="20"/>
                <w:szCs w:val="20"/>
              </w:rPr>
              <w:t>7</w:t>
            </w:r>
            <w:r w:rsidR="00EC321F">
              <w:rPr>
                <w:rFonts w:ascii="Times" w:hAnsi="Times"/>
                <w:sz w:val="20"/>
                <w:szCs w:val="20"/>
              </w:rPr>
              <w:t>0</w:t>
            </w:r>
          </w:p>
        </w:tc>
      </w:tr>
      <w:tr w:rsidR="005A234F" w:rsidRPr="00F03BB1" w14:paraId="5AEA9D14" w14:textId="77777777">
        <w:trPr>
          <w:cantSplit/>
          <w:trHeight w:val="284"/>
        </w:trPr>
        <w:tc>
          <w:tcPr>
            <w:tcW w:w="7054" w:type="dxa"/>
            <w:gridSpan w:val="2"/>
          </w:tcPr>
          <w:p w14:paraId="76AD4EFE" w14:textId="77777777" w:rsidR="00FB67DB" w:rsidRDefault="00FB67DB" w:rsidP="00965C7D">
            <w:pPr>
              <w:rPr>
                <w:rFonts w:ascii="Times" w:hAnsi="Times"/>
                <w:b/>
                <w:sz w:val="28"/>
                <w:szCs w:val="28"/>
              </w:rPr>
            </w:pPr>
          </w:p>
          <w:p w14:paraId="534EE3F5" w14:textId="77777777" w:rsidR="005A234F" w:rsidRPr="00F03BB1" w:rsidRDefault="005A234F" w:rsidP="00965C7D">
            <w:pPr>
              <w:rPr>
                <w:rFonts w:ascii="Times" w:hAnsi="Times"/>
                <w:b/>
                <w:sz w:val="28"/>
                <w:szCs w:val="28"/>
              </w:rPr>
            </w:pPr>
            <w:r w:rsidRPr="00F03BB1">
              <w:rPr>
                <w:rFonts w:ascii="Times" w:hAnsi="Times"/>
                <w:b/>
                <w:sz w:val="28"/>
                <w:szCs w:val="28"/>
              </w:rPr>
              <w:t>Chapter 5</w:t>
            </w:r>
          </w:p>
        </w:tc>
        <w:tc>
          <w:tcPr>
            <w:tcW w:w="992" w:type="dxa"/>
          </w:tcPr>
          <w:p w14:paraId="148C06B9" w14:textId="77777777" w:rsidR="005A234F" w:rsidRPr="00F03BB1" w:rsidRDefault="005A234F" w:rsidP="00965C7D">
            <w:pPr>
              <w:rPr>
                <w:rFonts w:ascii="Times" w:hAnsi="Times"/>
                <w:sz w:val="20"/>
                <w:szCs w:val="20"/>
              </w:rPr>
            </w:pPr>
          </w:p>
        </w:tc>
      </w:tr>
      <w:tr w:rsidR="005A234F" w:rsidRPr="00F03BB1" w14:paraId="5F2673EA" w14:textId="77777777">
        <w:trPr>
          <w:cantSplit/>
          <w:trHeight w:val="284"/>
        </w:trPr>
        <w:tc>
          <w:tcPr>
            <w:tcW w:w="1242" w:type="dxa"/>
          </w:tcPr>
          <w:p w14:paraId="7598F91B" w14:textId="77777777" w:rsidR="005A234F" w:rsidRPr="00F03BB1" w:rsidRDefault="005A234F" w:rsidP="00965C7D">
            <w:pPr>
              <w:rPr>
                <w:rFonts w:ascii="Times" w:hAnsi="Times"/>
                <w:sz w:val="20"/>
                <w:szCs w:val="20"/>
              </w:rPr>
            </w:pPr>
            <w:r w:rsidRPr="00F03BB1">
              <w:rPr>
                <w:rFonts w:ascii="Times" w:hAnsi="Times"/>
                <w:sz w:val="20"/>
                <w:szCs w:val="20"/>
              </w:rPr>
              <w:t>Table 5.1</w:t>
            </w:r>
          </w:p>
        </w:tc>
        <w:tc>
          <w:tcPr>
            <w:tcW w:w="5812" w:type="dxa"/>
          </w:tcPr>
          <w:p w14:paraId="08996FC8" w14:textId="77777777" w:rsidR="005A234F" w:rsidRPr="005C05A5" w:rsidRDefault="005A234F" w:rsidP="00965C7D">
            <w:pPr>
              <w:pStyle w:val="BodyJB"/>
              <w:spacing w:line="240" w:lineRule="auto"/>
              <w:rPr>
                <w:sz w:val="20"/>
                <w:szCs w:val="20"/>
              </w:rPr>
            </w:pPr>
            <w:r w:rsidRPr="005C05A5">
              <w:rPr>
                <w:sz w:val="20"/>
                <w:szCs w:val="20"/>
              </w:rPr>
              <w:t>Table showing which mass bins contain compound peaks that significantly differ according to population of origin. Statistical significance is determined by False Detection Rate (FDR) values below 0.05. Details of the direction of the compound concentration difference are provided.</w:t>
            </w:r>
          </w:p>
          <w:p w14:paraId="0161FF96" w14:textId="77777777" w:rsidR="005A234F" w:rsidRPr="00F03BB1" w:rsidRDefault="005A234F" w:rsidP="00965C7D">
            <w:pPr>
              <w:rPr>
                <w:rFonts w:ascii="Times" w:hAnsi="Times"/>
                <w:sz w:val="20"/>
                <w:szCs w:val="20"/>
              </w:rPr>
            </w:pPr>
          </w:p>
        </w:tc>
        <w:tc>
          <w:tcPr>
            <w:tcW w:w="992" w:type="dxa"/>
          </w:tcPr>
          <w:p w14:paraId="2796CC40" w14:textId="5233330B" w:rsidR="005A234F" w:rsidRPr="00F03BB1" w:rsidRDefault="00EC321F" w:rsidP="00965C7D">
            <w:pPr>
              <w:rPr>
                <w:rFonts w:ascii="Times" w:hAnsi="Times"/>
                <w:sz w:val="20"/>
                <w:szCs w:val="20"/>
              </w:rPr>
            </w:pPr>
            <w:r>
              <w:rPr>
                <w:rFonts w:ascii="Times" w:hAnsi="Times"/>
                <w:sz w:val="20"/>
                <w:szCs w:val="20"/>
              </w:rPr>
              <w:t>84</w:t>
            </w:r>
          </w:p>
        </w:tc>
      </w:tr>
      <w:tr w:rsidR="005A234F" w:rsidRPr="00F03BB1" w14:paraId="31E181B8" w14:textId="77777777">
        <w:trPr>
          <w:cantSplit/>
          <w:trHeight w:val="284"/>
        </w:trPr>
        <w:tc>
          <w:tcPr>
            <w:tcW w:w="1242" w:type="dxa"/>
          </w:tcPr>
          <w:p w14:paraId="6139B3FB" w14:textId="77777777" w:rsidR="005A234F" w:rsidRPr="00F03BB1" w:rsidRDefault="005A234F" w:rsidP="00965C7D">
            <w:pPr>
              <w:rPr>
                <w:rFonts w:ascii="Times" w:hAnsi="Times"/>
                <w:sz w:val="20"/>
                <w:szCs w:val="20"/>
              </w:rPr>
            </w:pPr>
            <w:r w:rsidRPr="00F03BB1">
              <w:rPr>
                <w:rFonts w:ascii="Times" w:hAnsi="Times"/>
                <w:sz w:val="20"/>
                <w:szCs w:val="20"/>
              </w:rPr>
              <w:t>Table 5.2</w:t>
            </w:r>
          </w:p>
        </w:tc>
        <w:tc>
          <w:tcPr>
            <w:tcW w:w="5812" w:type="dxa"/>
          </w:tcPr>
          <w:p w14:paraId="7DBA8FC7" w14:textId="77777777" w:rsidR="005A234F" w:rsidRPr="005C05A5" w:rsidRDefault="005A234F" w:rsidP="00965C7D">
            <w:pPr>
              <w:pStyle w:val="BodyJB"/>
              <w:spacing w:line="240" w:lineRule="auto"/>
              <w:rPr>
                <w:sz w:val="20"/>
                <w:szCs w:val="20"/>
              </w:rPr>
            </w:pPr>
            <w:r w:rsidRPr="005C05A5">
              <w:rPr>
                <w:sz w:val="20"/>
                <w:szCs w:val="20"/>
              </w:rPr>
              <w:t>Summary of putative identifications for mass bin values that positively and negatively contribute to species separation as determined by significant effects of population in univariate ANOVA tests. Putative identifications are based on accurate mass,. Identifications included here are chosen based on similarity to the average mass value and known occurrence in plants.</w:t>
            </w:r>
          </w:p>
          <w:p w14:paraId="792ABF33" w14:textId="77777777" w:rsidR="005A234F" w:rsidRPr="00F03BB1" w:rsidRDefault="005A234F" w:rsidP="00965C7D">
            <w:pPr>
              <w:rPr>
                <w:rFonts w:ascii="Times" w:hAnsi="Times"/>
                <w:sz w:val="20"/>
                <w:szCs w:val="20"/>
              </w:rPr>
            </w:pPr>
          </w:p>
        </w:tc>
        <w:tc>
          <w:tcPr>
            <w:tcW w:w="992" w:type="dxa"/>
          </w:tcPr>
          <w:p w14:paraId="77F5F5BE" w14:textId="7BF0FCB8" w:rsidR="005A234F" w:rsidRPr="00F03BB1" w:rsidRDefault="008B144D" w:rsidP="008B144D">
            <w:pPr>
              <w:rPr>
                <w:rFonts w:ascii="Times" w:hAnsi="Times"/>
                <w:sz w:val="20"/>
                <w:szCs w:val="20"/>
              </w:rPr>
            </w:pPr>
            <w:r>
              <w:rPr>
                <w:rFonts w:ascii="Times" w:hAnsi="Times"/>
                <w:sz w:val="20"/>
                <w:szCs w:val="20"/>
              </w:rPr>
              <w:t>8</w:t>
            </w:r>
            <w:r w:rsidR="00EC321F">
              <w:rPr>
                <w:rFonts w:ascii="Times" w:hAnsi="Times"/>
                <w:sz w:val="20"/>
                <w:szCs w:val="20"/>
              </w:rPr>
              <w:t>6, 87</w:t>
            </w:r>
          </w:p>
        </w:tc>
      </w:tr>
      <w:tr w:rsidR="005A234F" w:rsidRPr="00F03BB1" w14:paraId="7FF6DF26" w14:textId="77777777">
        <w:trPr>
          <w:cantSplit/>
          <w:trHeight w:val="284"/>
        </w:trPr>
        <w:tc>
          <w:tcPr>
            <w:tcW w:w="1242" w:type="dxa"/>
          </w:tcPr>
          <w:p w14:paraId="333A47E3" w14:textId="77777777" w:rsidR="005A234F" w:rsidRPr="00F03BB1" w:rsidRDefault="005A234F" w:rsidP="00965C7D">
            <w:pPr>
              <w:rPr>
                <w:rFonts w:ascii="Times" w:hAnsi="Times"/>
                <w:sz w:val="20"/>
                <w:szCs w:val="20"/>
              </w:rPr>
            </w:pPr>
            <w:r>
              <w:rPr>
                <w:rFonts w:ascii="Times" w:hAnsi="Times"/>
                <w:sz w:val="20"/>
                <w:szCs w:val="20"/>
              </w:rPr>
              <w:t>Table 5.3</w:t>
            </w:r>
          </w:p>
        </w:tc>
        <w:tc>
          <w:tcPr>
            <w:tcW w:w="5812" w:type="dxa"/>
          </w:tcPr>
          <w:p w14:paraId="5DE49359" w14:textId="77777777" w:rsidR="005A234F" w:rsidRPr="00FE4EDA" w:rsidRDefault="005A234F" w:rsidP="00965C7D">
            <w:pPr>
              <w:rPr>
                <w:rFonts w:ascii="Times" w:hAnsi="Times"/>
                <w:sz w:val="20"/>
                <w:szCs w:val="20"/>
              </w:rPr>
            </w:pPr>
            <w:r w:rsidRPr="00FE4EDA">
              <w:rPr>
                <w:rFonts w:ascii="Times" w:hAnsi="Times"/>
                <w:sz w:val="20"/>
                <w:szCs w:val="20"/>
              </w:rPr>
              <w:t>Summary of Table 5.2. in matrix format allowing easy comparison of pathways up-regulated in specific species/population of origin combinations.</w:t>
            </w:r>
          </w:p>
        </w:tc>
        <w:tc>
          <w:tcPr>
            <w:tcW w:w="992" w:type="dxa"/>
          </w:tcPr>
          <w:p w14:paraId="24F5ACE7" w14:textId="3BBAAE4C" w:rsidR="005A234F" w:rsidRPr="00F03BB1" w:rsidRDefault="00EC321F" w:rsidP="00965C7D">
            <w:pPr>
              <w:rPr>
                <w:rFonts w:ascii="Times" w:hAnsi="Times"/>
                <w:sz w:val="20"/>
                <w:szCs w:val="20"/>
              </w:rPr>
            </w:pPr>
            <w:r>
              <w:rPr>
                <w:rFonts w:ascii="Times" w:hAnsi="Times"/>
                <w:sz w:val="20"/>
                <w:szCs w:val="20"/>
              </w:rPr>
              <w:t>89</w:t>
            </w:r>
          </w:p>
        </w:tc>
      </w:tr>
      <w:tr w:rsidR="005A234F" w:rsidRPr="00F03BB1" w14:paraId="4DC36D7F" w14:textId="77777777">
        <w:trPr>
          <w:cantSplit/>
          <w:trHeight w:val="284"/>
        </w:trPr>
        <w:tc>
          <w:tcPr>
            <w:tcW w:w="7054" w:type="dxa"/>
            <w:gridSpan w:val="2"/>
          </w:tcPr>
          <w:p w14:paraId="5EFCCE0D" w14:textId="77777777" w:rsidR="005A234F" w:rsidRDefault="005A234F" w:rsidP="00965C7D">
            <w:pPr>
              <w:rPr>
                <w:rFonts w:ascii="Times" w:hAnsi="Times"/>
                <w:b/>
                <w:sz w:val="28"/>
                <w:szCs w:val="28"/>
              </w:rPr>
            </w:pPr>
          </w:p>
          <w:p w14:paraId="52CA6A56" w14:textId="77777777" w:rsidR="005A234F" w:rsidRPr="00F03BB1" w:rsidRDefault="005A234F" w:rsidP="00965C7D">
            <w:pPr>
              <w:rPr>
                <w:rFonts w:ascii="Times" w:hAnsi="Times"/>
                <w:sz w:val="20"/>
                <w:szCs w:val="20"/>
              </w:rPr>
            </w:pPr>
            <w:r w:rsidRPr="00F03BB1">
              <w:rPr>
                <w:rFonts w:ascii="Times" w:hAnsi="Times"/>
                <w:b/>
                <w:sz w:val="28"/>
                <w:szCs w:val="28"/>
              </w:rPr>
              <w:t>Chapter 6</w:t>
            </w:r>
          </w:p>
        </w:tc>
        <w:tc>
          <w:tcPr>
            <w:tcW w:w="992" w:type="dxa"/>
          </w:tcPr>
          <w:p w14:paraId="3A5E4680" w14:textId="77777777" w:rsidR="005A234F" w:rsidRPr="00F03BB1" w:rsidRDefault="005A234F" w:rsidP="00965C7D">
            <w:pPr>
              <w:rPr>
                <w:rFonts w:ascii="Times" w:hAnsi="Times"/>
                <w:sz w:val="20"/>
                <w:szCs w:val="20"/>
              </w:rPr>
            </w:pPr>
          </w:p>
        </w:tc>
      </w:tr>
      <w:tr w:rsidR="005A234F" w:rsidRPr="00F03BB1" w14:paraId="0D379097" w14:textId="77777777">
        <w:trPr>
          <w:cantSplit/>
          <w:trHeight w:val="284"/>
        </w:trPr>
        <w:tc>
          <w:tcPr>
            <w:tcW w:w="1242" w:type="dxa"/>
          </w:tcPr>
          <w:p w14:paraId="5D4C8889" w14:textId="77777777" w:rsidR="005A234F" w:rsidRPr="00F03BB1" w:rsidRDefault="005A234F" w:rsidP="00965C7D">
            <w:pPr>
              <w:rPr>
                <w:rFonts w:ascii="Times" w:hAnsi="Times"/>
                <w:sz w:val="20"/>
                <w:szCs w:val="20"/>
              </w:rPr>
            </w:pPr>
            <w:r w:rsidRPr="00F03BB1">
              <w:rPr>
                <w:rFonts w:ascii="Times" w:hAnsi="Times"/>
                <w:sz w:val="20"/>
                <w:szCs w:val="20"/>
              </w:rPr>
              <w:t>Table 6.1</w:t>
            </w:r>
          </w:p>
        </w:tc>
        <w:tc>
          <w:tcPr>
            <w:tcW w:w="5812" w:type="dxa"/>
          </w:tcPr>
          <w:p w14:paraId="5C1EE315" w14:textId="77777777" w:rsidR="005A234F" w:rsidRPr="00B26C87" w:rsidRDefault="005A234F" w:rsidP="00965C7D">
            <w:pPr>
              <w:pStyle w:val="BodyJB"/>
              <w:spacing w:line="240" w:lineRule="auto"/>
              <w:rPr>
                <w:sz w:val="20"/>
                <w:szCs w:val="20"/>
              </w:rPr>
            </w:pPr>
            <w:r w:rsidRPr="00B26C87">
              <w:rPr>
                <w:sz w:val="20"/>
                <w:szCs w:val="20"/>
              </w:rPr>
              <w:t>Table of analysis of variance of aspect and population and their interaction on the numbers of plants of six dune annual species as well as cover of perennials, moss and lichen and grazing intensity measured as the number of rabbit fecal pellets.</w:t>
            </w:r>
          </w:p>
          <w:p w14:paraId="27FA8B60" w14:textId="77777777" w:rsidR="005A234F" w:rsidRPr="00F03BB1" w:rsidRDefault="005A234F" w:rsidP="00965C7D">
            <w:pPr>
              <w:rPr>
                <w:rFonts w:ascii="Times" w:hAnsi="Times"/>
                <w:sz w:val="20"/>
                <w:szCs w:val="20"/>
              </w:rPr>
            </w:pPr>
          </w:p>
        </w:tc>
        <w:tc>
          <w:tcPr>
            <w:tcW w:w="992" w:type="dxa"/>
          </w:tcPr>
          <w:p w14:paraId="51C1A72F" w14:textId="16BDAC0C" w:rsidR="005A234F" w:rsidRPr="00F03BB1" w:rsidRDefault="00EC321F" w:rsidP="00965C7D">
            <w:pPr>
              <w:rPr>
                <w:rFonts w:ascii="Times" w:hAnsi="Times"/>
                <w:sz w:val="20"/>
                <w:szCs w:val="20"/>
              </w:rPr>
            </w:pPr>
            <w:r>
              <w:rPr>
                <w:rFonts w:ascii="Times" w:hAnsi="Times"/>
                <w:sz w:val="20"/>
                <w:szCs w:val="20"/>
              </w:rPr>
              <w:t>98</w:t>
            </w:r>
          </w:p>
        </w:tc>
      </w:tr>
      <w:tr w:rsidR="005A234F" w:rsidRPr="00F03BB1" w14:paraId="2B7AF77D" w14:textId="77777777">
        <w:trPr>
          <w:cantSplit/>
          <w:trHeight w:val="284"/>
        </w:trPr>
        <w:tc>
          <w:tcPr>
            <w:tcW w:w="1242" w:type="dxa"/>
          </w:tcPr>
          <w:p w14:paraId="27B2B484" w14:textId="77777777" w:rsidR="005A234F" w:rsidRDefault="005A234F" w:rsidP="00965C7D">
            <w:pPr>
              <w:rPr>
                <w:rFonts w:ascii="Times" w:hAnsi="Times"/>
                <w:sz w:val="20"/>
                <w:szCs w:val="20"/>
              </w:rPr>
            </w:pPr>
            <w:r w:rsidRPr="00F03BB1">
              <w:rPr>
                <w:rFonts w:ascii="Times" w:hAnsi="Times"/>
                <w:sz w:val="20"/>
                <w:szCs w:val="20"/>
              </w:rPr>
              <w:t>Table 6.2</w:t>
            </w:r>
          </w:p>
          <w:p w14:paraId="0DC4069F" w14:textId="77777777" w:rsidR="005A234F" w:rsidRPr="00F03BB1" w:rsidRDefault="005A234F" w:rsidP="00965C7D">
            <w:pPr>
              <w:rPr>
                <w:rFonts w:ascii="Times" w:hAnsi="Times"/>
                <w:sz w:val="20"/>
                <w:szCs w:val="20"/>
              </w:rPr>
            </w:pPr>
          </w:p>
        </w:tc>
        <w:tc>
          <w:tcPr>
            <w:tcW w:w="5812" w:type="dxa"/>
          </w:tcPr>
          <w:p w14:paraId="343EACFF" w14:textId="77777777" w:rsidR="005A234F" w:rsidRPr="00B26C87" w:rsidRDefault="005A234F" w:rsidP="00965C7D">
            <w:pPr>
              <w:pStyle w:val="BodyJB"/>
              <w:spacing w:line="240" w:lineRule="auto"/>
              <w:rPr>
                <w:sz w:val="20"/>
                <w:szCs w:val="20"/>
              </w:rPr>
            </w:pPr>
            <w:r w:rsidRPr="00B26C87">
              <w:rPr>
                <w:sz w:val="20"/>
                <w:szCs w:val="20"/>
              </w:rPr>
              <w:t>Summary of putative identifications for top 10 mass bins selected from S-plot Fig 6.2.b. as compounds showing the largest correlation to modelled split between plants of different countries. Putative identifications are based on accurate mass. Identifications included here are chosen based on similarity to the average mass value and known occurrence in plants.</w:t>
            </w:r>
          </w:p>
          <w:p w14:paraId="637F850E" w14:textId="77777777" w:rsidR="005A234F" w:rsidRPr="00B26C87" w:rsidRDefault="005A234F" w:rsidP="00965C7D">
            <w:pPr>
              <w:pStyle w:val="BodyJB"/>
              <w:spacing w:line="240" w:lineRule="auto"/>
              <w:rPr>
                <w:sz w:val="20"/>
                <w:szCs w:val="20"/>
              </w:rPr>
            </w:pPr>
          </w:p>
        </w:tc>
        <w:tc>
          <w:tcPr>
            <w:tcW w:w="992" w:type="dxa"/>
          </w:tcPr>
          <w:p w14:paraId="2E2062CC" w14:textId="4D3BB207" w:rsidR="005A234F" w:rsidRDefault="008B144D" w:rsidP="00965C7D">
            <w:pPr>
              <w:rPr>
                <w:rFonts w:ascii="Times" w:hAnsi="Times"/>
                <w:sz w:val="20"/>
                <w:szCs w:val="20"/>
              </w:rPr>
            </w:pPr>
            <w:r>
              <w:rPr>
                <w:rFonts w:ascii="Times" w:hAnsi="Times"/>
                <w:sz w:val="20"/>
                <w:szCs w:val="20"/>
              </w:rPr>
              <w:t>10</w:t>
            </w:r>
            <w:r w:rsidR="00EC321F">
              <w:rPr>
                <w:rFonts w:ascii="Times" w:hAnsi="Times"/>
                <w:sz w:val="20"/>
                <w:szCs w:val="20"/>
              </w:rPr>
              <w:t>3</w:t>
            </w:r>
          </w:p>
        </w:tc>
      </w:tr>
      <w:tr w:rsidR="005A234F" w:rsidRPr="00F03BB1" w14:paraId="1FB07A07" w14:textId="77777777">
        <w:trPr>
          <w:cantSplit/>
          <w:trHeight w:val="284"/>
        </w:trPr>
        <w:tc>
          <w:tcPr>
            <w:tcW w:w="1242" w:type="dxa"/>
          </w:tcPr>
          <w:p w14:paraId="277545E9" w14:textId="77777777" w:rsidR="005A234F" w:rsidRPr="00F03BB1" w:rsidRDefault="005A234F" w:rsidP="00965C7D">
            <w:pPr>
              <w:rPr>
                <w:rFonts w:ascii="Times" w:hAnsi="Times"/>
                <w:sz w:val="20"/>
                <w:szCs w:val="20"/>
              </w:rPr>
            </w:pPr>
            <w:r>
              <w:rPr>
                <w:rFonts w:ascii="Times" w:hAnsi="Times"/>
                <w:sz w:val="20"/>
                <w:szCs w:val="20"/>
              </w:rPr>
              <w:t>Table 6.3</w:t>
            </w:r>
          </w:p>
        </w:tc>
        <w:tc>
          <w:tcPr>
            <w:tcW w:w="5812" w:type="dxa"/>
          </w:tcPr>
          <w:p w14:paraId="5907CAC5" w14:textId="77777777" w:rsidR="005A234F" w:rsidRPr="00B26C87" w:rsidRDefault="005A234F" w:rsidP="00965C7D">
            <w:pPr>
              <w:ind w:right="-170"/>
              <w:rPr>
                <w:rFonts w:ascii="Times" w:hAnsi="Times"/>
                <w:sz w:val="20"/>
                <w:szCs w:val="20"/>
              </w:rPr>
            </w:pPr>
            <w:r w:rsidRPr="00B26C87">
              <w:rPr>
                <w:rFonts w:ascii="Times" w:hAnsi="Times"/>
                <w:sz w:val="20"/>
                <w:szCs w:val="20"/>
              </w:rPr>
              <w:t>Pathways of interest based on the most discriminatory mass bins determined by ANOVA. Putative identifications of the accurate mass contained within each mass bin was first determined and then uploaded onto MetabolAnalyst mapping software.</w:t>
            </w:r>
          </w:p>
          <w:p w14:paraId="1AFABA37" w14:textId="77777777" w:rsidR="005A234F" w:rsidRPr="00B26C87" w:rsidRDefault="005A234F" w:rsidP="00965C7D">
            <w:pPr>
              <w:pStyle w:val="BodyJB"/>
              <w:spacing w:line="240" w:lineRule="auto"/>
              <w:rPr>
                <w:sz w:val="20"/>
                <w:szCs w:val="20"/>
              </w:rPr>
            </w:pPr>
          </w:p>
        </w:tc>
        <w:tc>
          <w:tcPr>
            <w:tcW w:w="992" w:type="dxa"/>
          </w:tcPr>
          <w:p w14:paraId="1FC690DF" w14:textId="01A94764" w:rsidR="005A234F" w:rsidRDefault="008B144D" w:rsidP="00965C7D">
            <w:pPr>
              <w:rPr>
                <w:rFonts w:ascii="Times" w:hAnsi="Times"/>
                <w:sz w:val="20"/>
                <w:szCs w:val="20"/>
              </w:rPr>
            </w:pPr>
            <w:r>
              <w:rPr>
                <w:rFonts w:ascii="Times" w:hAnsi="Times"/>
                <w:sz w:val="20"/>
                <w:szCs w:val="20"/>
              </w:rPr>
              <w:t>10</w:t>
            </w:r>
            <w:r w:rsidR="00EC321F">
              <w:rPr>
                <w:rFonts w:ascii="Times" w:hAnsi="Times"/>
                <w:sz w:val="20"/>
                <w:szCs w:val="20"/>
              </w:rPr>
              <w:t>5</w:t>
            </w:r>
          </w:p>
        </w:tc>
      </w:tr>
      <w:tr w:rsidR="005A234F" w:rsidRPr="00F03BB1" w14:paraId="3EB45C93" w14:textId="77777777">
        <w:trPr>
          <w:cantSplit/>
          <w:trHeight w:val="284"/>
        </w:trPr>
        <w:tc>
          <w:tcPr>
            <w:tcW w:w="1242" w:type="dxa"/>
          </w:tcPr>
          <w:p w14:paraId="50462F2A" w14:textId="77777777" w:rsidR="005A234F" w:rsidRPr="00F03BB1" w:rsidRDefault="005A234F" w:rsidP="00965C7D">
            <w:pPr>
              <w:rPr>
                <w:rFonts w:ascii="Times" w:hAnsi="Times"/>
                <w:sz w:val="20"/>
                <w:szCs w:val="20"/>
              </w:rPr>
            </w:pPr>
          </w:p>
        </w:tc>
        <w:tc>
          <w:tcPr>
            <w:tcW w:w="5812" w:type="dxa"/>
          </w:tcPr>
          <w:p w14:paraId="2F8C492F" w14:textId="77777777" w:rsidR="005A234F" w:rsidRPr="00B26C87" w:rsidRDefault="005A234F" w:rsidP="00965C7D">
            <w:pPr>
              <w:pStyle w:val="BodyJB"/>
              <w:spacing w:line="240" w:lineRule="auto"/>
              <w:rPr>
                <w:sz w:val="20"/>
                <w:szCs w:val="20"/>
              </w:rPr>
            </w:pPr>
          </w:p>
        </w:tc>
        <w:tc>
          <w:tcPr>
            <w:tcW w:w="992" w:type="dxa"/>
          </w:tcPr>
          <w:p w14:paraId="33E04B45" w14:textId="77777777" w:rsidR="005A234F" w:rsidRDefault="005A234F" w:rsidP="00965C7D">
            <w:pPr>
              <w:rPr>
                <w:rFonts w:ascii="Times" w:hAnsi="Times"/>
                <w:sz w:val="20"/>
                <w:szCs w:val="20"/>
              </w:rPr>
            </w:pPr>
          </w:p>
        </w:tc>
      </w:tr>
    </w:tbl>
    <w:p w14:paraId="28504A52" w14:textId="77777777" w:rsidR="005A234F" w:rsidRDefault="005A234F" w:rsidP="00965C7D"/>
    <w:p w14:paraId="2B3FFA3E" w14:textId="77777777" w:rsidR="005A234F" w:rsidRDefault="005A234F" w:rsidP="00965C7D"/>
    <w:p w14:paraId="1518B7EA" w14:textId="77777777" w:rsidR="0041679E" w:rsidRDefault="0041679E" w:rsidP="00965C7D"/>
    <w:p w14:paraId="705453F0" w14:textId="77777777" w:rsidR="0041679E" w:rsidRDefault="0041679E" w:rsidP="00965C7D"/>
    <w:p w14:paraId="6E250669" w14:textId="77777777" w:rsidR="0041679E" w:rsidRDefault="0041679E" w:rsidP="00965C7D"/>
    <w:p w14:paraId="1D73DD76" w14:textId="77777777" w:rsidR="0041679E" w:rsidRDefault="0041679E" w:rsidP="00965C7D"/>
    <w:p w14:paraId="0103C054" w14:textId="77777777" w:rsidR="0041679E" w:rsidRDefault="0041679E" w:rsidP="00965C7D"/>
    <w:p w14:paraId="07F5FC6F" w14:textId="77777777" w:rsidR="0041679E" w:rsidRDefault="0041679E" w:rsidP="00965C7D"/>
    <w:p w14:paraId="02E1DE5C" w14:textId="77777777" w:rsidR="0041679E" w:rsidRDefault="0041679E" w:rsidP="00965C7D"/>
    <w:p w14:paraId="2F15BEC2" w14:textId="77777777" w:rsidR="005A234F" w:rsidRDefault="00DF0EE2">
      <w:pPr>
        <w:pStyle w:val="TOC1"/>
        <w:tabs>
          <w:tab w:val="right" w:leader="hyphen" w:pos="8828"/>
        </w:tabs>
        <w:rPr>
          <w:b w:val="0"/>
          <w:caps w:val="0"/>
          <w:noProof/>
          <w:sz w:val="24"/>
          <w:szCs w:val="24"/>
        </w:rPr>
      </w:pPr>
      <w:r w:rsidRPr="00146A2D">
        <w:rPr>
          <w:rFonts w:ascii="Times" w:hAnsi="Times"/>
        </w:rPr>
        <w:fldChar w:fldCharType="begin"/>
      </w:r>
      <w:r w:rsidRPr="00146A2D">
        <w:rPr>
          <w:rFonts w:ascii="Times" w:hAnsi="Times"/>
        </w:rPr>
        <w:instrText xml:space="preserve"> TOC \t "Heading JB,1,Subheading JB,2,subheading MINOR,3" </w:instrText>
      </w:r>
      <w:r w:rsidRPr="00146A2D">
        <w:rPr>
          <w:rFonts w:ascii="Times" w:hAnsi="Times"/>
        </w:rPr>
        <w:fldChar w:fldCharType="separate"/>
      </w:r>
      <w:r w:rsidR="005A234F">
        <w:rPr>
          <w:noProof/>
        </w:rPr>
        <w:t>Chapter 1: General Introduction</w:t>
      </w:r>
      <w:r w:rsidR="005A234F">
        <w:rPr>
          <w:noProof/>
        </w:rPr>
        <w:tab/>
      </w:r>
      <w:r w:rsidR="005A234F">
        <w:rPr>
          <w:noProof/>
        </w:rPr>
        <w:fldChar w:fldCharType="begin"/>
      </w:r>
      <w:r w:rsidR="005A234F">
        <w:rPr>
          <w:noProof/>
        </w:rPr>
        <w:instrText xml:space="preserve"> PAGEREF _Toc291410027 \h </w:instrText>
      </w:r>
      <w:r w:rsidR="005A234F">
        <w:rPr>
          <w:noProof/>
        </w:rPr>
      </w:r>
      <w:r w:rsidR="005A234F">
        <w:rPr>
          <w:noProof/>
        </w:rPr>
        <w:fldChar w:fldCharType="separate"/>
      </w:r>
      <w:r w:rsidR="005A234F">
        <w:rPr>
          <w:noProof/>
        </w:rPr>
        <w:t>10</w:t>
      </w:r>
      <w:r w:rsidR="005A234F">
        <w:rPr>
          <w:noProof/>
        </w:rPr>
        <w:fldChar w:fldCharType="end"/>
      </w:r>
    </w:p>
    <w:p w14:paraId="7043E294" w14:textId="77777777" w:rsidR="005A234F" w:rsidRDefault="005A234F">
      <w:pPr>
        <w:pStyle w:val="TOC2"/>
        <w:tabs>
          <w:tab w:val="right" w:leader="hyphen" w:pos="8828"/>
        </w:tabs>
        <w:rPr>
          <w:smallCaps w:val="0"/>
          <w:noProof/>
          <w:sz w:val="24"/>
          <w:szCs w:val="24"/>
        </w:rPr>
      </w:pPr>
      <w:r>
        <w:rPr>
          <w:noProof/>
        </w:rPr>
        <w:t>1.1- Unraveling relationships between plants and past, current and future climatic conditions</w:t>
      </w:r>
      <w:r>
        <w:rPr>
          <w:noProof/>
        </w:rPr>
        <w:tab/>
      </w:r>
      <w:r>
        <w:rPr>
          <w:noProof/>
        </w:rPr>
        <w:fldChar w:fldCharType="begin"/>
      </w:r>
      <w:r>
        <w:rPr>
          <w:noProof/>
        </w:rPr>
        <w:instrText xml:space="preserve"> PAGEREF _Toc291410028 \h </w:instrText>
      </w:r>
      <w:r>
        <w:rPr>
          <w:noProof/>
        </w:rPr>
      </w:r>
      <w:r>
        <w:rPr>
          <w:noProof/>
        </w:rPr>
        <w:fldChar w:fldCharType="separate"/>
      </w:r>
      <w:r>
        <w:rPr>
          <w:noProof/>
        </w:rPr>
        <w:t>10</w:t>
      </w:r>
      <w:r>
        <w:rPr>
          <w:noProof/>
        </w:rPr>
        <w:fldChar w:fldCharType="end"/>
      </w:r>
    </w:p>
    <w:p w14:paraId="77583A41" w14:textId="77777777" w:rsidR="005A234F" w:rsidRDefault="005A234F">
      <w:pPr>
        <w:pStyle w:val="TOC2"/>
        <w:tabs>
          <w:tab w:val="right" w:leader="hyphen" w:pos="8828"/>
        </w:tabs>
        <w:rPr>
          <w:smallCaps w:val="0"/>
          <w:noProof/>
          <w:sz w:val="24"/>
          <w:szCs w:val="24"/>
        </w:rPr>
      </w:pPr>
      <w:r>
        <w:rPr>
          <w:noProof/>
        </w:rPr>
        <w:t>1.2- A new assessment of climate-plant relationships</w:t>
      </w:r>
      <w:r>
        <w:rPr>
          <w:noProof/>
        </w:rPr>
        <w:tab/>
      </w:r>
      <w:r>
        <w:rPr>
          <w:noProof/>
        </w:rPr>
        <w:fldChar w:fldCharType="begin"/>
      </w:r>
      <w:r>
        <w:rPr>
          <w:noProof/>
        </w:rPr>
        <w:instrText xml:space="preserve"> PAGEREF _Toc291410029 \h </w:instrText>
      </w:r>
      <w:r>
        <w:rPr>
          <w:noProof/>
        </w:rPr>
      </w:r>
      <w:r>
        <w:rPr>
          <w:noProof/>
        </w:rPr>
        <w:fldChar w:fldCharType="separate"/>
      </w:r>
      <w:r>
        <w:rPr>
          <w:noProof/>
        </w:rPr>
        <w:t>12</w:t>
      </w:r>
      <w:r>
        <w:rPr>
          <w:noProof/>
        </w:rPr>
        <w:fldChar w:fldCharType="end"/>
      </w:r>
    </w:p>
    <w:p w14:paraId="0EBFBE70" w14:textId="77777777" w:rsidR="005A234F" w:rsidRDefault="005A234F">
      <w:pPr>
        <w:pStyle w:val="TOC3"/>
        <w:tabs>
          <w:tab w:val="right" w:leader="hyphen" w:pos="8828"/>
        </w:tabs>
        <w:rPr>
          <w:i w:val="0"/>
          <w:noProof/>
          <w:sz w:val="24"/>
          <w:szCs w:val="24"/>
        </w:rPr>
      </w:pPr>
      <w:r>
        <w:rPr>
          <w:noProof/>
        </w:rPr>
        <w:t>1.2.1- Metabolomics background</w:t>
      </w:r>
      <w:r>
        <w:rPr>
          <w:noProof/>
        </w:rPr>
        <w:tab/>
      </w:r>
      <w:r>
        <w:rPr>
          <w:noProof/>
        </w:rPr>
        <w:fldChar w:fldCharType="begin"/>
      </w:r>
      <w:r>
        <w:rPr>
          <w:noProof/>
        </w:rPr>
        <w:instrText xml:space="preserve"> PAGEREF _Toc291410030 \h </w:instrText>
      </w:r>
      <w:r>
        <w:rPr>
          <w:noProof/>
        </w:rPr>
      </w:r>
      <w:r>
        <w:rPr>
          <w:noProof/>
        </w:rPr>
        <w:fldChar w:fldCharType="separate"/>
      </w:r>
      <w:r>
        <w:rPr>
          <w:noProof/>
        </w:rPr>
        <w:t>12</w:t>
      </w:r>
      <w:r>
        <w:rPr>
          <w:noProof/>
        </w:rPr>
        <w:fldChar w:fldCharType="end"/>
      </w:r>
    </w:p>
    <w:p w14:paraId="6CF974AC" w14:textId="77777777" w:rsidR="005A234F" w:rsidRDefault="005A234F">
      <w:pPr>
        <w:pStyle w:val="TOC3"/>
        <w:tabs>
          <w:tab w:val="right" w:leader="hyphen" w:pos="8828"/>
        </w:tabs>
        <w:rPr>
          <w:i w:val="0"/>
          <w:noProof/>
          <w:sz w:val="24"/>
          <w:szCs w:val="24"/>
        </w:rPr>
      </w:pPr>
      <w:r>
        <w:rPr>
          <w:noProof/>
        </w:rPr>
        <w:t>1.2.2.- Application to ecological studies</w:t>
      </w:r>
      <w:r>
        <w:rPr>
          <w:noProof/>
        </w:rPr>
        <w:tab/>
      </w:r>
      <w:r>
        <w:rPr>
          <w:noProof/>
        </w:rPr>
        <w:fldChar w:fldCharType="begin"/>
      </w:r>
      <w:r>
        <w:rPr>
          <w:noProof/>
        </w:rPr>
        <w:instrText xml:space="preserve"> PAGEREF _Toc291410031 \h </w:instrText>
      </w:r>
      <w:r>
        <w:rPr>
          <w:noProof/>
        </w:rPr>
      </w:r>
      <w:r>
        <w:rPr>
          <w:noProof/>
        </w:rPr>
        <w:fldChar w:fldCharType="separate"/>
      </w:r>
      <w:r>
        <w:rPr>
          <w:noProof/>
        </w:rPr>
        <w:t>13</w:t>
      </w:r>
      <w:r>
        <w:rPr>
          <w:noProof/>
        </w:rPr>
        <w:fldChar w:fldCharType="end"/>
      </w:r>
    </w:p>
    <w:p w14:paraId="38FDEE36" w14:textId="77777777" w:rsidR="005A234F" w:rsidRDefault="005A234F">
      <w:pPr>
        <w:pStyle w:val="TOC2"/>
        <w:tabs>
          <w:tab w:val="right" w:leader="hyphen" w:pos="8828"/>
        </w:tabs>
        <w:rPr>
          <w:smallCaps w:val="0"/>
          <w:noProof/>
          <w:sz w:val="24"/>
          <w:szCs w:val="24"/>
        </w:rPr>
      </w:pPr>
      <w:r>
        <w:rPr>
          <w:noProof/>
        </w:rPr>
        <w:t>1.3- Study System</w:t>
      </w:r>
      <w:r>
        <w:rPr>
          <w:noProof/>
        </w:rPr>
        <w:tab/>
      </w:r>
      <w:r>
        <w:rPr>
          <w:noProof/>
        </w:rPr>
        <w:fldChar w:fldCharType="begin"/>
      </w:r>
      <w:r>
        <w:rPr>
          <w:noProof/>
        </w:rPr>
        <w:instrText xml:space="preserve"> PAGEREF _Toc291410032 \h </w:instrText>
      </w:r>
      <w:r>
        <w:rPr>
          <w:noProof/>
        </w:rPr>
      </w:r>
      <w:r>
        <w:rPr>
          <w:noProof/>
        </w:rPr>
        <w:fldChar w:fldCharType="separate"/>
      </w:r>
      <w:r>
        <w:rPr>
          <w:noProof/>
        </w:rPr>
        <w:t>14</w:t>
      </w:r>
      <w:r>
        <w:rPr>
          <w:noProof/>
        </w:rPr>
        <w:fldChar w:fldCharType="end"/>
      </w:r>
    </w:p>
    <w:p w14:paraId="00A84DAF" w14:textId="77777777" w:rsidR="005A234F" w:rsidRDefault="005A234F">
      <w:pPr>
        <w:pStyle w:val="TOC2"/>
        <w:tabs>
          <w:tab w:val="right" w:leader="hyphen" w:pos="8828"/>
        </w:tabs>
        <w:rPr>
          <w:smallCaps w:val="0"/>
          <w:noProof/>
          <w:sz w:val="24"/>
          <w:szCs w:val="24"/>
        </w:rPr>
      </w:pPr>
      <w:r>
        <w:rPr>
          <w:noProof/>
        </w:rPr>
        <w:t>1.4- Dune annuals</w:t>
      </w:r>
      <w:r>
        <w:rPr>
          <w:noProof/>
        </w:rPr>
        <w:tab/>
      </w:r>
      <w:r>
        <w:rPr>
          <w:noProof/>
        </w:rPr>
        <w:fldChar w:fldCharType="begin"/>
      </w:r>
      <w:r>
        <w:rPr>
          <w:noProof/>
        </w:rPr>
        <w:instrText xml:space="preserve"> PAGEREF _Toc291410033 \h </w:instrText>
      </w:r>
      <w:r>
        <w:rPr>
          <w:noProof/>
        </w:rPr>
      </w:r>
      <w:r>
        <w:rPr>
          <w:noProof/>
        </w:rPr>
        <w:fldChar w:fldCharType="separate"/>
      </w:r>
      <w:r>
        <w:rPr>
          <w:noProof/>
        </w:rPr>
        <w:t>15</w:t>
      </w:r>
      <w:r>
        <w:rPr>
          <w:noProof/>
        </w:rPr>
        <w:fldChar w:fldCharType="end"/>
      </w:r>
    </w:p>
    <w:p w14:paraId="53B8F1AA" w14:textId="77777777" w:rsidR="005A234F" w:rsidRDefault="005A234F">
      <w:pPr>
        <w:pStyle w:val="TOC2"/>
        <w:tabs>
          <w:tab w:val="right" w:leader="hyphen" w:pos="8828"/>
        </w:tabs>
        <w:rPr>
          <w:smallCaps w:val="0"/>
          <w:noProof/>
          <w:sz w:val="24"/>
          <w:szCs w:val="24"/>
        </w:rPr>
      </w:pPr>
      <w:r>
        <w:rPr>
          <w:noProof/>
        </w:rPr>
        <w:t>1.5- Research aims and outline of thesis</w:t>
      </w:r>
      <w:r>
        <w:rPr>
          <w:noProof/>
        </w:rPr>
        <w:tab/>
      </w:r>
      <w:r>
        <w:rPr>
          <w:noProof/>
        </w:rPr>
        <w:fldChar w:fldCharType="begin"/>
      </w:r>
      <w:r>
        <w:rPr>
          <w:noProof/>
        </w:rPr>
        <w:instrText xml:space="preserve"> PAGEREF _Toc291410034 \h </w:instrText>
      </w:r>
      <w:r>
        <w:rPr>
          <w:noProof/>
        </w:rPr>
      </w:r>
      <w:r>
        <w:rPr>
          <w:noProof/>
        </w:rPr>
        <w:fldChar w:fldCharType="separate"/>
      </w:r>
      <w:r>
        <w:rPr>
          <w:noProof/>
        </w:rPr>
        <w:t>15</w:t>
      </w:r>
      <w:r>
        <w:rPr>
          <w:noProof/>
        </w:rPr>
        <w:fldChar w:fldCharType="end"/>
      </w:r>
    </w:p>
    <w:p w14:paraId="791BDE59" w14:textId="77777777" w:rsidR="005A234F" w:rsidRDefault="005A234F">
      <w:pPr>
        <w:pStyle w:val="TOC1"/>
        <w:tabs>
          <w:tab w:val="right" w:leader="hyphen" w:pos="8828"/>
        </w:tabs>
        <w:rPr>
          <w:b w:val="0"/>
          <w:caps w:val="0"/>
          <w:noProof/>
          <w:sz w:val="24"/>
          <w:szCs w:val="24"/>
        </w:rPr>
      </w:pPr>
      <w:r>
        <w:rPr>
          <w:noProof/>
        </w:rPr>
        <w:t>Chapter 2: General Materials and Methods</w:t>
      </w:r>
      <w:r>
        <w:rPr>
          <w:noProof/>
        </w:rPr>
        <w:tab/>
      </w:r>
      <w:r>
        <w:rPr>
          <w:noProof/>
        </w:rPr>
        <w:fldChar w:fldCharType="begin"/>
      </w:r>
      <w:r>
        <w:rPr>
          <w:noProof/>
        </w:rPr>
        <w:instrText xml:space="preserve"> PAGEREF _Toc291410035 \h </w:instrText>
      </w:r>
      <w:r>
        <w:rPr>
          <w:noProof/>
        </w:rPr>
      </w:r>
      <w:r>
        <w:rPr>
          <w:noProof/>
        </w:rPr>
        <w:fldChar w:fldCharType="separate"/>
      </w:r>
      <w:r>
        <w:rPr>
          <w:noProof/>
        </w:rPr>
        <w:t>18</w:t>
      </w:r>
      <w:r>
        <w:rPr>
          <w:noProof/>
        </w:rPr>
        <w:fldChar w:fldCharType="end"/>
      </w:r>
    </w:p>
    <w:p w14:paraId="3D2DEE99" w14:textId="77777777" w:rsidR="005A234F" w:rsidRDefault="005A234F">
      <w:pPr>
        <w:pStyle w:val="TOC2"/>
        <w:tabs>
          <w:tab w:val="right" w:leader="hyphen" w:pos="8828"/>
        </w:tabs>
        <w:rPr>
          <w:smallCaps w:val="0"/>
          <w:noProof/>
          <w:sz w:val="24"/>
          <w:szCs w:val="24"/>
        </w:rPr>
      </w:pPr>
      <w:r>
        <w:rPr>
          <w:noProof/>
        </w:rPr>
        <w:t>2.1- Methods Background</w:t>
      </w:r>
      <w:r>
        <w:rPr>
          <w:noProof/>
        </w:rPr>
        <w:tab/>
      </w:r>
      <w:r>
        <w:rPr>
          <w:noProof/>
        </w:rPr>
        <w:fldChar w:fldCharType="begin"/>
      </w:r>
      <w:r>
        <w:rPr>
          <w:noProof/>
        </w:rPr>
        <w:instrText xml:space="preserve"> PAGEREF _Toc291410036 \h </w:instrText>
      </w:r>
      <w:r>
        <w:rPr>
          <w:noProof/>
        </w:rPr>
      </w:r>
      <w:r>
        <w:rPr>
          <w:noProof/>
        </w:rPr>
        <w:fldChar w:fldCharType="separate"/>
      </w:r>
      <w:r>
        <w:rPr>
          <w:noProof/>
        </w:rPr>
        <w:t>18</w:t>
      </w:r>
      <w:r>
        <w:rPr>
          <w:noProof/>
        </w:rPr>
        <w:fldChar w:fldCharType="end"/>
      </w:r>
    </w:p>
    <w:p w14:paraId="26273D93" w14:textId="77777777" w:rsidR="005A234F" w:rsidRDefault="005A234F">
      <w:pPr>
        <w:pStyle w:val="TOC3"/>
        <w:tabs>
          <w:tab w:val="right" w:leader="hyphen" w:pos="8828"/>
        </w:tabs>
        <w:rPr>
          <w:i w:val="0"/>
          <w:noProof/>
          <w:sz w:val="24"/>
          <w:szCs w:val="24"/>
        </w:rPr>
      </w:pPr>
      <w:r>
        <w:rPr>
          <w:noProof/>
        </w:rPr>
        <w:t>Sampling</w:t>
      </w:r>
      <w:r>
        <w:rPr>
          <w:noProof/>
        </w:rPr>
        <w:tab/>
      </w:r>
      <w:r>
        <w:rPr>
          <w:noProof/>
        </w:rPr>
        <w:fldChar w:fldCharType="begin"/>
      </w:r>
      <w:r>
        <w:rPr>
          <w:noProof/>
        </w:rPr>
        <w:instrText xml:space="preserve"> PAGEREF _Toc291410037 \h </w:instrText>
      </w:r>
      <w:r>
        <w:rPr>
          <w:noProof/>
        </w:rPr>
      </w:r>
      <w:r>
        <w:rPr>
          <w:noProof/>
        </w:rPr>
        <w:fldChar w:fldCharType="separate"/>
      </w:r>
      <w:r>
        <w:rPr>
          <w:noProof/>
        </w:rPr>
        <w:t>18</w:t>
      </w:r>
      <w:r>
        <w:rPr>
          <w:noProof/>
        </w:rPr>
        <w:fldChar w:fldCharType="end"/>
      </w:r>
    </w:p>
    <w:p w14:paraId="4A71E9A6" w14:textId="77777777" w:rsidR="005A234F" w:rsidRDefault="005A234F">
      <w:pPr>
        <w:pStyle w:val="TOC3"/>
        <w:tabs>
          <w:tab w:val="right" w:leader="hyphen" w:pos="8828"/>
        </w:tabs>
        <w:rPr>
          <w:i w:val="0"/>
          <w:noProof/>
          <w:sz w:val="24"/>
          <w:szCs w:val="24"/>
        </w:rPr>
      </w:pPr>
      <w:r>
        <w:rPr>
          <w:noProof/>
        </w:rPr>
        <w:t>Sample Extraction</w:t>
      </w:r>
      <w:r>
        <w:rPr>
          <w:noProof/>
        </w:rPr>
        <w:tab/>
      </w:r>
      <w:r>
        <w:rPr>
          <w:noProof/>
        </w:rPr>
        <w:fldChar w:fldCharType="begin"/>
      </w:r>
      <w:r>
        <w:rPr>
          <w:noProof/>
        </w:rPr>
        <w:instrText xml:space="preserve"> PAGEREF _Toc291410038 \h </w:instrText>
      </w:r>
      <w:r>
        <w:rPr>
          <w:noProof/>
        </w:rPr>
      </w:r>
      <w:r>
        <w:rPr>
          <w:noProof/>
        </w:rPr>
        <w:fldChar w:fldCharType="separate"/>
      </w:r>
      <w:r>
        <w:rPr>
          <w:noProof/>
        </w:rPr>
        <w:t>19</w:t>
      </w:r>
      <w:r>
        <w:rPr>
          <w:noProof/>
        </w:rPr>
        <w:fldChar w:fldCharType="end"/>
      </w:r>
    </w:p>
    <w:p w14:paraId="0F1D5675" w14:textId="77777777" w:rsidR="005A234F" w:rsidRDefault="005A234F">
      <w:pPr>
        <w:pStyle w:val="TOC3"/>
        <w:tabs>
          <w:tab w:val="right" w:leader="hyphen" w:pos="8828"/>
        </w:tabs>
        <w:rPr>
          <w:i w:val="0"/>
          <w:noProof/>
          <w:sz w:val="24"/>
          <w:szCs w:val="24"/>
        </w:rPr>
      </w:pPr>
      <w:r>
        <w:rPr>
          <w:noProof/>
        </w:rPr>
        <w:t>Mass Spectrometry Analysis</w:t>
      </w:r>
      <w:r>
        <w:rPr>
          <w:noProof/>
        </w:rPr>
        <w:tab/>
      </w:r>
      <w:r>
        <w:rPr>
          <w:noProof/>
        </w:rPr>
        <w:fldChar w:fldCharType="begin"/>
      </w:r>
      <w:r>
        <w:rPr>
          <w:noProof/>
        </w:rPr>
        <w:instrText xml:space="preserve"> PAGEREF _Toc291410039 \h </w:instrText>
      </w:r>
      <w:r>
        <w:rPr>
          <w:noProof/>
        </w:rPr>
      </w:r>
      <w:r>
        <w:rPr>
          <w:noProof/>
        </w:rPr>
        <w:fldChar w:fldCharType="separate"/>
      </w:r>
      <w:r>
        <w:rPr>
          <w:noProof/>
        </w:rPr>
        <w:t>19</w:t>
      </w:r>
      <w:r>
        <w:rPr>
          <w:noProof/>
        </w:rPr>
        <w:fldChar w:fldCharType="end"/>
      </w:r>
    </w:p>
    <w:p w14:paraId="738A6F1D" w14:textId="77777777" w:rsidR="005A234F" w:rsidRDefault="005A234F">
      <w:pPr>
        <w:pStyle w:val="TOC3"/>
        <w:tabs>
          <w:tab w:val="right" w:leader="hyphen" w:pos="8828"/>
        </w:tabs>
        <w:rPr>
          <w:i w:val="0"/>
          <w:noProof/>
          <w:sz w:val="24"/>
          <w:szCs w:val="24"/>
        </w:rPr>
      </w:pPr>
      <w:r>
        <w:rPr>
          <w:noProof/>
        </w:rPr>
        <w:t>Data Processing</w:t>
      </w:r>
      <w:r>
        <w:rPr>
          <w:noProof/>
        </w:rPr>
        <w:tab/>
      </w:r>
      <w:r>
        <w:rPr>
          <w:noProof/>
        </w:rPr>
        <w:fldChar w:fldCharType="begin"/>
      </w:r>
      <w:r>
        <w:rPr>
          <w:noProof/>
        </w:rPr>
        <w:instrText xml:space="preserve"> PAGEREF _Toc291410040 \h </w:instrText>
      </w:r>
      <w:r>
        <w:rPr>
          <w:noProof/>
        </w:rPr>
      </w:r>
      <w:r>
        <w:rPr>
          <w:noProof/>
        </w:rPr>
        <w:fldChar w:fldCharType="separate"/>
      </w:r>
      <w:r>
        <w:rPr>
          <w:noProof/>
        </w:rPr>
        <w:t>20</w:t>
      </w:r>
      <w:r>
        <w:rPr>
          <w:noProof/>
        </w:rPr>
        <w:fldChar w:fldCharType="end"/>
      </w:r>
    </w:p>
    <w:p w14:paraId="20D5969C" w14:textId="77777777" w:rsidR="005A234F" w:rsidRDefault="005A234F">
      <w:pPr>
        <w:pStyle w:val="TOC3"/>
        <w:tabs>
          <w:tab w:val="right" w:leader="hyphen" w:pos="8828"/>
        </w:tabs>
        <w:rPr>
          <w:i w:val="0"/>
          <w:noProof/>
          <w:sz w:val="24"/>
          <w:szCs w:val="24"/>
        </w:rPr>
      </w:pPr>
      <w:r>
        <w:rPr>
          <w:noProof/>
        </w:rPr>
        <w:t>Data Analysis</w:t>
      </w:r>
      <w:r>
        <w:rPr>
          <w:noProof/>
        </w:rPr>
        <w:tab/>
      </w:r>
      <w:r>
        <w:rPr>
          <w:noProof/>
        </w:rPr>
        <w:fldChar w:fldCharType="begin"/>
      </w:r>
      <w:r>
        <w:rPr>
          <w:noProof/>
        </w:rPr>
        <w:instrText xml:space="preserve"> PAGEREF _Toc291410041 \h </w:instrText>
      </w:r>
      <w:r>
        <w:rPr>
          <w:noProof/>
        </w:rPr>
      </w:r>
      <w:r>
        <w:rPr>
          <w:noProof/>
        </w:rPr>
        <w:fldChar w:fldCharType="separate"/>
      </w:r>
      <w:r>
        <w:rPr>
          <w:noProof/>
        </w:rPr>
        <w:t>21</w:t>
      </w:r>
      <w:r>
        <w:rPr>
          <w:noProof/>
        </w:rPr>
        <w:fldChar w:fldCharType="end"/>
      </w:r>
    </w:p>
    <w:p w14:paraId="3CFFA7E1" w14:textId="77777777" w:rsidR="005A234F" w:rsidRDefault="005A234F">
      <w:pPr>
        <w:pStyle w:val="TOC2"/>
        <w:tabs>
          <w:tab w:val="right" w:leader="hyphen" w:pos="8828"/>
        </w:tabs>
        <w:rPr>
          <w:smallCaps w:val="0"/>
          <w:noProof/>
          <w:sz w:val="24"/>
          <w:szCs w:val="24"/>
        </w:rPr>
      </w:pPr>
      <w:r>
        <w:rPr>
          <w:noProof/>
        </w:rPr>
        <w:t>2.2- Methods</w:t>
      </w:r>
      <w:r>
        <w:rPr>
          <w:noProof/>
        </w:rPr>
        <w:tab/>
      </w:r>
      <w:r>
        <w:rPr>
          <w:noProof/>
        </w:rPr>
        <w:fldChar w:fldCharType="begin"/>
      </w:r>
      <w:r>
        <w:rPr>
          <w:noProof/>
        </w:rPr>
        <w:instrText xml:space="preserve"> PAGEREF _Toc291410042 \h </w:instrText>
      </w:r>
      <w:r>
        <w:rPr>
          <w:noProof/>
        </w:rPr>
      </w:r>
      <w:r>
        <w:rPr>
          <w:noProof/>
        </w:rPr>
        <w:fldChar w:fldCharType="separate"/>
      </w:r>
      <w:r>
        <w:rPr>
          <w:noProof/>
        </w:rPr>
        <w:t>22</w:t>
      </w:r>
      <w:r>
        <w:rPr>
          <w:noProof/>
        </w:rPr>
        <w:fldChar w:fldCharType="end"/>
      </w:r>
    </w:p>
    <w:p w14:paraId="36D827F9" w14:textId="77777777" w:rsidR="005A234F" w:rsidRDefault="005A234F">
      <w:pPr>
        <w:pStyle w:val="TOC2"/>
        <w:tabs>
          <w:tab w:val="right" w:leader="hyphen" w:pos="8828"/>
        </w:tabs>
        <w:rPr>
          <w:smallCaps w:val="0"/>
          <w:noProof/>
          <w:sz w:val="24"/>
          <w:szCs w:val="24"/>
        </w:rPr>
      </w:pPr>
      <w:r>
        <w:rPr>
          <w:noProof/>
        </w:rPr>
        <w:t>2.2.1- Study System and Species</w:t>
      </w:r>
      <w:r>
        <w:rPr>
          <w:noProof/>
        </w:rPr>
        <w:tab/>
      </w:r>
      <w:r>
        <w:rPr>
          <w:noProof/>
        </w:rPr>
        <w:fldChar w:fldCharType="begin"/>
      </w:r>
      <w:r>
        <w:rPr>
          <w:noProof/>
        </w:rPr>
        <w:instrText xml:space="preserve"> PAGEREF _Toc291410043 \h </w:instrText>
      </w:r>
      <w:r>
        <w:rPr>
          <w:noProof/>
        </w:rPr>
      </w:r>
      <w:r>
        <w:rPr>
          <w:noProof/>
        </w:rPr>
        <w:fldChar w:fldCharType="separate"/>
      </w:r>
      <w:r>
        <w:rPr>
          <w:noProof/>
        </w:rPr>
        <w:t>22</w:t>
      </w:r>
      <w:r>
        <w:rPr>
          <w:noProof/>
        </w:rPr>
        <w:fldChar w:fldCharType="end"/>
      </w:r>
    </w:p>
    <w:p w14:paraId="1D824F01" w14:textId="77777777" w:rsidR="005A234F" w:rsidRDefault="005A234F">
      <w:pPr>
        <w:pStyle w:val="TOC3"/>
        <w:tabs>
          <w:tab w:val="right" w:leader="hyphen" w:pos="8828"/>
        </w:tabs>
        <w:rPr>
          <w:i w:val="0"/>
          <w:noProof/>
          <w:sz w:val="24"/>
          <w:szCs w:val="24"/>
        </w:rPr>
      </w:pPr>
      <w:r>
        <w:rPr>
          <w:noProof/>
        </w:rPr>
        <w:t>Grey dune characteristics</w:t>
      </w:r>
      <w:r>
        <w:rPr>
          <w:noProof/>
        </w:rPr>
        <w:tab/>
      </w:r>
      <w:r>
        <w:rPr>
          <w:noProof/>
        </w:rPr>
        <w:fldChar w:fldCharType="begin"/>
      </w:r>
      <w:r>
        <w:rPr>
          <w:noProof/>
        </w:rPr>
        <w:instrText xml:space="preserve"> PAGEREF _Toc291410044 \h </w:instrText>
      </w:r>
      <w:r>
        <w:rPr>
          <w:noProof/>
        </w:rPr>
      </w:r>
      <w:r>
        <w:rPr>
          <w:noProof/>
        </w:rPr>
        <w:fldChar w:fldCharType="separate"/>
      </w:r>
      <w:r>
        <w:rPr>
          <w:noProof/>
        </w:rPr>
        <w:t>22</w:t>
      </w:r>
      <w:r>
        <w:rPr>
          <w:noProof/>
        </w:rPr>
        <w:fldChar w:fldCharType="end"/>
      </w:r>
    </w:p>
    <w:p w14:paraId="2B1DA125" w14:textId="77777777" w:rsidR="005A234F" w:rsidRDefault="005A234F">
      <w:pPr>
        <w:pStyle w:val="TOC3"/>
        <w:tabs>
          <w:tab w:val="right" w:leader="hyphen" w:pos="8828"/>
        </w:tabs>
        <w:rPr>
          <w:i w:val="0"/>
          <w:noProof/>
          <w:sz w:val="24"/>
          <w:szCs w:val="24"/>
        </w:rPr>
      </w:pPr>
      <w:r>
        <w:rPr>
          <w:noProof/>
        </w:rPr>
        <w:t>Species</w:t>
      </w:r>
      <w:r>
        <w:rPr>
          <w:noProof/>
        </w:rPr>
        <w:tab/>
      </w:r>
      <w:r>
        <w:rPr>
          <w:noProof/>
        </w:rPr>
        <w:fldChar w:fldCharType="begin"/>
      </w:r>
      <w:r>
        <w:rPr>
          <w:noProof/>
        </w:rPr>
        <w:instrText xml:space="preserve"> PAGEREF _Toc291410045 \h </w:instrText>
      </w:r>
      <w:r>
        <w:rPr>
          <w:noProof/>
        </w:rPr>
      </w:r>
      <w:r>
        <w:rPr>
          <w:noProof/>
        </w:rPr>
        <w:fldChar w:fldCharType="separate"/>
      </w:r>
      <w:r>
        <w:rPr>
          <w:noProof/>
        </w:rPr>
        <w:t>26</w:t>
      </w:r>
      <w:r>
        <w:rPr>
          <w:noProof/>
        </w:rPr>
        <w:fldChar w:fldCharType="end"/>
      </w:r>
    </w:p>
    <w:p w14:paraId="2ABBE2BB" w14:textId="77777777" w:rsidR="005A234F" w:rsidRDefault="005A234F">
      <w:pPr>
        <w:pStyle w:val="TOC2"/>
        <w:tabs>
          <w:tab w:val="right" w:leader="hyphen" w:pos="8828"/>
        </w:tabs>
        <w:rPr>
          <w:smallCaps w:val="0"/>
          <w:noProof/>
          <w:sz w:val="24"/>
          <w:szCs w:val="24"/>
        </w:rPr>
      </w:pPr>
      <w:r>
        <w:rPr>
          <w:noProof/>
        </w:rPr>
        <w:t>2.2.2- Details of Controlled Growth Experiment</w:t>
      </w:r>
      <w:r>
        <w:rPr>
          <w:noProof/>
        </w:rPr>
        <w:tab/>
      </w:r>
      <w:r>
        <w:rPr>
          <w:noProof/>
        </w:rPr>
        <w:fldChar w:fldCharType="begin"/>
      </w:r>
      <w:r>
        <w:rPr>
          <w:noProof/>
        </w:rPr>
        <w:instrText xml:space="preserve"> PAGEREF _Toc291410046 \h </w:instrText>
      </w:r>
      <w:r>
        <w:rPr>
          <w:noProof/>
        </w:rPr>
      </w:r>
      <w:r>
        <w:rPr>
          <w:noProof/>
        </w:rPr>
        <w:fldChar w:fldCharType="separate"/>
      </w:r>
      <w:r>
        <w:rPr>
          <w:noProof/>
        </w:rPr>
        <w:t>30</w:t>
      </w:r>
      <w:r>
        <w:rPr>
          <w:noProof/>
        </w:rPr>
        <w:fldChar w:fldCharType="end"/>
      </w:r>
    </w:p>
    <w:p w14:paraId="04F5F50E" w14:textId="77777777" w:rsidR="005A234F" w:rsidRDefault="005A234F">
      <w:pPr>
        <w:pStyle w:val="TOC3"/>
        <w:tabs>
          <w:tab w:val="right" w:leader="hyphen" w:pos="8828"/>
        </w:tabs>
        <w:rPr>
          <w:i w:val="0"/>
          <w:noProof/>
          <w:sz w:val="24"/>
          <w:szCs w:val="24"/>
        </w:rPr>
      </w:pPr>
      <w:r>
        <w:rPr>
          <w:noProof/>
        </w:rPr>
        <w:t>Study Species</w:t>
      </w:r>
      <w:r>
        <w:rPr>
          <w:noProof/>
        </w:rPr>
        <w:tab/>
      </w:r>
      <w:r>
        <w:rPr>
          <w:noProof/>
        </w:rPr>
        <w:fldChar w:fldCharType="begin"/>
      </w:r>
      <w:r>
        <w:rPr>
          <w:noProof/>
        </w:rPr>
        <w:instrText xml:space="preserve"> PAGEREF _Toc291410047 \h </w:instrText>
      </w:r>
      <w:r>
        <w:rPr>
          <w:noProof/>
        </w:rPr>
      </w:r>
      <w:r>
        <w:rPr>
          <w:noProof/>
        </w:rPr>
        <w:fldChar w:fldCharType="separate"/>
      </w:r>
      <w:r>
        <w:rPr>
          <w:noProof/>
        </w:rPr>
        <w:t>30</w:t>
      </w:r>
      <w:r>
        <w:rPr>
          <w:noProof/>
        </w:rPr>
        <w:fldChar w:fldCharType="end"/>
      </w:r>
    </w:p>
    <w:p w14:paraId="6AC6DABF" w14:textId="77777777" w:rsidR="005A234F" w:rsidRDefault="005A234F">
      <w:pPr>
        <w:pStyle w:val="TOC3"/>
        <w:tabs>
          <w:tab w:val="right" w:leader="hyphen" w:pos="8828"/>
        </w:tabs>
        <w:rPr>
          <w:i w:val="0"/>
          <w:noProof/>
          <w:sz w:val="24"/>
          <w:szCs w:val="24"/>
        </w:rPr>
      </w:pPr>
      <w:r>
        <w:rPr>
          <w:noProof/>
        </w:rPr>
        <w:t>Experimental Design</w:t>
      </w:r>
      <w:r>
        <w:rPr>
          <w:noProof/>
        </w:rPr>
        <w:tab/>
      </w:r>
      <w:r>
        <w:rPr>
          <w:noProof/>
        </w:rPr>
        <w:fldChar w:fldCharType="begin"/>
      </w:r>
      <w:r>
        <w:rPr>
          <w:noProof/>
        </w:rPr>
        <w:instrText xml:space="preserve"> PAGEREF _Toc291410048 \h </w:instrText>
      </w:r>
      <w:r>
        <w:rPr>
          <w:noProof/>
        </w:rPr>
      </w:r>
      <w:r>
        <w:rPr>
          <w:noProof/>
        </w:rPr>
        <w:fldChar w:fldCharType="separate"/>
      </w:r>
      <w:r>
        <w:rPr>
          <w:noProof/>
        </w:rPr>
        <w:t>32</w:t>
      </w:r>
      <w:r>
        <w:rPr>
          <w:noProof/>
        </w:rPr>
        <w:fldChar w:fldCharType="end"/>
      </w:r>
    </w:p>
    <w:p w14:paraId="69C2C839" w14:textId="77777777" w:rsidR="005A234F" w:rsidRDefault="005A234F">
      <w:pPr>
        <w:pStyle w:val="TOC2"/>
        <w:tabs>
          <w:tab w:val="right" w:leader="hyphen" w:pos="8828"/>
        </w:tabs>
        <w:rPr>
          <w:smallCaps w:val="0"/>
          <w:noProof/>
          <w:sz w:val="24"/>
          <w:szCs w:val="24"/>
        </w:rPr>
      </w:pPr>
      <w:r>
        <w:rPr>
          <w:noProof/>
        </w:rPr>
        <w:t>2.2.3- Metabolomic Analysis Methods</w:t>
      </w:r>
      <w:r>
        <w:rPr>
          <w:noProof/>
        </w:rPr>
        <w:tab/>
      </w:r>
      <w:r>
        <w:rPr>
          <w:noProof/>
        </w:rPr>
        <w:fldChar w:fldCharType="begin"/>
      </w:r>
      <w:r>
        <w:rPr>
          <w:noProof/>
        </w:rPr>
        <w:instrText xml:space="preserve"> PAGEREF _Toc291410049 \h </w:instrText>
      </w:r>
      <w:r>
        <w:rPr>
          <w:noProof/>
        </w:rPr>
      </w:r>
      <w:r>
        <w:rPr>
          <w:noProof/>
        </w:rPr>
        <w:fldChar w:fldCharType="separate"/>
      </w:r>
      <w:r>
        <w:rPr>
          <w:noProof/>
        </w:rPr>
        <w:t>32</w:t>
      </w:r>
      <w:r>
        <w:rPr>
          <w:noProof/>
        </w:rPr>
        <w:fldChar w:fldCharType="end"/>
      </w:r>
    </w:p>
    <w:p w14:paraId="70880FD7" w14:textId="77777777" w:rsidR="005A234F" w:rsidRDefault="005A234F">
      <w:pPr>
        <w:pStyle w:val="TOC3"/>
        <w:tabs>
          <w:tab w:val="right" w:leader="hyphen" w:pos="8828"/>
        </w:tabs>
        <w:rPr>
          <w:i w:val="0"/>
          <w:noProof/>
          <w:sz w:val="24"/>
          <w:szCs w:val="24"/>
        </w:rPr>
      </w:pPr>
      <w:r>
        <w:rPr>
          <w:noProof/>
        </w:rPr>
        <w:t>2.2.3.1- Metabolite Sample Harvesting</w:t>
      </w:r>
      <w:r>
        <w:rPr>
          <w:noProof/>
        </w:rPr>
        <w:tab/>
      </w:r>
      <w:r>
        <w:rPr>
          <w:noProof/>
        </w:rPr>
        <w:fldChar w:fldCharType="begin"/>
      </w:r>
      <w:r>
        <w:rPr>
          <w:noProof/>
        </w:rPr>
        <w:instrText xml:space="preserve"> PAGEREF _Toc291410050 \h </w:instrText>
      </w:r>
      <w:r>
        <w:rPr>
          <w:noProof/>
        </w:rPr>
      </w:r>
      <w:r>
        <w:rPr>
          <w:noProof/>
        </w:rPr>
        <w:fldChar w:fldCharType="separate"/>
      </w:r>
      <w:r>
        <w:rPr>
          <w:noProof/>
        </w:rPr>
        <w:t>32</w:t>
      </w:r>
      <w:r>
        <w:rPr>
          <w:noProof/>
        </w:rPr>
        <w:fldChar w:fldCharType="end"/>
      </w:r>
    </w:p>
    <w:p w14:paraId="2ED4A2D8" w14:textId="77777777" w:rsidR="005A234F" w:rsidRDefault="005A234F">
      <w:pPr>
        <w:pStyle w:val="TOC3"/>
        <w:tabs>
          <w:tab w:val="right" w:leader="hyphen" w:pos="8828"/>
        </w:tabs>
        <w:rPr>
          <w:i w:val="0"/>
          <w:noProof/>
          <w:sz w:val="24"/>
          <w:szCs w:val="24"/>
        </w:rPr>
      </w:pPr>
      <w:r>
        <w:rPr>
          <w:noProof/>
        </w:rPr>
        <w:t>2.2.3.2- Metabolite Extraction</w:t>
      </w:r>
      <w:r>
        <w:rPr>
          <w:noProof/>
        </w:rPr>
        <w:tab/>
      </w:r>
      <w:r>
        <w:rPr>
          <w:noProof/>
        </w:rPr>
        <w:fldChar w:fldCharType="begin"/>
      </w:r>
      <w:r>
        <w:rPr>
          <w:noProof/>
        </w:rPr>
        <w:instrText xml:space="preserve"> PAGEREF _Toc291410051 \h </w:instrText>
      </w:r>
      <w:r>
        <w:rPr>
          <w:noProof/>
        </w:rPr>
      </w:r>
      <w:r>
        <w:rPr>
          <w:noProof/>
        </w:rPr>
        <w:fldChar w:fldCharType="separate"/>
      </w:r>
      <w:r>
        <w:rPr>
          <w:noProof/>
        </w:rPr>
        <w:t>33</w:t>
      </w:r>
      <w:r>
        <w:rPr>
          <w:noProof/>
        </w:rPr>
        <w:fldChar w:fldCharType="end"/>
      </w:r>
    </w:p>
    <w:p w14:paraId="2E77F623" w14:textId="77777777" w:rsidR="005A234F" w:rsidRDefault="005A234F">
      <w:pPr>
        <w:pStyle w:val="TOC3"/>
        <w:tabs>
          <w:tab w:val="right" w:leader="hyphen" w:pos="8828"/>
        </w:tabs>
        <w:rPr>
          <w:i w:val="0"/>
          <w:noProof/>
          <w:sz w:val="24"/>
          <w:szCs w:val="24"/>
        </w:rPr>
      </w:pPr>
      <w:r>
        <w:rPr>
          <w:noProof/>
        </w:rPr>
        <w:t>2.2.3.3- Mass Spectrometry Analysis</w:t>
      </w:r>
      <w:r>
        <w:rPr>
          <w:noProof/>
        </w:rPr>
        <w:tab/>
      </w:r>
      <w:r>
        <w:rPr>
          <w:noProof/>
        </w:rPr>
        <w:fldChar w:fldCharType="begin"/>
      </w:r>
      <w:r>
        <w:rPr>
          <w:noProof/>
        </w:rPr>
        <w:instrText xml:space="preserve"> PAGEREF _Toc291410052 \h </w:instrText>
      </w:r>
      <w:r>
        <w:rPr>
          <w:noProof/>
        </w:rPr>
      </w:r>
      <w:r>
        <w:rPr>
          <w:noProof/>
        </w:rPr>
        <w:fldChar w:fldCharType="separate"/>
      </w:r>
      <w:r>
        <w:rPr>
          <w:noProof/>
        </w:rPr>
        <w:t>34</w:t>
      </w:r>
      <w:r>
        <w:rPr>
          <w:noProof/>
        </w:rPr>
        <w:fldChar w:fldCharType="end"/>
      </w:r>
    </w:p>
    <w:p w14:paraId="4B2A62FF" w14:textId="77777777" w:rsidR="005A234F" w:rsidRDefault="005A234F">
      <w:pPr>
        <w:pStyle w:val="TOC3"/>
        <w:tabs>
          <w:tab w:val="right" w:leader="hyphen" w:pos="8828"/>
        </w:tabs>
        <w:rPr>
          <w:i w:val="0"/>
          <w:noProof/>
          <w:sz w:val="24"/>
          <w:szCs w:val="24"/>
        </w:rPr>
      </w:pPr>
      <w:r>
        <w:rPr>
          <w:noProof/>
        </w:rPr>
        <w:t>2.2.3.4- Metabolomic Data Analysis</w:t>
      </w:r>
      <w:r>
        <w:rPr>
          <w:noProof/>
        </w:rPr>
        <w:tab/>
      </w:r>
      <w:r>
        <w:rPr>
          <w:noProof/>
        </w:rPr>
        <w:fldChar w:fldCharType="begin"/>
      </w:r>
      <w:r>
        <w:rPr>
          <w:noProof/>
        </w:rPr>
        <w:instrText xml:space="preserve"> PAGEREF _Toc291410053 \h </w:instrText>
      </w:r>
      <w:r>
        <w:rPr>
          <w:noProof/>
        </w:rPr>
      </w:r>
      <w:r>
        <w:rPr>
          <w:noProof/>
        </w:rPr>
        <w:fldChar w:fldCharType="separate"/>
      </w:r>
      <w:r>
        <w:rPr>
          <w:noProof/>
        </w:rPr>
        <w:t>34</w:t>
      </w:r>
      <w:r>
        <w:rPr>
          <w:noProof/>
        </w:rPr>
        <w:fldChar w:fldCharType="end"/>
      </w:r>
    </w:p>
    <w:p w14:paraId="3424B903" w14:textId="77777777" w:rsidR="005A234F" w:rsidRDefault="005A234F">
      <w:pPr>
        <w:pStyle w:val="TOC1"/>
        <w:tabs>
          <w:tab w:val="right" w:leader="hyphen" w:pos="8828"/>
        </w:tabs>
        <w:rPr>
          <w:b w:val="0"/>
          <w:caps w:val="0"/>
          <w:noProof/>
          <w:sz w:val="24"/>
          <w:szCs w:val="24"/>
        </w:rPr>
      </w:pPr>
      <w:r>
        <w:rPr>
          <w:noProof/>
        </w:rPr>
        <w:t>Chapter 3- Population Differentiation in Phenotypic Traits</w:t>
      </w:r>
      <w:r>
        <w:rPr>
          <w:noProof/>
        </w:rPr>
        <w:tab/>
      </w:r>
      <w:r>
        <w:rPr>
          <w:noProof/>
        </w:rPr>
        <w:fldChar w:fldCharType="begin"/>
      </w:r>
      <w:r>
        <w:rPr>
          <w:noProof/>
        </w:rPr>
        <w:instrText xml:space="preserve"> PAGEREF _Toc291410054 \h </w:instrText>
      </w:r>
      <w:r>
        <w:rPr>
          <w:noProof/>
        </w:rPr>
      </w:r>
      <w:r>
        <w:rPr>
          <w:noProof/>
        </w:rPr>
        <w:fldChar w:fldCharType="separate"/>
      </w:r>
      <w:r>
        <w:rPr>
          <w:noProof/>
        </w:rPr>
        <w:t>39</w:t>
      </w:r>
      <w:r>
        <w:rPr>
          <w:noProof/>
        </w:rPr>
        <w:fldChar w:fldCharType="end"/>
      </w:r>
    </w:p>
    <w:p w14:paraId="7FDA82E6" w14:textId="77777777" w:rsidR="005A234F" w:rsidRDefault="005A234F">
      <w:pPr>
        <w:pStyle w:val="TOC2"/>
        <w:tabs>
          <w:tab w:val="right" w:leader="hyphen" w:pos="8828"/>
        </w:tabs>
        <w:rPr>
          <w:smallCaps w:val="0"/>
          <w:noProof/>
          <w:sz w:val="24"/>
          <w:szCs w:val="24"/>
        </w:rPr>
      </w:pPr>
      <w:r>
        <w:rPr>
          <w:noProof/>
        </w:rPr>
        <w:t>3.1 Introduction</w:t>
      </w:r>
      <w:r>
        <w:rPr>
          <w:noProof/>
        </w:rPr>
        <w:tab/>
      </w:r>
      <w:r>
        <w:rPr>
          <w:noProof/>
        </w:rPr>
        <w:fldChar w:fldCharType="begin"/>
      </w:r>
      <w:r>
        <w:rPr>
          <w:noProof/>
        </w:rPr>
        <w:instrText xml:space="preserve"> PAGEREF _Toc291410055 \h </w:instrText>
      </w:r>
      <w:r>
        <w:rPr>
          <w:noProof/>
        </w:rPr>
      </w:r>
      <w:r>
        <w:rPr>
          <w:noProof/>
        </w:rPr>
        <w:fldChar w:fldCharType="separate"/>
      </w:r>
      <w:r>
        <w:rPr>
          <w:noProof/>
        </w:rPr>
        <w:t>39</w:t>
      </w:r>
      <w:r>
        <w:rPr>
          <w:noProof/>
        </w:rPr>
        <w:fldChar w:fldCharType="end"/>
      </w:r>
    </w:p>
    <w:p w14:paraId="7CDCB773" w14:textId="77777777" w:rsidR="005A234F" w:rsidRDefault="005A234F">
      <w:pPr>
        <w:pStyle w:val="TOC2"/>
        <w:tabs>
          <w:tab w:val="right" w:leader="hyphen" w:pos="8828"/>
        </w:tabs>
        <w:rPr>
          <w:smallCaps w:val="0"/>
          <w:noProof/>
          <w:sz w:val="24"/>
          <w:szCs w:val="24"/>
        </w:rPr>
      </w:pPr>
      <w:r>
        <w:rPr>
          <w:noProof/>
        </w:rPr>
        <w:t>3.2 Methods</w:t>
      </w:r>
      <w:r>
        <w:rPr>
          <w:noProof/>
        </w:rPr>
        <w:tab/>
      </w:r>
      <w:r>
        <w:rPr>
          <w:noProof/>
        </w:rPr>
        <w:fldChar w:fldCharType="begin"/>
      </w:r>
      <w:r>
        <w:rPr>
          <w:noProof/>
        </w:rPr>
        <w:instrText xml:space="preserve"> PAGEREF _Toc291410056 \h </w:instrText>
      </w:r>
      <w:r>
        <w:rPr>
          <w:noProof/>
        </w:rPr>
      </w:r>
      <w:r>
        <w:rPr>
          <w:noProof/>
        </w:rPr>
        <w:fldChar w:fldCharType="separate"/>
      </w:r>
      <w:r>
        <w:rPr>
          <w:noProof/>
        </w:rPr>
        <w:t>43</w:t>
      </w:r>
      <w:r>
        <w:rPr>
          <w:noProof/>
        </w:rPr>
        <w:fldChar w:fldCharType="end"/>
      </w:r>
    </w:p>
    <w:p w14:paraId="3A76A765" w14:textId="77777777" w:rsidR="005A234F" w:rsidRDefault="005A234F">
      <w:pPr>
        <w:pStyle w:val="TOC3"/>
        <w:tabs>
          <w:tab w:val="right" w:leader="hyphen" w:pos="8828"/>
        </w:tabs>
        <w:rPr>
          <w:i w:val="0"/>
          <w:noProof/>
          <w:sz w:val="24"/>
          <w:szCs w:val="24"/>
        </w:rPr>
      </w:pPr>
      <w:r>
        <w:rPr>
          <w:noProof/>
        </w:rPr>
        <w:t>Data Collection</w:t>
      </w:r>
      <w:r>
        <w:rPr>
          <w:noProof/>
        </w:rPr>
        <w:tab/>
      </w:r>
      <w:r>
        <w:rPr>
          <w:noProof/>
        </w:rPr>
        <w:fldChar w:fldCharType="begin"/>
      </w:r>
      <w:r>
        <w:rPr>
          <w:noProof/>
        </w:rPr>
        <w:instrText xml:space="preserve"> PAGEREF _Toc291410057 \h </w:instrText>
      </w:r>
      <w:r>
        <w:rPr>
          <w:noProof/>
        </w:rPr>
      </w:r>
      <w:r>
        <w:rPr>
          <w:noProof/>
        </w:rPr>
        <w:fldChar w:fldCharType="separate"/>
      </w:r>
      <w:r>
        <w:rPr>
          <w:noProof/>
        </w:rPr>
        <w:t>43</w:t>
      </w:r>
      <w:r>
        <w:rPr>
          <w:noProof/>
        </w:rPr>
        <w:fldChar w:fldCharType="end"/>
      </w:r>
    </w:p>
    <w:p w14:paraId="7500A7D4" w14:textId="77777777" w:rsidR="005A234F" w:rsidRDefault="005A234F">
      <w:pPr>
        <w:pStyle w:val="TOC3"/>
        <w:tabs>
          <w:tab w:val="right" w:leader="hyphen" w:pos="8828"/>
        </w:tabs>
        <w:rPr>
          <w:i w:val="0"/>
          <w:noProof/>
          <w:sz w:val="24"/>
          <w:szCs w:val="24"/>
        </w:rPr>
      </w:pPr>
      <w:r>
        <w:rPr>
          <w:noProof/>
        </w:rPr>
        <w:t>Statistical Analyses</w:t>
      </w:r>
      <w:r>
        <w:rPr>
          <w:noProof/>
        </w:rPr>
        <w:tab/>
      </w:r>
      <w:r>
        <w:rPr>
          <w:noProof/>
        </w:rPr>
        <w:fldChar w:fldCharType="begin"/>
      </w:r>
      <w:r>
        <w:rPr>
          <w:noProof/>
        </w:rPr>
        <w:instrText xml:space="preserve"> PAGEREF _Toc291410058 \h </w:instrText>
      </w:r>
      <w:r>
        <w:rPr>
          <w:noProof/>
        </w:rPr>
      </w:r>
      <w:r>
        <w:rPr>
          <w:noProof/>
        </w:rPr>
        <w:fldChar w:fldCharType="separate"/>
      </w:r>
      <w:r>
        <w:rPr>
          <w:noProof/>
        </w:rPr>
        <w:t>44</w:t>
      </w:r>
      <w:r>
        <w:rPr>
          <w:noProof/>
        </w:rPr>
        <w:fldChar w:fldCharType="end"/>
      </w:r>
    </w:p>
    <w:p w14:paraId="35335D90" w14:textId="77777777" w:rsidR="005A234F" w:rsidRDefault="005A234F">
      <w:pPr>
        <w:pStyle w:val="TOC2"/>
        <w:tabs>
          <w:tab w:val="right" w:leader="hyphen" w:pos="8828"/>
        </w:tabs>
        <w:rPr>
          <w:smallCaps w:val="0"/>
          <w:noProof/>
          <w:sz w:val="24"/>
          <w:szCs w:val="24"/>
        </w:rPr>
      </w:pPr>
      <w:r>
        <w:rPr>
          <w:noProof/>
        </w:rPr>
        <w:t>3.3 Results</w:t>
      </w:r>
      <w:r>
        <w:rPr>
          <w:noProof/>
        </w:rPr>
        <w:tab/>
      </w:r>
      <w:r>
        <w:rPr>
          <w:noProof/>
        </w:rPr>
        <w:fldChar w:fldCharType="begin"/>
      </w:r>
      <w:r>
        <w:rPr>
          <w:noProof/>
        </w:rPr>
        <w:instrText xml:space="preserve"> PAGEREF _Toc291410059 \h </w:instrText>
      </w:r>
      <w:r>
        <w:rPr>
          <w:noProof/>
        </w:rPr>
      </w:r>
      <w:r>
        <w:rPr>
          <w:noProof/>
        </w:rPr>
        <w:fldChar w:fldCharType="separate"/>
      </w:r>
      <w:r>
        <w:rPr>
          <w:noProof/>
        </w:rPr>
        <w:t>44</w:t>
      </w:r>
      <w:r>
        <w:rPr>
          <w:noProof/>
        </w:rPr>
        <w:fldChar w:fldCharType="end"/>
      </w:r>
    </w:p>
    <w:p w14:paraId="0E99265F" w14:textId="77777777" w:rsidR="005A234F" w:rsidRDefault="005A234F">
      <w:pPr>
        <w:pStyle w:val="TOC3"/>
        <w:tabs>
          <w:tab w:val="right" w:leader="hyphen" w:pos="8828"/>
        </w:tabs>
        <w:rPr>
          <w:i w:val="0"/>
          <w:noProof/>
          <w:sz w:val="24"/>
          <w:szCs w:val="24"/>
        </w:rPr>
      </w:pPr>
      <w:r>
        <w:rPr>
          <w:noProof/>
        </w:rPr>
        <w:t>Population Differentiation</w:t>
      </w:r>
      <w:r>
        <w:rPr>
          <w:noProof/>
        </w:rPr>
        <w:tab/>
      </w:r>
      <w:r>
        <w:rPr>
          <w:noProof/>
        </w:rPr>
        <w:fldChar w:fldCharType="begin"/>
      </w:r>
      <w:r>
        <w:rPr>
          <w:noProof/>
        </w:rPr>
        <w:instrText xml:space="preserve"> PAGEREF _Toc291410060 \h </w:instrText>
      </w:r>
      <w:r>
        <w:rPr>
          <w:noProof/>
        </w:rPr>
      </w:r>
      <w:r>
        <w:rPr>
          <w:noProof/>
        </w:rPr>
        <w:fldChar w:fldCharType="separate"/>
      </w:r>
      <w:r>
        <w:rPr>
          <w:noProof/>
        </w:rPr>
        <w:t>44</w:t>
      </w:r>
      <w:r>
        <w:rPr>
          <w:noProof/>
        </w:rPr>
        <w:fldChar w:fldCharType="end"/>
      </w:r>
    </w:p>
    <w:p w14:paraId="2461C1D0" w14:textId="77777777" w:rsidR="005A234F" w:rsidRDefault="005A234F">
      <w:pPr>
        <w:pStyle w:val="TOC3"/>
        <w:tabs>
          <w:tab w:val="right" w:leader="hyphen" w:pos="8828"/>
        </w:tabs>
        <w:rPr>
          <w:i w:val="0"/>
          <w:noProof/>
          <w:sz w:val="24"/>
          <w:szCs w:val="24"/>
        </w:rPr>
      </w:pPr>
      <w:r>
        <w:rPr>
          <w:noProof/>
        </w:rPr>
        <w:t>Inter-generation variation</w:t>
      </w:r>
      <w:r>
        <w:rPr>
          <w:noProof/>
        </w:rPr>
        <w:tab/>
      </w:r>
      <w:r>
        <w:rPr>
          <w:noProof/>
        </w:rPr>
        <w:fldChar w:fldCharType="begin"/>
      </w:r>
      <w:r>
        <w:rPr>
          <w:noProof/>
        </w:rPr>
        <w:instrText xml:space="preserve"> PAGEREF _Toc291410061 \h </w:instrText>
      </w:r>
      <w:r>
        <w:rPr>
          <w:noProof/>
        </w:rPr>
      </w:r>
      <w:r>
        <w:rPr>
          <w:noProof/>
        </w:rPr>
        <w:fldChar w:fldCharType="separate"/>
      </w:r>
      <w:r>
        <w:rPr>
          <w:noProof/>
        </w:rPr>
        <w:t>49</w:t>
      </w:r>
      <w:r>
        <w:rPr>
          <w:noProof/>
        </w:rPr>
        <w:fldChar w:fldCharType="end"/>
      </w:r>
    </w:p>
    <w:p w14:paraId="5554FDFC" w14:textId="77777777" w:rsidR="005A234F" w:rsidRDefault="005A234F">
      <w:pPr>
        <w:pStyle w:val="TOC3"/>
        <w:tabs>
          <w:tab w:val="right" w:leader="hyphen" w:pos="8828"/>
        </w:tabs>
        <w:rPr>
          <w:i w:val="0"/>
          <w:noProof/>
          <w:sz w:val="24"/>
          <w:szCs w:val="24"/>
        </w:rPr>
      </w:pPr>
      <w:r>
        <w:rPr>
          <w:noProof/>
        </w:rPr>
        <w:t>Latitudinal gradients</w:t>
      </w:r>
      <w:r>
        <w:rPr>
          <w:noProof/>
        </w:rPr>
        <w:tab/>
      </w:r>
      <w:r>
        <w:rPr>
          <w:noProof/>
        </w:rPr>
        <w:fldChar w:fldCharType="begin"/>
      </w:r>
      <w:r>
        <w:rPr>
          <w:noProof/>
        </w:rPr>
        <w:instrText xml:space="preserve"> PAGEREF _Toc291410062 \h </w:instrText>
      </w:r>
      <w:r>
        <w:rPr>
          <w:noProof/>
        </w:rPr>
      </w:r>
      <w:r>
        <w:rPr>
          <w:noProof/>
        </w:rPr>
        <w:fldChar w:fldCharType="separate"/>
      </w:r>
      <w:r>
        <w:rPr>
          <w:noProof/>
        </w:rPr>
        <w:t>52</w:t>
      </w:r>
      <w:r>
        <w:rPr>
          <w:noProof/>
        </w:rPr>
        <w:fldChar w:fldCharType="end"/>
      </w:r>
    </w:p>
    <w:p w14:paraId="38A099F1" w14:textId="77777777" w:rsidR="005A234F" w:rsidRDefault="005A234F">
      <w:pPr>
        <w:pStyle w:val="TOC2"/>
        <w:tabs>
          <w:tab w:val="right" w:leader="hyphen" w:pos="8828"/>
        </w:tabs>
        <w:rPr>
          <w:smallCaps w:val="0"/>
          <w:noProof/>
          <w:sz w:val="24"/>
          <w:szCs w:val="24"/>
        </w:rPr>
      </w:pPr>
      <w:r>
        <w:rPr>
          <w:noProof/>
        </w:rPr>
        <w:t>Discussion</w:t>
      </w:r>
      <w:r>
        <w:rPr>
          <w:noProof/>
        </w:rPr>
        <w:tab/>
      </w:r>
      <w:r>
        <w:rPr>
          <w:noProof/>
        </w:rPr>
        <w:fldChar w:fldCharType="begin"/>
      </w:r>
      <w:r>
        <w:rPr>
          <w:noProof/>
        </w:rPr>
        <w:instrText xml:space="preserve"> PAGEREF _Toc291410063 \h </w:instrText>
      </w:r>
      <w:r>
        <w:rPr>
          <w:noProof/>
        </w:rPr>
      </w:r>
      <w:r>
        <w:rPr>
          <w:noProof/>
        </w:rPr>
        <w:fldChar w:fldCharType="separate"/>
      </w:r>
      <w:r>
        <w:rPr>
          <w:noProof/>
        </w:rPr>
        <w:t>55</w:t>
      </w:r>
      <w:r>
        <w:rPr>
          <w:noProof/>
        </w:rPr>
        <w:fldChar w:fldCharType="end"/>
      </w:r>
    </w:p>
    <w:p w14:paraId="043E93E3" w14:textId="77777777" w:rsidR="005A234F" w:rsidRDefault="005A234F">
      <w:pPr>
        <w:pStyle w:val="TOC3"/>
        <w:tabs>
          <w:tab w:val="right" w:leader="hyphen" w:pos="8828"/>
        </w:tabs>
        <w:rPr>
          <w:i w:val="0"/>
          <w:noProof/>
          <w:sz w:val="24"/>
          <w:szCs w:val="24"/>
        </w:rPr>
      </w:pPr>
      <w:r>
        <w:rPr>
          <w:noProof/>
        </w:rPr>
        <w:t>Population variation and latitudinal trends</w:t>
      </w:r>
      <w:r>
        <w:rPr>
          <w:noProof/>
        </w:rPr>
        <w:tab/>
      </w:r>
      <w:r>
        <w:rPr>
          <w:noProof/>
        </w:rPr>
        <w:fldChar w:fldCharType="begin"/>
      </w:r>
      <w:r>
        <w:rPr>
          <w:noProof/>
        </w:rPr>
        <w:instrText xml:space="preserve"> PAGEREF _Toc291410064 \h </w:instrText>
      </w:r>
      <w:r>
        <w:rPr>
          <w:noProof/>
        </w:rPr>
      </w:r>
      <w:r>
        <w:rPr>
          <w:noProof/>
        </w:rPr>
        <w:fldChar w:fldCharType="separate"/>
      </w:r>
      <w:r>
        <w:rPr>
          <w:noProof/>
        </w:rPr>
        <w:t>55</w:t>
      </w:r>
      <w:r>
        <w:rPr>
          <w:noProof/>
        </w:rPr>
        <w:fldChar w:fldCharType="end"/>
      </w:r>
    </w:p>
    <w:p w14:paraId="6FBC1D11" w14:textId="77777777" w:rsidR="005A234F" w:rsidRDefault="005A234F">
      <w:pPr>
        <w:pStyle w:val="TOC3"/>
        <w:tabs>
          <w:tab w:val="right" w:leader="hyphen" w:pos="8828"/>
        </w:tabs>
        <w:rPr>
          <w:i w:val="0"/>
          <w:noProof/>
          <w:sz w:val="24"/>
          <w:szCs w:val="24"/>
        </w:rPr>
      </w:pPr>
      <w:r>
        <w:rPr>
          <w:noProof/>
        </w:rPr>
        <w:t>Inter-generation variation</w:t>
      </w:r>
      <w:r>
        <w:rPr>
          <w:noProof/>
        </w:rPr>
        <w:tab/>
      </w:r>
      <w:r>
        <w:rPr>
          <w:noProof/>
        </w:rPr>
        <w:fldChar w:fldCharType="begin"/>
      </w:r>
      <w:r>
        <w:rPr>
          <w:noProof/>
        </w:rPr>
        <w:instrText xml:space="preserve"> PAGEREF _Toc291410065 \h </w:instrText>
      </w:r>
      <w:r>
        <w:rPr>
          <w:noProof/>
        </w:rPr>
      </w:r>
      <w:r>
        <w:rPr>
          <w:noProof/>
        </w:rPr>
        <w:fldChar w:fldCharType="separate"/>
      </w:r>
      <w:r>
        <w:rPr>
          <w:noProof/>
        </w:rPr>
        <w:t>58</w:t>
      </w:r>
      <w:r>
        <w:rPr>
          <w:noProof/>
        </w:rPr>
        <w:fldChar w:fldCharType="end"/>
      </w:r>
    </w:p>
    <w:p w14:paraId="1EB3F875" w14:textId="77777777" w:rsidR="005A234F" w:rsidRDefault="005A234F">
      <w:pPr>
        <w:pStyle w:val="TOC1"/>
        <w:tabs>
          <w:tab w:val="right" w:leader="hyphen" w:pos="8828"/>
        </w:tabs>
        <w:rPr>
          <w:b w:val="0"/>
          <w:caps w:val="0"/>
          <w:noProof/>
          <w:sz w:val="24"/>
          <w:szCs w:val="24"/>
        </w:rPr>
      </w:pPr>
      <w:r>
        <w:rPr>
          <w:noProof/>
        </w:rPr>
        <w:t>Chapter 4- Metabolic variation in dune species</w:t>
      </w:r>
      <w:r>
        <w:rPr>
          <w:noProof/>
        </w:rPr>
        <w:tab/>
      </w:r>
      <w:r>
        <w:rPr>
          <w:noProof/>
        </w:rPr>
        <w:fldChar w:fldCharType="begin"/>
      </w:r>
      <w:r>
        <w:rPr>
          <w:noProof/>
        </w:rPr>
        <w:instrText xml:space="preserve"> PAGEREF _Toc291410066 \h </w:instrText>
      </w:r>
      <w:r>
        <w:rPr>
          <w:noProof/>
        </w:rPr>
      </w:r>
      <w:r>
        <w:rPr>
          <w:noProof/>
        </w:rPr>
        <w:fldChar w:fldCharType="separate"/>
      </w:r>
      <w:r>
        <w:rPr>
          <w:noProof/>
        </w:rPr>
        <w:t>59</w:t>
      </w:r>
      <w:r>
        <w:rPr>
          <w:noProof/>
        </w:rPr>
        <w:fldChar w:fldCharType="end"/>
      </w:r>
    </w:p>
    <w:p w14:paraId="794F6DE7" w14:textId="77777777" w:rsidR="005A234F" w:rsidRDefault="005A234F">
      <w:pPr>
        <w:pStyle w:val="TOC2"/>
        <w:tabs>
          <w:tab w:val="right" w:leader="hyphen" w:pos="8828"/>
        </w:tabs>
        <w:rPr>
          <w:smallCaps w:val="0"/>
          <w:noProof/>
          <w:sz w:val="24"/>
          <w:szCs w:val="24"/>
        </w:rPr>
      </w:pPr>
      <w:r>
        <w:rPr>
          <w:noProof/>
        </w:rPr>
        <w:t>4.1- Introduction</w:t>
      </w:r>
      <w:r>
        <w:rPr>
          <w:noProof/>
        </w:rPr>
        <w:tab/>
      </w:r>
      <w:r>
        <w:rPr>
          <w:noProof/>
        </w:rPr>
        <w:fldChar w:fldCharType="begin"/>
      </w:r>
      <w:r>
        <w:rPr>
          <w:noProof/>
        </w:rPr>
        <w:instrText xml:space="preserve"> PAGEREF _Toc291410067 \h </w:instrText>
      </w:r>
      <w:r>
        <w:rPr>
          <w:noProof/>
        </w:rPr>
      </w:r>
      <w:r>
        <w:rPr>
          <w:noProof/>
        </w:rPr>
        <w:fldChar w:fldCharType="separate"/>
      </w:r>
      <w:r>
        <w:rPr>
          <w:noProof/>
        </w:rPr>
        <w:t>59</w:t>
      </w:r>
      <w:r>
        <w:rPr>
          <w:noProof/>
        </w:rPr>
        <w:fldChar w:fldCharType="end"/>
      </w:r>
    </w:p>
    <w:p w14:paraId="7738291B" w14:textId="77777777" w:rsidR="005A234F" w:rsidRDefault="005A234F">
      <w:pPr>
        <w:pStyle w:val="TOC2"/>
        <w:tabs>
          <w:tab w:val="right" w:leader="hyphen" w:pos="8828"/>
        </w:tabs>
        <w:rPr>
          <w:smallCaps w:val="0"/>
          <w:noProof/>
          <w:sz w:val="24"/>
          <w:szCs w:val="24"/>
        </w:rPr>
      </w:pPr>
      <w:r>
        <w:rPr>
          <w:noProof/>
        </w:rPr>
        <w:t>4.2- Methods</w:t>
      </w:r>
      <w:r>
        <w:rPr>
          <w:noProof/>
        </w:rPr>
        <w:tab/>
      </w:r>
      <w:r>
        <w:rPr>
          <w:noProof/>
        </w:rPr>
        <w:fldChar w:fldCharType="begin"/>
      </w:r>
      <w:r>
        <w:rPr>
          <w:noProof/>
        </w:rPr>
        <w:instrText xml:space="preserve"> PAGEREF _Toc291410068 \h </w:instrText>
      </w:r>
      <w:r>
        <w:rPr>
          <w:noProof/>
        </w:rPr>
      </w:r>
      <w:r>
        <w:rPr>
          <w:noProof/>
        </w:rPr>
        <w:fldChar w:fldCharType="separate"/>
      </w:r>
      <w:r>
        <w:rPr>
          <w:noProof/>
        </w:rPr>
        <w:t>61</w:t>
      </w:r>
      <w:r>
        <w:rPr>
          <w:noProof/>
        </w:rPr>
        <w:fldChar w:fldCharType="end"/>
      </w:r>
    </w:p>
    <w:p w14:paraId="408DEA1E" w14:textId="77777777" w:rsidR="005A234F" w:rsidRDefault="005A234F">
      <w:pPr>
        <w:pStyle w:val="TOC3"/>
        <w:tabs>
          <w:tab w:val="right" w:leader="hyphen" w:pos="8828"/>
        </w:tabs>
        <w:rPr>
          <w:i w:val="0"/>
          <w:noProof/>
          <w:sz w:val="24"/>
          <w:szCs w:val="24"/>
        </w:rPr>
      </w:pPr>
      <w:r>
        <w:rPr>
          <w:noProof/>
        </w:rPr>
        <w:t>Experimental Design</w:t>
      </w:r>
      <w:r>
        <w:rPr>
          <w:noProof/>
        </w:rPr>
        <w:tab/>
      </w:r>
      <w:r>
        <w:rPr>
          <w:noProof/>
        </w:rPr>
        <w:fldChar w:fldCharType="begin"/>
      </w:r>
      <w:r>
        <w:rPr>
          <w:noProof/>
        </w:rPr>
        <w:instrText xml:space="preserve"> PAGEREF _Toc291410069 \h </w:instrText>
      </w:r>
      <w:r>
        <w:rPr>
          <w:noProof/>
        </w:rPr>
      </w:r>
      <w:r>
        <w:rPr>
          <w:noProof/>
        </w:rPr>
        <w:fldChar w:fldCharType="separate"/>
      </w:r>
      <w:r>
        <w:rPr>
          <w:noProof/>
        </w:rPr>
        <w:t>61</w:t>
      </w:r>
      <w:r>
        <w:rPr>
          <w:noProof/>
        </w:rPr>
        <w:fldChar w:fldCharType="end"/>
      </w:r>
    </w:p>
    <w:p w14:paraId="1F5B5DBD" w14:textId="77777777" w:rsidR="005A234F" w:rsidRDefault="005A234F">
      <w:pPr>
        <w:pStyle w:val="TOC3"/>
        <w:tabs>
          <w:tab w:val="right" w:leader="hyphen" w:pos="8828"/>
        </w:tabs>
        <w:rPr>
          <w:i w:val="0"/>
          <w:noProof/>
          <w:sz w:val="24"/>
          <w:szCs w:val="24"/>
        </w:rPr>
      </w:pPr>
      <w:r>
        <w:rPr>
          <w:noProof/>
        </w:rPr>
        <w:t>Study Species</w:t>
      </w:r>
      <w:r>
        <w:rPr>
          <w:noProof/>
        </w:rPr>
        <w:tab/>
      </w:r>
      <w:r>
        <w:rPr>
          <w:noProof/>
        </w:rPr>
        <w:fldChar w:fldCharType="begin"/>
      </w:r>
      <w:r>
        <w:rPr>
          <w:noProof/>
        </w:rPr>
        <w:instrText xml:space="preserve"> PAGEREF _Toc291410070 \h </w:instrText>
      </w:r>
      <w:r>
        <w:rPr>
          <w:noProof/>
        </w:rPr>
      </w:r>
      <w:r>
        <w:rPr>
          <w:noProof/>
        </w:rPr>
        <w:fldChar w:fldCharType="separate"/>
      </w:r>
      <w:r>
        <w:rPr>
          <w:noProof/>
        </w:rPr>
        <w:t>61</w:t>
      </w:r>
      <w:r>
        <w:rPr>
          <w:noProof/>
        </w:rPr>
        <w:fldChar w:fldCharType="end"/>
      </w:r>
    </w:p>
    <w:p w14:paraId="0F27D12A" w14:textId="77777777" w:rsidR="005A234F" w:rsidRDefault="005A234F">
      <w:pPr>
        <w:pStyle w:val="TOC3"/>
        <w:tabs>
          <w:tab w:val="right" w:leader="hyphen" w:pos="8828"/>
        </w:tabs>
        <w:rPr>
          <w:i w:val="0"/>
          <w:noProof/>
          <w:sz w:val="24"/>
          <w:szCs w:val="24"/>
        </w:rPr>
      </w:pPr>
      <w:r>
        <w:rPr>
          <w:noProof/>
        </w:rPr>
        <w:t>Study Samples</w:t>
      </w:r>
      <w:r>
        <w:rPr>
          <w:noProof/>
        </w:rPr>
        <w:tab/>
      </w:r>
      <w:r>
        <w:rPr>
          <w:noProof/>
        </w:rPr>
        <w:fldChar w:fldCharType="begin"/>
      </w:r>
      <w:r>
        <w:rPr>
          <w:noProof/>
        </w:rPr>
        <w:instrText xml:space="preserve"> PAGEREF _Toc291410071 \h </w:instrText>
      </w:r>
      <w:r>
        <w:rPr>
          <w:noProof/>
        </w:rPr>
      </w:r>
      <w:r>
        <w:rPr>
          <w:noProof/>
        </w:rPr>
        <w:fldChar w:fldCharType="separate"/>
      </w:r>
      <w:r>
        <w:rPr>
          <w:noProof/>
        </w:rPr>
        <w:t>61</w:t>
      </w:r>
      <w:r>
        <w:rPr>
          <w:noProof/>
        </w:rPr>
        <w:fldChar w:fldCharType="end"/>
      </w:r>
    </w:p>
    <w:p w14:paraId="058FDFE6" w14:textId="77777777" w:rsidR="005A234F" w:rsidRDefault="005A234F">
      <w:pPr>
        <w:pStyle w:val="TOC3"/>
        <w:tabs>
          <w:tab w:val="right" w:leader="hyphen" w:pos="8828"/>
        </w:tabs>
        <w:rPr>
          <w:i w:val="0"/>
          <w:noProof/>
          <w:sz w:val="24"/>
          <w:szCs w:val="24"/>
        </w:rPr>
      </w:pPr>
      <w:r>
        <w:rPr>
          <w:noProof/>
        </w:rPr>
        <w:t>Mass Spectrometry Analysis</w:t>
      </w:r>
      <w:r>
        <w:rPr>
          <w:noProof/>
        </w:rPr>
        <w:tab/>
      </w:r>
      <w:r>
        <w:rPr>
          <w:noProof/>
        </w:rPr>
        <w:fldChar w:fldCharType="begin"/>
      </w:r>
      <w:r>
        <w:rPr>
          <w:noProof/>
        </w:rPr>
        <w:instrText xml:space="preserve"> PAGEREF _Toc291410072 \h </w:instrText>
      </w:r>
      <w:r>
        <w:rPr>
          <w:noProof/>
        </w:rPr>
      </w:r>
      <w:r>
        <w:rPr>
          <w:noProof/>
        </w:rPr>
        <w:fldChar w:fldCharType="separate"/>
      </w:r>
      <w:r>
        <w:rPr>
          <w:noProof/>
        </w:rPr>
        <w:t>61</w:t>
      </w:r>
      <w:r>
        <w:rPr>
          <w:noProof/>
        </w:rPr>
        <w:fldChar w:fldCharType="end"/>
      </w:r>
    </w:p>
    <w:p w14:paraId="7B8D3166" w14:textId="77777777" w:rsidR="005A234F" w:rsidRDefault="005A234F">
      <w:pPr>
        <w:pStyle w:val="TOC3"/>
        <w:tabs>
          <w:tab w:val="right" w:leader="hyphen" w:pos="8828"/>
        </w:tabs>
        <w:rPr>
          <w:i w:val="0"/>
          <w:noProof/>
          <w:sz w:val="24"/>
          <w:szCs w:val="24"/>
        </w:rPr>
      </w:pPr>
      <w:r>
        <w:rPr>
          <w:noProof/>
        </w:rPr>
        <w:t>Data Analysis</w:t>
      </w:r>
      <w:r>
        <w:rPr>
          <w:noProof/>
        </w:rPr>
        <w:tab/>
      </w:r>
      <w:r>
        <w:rPr>
          <w:noProof/>
        </w:rPr>
        <w:fldChar w:fldCharType="begin"/>
      </w:r>
      <w:r>
        <w:rPr>
          <w:noProof/>
        </w:rPr>
        <w:instrText xml:space="preserve"> PAGEREF _Toc291410073 \h </w:instrText>
      </w:r>
      <w:r>
        <w:rPr>
          <w:noProof/>
        </w:rPr>
      </w:r>
      <w:r>
        <w:rPr>
          <w:noProof/>
        </w:rPr>
        <w:fldChar w:fldCharType="separate"/>
      </w:r>
      <w:r>
        <w:rPr>
          <w:noProof/>
        </w:rPr>
        <w:t>61</w:t>
      </w:r>
      <w:r>
        <w:rPr>
          <w:noProof/>
        </w:rPr>
        <w:fldChar w:fldCharType="end"/>
      </w:r>
    </w:p>
    <w:p w14:paraId="72AD14C1" w14:textId="77777777" w:rsidR="005A234F" w:rsidRDefault="005A234F">
      <w:pPr>
        <w:pStyle w:val="TOC2"/>
        <w:tabs>
          <w:tab w:val="right" w:leader="hyphen" w:pos="8828"/>
        </w:tabs>
        <w:rPr>
          <w:smallCaps w:val="0"/>
          <w:noProof/>
          <w:sz w:val="24"/>
          <w:szCs w:val="24"/>
        </w:rPr>
      </w:pPr>
      <w:r>
        <w:rPr>
          <w:noProof/>
        </w:rPr>
        <w:t>4.3- Results</w:t>
      </w:r>
      <w:r>
        <w:rPr>
          <w:noProof/>
        </w:rPr>
        <w:tab/>
      </w:r>
      <w:r>
        <w:rPr>
          <w:noProof/>
        </w:rPr>
        <w:fldChar w:fldCharType="begin"/>
      </w:r>
      <w:r>
        <w:rPr>
          <w:noProof/>
        </w:rPr>
        <w:instrText xml:space="preserve"> PAGEREF _Toc291410074 \h </w:instrText>
      </w:r>
      <w:r>
        <w:rPr>
          <w:noProof/>
        </w:rPr>
      </w:r>
      <w:r>
        <w:rPr>
          <w:noProof/>
        </w:rPr>
        <w:fldChar w:fldCharType="separate"/>
      </w:r>
      <w:r>
        <w:rPr>
          <w:noProof/>
        </w:rPr>
        <w:t>62</w:t>
      </w:r>
      <w:r>
        <w:rPr>
          <w:noProof/>
        </w:rPr>
        <w:fldChar w:fldCharType="end"/>
      </w:r>
    </w:p>
    <w:p w14:paraId="7502364F" w14:textId="77777777" w:rsidR="005A234F" w:rsidRDefault="005A234F">
      <w:pPr>
        <w:pStyle w:val="TOC2"/>
        <w:tabs>
          <w:tab w:val="right" w:leader="hyphen" w:pos="8828"/>
        </w:tabs>
        <w:rPr>
          <w:smallCaps w:val="0"/>
          <w:noProof/>
          <w:sz w:val="24"/>
          <w:szCs w:val="24"/>
        </w:rPr>
      </w:pPr>
      <w:r>
        <w:rPr>
          <w:noProof/>
        </w:rPr>
        <w:t>4.4- Discussion</w:t>
      </w:r>
      <w:r>
        <w:rPr>
          <w:noProof/>
        </w:rPr>
        <w:tab/>
      </w:r>
      <w:r>
        <w:rPr>
          <w:noProof/>
        </w:rPr>
        <w:fldChar w:fldCharType="begin"/>
      </w:r>
      <w:r>
        <w:rPr>
          <w:noProof/>
        </w:rPr>
        <w:instrText xml:space="preserve"> PAGEREF _Toc291410075 \h </w:instrText>
      </w:r>
      <w:r>
        <w:rPr>
          <w:noProof/>
        </w:rPr>
      </w:r>
      <w:r>
        <w:rPr>
          <w:noProof/>
        </w:rPr>
        <w:fldChar w:fldCharType="separate"/>
      </w:r>
      <w:r>
        <w:rPr>
          <w:noProof/>
        </w:rPr>
        <w:t>71</w:t>
      </w:r>
      <w:r>
        <w:rPr>
          <w:noProof/>
        </w:rPr>
        <w:fldChar w:fldCharType="end"/>
      </w:r>
    </w:p>
    <w:p w14:paraId="70EA5AD3" w14:textId="77777777" w:rsidR="005A234F" w:rsidRDefault="005A234F">
      <w:pPr>
        <w:pStyle w:val="TOC3"/>
        <w:tabs>
          <w:tab w:val="right" w:leader="hyphen" w:pos="8828"/>
        </w:tabs>
        <w:rPr>
          <w:i w:val="0"/>
          <w:noProof/>
          <w:sz w:val="24"/>
          <w:szCs w:val="24"/>
        </w:rPr>
      </w:pPr>
      <w:r>
        <w:rPr>
          <w:noProof/>
        </w:rPr>
        <w:t>Overview of Metabolic Differentiation Relating to Species</w:t>
      </w:r>
      <w:r>
        <w:rPr>
          <w:noProof/>
        </w:rPr>
        <w:tab/>
      </w:r>
      <w:r>
        <w:rPr>
          <w:noProof/>
        </w:rPr>
        <w:fldChar w:fldCharType="begin"/>
      </w:r>
      <w:r>
        <w:rPr>
          <w:noProof/>
        </w:rPr>
        <w:instrText xml:space="preserve"> PAGEREF _Toc291410076 \h </w:instrText>
      </w:r>
      <w:r>
        <w:rPr>
          <w:noProof/>
        </w:rPr>
      </w:r>
      <w:r>
        <w:rPr>
          <w:noProof/>
        </w:rPr>
        <w:fldChar w:fldCharType="separate"/>
      </w:r>
      <w:r>
        <w:rPr>
          <w:noProof/>
        </w:rPr>
        <w:t>71</w:t>
      </w:r>
      <w:r>
        <w:rPr>
          <w:noProof/>
        </w:rPr>
        <w:fldChar w:fldCharType="end"/>
      </w:r>
    </w:p>
    <w:p w14:paraId="69AB40AB" w14:textId="77777777" w:rsidR="005A234F" w:rsidRDefault="005A234F">
      <w:pPr>
        <w:pStyle w:val="TOC3"/>
        <w:tabs>
          <w:tab w:val="right" w:leader="hyphen" w:pos="8828"/>
        </w:tabs>
        <w:rPr>
          <w:i w:val="0"/>
          <w:noProof/>
          <w:sz w:val="24"/>
          <w:szCs w:val="24"/>
        </w:rPr>
      </w:pPr>
      <w:r>
        <w:rPr>
          <w:noProof/>
        </w:rPr>
        <w:t>Details of Metabolic Differentiation</w:t>
      </w:r>
      <w:r>
        <w:rPr>
          <w:noProof/>
        </w:rPr>
        <w:tab/>
      </w:r>
      <w:r>
        <w:rPr>
          <w:noProof/>
        </w:rPr>
        <w:fldChar w:fldCharType="begin"/>
      </w:r>
      <w:r>
        <w:rPr>
          <w:noProof/>
        </w:rPr>
        <w:instrText xml:space="preserve"> PAGEREF _Toc291410077 \h </w:instrText>
      </w:r>
      <w:r>
        <w:rPr>
          <w:noProof/>
        </w:rPr>
      </w:r>
      <w:r>
        <w:rPr>
          <w:noProof/>
        </w:rPr>
        <w:fldChar w:fldCharType="separate"/>
      </w:r>
      <w:r>
        <w:rPr>
          <w:noProof/>
        </w:rPr>
        <w:t>71</w:t>
      </w:r>
      <w:r>
        <w:rPr>
          <w:noProof/>
        </w:rPr>
        <w:fldChar w:fldCharType="end"/>
      </w:r>
    </w:p>
    <w:p w14:paraId="69DCCF3D" w14:textId="77777777" w:rsidR="005A234F" w:rsidRDefault="005A234F">
      <w:pPr>
        <w:pStyle w:val="TOC3"/>
        <w:tabs>
          <w:tab w:val="right" w:leader="hyphen" w:pos="8828"/>
        </w:tabs>
        <w:rPr>
          <w:i w:val="0"/>
          <w:noProof/>
          <w:sz w:val="24"/>
          <w:szCs w:val="24"/>
        </w:rPr>
      </w:pPr>
      <w:r>
        <w:rPr>
          <w:noProof/>
        </w:rPr>
        <w:t>Control of Metabolism</w:t>
      </w:r>
      <w:r>
        <w:rPr>
          <w:noProof/>
        </w:rPr>
        <w:tab/>
      </w:r>
      <w:r>
        <w:rPr>
          <w:noProof/>
        </w:rPr>
        <w:fldChar w:fldCharType="begin"/>
      </w:r>
      <w:r>
        <w:rPr>
          <w:noProof/>
        </w:rPr>
        <w:instrText xml:space="preserve"> PAGEREF _Toc291410078 \h </w:instrText>
      </w:r>
      <w:r>
        <w:rPr>
          <w:noProof/>
        </w:rPr>
      </w:r>
      <w:r>
        <w:rPr>
          <w:noProof/>
        </w:rPr>
        <w:fldChar w:fldCharType="separate"/>
      </w:r>
      <w:r>
        <w:rPr>
          <w:noProof/>
        </w:rPr>
        <w:t>74</w:t>
      </w:r>
      <w:r>
        <w:rPr>
          <w:noProof/>
        </w:rPr>
        <w:fldChar w:fldCharType="end"/>
      </w:r>
    </w:p>
    <w:p w14:paraId="57073F4F" w14:textId="77777777" w:rsidR="005A234F" w:rsidRDefault="005A234F">
      <w:pPr>
        <w:pStyle w:val="TOC1"/>
        <w:tabs>
          <w:tab w:val="right" w:leader="hyphen" w:pos="8828"/>
        </w:tabs>
        <w:rPr>
          <w:b w:val="0"/>
          <w:caps w:val="0"/>
          <w:noProof/>
          <w:sz w:val="24"/>
          <w:szCs w:val="24"/>
        </w:rPr>
      </w:pPr>
      <w:r>
        <w:rPr>
          <w:noProof/>
        </w:rPr>
        <w:t>Chapter 5- Population Differentiation in Metabolic Traits</w:t>
      </w:r>
      <w:r>
        <w:rPr>
          <w:noProof/>
        </w:rPr>
        <w:tab/>
      </w:r>
      <w:r>
        <w:rPr>
          <w:noProof/>
        </w:rPr>
        <w:fldChar w:fldCharType="begin"/>
      </w:r>
      <w:r>
        <w:rPr>
          <w:noProof/>
        </w:rPr>
        <w:instrText xml:space="preserve"> PAGEREF _Toc291410079 \h </w:instrText>
      </w:r>
      <w:r>
        <w:rPr>
          <w:noProof/>
        </w:rPr>
      </w:r>
      <w:r>
        <w:rPr>
          <w:noProof/>
        </w:rPr>
        <w:fldChar w:fldCharType="separate"/>
      </w:r>
      <w:r>
        <w:rPr>
          <w:noProof/>
        </w:rPr>
        <w:t>75</w:t>
      </w:r>
      <w:r>
        <w:rPr>
          <w:noProof/>
        </w:rPr>
        <w:fldChar w:fldCharType="end"/>
      </w:r>
    </w:p>
    <w:p w14:paraId="4C14A5F8" w14:textId="77777777" w:rsidR="005A234F" w:rsidRDefault="005A234F">
      <w:pPr>
        <w:pStyle w:val="TOC2"/>
        <w:tabs>
          <w:tab w:val="right" w:leader="hyphen" w:pos="8828"/>
        </w:tabs>
        <w:rPr>
          <w:smallCaps w:val="0"/>
          <w:noProof/>
          <w:sz w:val="24"/>
          <w:szCs w:val="24"/>
        </w:rPr>
      </w:pPr>
      <w:r>
        <w:rPr>
          <w:noProof/>
        </w:rPr>
        <w:t>Introduction</w:t>
      </w:r>
      <w:r>
        <w:rPr>
          <w:noProof/>
        </w:rPr>
        <w:tab/>
      </w:r>
      <w:r>
        <w:rPr>
          <w:noProof/>
        </w:rPr>
        <w:fldChar w:fldCharType="begin"/>
      </w:r>
      <w:r>
        <w:rPr>
          <w:noProof/>
        </w:rPr>
        <w:instrText xml:space="preserve"> PAGEREF _Toc291410080 \h </w:instrText>
      </w:r>
      <w:r>
        <w:rPr>
          <w:noProof/>
        </w:rPr>
      </w:r>
      <w:r>
        <w:rPr>
          <w:noProof/>
        </w:rPr>
        <w:fldChar w:fldCharType="separate"/>
      </w:r>
      <w:r>
        <w:rPr>
          <w:noProof/>
        </w:rPr>
        <w:t>75</w:t>
      </w:r>
      <w:r>
        <w:rPr>
          <w:noProof/>
        </w:rPr>
        <w:fldChar w:fldCharType="end"/>
      </w:r>
    </w:p>
    <w:p w14:paraId="4F3006FD" w14:textId="77777777" w:rsidR="005A234F" w:rsidRDefault="005A234F">
      <w:pPr>
        <w:pStyle w:val="TOC2"/>
        <w:tabs>
          <w:tab w:val="right" w:leader="hyphen" w:pos="8828"/>
        </w:tabs>
        <w:rPr>
          <w:smallCaps w:val="0"/>
          <w:noProof/>
          <w:sz w:val="24"/>
          <w:szCs w:val="24"/>
        </w:rPr>
      </w:pPr>
      <w:r>
        <w:rPr>
          <w:noProof/>
        </w:rPr>
        <w:t>5.2- Methods</w:t>
      </w:r>
      <w:r>
        <w:rPr>
          <w:noProof/>
        </w:rPr>
        <w:tab/>
      </w:r>
      <w:r>
        <w:rPr>
          <w:noProof/>
        </w:rPr>
        <w:fldChar w:fldCharType="begin"/>
      </w:r>
      <w:r>
        <w:rPr>
          <w:noProof/>
        </w:rPr>
        <w:instrText xml:space="preserve"> PAGEREF _Toc291410081 \h </w:instrText>
      </w:r>
      <w:r>
        <w:rPr>
          <w:noProof/>
        </w:rPr>
      </w:r>
      <w:r>
        <w:rPr>
          <w:noProof/>
        </w:rPr>
        <w:fldChar w:fldCharType="separate"/>
      </w:r>
      <w:r>
        <w:rPr>
          <w:noProof/>
        </w:rPr>
        <w:t>78</w:t>
      </w:r>
      <w:r>
        <w:rPr>
          <w:noProof/>
        </w:rPr>
        <w:fldChar w:fldCharType="end"/>
      </w:r>
    </w:p>
    <w:p w14:paraId="00890755" w14:textId="77777777" w:rsidR="005A234F" w:rsidRDefault="005A234F">
      <w:pPr>
        <w:pStyle w:val="TOC3"/>
        <w:tabs>
          <w:tab w:val="right" w:leader="hyphen" w:pos="8828"/>
        </w:tabs>
        <w:rPr>
          <w:i w:val="0"/>
          <w:noProof/>
          <w:sz w:val="24"/>
          <w:szCs w:val="24"/>
        </w:rPr>
      </w:pPr>
      <w:r>
        <w:rPr>
          <w:noProof/>
          <w:lang w:eastAsia="en-US"/>
        </w:rPr>
        <w:t>Experimental Design</w:t>
      </w:r>
      <w:r>
        <w:rPr>
          <w:noProof/>
        </w:rPr>
        <w:tab/>
      </w:r>
      <w:r>
        <w:rPr>
          <w:noProof/>
        </w:rPr>
        <w:fldChar w:fldCharType="begin"/>
      </w:r>
      <w:r>
        <w:rPr>
          <w:noProof/>
        </w:rPr>
        <w:instrText xml:space="preserve"> PAGEREF _Toc291410082 \h </w:instrText>
      </w:r>
      <w:r>
        <w:rPr>
          <w:noProof/>
        </w:rPr>
      </w:r>
      <w:r>
        <w:rPr>
          <w:noProof/>
        </w:rPr>
        <w:fldChar w:fldCharType="separate"/>
      </w:r>
      <w:r>
        <w:rPr>
          <w:noProof/>
        </w:rPr>
        <w:t>78</w:t>
      </w:r>
      <w:r>
        <w:rPr>
          <w:noProof/>
        </w:rPr>
        <w:fldChar w:fldCharType="end"/>
      </w:r>
    </w:p>
    <w:p w14:paraId="23EAFF2E" w14:textId="77777777" w:rsidR="005A234F" w:rsidRDefault="005A234F">
      <w:pPr>
        <w:pStyle w:val="TOC3"/>
        <w:tabs>
          <w:tab w:val="right" w:leader="hyphen" w:pos="8828"/>
        </w:tabs>
        <w:rPr>
          <w:i w:val="0"/>
          <w:noProof/>
          <w:sz w:val="24"/>
          <w:szCs w:val="24"/>
        </w:rPr>
      </w:pPr>
      <w:r>
        <w:rPr>
          <w:noProof/>
          <w:lang w:eastAsia="en-US"/>
        </w:rPr>
        <w:t>Metabolomic Analysis</w:t>
      </w:r>
      <w:r>
        <w:rPr>
          <w:noProof/>
        </w:rPr>
        <w:tab/>
      </w:r>
      <w:r>
        <w:rPr>
          <w:noProof/>
        </w:rPr>
        <w:fldChar w:fldCharType="begin"/>
      </w:r>
      <w:r>
        <w:rPr>
          <w:noProof/>
        </w:rPr>
        <w:instrText xml:space="preserve"> PAGEREF _Toc291410083 \h </w:instrText>
      </w:r>
      <w:r>
        <w:rPr>
          <w:noProof/>
        </w:rPr>
      </w:r>
      <w:r>
        <w:rPr>
          <w:noProof/>
        </w:rPr>
        <w:fldChar w:fldCharType="separate"/>
      </w:r>
      <w:r>
        <w:rPr>
          <w:noProof/>
        </w:rPr>
        <w:t>78</w:t>
      </w:r>
      <w:r>
        <w:rPr>
          <w:noProof/>
        </w:rPr>
        <w:fldChar w:fldCharType="end"/>
      </w:r>
    </w:p>
    <w:p w14:paraId="094C3D24" w14:textId="77777777" w:rsidR="005A234F" w:rsidRDefault="005A234F">
      <w:pPr>
        <w:pStyle w:val="TOC3"/>
        <w:tabs>
          <w:tab w:val="right" w:leader="hyphen" w:pos="8828"/>
        </w:tabs>
        <w:rPr>
          <w:i w:val="0"/>
          <w:noProof/>
          <w:sz w:val="24"/>
          <w:szCs w:val="24"/>
        </w:rPr>
      </w:pPr>
      <w:r>
        <w:rPr>
          <w:noProof/>
          <w:lang w:eastAsia="en-US"/>
        </w:rPr>
        <w:t>Metabolomic Data Analysis</w:t>
      </w:r>
      <w:r>
        <w:rPr>
          <w:noProof/>
        </w:rPr>
        <w:tab/>
      </w:r>
      <w:r>
        <w:rPr>
          <w:noProof/>
        </w:rPr>
        <w:fldChar w:fldCharType="begin"/>
      </w:r>
      <w:r>
        <w:rPr>
          <w:noProof/>
        </w:rPr>
        <w:instrText xml:space="preserve"> PAGEREF _Toc291410084 \h </w:instrText>
      </w:r>
      <w:r>
        <w:rPr>
          <w:noProof/>
        </w:rPr>
      </w:r>
      <w:r>
        <w:rPr>
          <w:noProof/>
        </w:rPr>
        <w:fldChar w:fldCharType="separate"/>
      </w:r>
      <w:r>
        <w:rPr>
          <w:noProof/>
        </w:rPr>
        <w:t>78</w:t>
      </w:r>
      <w:r>
        <w:rPr>
          <w:noProof/>
        </w:rPr>
        <w:fldChar w:fldCharType="end"/>
      </w:r>
    </w:p>
    <w:p w14:paraId="4CD23A3F" w14:textId="77777777" w:rsidR="005A234F" w:rsidRDefault="005A234F">
      <w:pPr>
        <w:pStyle w:val="TOC2"/>
        <w:tabs>
          <w:tab w:val="right" w:leader="hyphen" w:pos="8828"/>
        </w:tabs>
        <w:rPr>
          <w:smallCaps w:val="0"/>
          <w:noProof/>
          <w:sz w:val="24"/>
          <w:szCs w:val="24"/>
        </w:rPr>
      </w:pPr>
      <w:r>
        <w:rPr>
          <w:noProof/>
        </w:rPr>
        <w:t>5.3- Results</w:t>
      </w:r>
      <w:r>
        <w:rPr>
          <w:noProof/>
        </w:rPr>
        <w:tab/>
      </w:r>
      <w:r>
        <w:rPr>
          <w:noProof/>
        </w:rPr>
        <w:fldChar w:fldCharType="begin"/>
      </w:r>
      <w:r>
        <w:rPr>
          <w:noProof/>
        </w:rPr>
        <w:instrText xml:space="preserve"> PAGEREF _Toc291410085 \h </w:instrText>
      </w:r>
      <w:r>
        <w:rPr>
          <w:noProof/>
        </w:rPr>
      </w:r>
      <w:r>
        <w:rPr>
          <w:noProof/>
        </w:rPr>
        <w:fldChar w:fldCharType="separate"/>
      </w:r>
      <w:r>
        <w:rPr>
          <w:noProof/>
        </w:rPr>
        <w:t>79</w:t>
      </w:r>
      <w:r>
        <w:rPr>
          <w:noProof/>
        </w:rPr>
        <w:fldChar w:fldCharType="end"/>
      </w:r>
    </w:p>
    <w:p w14:paraId="381172DE" w14:textId="77777777" w:rsidR="005A234F" w:rsidRDefault="005A234F">
      <w:pPr>
        <w:pStyle w:val="TOC2"/>
        <w:tabs>
          <w:tab w:val="right" w:leader="hyphen" w:pos="8828"/>
        </w:tabs>
        <w:rPr>
          <w:smallCaps w:val="0"/>
          <w:noProof/>
          <w:sz w:val="24"/>
          <w:szCs w:val="24"/>
        </w:rPr>
      </w:pPr>
      <w:r>
        <w:rPr>
          <w:noProof/>
        </w:rPr>
        <w:t>5.4- Discussion</w:t>
      </w:r>
      <w:r>
        <w:rPr>
          <w:noProof/>
        </w:rPr>
        <w:tab/>
      </w:r>
      <w:r>
        <w:rPr>
          <w:noProof/>
        </w:rPr>
        <w:fldChar w:fldCharType="begin"/>
      </w:r>
      <w:r>
        <w:rPr>
          <w:noProof/>
        </w:rPr>
        <w:instrText xml:space="preserve"> PAGEREF _Toc291410086 \h </w:instrText>
      </w:r>
      <w:r>
        <w:rPr>
          <w:noProof/>
        </w:rPr>
      </w:r>
      <w:r>
        <w:rPr>
          <w:noProof/>
        </w:rPr>
        <w:fldChar w:fldCharType="separate"/>
      </w:r>
      <w:r>
        <w:rPr>
          <w:noProof/>
        </w:rPr>
        <w:t>90</w:t>
      </w:r>
      <w:r>
        <w:rPr>
          <w:noProof/>
        </w:rPr>
        <w:fldChar w:fldCharType="end"/>
      </w:r>
    </w:p>
    <w:p w14:paraId="10708711" w14:textId="77777777" w:rsidR="005A234F" w:rsidRDefault="005A234F">
      <w:pPr>
        <w:pStyle w:val="TOC3"/>
        <w:tabs>
          <w:tab w:val="right" w:leader="hyphen" w:pos="8828"/>
        </w:tabs>
        <w:rPr>
          <w:i w:val="0"/>
          <w:noProof/>
          <w:sz w:val="24"/>
          <w:szCs w:val="24"/>
        </w:rPr>
      </w:pPr>
      <w:r>
        <w:rPr>
          <w:noProof/>
        </w:rPr>
        <w:t>Details of Metabolic population differentiation</w:t>
      </w:r>
      <w:r>
        <w:rPr>
          <w:noProof/>
        </w:rPr>
        <w:tab/>
      </w:r>
      <w:r>
        <w:rPr>
          <w:noProof/>
        </w:rPr>
        <w:fldChar w:fldCharType="begin"/>
      </w:r>
      <w:r>
        <w:rPr>
          <w:noProof/>
        </w:rPr>
        <w:instrText xml:space="preserve"> PAGEREF _Toc291410087 \h </w:instrText>
      </w:r>
      <w:r>
        <w:rPr>
          <w:noProof/>
        </w:rPr>
      </w:r>
      <w:r>
        <w:rPr>
          <w:noProof/>
        </w:rPr>
        <w:fldChar w:fldCharType="separate"/>
      </w:r>
      <w:r>
        <w:rPr>
          <w:noProof/>
        </w:rPr>
        <w:t>91</w:t>
      </w:r>
      <w:r>
        <w:rPr>
          <w:noProof/>
        </w:rPr>
        <w:fldChar w:fldCharType="end"/>
      </w:r>
    </w:p>
    <w:p w14:paraId="47FA578A" w14:textId="77777777" w:rsidR="005A234F" w:rsidRDefault="005A234F">
      <w:pPr>
        <w:pStyle w:val="TOC3"/>
        <w:tabs>
          <w:tab w:val="right" w:leader="hyphen" w:pos="8828"/>
        </w:tabs>
        <w:rPr>
          <w:i w:val="0"/>
          <w:noProof/>
          <w:sz w:val="24"/>
          <w:szCs w:val="24"/>
        </w:rPr>
      </w:pPr>
      <w:r>
        <w:rPr>
          <w:noProof/>
        </w:rPr>
        <w:t>Environmental vs Genotypic impacts on metabolism</w:t>
      </w:r>
      <w:r>
        <w:rPr>
          <w:noProof/>
        </w:rPr>
        <w:tab/>
      </w:r>
      <w:r>
        <w:rPr>
          <w:noProof/>
        </w:rPr>
        <w:fldChar w:fldCharType="begin"/>
      </w:r>
      <w:r>
        <w:rPr>
          <w:noProof/>
        </w:rPr>
        <w:instrText xml:space="preserve"> PAGEREF _Toc291410088 \h </w:instrText>
      </w:r>
      <w:r>
        <w:rPr>
          <w:noProof/>
        </w:rPr>
      </w:r>
      <w:r>
        <w:rPr>
          <w:noProof/>
        </w:rPr>
        <w:fldChar w:fldCharType="separate"/>
      </w:r>
      <w:r>
        <w:rPr>
          <w:noProof/>
        </w:rPr>
        <w:t>92</w:t>
      </w:r>
      <w:r>
        <w:rPr>
          <w:noProof/>
        </w:rPr>
        <w:fldChar w:fldCharType="end"/>
      </w:r>
    </w:p>
    <w:p w14:paraId="69FD2418" w14:textId="77777777" w:rsidR="005A234F" w:rsidRDefault="005A234F">
      <w:pPr>
        <w:pStyle w:val="TOC3"/>
        <w:tabs>
          <w:tab w:val="right" w:leader="hyphen" w:pos="8828"/>
        </w:tabs>
        <w:rPr>
          <w:i w:val="0"/>
          <w:noProof/>
          <w:sz w:val="24"/>
          <w:szCs w:val="24"/>
        </w:rPr>
      </w:pPr>
      <w:r>
        <w:rPr>
          <w:noProof/>
        </w:rPr>
        <w:t>Ecological Implications</w:t>
      </w:r>
      <w:r>
        <w:rPr>
          <w:noProof/>
        </w:rPr>
        <w:tab/>
      </w:r>
      <w:r>
        <w:rPr>
          <w:noProof/>
        </w:rPr>
        <w:fldChar w:fldCharType="begin"/>
      </w:r>
      <w:r>
        <w:rPr>
          <w:noProof/>
        </w:rPr>
        <w:instrText xml:space="preserve"> PAGEREF _Toc291410089 \h </w:instrText>
      </w:r>
      <w:r>
        <w:rPr>
          <w:noProof/>
        </w:rPr>
      </w:r>
      <w:r>
        <w:rPr>
          <w:noProof/>
        </w:rPr>
        <w:fldChar w:fldCharType="separate"/>
      </w:r>
      <w:r>
        <w:rPr>
          <w:noProof/>
        </w:rPr>
        <w:t>92</w:t>
      </w:r>
      <w:r>
        <w:rPr>
          <w:noProof/>
        </w:rPr>
        <w:fldChar w:fldCharType="end"/>
      </w:r>
    </w:p>
    <w:p w14:paraId="2F5E9A31" w14:textId="77777777" w:rsidR="005A234F" w:rsidRDefault="005A234F">
      <w:pPr>
        <w:pStyle w:val="TOC1"/>
        <w:tabs>
          <w:tab w:val="right" w:leader="hyphen" w:pos="8828"/>
        </w:tabs>
        <w:rPr>
          <w:b w:val="0"/>
          <w:caps w:val="0"/>
          <w:noProof/>
          <w:sz w:val="24"/>
          <w:szCs w:val="24"/>
        </w:rPr>
      </w:pPr>
      <w:r>
        <w:rPr>
          <w:noProof/>
        </w:rPr>
        <w:t>Chapter 6- Environmental influence on metabolism</w:t>
      </w:r>
      <w:r>
        <w:rPr>
          <w:noProof/>
        </w:rPr>
        <w:tab/>
      </w:r>
      <w:r>
        <w:rPr>
          <w:noProof/>
        </w:rPr>
        <w:fldChar w:fldCharType="begin"/>
      </w:r>
      <w:r>
        <w:rPr>
          <w:noProof/>
        </w:rPr>
        <w:instrText xml:space="preserve"> PAGEREF _Toc291410090 \h </w:instrText>
      </w:r>
      <w:r>
        <w:rPr>
          <w:noProof/>
        </w:rPr>
      </w:r>
      <w:r>
        <w:rPr>
          <w:noProof/>
        </w:rPr>
        <w:fldChar w:fldCharType="separate"/>
      </w:r>
      <w:r>
        <w:rPr>
          <w:noProof/>
        </w:rPr>
        <w:t>93</w:t>
      </w:r>
      <w:r>
        <w:rPr>
          <w:noProof/>
        </w:rPr>
        <w:fldChar w:fldCharType="end"/>
      </w:r>
    </w:p>
    <w:p w14:paraId="5B4E0BBD" w14:textId="77777777" w:rsidR="005A234F" w:rsidRDefault="005A234F">
      <w:pPr>
        <w:pStyle w:val="TOC2"/>
        <w:tabs>
          <w:tab w:val="right" w:leader="hyphen" w:pos="8828"/>
        </w:tabs>
        <w:rPr>
          <w:smallCaps w:val="0"/>
          <w:noProof/>
          <w:sz w:val="24"/>
          <w:szCs w:val="24"/>
        </w:rPr>
      </w:pPr>
      <w:r>
        <w:rPr>
          <w:noProof/>
        </w:rPr>
        <w:t>6.1- Introduction</w:t>
      </w:r>
      <w:r>
        <w:rPr>
          <w:noProof/>
        </w:rPr>
        <w:tab/>
      </w:r>
      <w:r>
        <w:rPr>
          <w:noProof/>
        </w:rPr>
        <w:fldChar w:fldCharType="begin"/>
      </w:r>
      <w:r>
        <w:rPr>
          <w:noProof/>
        </w:rPr>
        <w:instrText xml:space="preserve"> PAGEREF _Toc291410091 \h </w:instrText>
      </w:r>
      <w:r>
        <w:rPr>
          <w:noProof/>
        </w:rPr>
      </w:r>
      <w:r>
        <w:rPr>
          <w:noProof/>
        </w:rPr>
        <w:fldChar w:fldCharType="separate"/>
      </w:r>
      <w:r>
        <w:rPr>
          <w:noProof/>
        </w:rPr>
        <w:t>93</w:t>
      </w:r>
      <w:r>
        <w:rPr>
          <w:noProof/>
        </w:rPr>
        <w:fldChar w:fldCharType="end"/>
      </w:r>
    </w:p>
    <w:p w14:paraId="5C252581" w14:textId="77777777" w:rsidR="005A234F" w:rsidRDefault="005A234F">
      <w:pPr>
        <w:pStyle w:val="TOC2"/>
        <w:tabs>
          <w:tab w:val="right" w:leader="hyphen" w:pos="8828"/>
        </w:tabs>
        <w:rPr>
          <w:smallCaps w:val="0"/>
          <w:noProof/>
          <w:sz w:val="24"/>
          <w:szCs w:val="24"/>
        </w:rPr>
      </w:pPr>
      <w:r>
        <w:rPr>
          <w:noProof/>
        </w:rPr>
        <w:t>6.2- Methods</w:t>
      </w:r>
      <w:r>
        <w:rPr>
          <w:noProof/>
        </w:rPr>
        <w:tab/>
      </w:r>
      <w:r>
        <w:rPr>
          <w:noProof/>
        </w:rPr>
        <w:fldChar w:fldCharType="begin"/>
      </w:r>
      <w:r>
        <w:rPr>
          <w:noProof/>
        </w:rPr>
        <w:instrText xml:space="preserve"> PAGEREF _Toc291410092 \h </w:instrText>
      </w:r>
      <w:r>
        <w:rPr>
          <w:noProof/>
        </w:rPr>
      </w:r>
      <w:r>
        <w:rPr>
          <w:noProof/>
        </w:rPr>
        <w:fldChar w:fldCharType="separate"/>
      </w:r>
      <w:r>
        <w:rPr>
          <w:noProof/>
        </w:rPr>
        <w:t>95</w:t>
      </w:r>
      <w:r>
        <w:rPr>
          <w:noProof/>
        </w:rPr>
        <w:fldChar w:fldCharType="end"/>
      </w:r>
    </w:p>
    <w:p w14:paraId="181CA985" w14:textId="77777777" w:rsidR="005A234F" w:rsidRDefault="005A234F">
      <w:pPr>
        <w:pStyle w:val="TOC3"/>
        <w:tabs>
          <w:tab w:val="right" w:leader="hyphen" w:pos="8828"/>
        </w:tabs>
        <w:rPr>
          <w:i w:val="0"/>
          <w:noProof/>
          <w:sz w:val="24"/>
          <w:szCs w:val="24"/>
        </w:rPr>
      </w:pPr>
      <w:r>
        <w:rPr>
          <w:noProof/>
        </w:rPr>
        <w:t>Study system</w:t>
      </w:r>
      <w:r>
        <w:rPr>
          <w:noProof/>
        </w:rPr>
        <w:tab/>
      </w:r>
      <w:r>
        <w:rPr>
          <w:noProof/>
        </w:rPr>
        <w:fldChar w:fldCharType="begin"/>
      </w:r>
      <w:r>
        <w:rPr>
          <w:noProof/>
        </w:rPr>
        <w:instrText xml:space="preserve"> PAGEREF _Toc291410093 \h </w:instrText>
      </w:r>
      <w:r>
        <w:rPr>
          <w:noProof/>
        </w:rPr>
      </w:r>
      <w:r>
        <w:rPr>
          <w:noProof/>
        </w:rPr>
        <w:fldChar w:fldCharType="separate"/>
      </w:r>
      <w:r>
        <w:rPr>
          <w:noProof/>
        </w:rPr>
        <w:t>95</w:t>
      </w:r>
      <w:r>
        <w:rPr>
          <w:noProof/>
        </w:rPr>
        <w:fldChar w:fldCharType="end"/>
      </w:r>
    </w:p>
    <w:p w14:paraId="1EA01D20" w14:textId="77777777" w:rsidR="005A234F" w:rsidRDefault="005A234F">
      <w:pPr>
        <w:pStyle w:val="TOC3"/>
        <w:tabs>
          <w:tab w:val="right" w:leader="hyphen" w:pos="8828"/>
        </w:tabs>
        <w:rPr>
          <w:i w:val="0"/>
          <w:noProof/>
          <w:sz w:val="24"/>
          <w:szCs w:val="24"/>
        </w:rPr>
      </w:pPr>
      <w:r>
        <w:rPr>
          <w:noProof/>
        </w:rPr>
        <w:t>Study Species</w:t>
      </w:r>
      <w:r>
        <w:rPr>
          <w:noProof/>
        </w:rPr>
        <w:tab/>
      </w:r>
      <w:r>
        <w:rPr>
          <w:noProof/>
        </w:rPr>
        <w:fldChar w:fldCharType="begin"/>
      </w:r>
      <w:r>
        <w:rPr>
          <w:noProof/>
        </w:rPr>
        <w:instrText xml:space="preserve"> PAGEREF _Toc291410094 \h </w:instrText>
      </w:r>
      <w:r>
        <w:rPr>
          <w:noProof/>
        </w:rPr>
      </w:r>
      <w:r>
        <w:rPr>
          <w:noProof/>
        </w:rPr>
        <w:fldChar w:fldCharType="separate"/>
      </w:r>
      <w:r>
        <w:rPr>
          <w:noProof/>
        </w:rPr>
        <w:t>96</w:t>
      </w:r>
      <w:r>
        <w:rPr>
          <w:noProof/>
        </w:rPr>
        <w:fldChar w:fldCharType="end"/>
      </w:r>
    </w:p>
    <w:p w14:paraId="7F8A04E0" w14:textId="77777777" w:rsidR="005A234F" w:rsidRDefault="005A234F">
      <w:pPr>
        <w:pStyle w:val="TOC3"/>
        <w:tabs>
          <w:tab w:val="right" w:leader="hyphen" w:pos="8828"/>
        </w:tabs>
        <w:rPr>
          <w:i w:val="0"/>
          <w:noProof/>
          <w:sz w:val="24"/>
          <w:szCs w:val="24"/>
        </w:rPr>
      </w:pPr>
      <w:r>
        <w:rPr>
          <w:noProof/>
        </w:rPr>
        <w:t>Experimental Design</w:t>
      </w:r>
      <w:r>
        <w:rPr>
          <w:noProof/>
        </w:rPr>
        <w:tab/>
      </w:r>
      <w:r>
        <w:rPr>
          <w:noProof/>
        </w:rPr>
        <w:fldChar w:fldCharType="begin"/>
      </w:r>
      <w:r>
        <w:rPr>
          <w:noProof/>
        </w:rPr>
        <w:instrText xml:space="preserve"> PAGEREF _Toc291410095 \h </w:instrText>
      </w:r>
      <w:r>
        <w:rPr>
          <w:noProof/>
        </w:rPr>
      </w:r>
      <w:r>
        <w:rPr>
          <w:noProof/>
        </w:rPr>
        <w:fldChar w:fldCharType="separate"/>
      </w:r>
      <w:r>
        <w:rPr>
          <w:noProof/>
        </w:rPr>
        <w:t>96</w:t>
      </w:r>
      <w:r>
        <w:rPr>
          <w:noProof/>
        </w:rPr>
        <w:fldChar w:fldCharType="end"/>
      </w:r>
    </w:p>
    <w:p w14:paraId="6CEA04AD" w14:textId="77777777" w:rsidR="005A234F" w:rsidRDefault="005A234F">
      <w:pPr>
        <w:pStyle w:val="TOC3"/>
        <w:tabs>
          <w:tab w:val="right" w:leader="hyphen" w:pos="8828"/>
        </w:tabs>
        <w:rPr>
          <w:i w:val="0"/>
          <w:noProof/>
          <w:sz w:val="24"/>
          <w:szCs w:val="24"/>
        </w:rPr>
      </w:pPr>
      <w:r>
        <w:rPr>
          <w:noProof/>
        </w:rPr>
        <w:t>Description of Field Sampling</w:t>
      </w:r>
      <w:r>
        <w:rPr>
          <w:noProof/>
        </w:rPr>
        <w:tab/>
      </w:r>
      <w:r>
        <w:rPr>
          <w:noProof/>
        </w:rPr>
        <w:fldChar w:fldCharType="begin"/>
      </w:r>
      <w:r>
        <w:rPr>
          <w:noProof/>
        </w:rPr>
        <w:instrText xml:space="preserve"> PAGEREF _Toc291410096 \h </w:instrText>
      </w:r>
      <w:r>
        <w:rPr>
          <w:noProof/>
        </w:rPr>
      </w:r>
      <w:r>
        <w:rPr>
          <w:noProof/>
        </w:rPr>
        <w:fldChar w:fldCharType="separate"/>
      </w:r>
      <w:r>
        <w:rPr>
          <w:noProof/>
        </w:rPr>
        <w:t>99</w:t>
      </w:r>
      <w:r>
        <w:rPr>
          <w:noProof/>
        </w:rPr>
        <w:fldChar w:fldCharType="end"/>
      </w:r>
    </w:p>
    <w:p w14:paraId="68C25210" w14:textId="77777777" w:rsidR="005A234F" w:rsidRDefault="005A234F">
      <w:pPr>
        <w:pStyle w:val="TOC3"/>
        <w:tabs>
          <w:tab w:val="right" w:leader="hyphen" w:pos="8828"/>
        </w:tabs>
        <w:rPr>
          <w:i w:val="0"/>
          <w:noProof/>
          <w:sz w:val="24"/>
          <w:szCs w:val="24"/>
        </w:rPr>
      </w:pPr>
      <w:r>
        <w:rPr>
          <w:noProof/>
        </w:rPr>
        <w:t>Data Analysis</w:t>
      </w:r>
      <w:r>
        <w:rPr>
          <w:noProof/>
        </w:rPr>
        <w:tab/>
      </w:r>
      <w:r>
        <w:rPr>
          <w:noProof/>
        </w:rPr>
        <w:fldChar w:fldCharType="begin"/>
      </w:r>
      <w:r>
        <w:rPr>
          <w:noProof/>
        </w:rPr>
        <w:instrText xml:space="preserve"> PAGEREF _Toc291410097 \h </w:instrText>
      </w:r>
      <w:r>
        <w:rPr>
          <w:noProof/>
        </w:rPr>
      </w:r>
      <w:r>
        <w:rPr>
          <w:noProof/>
        </w:rPr>
        <w:fldChar w:fldCharType="separate"/>
      </w:r>
      <w:r>
        <w:rPr>
          <w:noProof/>
        </w:rPr>
        <w:t>99</w:t>
      </w:r>
      <w:r>
        <w:rPr>
          <w:noProof/>
        </w:rPr>
        <w:fldChar w:fldCharType="end"/>
      </w:r>
    </w:p>
    <w:p w14:paraId="01D31B57" w14:textId="77777777" w:rsidR="005A234F" w:rsidRDefault="005A234F">
      <w:pPr>
        <w:pStyle w:val="TOC2"/>
        <w:tabs>
          <w:tab w:val="right" w:leader="hyphen" w:pos="8828"/>
        </w:tabs>
        <w:rPr>
          <w:smallCaps w:val="0"/>
          <w:noProof/>
          <w:sz w:val="24"/>
          <w:szCs w:val="24"/>
        </w:rPr>
      </w:pPr>
      <w:r>
        <w:rPr>
          <w:noProof/>
        </w:rPr>
        <w:t>6.3- Results</w:t>
      </w:r>
      <w:r>
        <w:rPr>
          <w:noProof/>
        </w:rPr>
        <w:tab/>
      </w:r>
      <w:r>
        <w:rPr>
          <w:noProof/>
        </w:rPr>
        <w:fldChar w:fldCharType="begin"/>
      </w:r>
      <w:r>
        <w:rPr>
          <w:noProof/>
        </w:rPr>
        <w:instrText xml:space="preserve"> PAGEREF _Toc291410098 \h </w:instrText>
      </w:r>
      <w:r>
        <w:rPr>
          <w:noProof/>
        </w:rPr>
      </w:r>
      <w:r>
        <w:rPr>
          <w:noProof/>
        </w:rPr>
        <w:fldChar w:fldCharType="separate"/>
      </w:r>
      <w:r>
        <w:rPr>
          <w:noProof/>
        </w:rPr>
        <w:t>100</w:t>
      </w:r>
      <w:r>
        <w:rPr>
          <w:noProof/>
        </w:rPr>
        <w:fldChar w:fldCharType="end"/>
      </w:r>
    </w:p>
    <w:p w14:paraId="1ACC7ED2" w14:textId="77777777" w:rsidR="005A234F" w:rsidRDefault="005A234F">
      <w:pPr>
        <w:pStyle w:val="TOC3"/>
        <w:tabs>
          <w:tab w:val="right" w:leader="hyphen" w:pos="8828"/>
        </w:tabs>
        <w:rPr>
          <w:i w:val="0"/>
          <w:noProof/>
          <w:sz w:val="24"/>
          <w:szCs w:val="24"/>
        </w:rPr>
      </w:pPr>
      <w:r>
        <w:rPr>
          <w:noProof/>
        </w:rPr>
        <w:t>Large scale variation in metabolism</w:t>
      </w:r>
      <w:r>
        <w:rPr>
          <w:noProof/>
        </w:rPr>
        <w:tab/>
      </w:r>
      <w:r>
        <w:rPr>
          <w:noProof/>
        </w:rPr>
        <w:fldChar w:fldCharType="begin"/>
      </w:r>
      <w:r>
        <w:rPr>
          <w:noProof/>
        </w:rPr>
        <w:instrText xml:space="preserve"> PAGEREF _Toc291410099 \h </w:instrText>
      </w:r>
      <w:r>
        <w:rPr>
          <w:noProof/>
        </w:rPr>
      </w:r>
      <w:r>
        <w:rPr>
          <w:noProof/>
        </w:rPr>
        <w:fldChar w:fldCharType="separate"/>
      </w:r>
      <w:r>
        <w:rPr>
          <w:noProof/>
        </w:rPr>
        <w:t>100</w:t>
      </w:r>
      <w:r>
        <w:rPr>
          <w:noProof/>
        </w:rPr>
        <w:fldChar w:fldCharType="end"/>
      </w:r>
    </w:p>
    <w:p w14:paraId="322A0A32" w14:textId="77777777" w:rsidR="005A234F" w:rsidRDefault="005A234F">
      <w:pPr>
        <w:pStyle w:val="TOC3"/>
        <w:tabs>
          <w:tab w:val="right" w:leader="hyphen" w:pos="8828"/>
        </w:tabs>
        <w:rPr>
          <w:i w:val="0"/>
          <w:noProof/>
          <w:sz w:val="24"/>
          <w:szCs w:val="24"/>
        </w:rPr>
      </w:pPr>
      <w:r>
        <w:rPr>
          <w:noProof/>
        </w:rPr>
        <w:t>Local scale variation in metabolism</w:t>
      </w:r>
      <w:r>
        <w:rPr>
          <w:noProof/>
        </w:rPr>
        <w:tab/>
      </w:r>
      <w:r>
        <w:rPr>
          <w:noProof/>
        </w:rPr>
        <w:fldChar w:fldCharType="begin"/>
      </w:r>
      <w:r>
        <w:rPr>
          <w:noProof/>
        </w:rPr>
        <w:instrText xml:space="preserve"> PAGEREF _Toc291410100 \h </w:instrText>
      </w:r>
      <w:r>
        <w:rPr>
          <w:noProof/>
        </w:rPr>
      </w:r>
      <w:r>
        <w:rPr>
          <w:noProof/>
        </w:rPr>
        <w:fldChar w:fldCharType="separate"/>
      </w:r>
      <w:r>
        <w:rPr>
          <w:noProof/>
        </w:rPr>
        <w:t>107</w:t>
      </w:r>
      <w:r>
        <w:rPr>
          <w:noProof/>
        </w:rPr>
        <w:fldChar w:fldCharType="end"/>
      </w:r>
    </w:p>
    <w:p w14:paraId="11D5EAB9" w14:textId="77777777" w:rsidR="005A234F" w:rsidRDefault="005A234F">
      <w:pPr>
        <w:pStyle w:val="TOC2"/>
        <w:tabs>
          <w:tab w:val="right" w:leader="hyphen" w:pos="8828"/>
        </w:tabs>
        <w:rPr>
          <w:smallCaps w:val="0"/>
          <w:noProof/>
          <w:sz w:val="24"/>
          <w:szCs w:val="24"/>
        </w:rPr>
      </w:pPr>
      <w:r>
        <w:rPr>
          <w:noProof/>
        </w:rPr>
        <w:t>6.4- Discussion</w:t>
      </w:r>
      <w:r>
        <w:rPr>
          <w:noProof/>
        </w:rPr>
        <w:tab/>
      </w:r>
      <w:r>
        <w:rPr>
          <w:noProof/>
        </w:rPr>
        <w:fldChar w:fldCharType="begin"/>
      </w:r>
      <w:r>
        <w:rPr>
          <w:noProof/>
        </w:rPr>
        <w:instrText xml:space="preserve"> PAGEREF _Toc291410101 \h </w:instrText>
      </w:r>
      <w:r>
        <w:rPr>
          <w:noProof/>
        </w:rPr>
      </w:r>
      <w:r>
        <w:rPr>
          <w:noProof/>
        </w:rPr>
        <w:fldChar w:fldCharType="separate"/>
      </w:r>
      <w:r>
        <w:rPr>
          <w:noProof/>
        </w:rPr>
        <w:t>109</w:t>
      </w:r>
      <w:r>
        <w:rPr>
          <w:noProof/>
        </w:rPr>
        <w:fldChar w:fldCharType="end"/>
      </w:r>
    </w:p>
    <w:p w14:paraId="569A646B" w14:textId="77777777" w:rsidR="005A234F" w:rsidRDefault="005A234F">
      <w:pPr>
        <w:pStyle w:val="TOC3"/>
        <w:tabs>
          <w:tab w:val="right" w:leader="hyphen" w:pos="8828"/>
        </w:tabs>
        <w:rPr>
          <w:i w:val="0"/>
          <w:noProof/>
          <w:sz w:val="24"/>
          <w:szCs w:val="24"/>
        </w:rPr>
      </w:pPr>
      <w:r>
        <w:rPr>
          <w:noProof/>
        </w:rPr>
        <w:t>Local variation in metabolism</w:t>
      </w:r>
      <w:r>
        <w:rPr>
          <w:noProof/>
        </w:rPr>
        <w:tab/>
      </w:r>
      <w:r>
        <w:rPr>
          <w:noProof/>
        </w:rPr>
        <w:fldChar w:fldCharType="begin"/>
      </w:r>
      <w:r>
        <w:rPr>
          <w:noProof/>
        </w:rPr>
        <w:instrText xml:space="preserve"> PAGEREF _Toc291410102 \h </w:instrText>
      </w:r>
      <w:r>
        <w:rPr>
          <w:noProof/>
        </w:rPr>
      </w:r>
      <w:r>
        <w:rPr>
          <w:noProof/>
        </w:rPr>
        <w:fldChar w:fldCharType="separate"/>
      </w:r>
      <w:r>
        <w:rPr>
          <w:noProof/>
        </w:rPr>
        <w:t>109</w:t>
      </w:r>
      <w:r>
        <w:rPr>
          <w:noProof/>
        </w:rPr>
        <w:fldChar w:fldCharType="end"/>
      </w:r>
    </w:p>
    <w:p w14:paraId="7C0B32F6" w14:textId="77777777" w:rsidR="005A234F" w:rsidRDefault="005A234F">
      <w:pPr>
        <w:pStyle w:val="TOC3"/>
        <w:tabs>
          <w:tab w:val="right" w:leader="hyphen" w:pos="8828"/>
        </w:tabs>
        <w:rPr>
          <w:i w:val="0"/>
          <w:noProof/>
          <w:sz w:val="24"/>
          <w:szCs w:val="24"/>
        </w:rPr>
      </w:pPr>
      <w:r>
        <w:rPr>
          <w:noProof/>
        </w:rPr>
        <w:t>Landscape-scale metabolic variation</w:t>
      </w:r>
      <w:r>
        <w:rPr>
          <w:noProof/>
        </w:rPr>
        <w:tab/>
      </w:r>
      <w:r>
        <w:rPr>
          <w:noProof/>
        </w:rPr>
        <w:fldChar w:fldCharType="begin"/>
      </w:r>
      <w:r>
        <w:rPr>
          <w:noProof/>
        </w:rPr>
        <w:instrText xml:space="preserve"> PAGEREF _Toc291410103 \h </w:instrText>
      </w:r>
      <w:r>
        <w:rPr>
          <w:noProof/>
        </w:rPr>
      </w:r>
      <w:r>
        <w:rPr>
          <w:noProof/>
        </w:rPr>
        <w:fldChar w:fldCharType="separate"/>
      </w:r>
      <w:r>
        <w:rPr>
          <w:noProof/>
        </w:rPr>
        <w:t>110</w:t>
      </w:r>
      <w:r>
        <w:rPr>
          <w:noProof/>
        </w:rPr>
        <w:fldChar w:fldCharType="end"/>
      </w:r>
    </w:p>
    <w:p w14:paraId="54AEFC41" w14:textId="77777777" w:rsidR="005A234F" w:rsidRDefault="005A234F">
      <w:pPr>
        <w:pStyle w:val="TOC1"/>
        <w:tabs>
          <w:tab w:val="right" w:leader="hyphen" w:pos="8828"/>
        </w:tabs>
        <w:rPr>
          <w:b w:val="0"/>
          <w:caps w:val="0"/>
          <w:noProof/>
          <w:sz w:val="24"/>
          <w:szCs w:val="24"/>
        </w:rPr>
      </w:pPr>
      <w:r>
        <w:rPr>
          <w:noProof/>
        </w:rPr>
        <w:t>Chapter 7- Discussion</w:t>
      </w:r>
      <w:r>
        <w:rPr>
          <w:noProof/>
        </w:rPr>
        <w:tab/>
      </w:r>
      <w:r>
        <w:rPr>
          <w:noProof/>
        </w:rPr>
        <w:fldChar w:fldCharType="begin"/>
      </w:r>
      <w:r>
        <w:rPr>
          <w:noProof/>
        </w:rPr>
        <w:instrText xml:space="preserve"> PAGEREF _Toc291410104 \h </w:instrText>
      </w:r>
      <w:r>
        <w:rPr>
          <w:noProof/>
        </w:rPr>
      </w:r>
      <w:r>
        <w:rPr>
          <w:noProof/>
        </w:rPr>
        <w:fldChar w:fldCharType="separate"/>
      </w:r>
      <w:r>
        <w:rPr>
          <w:noProof/>
        </w:rPr>
        <w:t>112</w:t>
      </w:r>
      <w:r>
        <w:rPr>
          <w:noProof/>
        </w:rPr>
        <w:fldChar w:fldCharType="end"/>
      </w:r>
    </w:p>
    <w:p w14:paraId="5810313D" w14:textId="77777777" w:rsidR="005A234F" w:rsidRDefault="005A234F">
      <w:pPr>
        <w:pStyle w:val="TOC2"/>
        <w:tabs>
          <w:tab w:val="right" w:leader="hyphen" w:pos="8828"/>
        </w:tabs>
        <w:rPr>
          <w:smallCaps w:val="0"/>
          <w:noProof/>
          <w:sz w:val="24"/>
          <w:szCs w:val="24"/>
        </w:rPr>
      </w:pPr>
      <w:r>
        <w:rPr>
          <w:noProof/>
        </w:rPr>
        <w:t>7.1- Introduction</w:t>
      </w:r>
      <w:r>
        <w:rPr>
          <w:noProof/>
        </w:rPr>
        <w:tab/>
      </w:r>
      <w:r>
        <w:rPr>
          <w:noProof/>
        </w:rPr>
        <w:fldChar w:fldCharType="begin"/>
      </w:r>
      <w:r>
        <w:rPr>
          <w:noProof/>
        </w:rPr>
        <w:instrText xml:space="preserve"> PAGEREF _Toc291410105 \h </w:instrText>
      </w:r>
      <w:r>
        <w:rPr>
          <w:noProof/>
        </w:rPr>
      </w:r>
      <w:r>
        <w:rPr>
          <w:noProof/>
        </w:rPr>
        <w:fldChar w:fldCharType="separate"/>
      </w:r>
      <w:r>
        <w:rPr>
          <w:noProof/>
        </w:rPr>
        <w:t>112</w:t>
      </w:r>
      <w:r>
        <w:rPr>
          <w:noProof/>
        </w:rPr>
        <w:fldChar w:fldCharType="end"/>
      </w:r>
    </w:p>
    <w:p w14:paraId="003DD305" w14:textId="77777777" w:rsidR="005A234F" w:rsidRDefault="005A234F">
      <w:pPr>
        <w:pStyle w:val="TOC2"/>
        <w:tabs>
          <w:tab w:val="right" w:leader="hyphen" w:pos="8828"/>
        </w:tabs>
        <w:rPr>
          <w:smallCaps w:val="0"/>
          <w:noProof/>
          <w:sz w:val="24"/>
          <w:szCs w:val="24"/>
        </w:rPr>
      </w:pPr>
      <w:r>
        <w:rPr>
          <w:noProof/>
        </w:rPr>
        <w:t>7.2- Intra-specific trait variation in a community</w:t>
      </w:r>
      <w:r>
        <w:rPr>
          <w:noProof/>
        </w:rPr>
        <w:tab/>
      </w:r>
      <w:r>
        <w:rPr>
          <w:noProof/>
        </w:rPr>
        <w:fldChar w:fldCharType="begin"/>
      </w:r>
      <w:r>
        <w:rPr>
          <w:noProof/>
        </w:rPr>
        <w:instrText xml:space="preserve"> PAGEREF _Toc291410106 \h </w:instrText>
      </w:r>
      <w:r>
        <w:rPr>
          <w:noProof/>
        </w:rPr>
      </w:r>
      <w:r>
        <w:rPr>
          <w:noProof/>
        </w:rPr>
        <w:fldChar w:fldCharType="separate"/>
      </w:r>
      <w:r>
        <w:rPr>
          <w:noProof/>
        </w:rPr>
        <w:t>112</w:t>
      </w:r>
      <w:r>
        <w:rPr>
          <w:noProof/>
        </w:rPr>
        <w:fldChar w:fldCharType="end"/>
      </w:r>
    </w:p>
    <w:p w14:paraId="5ED522D5" w14:textId="77777777" w:rsidR="005A234F" w:rsidRDefault="005A234F">
      <w:pPr>
        <w:pStyle w:val="TOC2"/>
        <w:tabs>
          <w:tab w:val="right" w:leader="hyphen" w:pos="8828"/>
        </w:tabs>
        <w:rPr>
          <w:smallCaps w:val="0"/>
          <w:noProof/>
          <w:sz w:val="24"/>
          <w:szCs w:val="24"/>
        </w:rPr>
      </w:pPr>
      <w:r>
        <w:rPr>
          <w:noProof/>
        </w:rPr>
        <w:t>7.3- Metabolic variation in the dune community</w:t>
      </w:r>
      <w:r>
        <w:rPr>
          <w:noProof/>
        </w:rPr>
        <w:tab/>
      </w:r>
      <w:r>
        <w:rPr>
          <w:noProof/>
        </w:rPr>
        <w:fldChar w:fldCharType="begin"/>
      </w:r>
      <w:r>
        <w:rPr>
          <w:noProof/>
        </w:rPr>
        <w:instrText xml:space="preserve"> PAGEREF _Toc291410107 \h </w:instrText>
      </w:r>
      <w:r>
        <w:rPr>
          <w:noProof/>
        </w:rPr>
      </w:r>
      <w:r>
        <w:rPr>
          <w:noProof/>
        </w:rPr>
        <w:fldChar w:fldCharType="separate"/>
      </w:r>
      <w:r>
        <w:rPr>
          <w:noProof/>
        </w:rPr>
        <w:t>113</w:t>
      </w:r>
      <w:r>
        <w:rPr>
          <w:noProof/>
        </w:rPr>
        <w:fldChar w:fldCharType="end"/>
      </w:r>
    </w:p>
    <w:p w14:paraId="31A6322D" w14:textId="77777777" w:rsidR="005A234F" w:rsidRDefault="005A234F">
      <w:pPr>
        <w:pStyle w:val="TOC2"/>
        <w:tabs>
          <w:tab w:val="right" w:leader="hyphen" w:pos="8828"/>
        </w:tabs>
        <w:rPr>
          <w:smallCaps w:val="0"/>
          <w:noProof/>
          <w:sz w:val="24"/>
          <w:szCs w:val="24"/>
        </w:rPr>
      </w:pPr>
      <w:r>
        <w:rPr>
          <w:noProof/>
        </w:rPr>
        <w:t>7.4- Genetic influence on population metabolic traits- species specific patterns</w:t>
      </w:r>
      <w:r>
        <w:rPr>
          <w:noProof/>
        </w:rPr>
        <w:tab/>
      </w:r>
      <w:r>
        <w:rPr>
          <w:noProof/>
        </w:rPr>
        <w:fldChar w:fldCharType="begin"/>
      </w:r>
      <w:r>
        <w:rPr>
          <w:noProof/>
        </w:rPr>
        <w:instrText xml:space="preserve"> PAGEREF _Toc291410108 \h </w:instrText>
      </w:r>
      <w:r>
        <w:rPr>
          <w:noProof/>
        </w:rPr>
      </w:r>
      <w:r>
        <w:rPr>
          <w:noProof/>
        </w:rPr>
        <w:fldChar w:fldCharType="separate"/>
      </w:r>
      <w:r>
        <w:rPr>
          <w:noProof/>
        </w:rPr>
        <w:t>114</w:t>
      </w:r>
      <w:r>
        <w:rPr>
          <w:noProof/>
        </w:rPr>
        <w:fldChar w:fldCharType="end"/>
      </w:r>
    </w:p>
    <w:p w14:paraId="4FDFC6AF" w14:textId="77777777" w:rsidR="005A234F" w:rsidRDefault="005A234F">
      <w:pPr>
        <w:pStyle w:val="TOC2"/>
        <w:tabs>
          <w:tab w:val="right" w:leader="hyphen" w:pos="8828"/>
        </w:tabs>
        <w:rPr>
          <w:smallCaps w:val="0"/>
          <w:noProof/>
          <w:sz w:val="24"/>
          <w:szCs w:val="24"/>
        </w:rPr>
      </w:pPr>
      <w:r>
        <w:rPr>
          <w:noProof/>
        </w:rPr>
        <w:t>7.5- Environmental variation and metabolism</w:t>
      </w:r>
      <w:r>
        <w:rPr>
          <w:noProof/>
        </w:rPr>
        <w:tab/>
      </w:r>
      <w:r>
        <w:rPr>
          <w:noProof/>
        </w:rPr>
        <w:fldChar w:fldCharType="begin"/>
      </w:r>
      <w:r>
        <w:rPr>
          <w:noProof/>
        </w:rPr>
        <w:instrText xml:space="preserve"> PAGEREF _Toc291410109 \h </w:instrText>
      </w:r>
      <w:r>
        <w:rPr>
          <w:noProof/>
        </w:rPr>
      </w:r>
      <w:r>
        <w:rPr>
          <w:noProof/>
        </w:rPr>
        <w:fldChar w:fldCharType="separate"/>
      </w:r>
      <w:r>
        <w:rPr>
          <w:noProof/>
        </w:rPr>
        <w:t>116</w:t>
      </w:r>
      <w:r>
        <w:rPr>
          <w:noProof/>
        </w:rPr>
        <w:fldChar w:fldCharType="end"/>
      </w:r>
    </w:p>
    <w:p w14:paraId="56D5F559" w14:textId="77777777" w:rsidR="005A234F" w:rsidRDefault="005A234F">
      <w:pPr>
        <w:pStyle w:val="TOC2"/>
        <w:tabs>
          <w:tab w:val="right" w:leader="hyphen" w:pos="8828"/>
        </w:tabs>
        <w:rPr>
          <w:smallCaps w:val="0"/>
          <w:noProof/>
          <w:sz w:val="24"/>
          <w:szCs w:val="24"/>
        </w:rPr>
      </w:pPr>
      <w:r>
        <w:rPr>
          <w:noProof/>
        </w:rPr>
        <w:t>7.6- Evaluation of metabolomic approach</w:t>
      </w:r>
      <w:r>
        <w:rPr>
          <w:noProof/>
        </w:rPr>
        <w:tab/>
      </w:r>
      <w:r>
        <w:rPr>
          <w:noProof/>
        </w:rPr>
        <w:fldChar w:fldCharType="begin"/>
      </w:r>
      <w:r>
        <w:rPr>
          <w:noProof/>
        </w:rPr>
        <w:instrText xml:space="preserve"> PAGEREF _Toc291410110 \h </w:instrText>
      </w:r>
      <w:r>
        <w:rPr>
          <w:noProof/>
        </w:rPr>
      </w:r>
      <w:r>
        <w:rPr>
          <w:noProof/>
        </w:rPr>
        <w:fldChar w:fldCharType="separate"/>
      </w:r>
      <w:r>
        <w:rPr>
          <w:noProof/>
        </w:rPr>
        <w:t>117</w:t>
      </w:r>
      <w:r>
        <w:rPr>
          <w:noProof/>
        </w:rPr>
        <w:fldChar w:fldCharType="end"/>
      </w:r>
    </w:p>
    <w:p w14:paraId="69324600" w14:textId="77777777" w:rsidR="005A234F" w:rsidRDefault="005A234F">
      <w:pPr>
        <w:pStyle w:val="TOC1"/>
        <w:tabs>
          <w:tab w:val="right" w:leader="hyphen" w:pos="8828"/>
        </w:tabs>
        <w:rPr>
          <w:b w:val="0"/>
          <w:caps w:val="0"/>
          <w:noProof/>
          <w:sz w:val="24"/>
          <w:szCs w:val="24"/>
        </w:rPr>
      </w:pPr>
      <w:r>
        <w:rPr>
          <w:noProof/>
        </w:rPr>
        <w:t>Appendix</w:t>
      </w:r>
      <w:r>
        <w:rPr>
          <w:noProof/>
        </w:rPr>
        <w:tab/>
      </w:r>
      <w:r>
        <w:rPr>
          <w:noProof/>
        </w:rPr>
        <w:fldChar w:fldCharType="begin"/>
      </w:r>
      <w:r>
        <w:rPr>
          <w:noProof/>
        </w:rPr>
        <w:instrText xml:space="preserve"> PAGEREF _Toc291410111 \h </w:instrText>
      </w:r>
      <w:r>
        <w:rPr>
          <w:noProof/>
        </w:rPr>
      </w:r>
      <w:r>
        <w:rPr>
          <w:noProof/>
        </w:rPr>
        <w:fldChar w:fldCharType="separate"/>
      </w:r>
      <w:r>
        <w:rPr>
          <w:noProof/>
        </w:rPr>
        <w:t>118</w:t>
      </w:r>
      <w:r>
        <w:rPr>
          <w:noProof/>
        </w:rPr>
        <w:fldChar w:fldCharType="end"/>
      </w:r>
    </w:p>
    <w:p w14:paraId="48B452B4" w14:textId="77777777" w:rsidR="005A234F" w:rsidRDefault="005A234F">
      <w:pPr>
        <w:pStyle w:val="TOC1"/>
        <w:tabs>
          <w:tab w:val="right" w:leader="hyphen" w:pos="8828"/>
        </w:tabs>
        <w:rPr>
          <w:b w:val="0"/>
          <w:caps w:val="0"/>
          <w:noProof/>
          <w:sz w:val="24"/>
          <w:szCs w:val="24"/>
        </w:rPr>
      </w:pPr>
      <w:r>
        <w:rPr>
          <w:noProof/>
        </w:rPr>
        <w:t>References</w:t>
      </w:r>
      <w:r>
        <w:rPr>
          <w:noProof/>
        </w:rPr>
        <w:tab/>
      </w:r>
      <w:r>
        <w:rPr>
          <w:noProof/>
        </w:rPr>
        <w:fldChar w:fldCharType="begin"/>
      </w:r>
      <w:r>
        <w:rPr>
          <w:noProof/>
        </w:rPr>
        <w:instrText xml:space="preserve"> PAGEREF _Toc291410112 \h </w:instrText>
      </w:r>
      <w:r>
        <w:rPr>
          <w:noProof/>
        </w:rPr>
      </w:r>
      <w:r>
        <w:rPr>
          <w:noProof/>
        </w:rPr>
        <w:fldChar w:fldCharType="separate"/>
      </w:r>
      <w:r>
        <w:rPr>
          <w:noProof/>
        </w:rPr>
        <w:t>125</w:t>
      </w:r>
      <w:r>
        <w:rPr>
          <w:noProof/>
        </w:rPr>
        <w:fldChar w:fldCharType="end"/>
      </w:r>
    </w:p>
    <w:p w14:paraId="4363E844" w14:textId="77777777" w:rsidR="00DF0EE2" w:rsidRPr="00146A2D" w:rsidRDefault="00DF0EE2">
      <w:pPr>
        <w:rPr>
          <w:rFonts w:ascii="Times" w:hAnsi="Times"/>
          <w:b/>
          <w:sz w:val="36"/>
        </w:rPr>
      </w:pPr>
      <w:r w:rsidRPr="00146A2D">
        <w:rPr>
          <w:rFonts w:ascii="Times" w:hAnsi="Times"/>
        </w:rPr>
        <w:fldChar w:fldCharType="end"/>
      </w:r>
      <w:r w:rsidRPr="00146A2D">
        <w:rPr>
          <w:rFonts w:ascii="Times" w:hAnsi="Times"/>
        </w:rPr>
        <w:br w:type="page"/>
      </w:r>
    </w:p>
    <w:p w14:paraId="1CBE3C07" w14:textId="2CB8AA24" w:rsidR="004A61C0" w:rsidRPr="009953BF" w:rsidRDefault="009953BF" w:rsidP="0052046B">
      <w:pPr>
        <w:pStyle w:val="HeadingJB"/>
      </w:pPr>
      <w:bookmarkStart w:id="1" w:name="_Toc291410027"/>
      <w:r w:rsidRPr="009953BF">
        <w:t>Chapter 1: General Introduction</w:t>
      </w:r>
      <w:bookmarkEnd w:id="1"/>
    </w:p>
    <w:p w14:paraId="49118AD2" w14:textId="77777777" w:rsidR="00201F07" w:rsidRDefault="00201F07" w:rsidP="0052046B">
      <w:pPr>
        <w:pStyle w:val="BodyJB"/>
      </w:pPr>
    </w:p>
    <w:p w14:paraId="41076F8F" w14:textId="77777777" w:rsidR="00A23813" w:rsidRPr="009953BF" w:rsidRDefault="00A23813" w:rsidP="0052046B">
      <w:pPr>
        <w:pStyle w:val="BodyJB"/>
      </w:pPr>
    </w:p>
    <w:p w14:paraId="554F8F8C" w14:textId="77777777" w:rsidR="00A23813" w:rsidRPr="00201F07" w:rsidRDefault="00A23813" w:rsidP="00B64224">
      <w:pPr>
        <w:pStyle w:val="SubheadingJB"/>
      </w:pPr>
      <w:bookmarkStart w:id="2" w:name="_Toc291410028"/>
      <w:r w:rsidRPr="00201F07">
        <w:t xml:space="preserve">1.1- </w:t>
      </w:r>
      <w:r w:rsidR="00EC6145" w:rsidRPr="00201F07">
        <w:t>Unraveling</w:t>
      </w:r>
      <w:r w:rsidRPr="00201F07">
        <w:t xml:space="preserve"> relationships between plants and past, current and future climatic conditions</w:t>
      </w:r>
      <w:bookmarkEnd w:id="2"/>
    </w:p>
    <w:p w14:paraId="50C30D0D" w14:textId="0E5F06F5" w:rsidR="00FC0035" w:rsidRPr="00191AD2" w:rsidRDefault="00FC0035" w:rsidP="003B7DA5">
      <w:pPr>
        <w:pStyle w:val="BodyJB"/>
        <w:ind w:firstLine="720"/>
      </w:pPr>
      <w:r w:rsidRPr="00191AD2">
        <w:t xml:space="preserve">Human activities have led to significant increases in greenhouse gases during the industrial era (starting about 1750) </w:t>
      </w:r>
      <w:r w:rsidRPr="00191AD2">
        <w:fldChar w:fldCharType="begin" w:fldLock="1"/>
      </w:r>
      <w:r w:rsidR="007C2FF9">
        <w:instrText>ADDIN CSL_CITATION { "citationItems" : [ { "id" : "ITEM-1", "itemData" : { "ISBN" : "9780521880091", "author" : [ { "dropping-particle" : "", "family" : "IPCC", "given" : "", "non-dropping-particle" : "", "parse-names" : false, "suffix" : "" } ], "container-title" : "Cpntribution of Working Group I to the Fouryj Report of the Intergovernmental Panel on Climate Change", "editor" : [ { "dropping-particle" : "", "family" : "Solomon", "given" : "S.", "non-dropping-particle" : "", "parse-names" : false, "suffix" : "" }, { "dropping-particle" : "", "family" : "Qin", "given" : "D.", "non-dropping-particle" : "", "parse-names" : false, "suffix" : "" }, { "dropping-particle" : "", "family" : "Manning", "given" : "M.", "non-dropping-particle" : "", "parse-names" : false, "suffix" : "" }, { "dropping-particle" : "", "family" : "Chen", "given" : "Z.", "non-dropping-particle" : "", "parse-names" : false, "suffix" : "" }, { "dropping-particle" : "", "family" : "Marquis", "given" : "M.", "non-dropping-particle" : "", "parse-names" : false, "suffix" : "" }, { "dropping-particle" : "", "family" : "Averyt", "given" : "K.B.", "non-dropping-particle" : "", "parse-names" : false, "suffix" : "" }, { "dropping-particle" : "", "family" : "Tignor", "given" : "M.", "non-dropping-particle" : "", "parse-names" : false, "suffix" : "" }, { "dropping-particle" : "", "family" : "Miller", "given" : "H.L.", "non-dropping-particle" : "", "parse-names" : false, "suffix" : "" } ], "id" : "ITEM-1", "issued" : { "date-parts" : [ [ "2007" ] ] }, "publisher" : "Cambridge University Press", "title" : "Climate change 2007: The physical science basis", "type" : "chapter" }, "uris" : [ "http://www.mendeley.com/documents/?uuid=56a8ceff-64dd-4809-ab42-80097505e6ba" ] } ], "mendeley" : { "formattedCitation" : "(IPCC, 2007)", "plainTextFormattedCitation" : "(IPCC, 2007)", "previouslyFormattedCitation" : "(IPCC, 2007)" }, "properties" : { "noteIndex" : 0 }, "schema" : "https://github.com/citation-style-language/schema/raw/master/csl-citation.json" }</w:instrText>
      </w:r>
      <w:r w:rsidRPr="00191AD2">
        <w:fldChar w:fldCharType="separate"/>
      </w:r>
      <w:r w:rsidR="004D4218" w:rsidRPr="004D4218">
        <w:rPr>
          <w:noProof/>
        </w:rPr>
        <w:t>(IPCC, 2007)</w:t>
      </w:r>
      <w:r w:rsidRPr="00191AD2">
        <w:fldChar w:fldCharType="end"/>
      </w:r>
      <w:r>
        <w:t>,</w:t>
      </w:r>
      <w:r w:rsidRPr="00191AD2">
        <w:t xml:space="preserve"> which, along with other changes in solar radiation and land surface properties, alter the energy balance of the climate system </w:t>
      </w:r>
      <w:r w:rsidRPr="00191AD2">
        <w:fldChar w:fldCharType="begin" w:fldLock="1"/>
      </w:r>
      <w:r w:rsidR="007C2FF9">
        <w:instrText>ADDIN CSL_CITATION { "citationItems" : [ { "id" : "ITEM-1", "itemData" : { "ISBN" : "9780521880091", "author" : [ { "dropping-particle" : "", "family" : "IPCC", "given" : "", "non-dropping-particle" : "", "parse-names" : false, "suffix" : "" } ], "container-title" : "Cpntribution of Working Group I to the Fouryj Report of the Intergovernmental Panel on Climate Change", "editor" : [ { "dropping-particle" : "", "family" : "Solomon", "given" : "S.", "non-dropping-particle" : "", "parse-names" : false, "suffix" : "" }, { "dropping-particle" : "", "family" : "Qin", "given" : "D.", "non-dropping-particle" : "", "parse-names" : false, "suffix" : "" }, { "dropping-particle" : "", "family" : "Manning", "given" : "M.", "non-dropping-particle" : "", "parse-names" : false, "suffix" : "" }, { "dropping-particle" : "", "family" : "Chen", "given" : "Z.", "non-dropping-particle" : "", "parse-names" : false, "suffix" : "" }, { "dropping-particle" : "", "family" : "Marquis", "given" : "M.", "non-dropping-particle" : "", "parse-names" : false, "suffix" : "" }, { "dropping-particle" : "", "family" : "Averyt", "given" : "K.B.", "non-dropping-particle" : "", "parse-names" : false, "suffix" : "" }, { "dropping-particle" : "", "family" : "Tignor", "given" : "M.", "non-dropping-particle" : "", "parse-names" : false, "suffix" : "" }, { "dropping-particle" : "", "family" : "Miller", "given" : "H.L.", "non-dropping-particle" : "", "parse-names" : false, "suffix" : "" } ], "id" : "ITEM-1", "issued" : { "date-parts" : [ [ "2007" ] ] }, "publisher" : "Cambridge University Press", "title" : "Climate change 2007: The physical science basis", "type" : "chapter" }, "uris" : [ "http://www.mendeley.com/documents/?uuid=56a8ceff-64dd-4809-ab42-80097505e6ba" ] } ], "mendeley" : { "formattedCitation" : "(IPCC, 2007)", "plainTextFormattedCitation" : "(IPCC, 2007)", "previouslyFormattedCitation" : "(IPCC, 2007)" }, "properties" : { "noteIndex" : 0 }, "schema" : "https://github.com/citation-style-language/schema/raw/master/csl-citation.json" }</w:instrText>
      </w:r>
      <w:r w:rsidRPr="00191AD2">
        <w:fldChar w:fldCharType="separate"/>
      </w:r>
      <w:r w:rsidR="004D4218" w:rsidRPr="004D4218">
        <w:rPr>
          <w:noProof/>
        </w:rPr>
        <w:t>(IPCC, 2007)</w:t>
      </w:r>
      <w:r w:rsidRPr="00191AD2">
        <w:fldChar w:fldCharType="end"/>
      </w:r>
      <w:r w:rsidRPr="00191AD2">
        <w:t>. Warming of the climate system is unequivocal and over a recent 50-year period (1956-2005) a linear warming trend of 0.13</w:t>
      </w:r>
      <w:r w:rsidRPr="00191AD2">
        <w:sym w:font="Symbol" w:char="F0B0"/>
      </w:r>
      <w:r w:rsidRPr="00191AD2">
        <w:t xml:space="preserve">C per decade has been observed </w:t>
      </w:r>
      <w:r w:rsidRPr="00191AD2">
        <w:fldChar w:fldCharType="begin" w:fldLock="1"/>
      </w:r>
      <w:r w:rsidR="007C2FF9">
        <w:instrText>ADDIN CSL_CITATION { "citationItems" : [ { "id" : "ITEM-1", "itemData" : { "ISBN" : "9780521880091", "author" : [ { "dropping-particle" : "", "family" : "IPCC", "given" : "", "non-dropping-particle" : "", "parse-names" : false, "suffix" : "" } ], "container-title" : "Cpntribution of Working Group I to the Fouryj Report of the Intergovernmental Panel on Climate Change", "editor" : [ { "dropping-particle" : "", "family" : "Solomon", "given" : "S.", "non-dropping-particle" : "", "parse-names" : false, "suffix" : "" }, { "dropping-particle" : "", "family" : "Qin", "given" : "D.", "non-dropping-particle" : "", "parse-names" : false, "suffix" : "" }, { "dropping-particle" : "", "family" : "Manning", "given" : "M.", "non-dropping-particle" : "", "parse-names" : false, "suffix" : "" }, { "dropping-particle" : "", "family" : "Chen", "given" : "Z.", "non-dropping-particle" : "", "parse-names" : false, "suffix" : "" }, { "dropping-particle" : "", "family" : "Marquis", "given" : "M.", "non-dropping-particle" : "", "parse-names" : false, "suffix" : "" }, { "dropping-particle" : "", "family" : "Averyt", "given" : "K.B.", "non-dropping-particle" : "", "parse-names" : false, "suffix" : "" }, { "dropping-particle" : "", "family" : "Tignor", "given" : "M.", "non-dropping-particle" : "", "parse-names" : false, "suffix" : "" }, { "dropping-particle" : "", "family" : "Miller", "given" : "H.L.", "non-dropping-particle" : "", "parse-names" : false, "suffix" : "" } ], "id" : "ITEM-1", "issued" : { "date-parts" : [ [ "2007" ] ] }, "publisher" : "Cambridge University Press", "title" : "Climate change 2007: The physical science basis", "type" : "chapter" }, "uris" : [ "http://www.mendeley.com/documents/?uuid=56a8ceff-64dd-4809-ab42-80097505e6ba" ] } ], "mendeley" : { "formattedCitation" : "(IPCC, 2007)", "plainTextFormattedCitation" : "(IPCC, 2007)", "previouslyFormattedCitation" : "(IPCC, 2007)" }, "properties" : { "noteIndex" : 0 }, "schema" : "https://github.com/citation-style-language/schema/raw/master/csl-citation.json" }</w:instrText>
      </w:r>
      <w:r w:rsidRPr="00191AD2">
        <w:fldChar w:fldCharType="separate"/>
      </w:r>
      <w:r w:rsidR="004D4218" w:rsidRPr="004D4218">
        <w:rPr>
          <w:noProof/>
        </w:rPr>
        <w:t>(IPCC, 2007)</w:t>
      </w:r>
      <w:r w:rsidRPr="00191AD2">
        <w:fldChar w:fldCharType="end"/>
      </w:r>
      <w:r w:rsidRPr="00191AD2">
        <w:t>. The current rapid increase in atmospheric CO</w:t>
      </w:r>
      <w:r w:rsidRPr="00191AD2">
        <w:rPr>
          <w:vertAlign w:val="subscript"/>
        </w:rPr>
        <w:t>2</w:t>
      </w:r>
      <w:r w:rsidRPr="00191AD2">
        <w:t xml:space="preserve"> concentrations is thought to have the potential to drive current climatic changes more quickly than all previous climatic changes </w:t>
      </w:r>
      <w:r w:rsidRPr="00191AD2">
        <w:fldChar w:fldCharType="begin" w:fldLock="1"/>
      </w:r>
      <w:r w:rsidR="007C2FF9">
        <w:instrText>ADDIN CSL_CITATION { "citationItems" : [ { "id" : "ITEM-1", "itemData" : { "ISBN" : "9780521880091", "author" : [ { "dropping-particle" : "", "family" : "IPCC", "given" : "", "non-dropping-particle" : "", "parse-names" : false, "suffix" : "" } ], "container-title" : "Cpntribution of Working Group I to the Fouryj Report of the Intergovernmental Panel on Climate Change", "editor" : [ { "dropping-particle" : "", "family" : "Solomon", "given" : "S.", "non-dropping-particle" : "", "parse-names" : false, "suffix" : "" }, { "dropping-particle" : "", "family" : "Qin", "given" : "D.", "non-dropping-particle" : "", "parse-names" : false, "suffix" : "" }, { "dropping-particle" : "", "family" : "Manning", "given" : "M.", "non-dropping-particle" : "", "parse-names" : false, "suffix" : "" }, { "dropping-particle" : "", "family" : "Chen", "given" : "Z.", "non-dropping-particle" : "", "parse-names" : false, "suffix" : "" }, { "dropping-particle" : "", "family" : "Marquis", "given" : "M.", "non-dropping-particle" : "", "parse-names" : false, "suffix" : "" }, { "dropping-particle" : "", "family" : "Averyt", "given" : "K.B.", "non-dropping-particle" : "", "parse-names" : false, "suffix" : "" }, { "dropping-particle" : "", "family" : "Tignor", "given" : "M.", "non-dropping-particle" : "", "parse-names" : false, "suffix" : "" }, { "dropping-particle" : "", "family" : "Miller", "given" : "H.L.", "non-dropping-particle" : "", "parse-names" : false, "suffix" : "" } ], "id" : "ITEM-1", "issued" : { "date-parts" : [ [ "2007" ] ] }, "publisher" : "Cambridge University Press", "title" : "Climate change 2007: The physical science basis", "type" : "chapter" }, "uris" : [ "http://www.mendeley.com/documents/?uuid=56a8ceff-64dd-4809-ab42-80097505e6ba" ] } ], "mendeley" : { "formattedCitation" : "(IPCC, 2007)", "plainTextFormattedCitation" : "(IPCC, 2007)", "previouslyFormattedCitation" : "(IPCC, 2007)" }, "properties" : { "noteIndex" : 0 }, "schema" : "https://github.com/citation-style-language/schema/raw/master/csl-citation.json" }</w:instrText>
      </w:r>
      <w:r w:rsidRPr="00191AD2">
        <w:fldChar w:fldCharType="separate"/>
      </w:r>
      <w:r w:rsidR="004D4218" w:rsidRPr="004D4218">
        <w:rPr>
          <w:noProof/>
        </w:rPr>
        <w:t>(IPCC, 2007)</w:t>
      </w:r>
      <w:r w:rsidRPr="00191AD2">
        <w:fldChar w:fldCharType="end"/>
      </w:r>
      <w:r w:rsidRPr="00191AD2">
        <w:t xml:space="preserve">, and as such these changes may be at such a pace that exceeds the ability of individuals, populations and communities to assimilate them </w:t>
      </w:r>
      <w:r w:rsidRPr="00191AD2">
        <w:fldChar w:fldCharType="begin" w:fldLock="1"/>
      </w:r>
      <w:r w:rsidR="007C2FF9">
        <w:instrText>ADDIN CSL_CITATION { "citationItems" : [ { "id" : "ITEM-1", "itemData" : { "DOI" : "10.1038/nature01309.1.", "ISBN" : "0028-0836", "ISSN" : "0028-0836", "PMID" : "12511952", "abstract" : "Over the past 100 years, the global average temperature has increased by approximately 0.6 degreesC and is projected to continue to rise at a rapid rate(1). Although species have responded to climatic changes throughout their evolutionary history(2), a primary concern for wild species and their ecosystems is this rapid rate of change(3). We gathered information on species and global warming from 143 studies for our meta-analyses. These analyses reveal a consistent temperature-related shift, or 'fingerprint', in species ranging from molluscs to mammals and from grasses to trees. Indeed, more than 80% of the species that show changes are shifting in the direction expected on the basis of known physiological constraints of species. Consequently, the balance of evidence from these studies strongly suggests that a significant impact of global warming is already discernible in animal and plant populations. The synergism of rapid temperature rise and other stresses, in particular habitat destruction, could easily disrupt the connectedness among species and lead to a reformulation of species communities, reflecting differential changes in species, and to numerous extirpations and possibly extinctions.", "author" : [ { "dropping-particle" : "", "family" : "Root", "given" : "Tl", "non-dropping-particle" : "", "parse-names" : false, "suffix" : "" }, { "dropping-particle" : "", "family" : "Price", "given" : "Jt", "non-dropping-particle" : "", "parse-names" : false, "suffix" : "" }, { "dropping-particle" : "", "family" : "Hall", "given" : "Kr", "non-dropping-particle" : "", "parse-names" : false, "suffix" : "" }, { "dropping-particle" : "", "family" : "Schneider", "given" : "Sh", "non-dropping-particle" : "", "parse-names" : false, "suffix" : "" } ], "container-title" : "Nature", "id" : "ITEM-1", "issue" : "tier 2", "issued" : { "date-parts" : [ [ "2003" ] ] }, "page" : "57-60", "title" : "Fingerprints of global warming on wild animals and plants", "type" : "article-journal", "volume" : "421" }, "uris" : [ "http://www.mendeley.com/documents/?uuid=d2dfbddc-8180-4f76-8c7a-bfca771ef7a7" ] } ], "mendeley" : { "formattedCitation" : "(Root et al., 2003)", "plainTextFormattedCitation" : "(Root et al., 2003)", "previouslyFormattedCitation" : "(Root et al., 2003)" }, "properties" : { "noteIndex" : 0 }, "schema" : "https://github.com/citation-style-language/schema/raw/master/csl-citation.json" }</w:instrText>
      </w:r>
      <w:r w:rsidRPr="00191AD2">
        <w:fldChar w:fldCharType="separate"/>
      </w:r>
      <w:r w:rsidR="004D4218" w:rsidRPr="004D4218">
        <w:rPr>
          <w:noProof/>
        </w:rPr>
        <w:t>(Root et al., 2003)</w:t>
      </w:r>
      <w:r w:rsidRPr="00191AD2">
        <w:fldChar w:fldCharType="end"/>
      </w:r>
      <w:r w:rsidRPr="00191AD2">
        <w:t xml:space="preserve">. Evidence of current biological impacts of climate change on many diverse taxa across a range of geographic regions has been reviewed </w:t>
      </w:r>
      <w:r w:rsidRPr="00191AD2">
        <w:fldChar w:fldCharType="begin" w:fldLock="1"/>
      </w:r>
      <w:r w:rsidR="007C2FF9">
        <w:instrText>ADDIN CSL_CITATION { "citationItems" : [ { "id" : "ITEM-1", "itemData" : { "author" : [ { "dropping-particle" : "", "family" : "Hughes", "given" : "L", "non-dropping-particle" : "", "parse-names" : false, "suffix" : "" } ], "container-title" : "Trends in Ecology &amp; Evolution", "id" : "ITEM-1", "issue" : "2", "issued" : { "date-parts" : [ [ "2000" ] ] }, "page" : "56-61", "title" : "Biological consequences of global warming: is the signal already", "type" : "article-journal", "volume" : "15" }, "uris" : [ "http://www.mendeley.com/documents/?uuid=acc0e22b-c222-40c3-acd6-d365c283899f" ] }, { "id" : "ITEM-2", "itemData" : { "DOI" : "10.1038/nature01309.1.", "ISBN" : "0028-0836", "ISSN" : "0028-0836", "PMID" : "12511952", "abstract" : "Over the past 100 years, the global average temperature has increased by approximately 0.6 degreesC and is projected to continue to rise at a rapid rate(1). Although species have responded to climatic changes throughout their evolutionary history(2), a primary concern for wild species and their ecosystems is this rapid rate of change(3). We gathered information on species and global warming from 143 studies for our meta-analyses. These analyses reveal a consistent temperature-related shift, or 'fingerprint', in species ranging from molluscs to mammals and from grasses to trees. Indeed, more than 80% of the species that show changes are shifting in the direction expected on the basis of known physiological constraints of species. Consequently, the balance of evidence from these studies strongly suggests that a significant impact of global warming is already discernible in animal and plant populations. The synergism of rapid temperature rise and other stresses, in particular habitat destruction, could easily disrupt the connectedness among species and lead to a reformulation of species communities, reflecting differential changes in species, and to numerous extirpations and possibly extinctions.", "author" : [ { "dropping-particle" : "", "family" : "Root", "given" : "Tl", "non-dropping-particle" : "", "parse-names" : false, "suffix" : "" }, { "dropping-particle" : "", "family" : "Price", "given" : "Jt", "non-dropping-particle" : "", "parse-names" : false, "suffix" : "" }, { "dropping-particle" : "", "family" : "Hall", "given" : "Kr", "non-dropping-particle" : "", "parse-names" : false, "suffix" : "" }, { "dropping-particle" : "", "family" : "Schneider", "given" : "Sh", "non-dropping-particle" : "", "parse-names" : false, "suffix" : "" } ], "container-title" : "Nature", "id" : "ITEM-2", "issue" : "tier 2", "issued" : { "date-parts" : [ [ "2003" ] ] }, "page" : "57-60", "title" : "Fingerprints of global warming on wild animals and plants", "type" : "article-journal", "volume" : "421" }, "uris" : [ "http://www.mendeley.com/documents/?uuid=d2dfbddc-8180-4f76-8c7a-bfca771ef7a7" ] }, { "id" : "ITEM-3", "itemData" : { "author" : [ { "dropping-particle" : "", "family" : "Easterling", "given" : "DR", "non-dropping-particle" : "", "parse-names" : false, "suffix" : "" }, { "dropping-particle" : "", "family" : "Meehl", "given" : "GA", "non-dropping-particle" : "", "parse-names" : false, "suffix" : "" }, { "dropping-particle" : "", "family" : "Parmesan", "given" : "Camille", "non-dropping-particle" : "", "parse-names" : false, "suffix" : "" } ], "container-title" : "Science", "id" : "ITEM-3", "issue" : "5487", "issued" : { "date-parts" : [ [ "2000" ] ] }, "page" : "2068-2074", "title" : "Climate Extremes: Observations, Modeling and Impacts", "type" : "article-journal", "volume" : "289" }, "uris" : [ "http://www.mendeley.com/documents/?uuid=54d1dec7-3bad-4ec3-87ab-1d8dc240c424" ] }, { "id" : "ITEM-4", "itemData" : { "DOI" : "10.1038/416389a", "ISBN" : "0028-0836", "ISSN" : "0028-0836", "PMID" : "11919621", "abstract" : "There is now ample evidence of the ecological impacts of recent climate change, from polar terrestrial to tropical marine environments. The responses of both flora and fauna span an array of ecosystems and organizational hierarchies, from the species to the community levels. Despite continued uncertainty as to community and ecosystem trajectories under global change, our review exposes a coherent pattern of ecological change across systems. Although we are only at an early stage in the projected trends of global warming, ecological responses to recent climate change are already clearly visible.", "author" : [ { "dropping-particle" : "", "family" : "Walther", "given" : "Gian-Reto", "non-dropping-particle" : "", "parse-names" : false, "suffix" : "" }, { "dropping-particle" : "", "family" : "Post", "given" : "Eric", "non-dropping-particle" : "", "parse-names" : false, "suffix" : "" }, { "dropping-particle" : "", "family" : "Convey", "given" : "Peter", "non-dropping-particle" : "", "parse-names" : false, "suffix" : "" }, { "dropping-particle" : "", "family" : "Menzel", "given" : "Annette", "non-dropping-particle" : "", "parse-names" : false, "suffix" : "" }, { "dropping-particle" : "", "family" : "Parmesan", "given" : "Camille", "non-dropping-particle" : "", "parse-names" : false, "suffix" : "" }, { "dropping-particle" : "", "family" : "Beebee", "given" : "Trevor J C", "non-dropping-particle" : "", "parse-names" : false, "suffix" : "" }, { "dropping-particle" : "", "family" : "Fromentin", "given" : "Jean-Marc", "non-dropping-particle" : "", "parse-names" : false, "suffix" : "" }, { "dropping-particle" : "", "family" : "Hoegh-Guldberg", "given" : "Ove", "non-dropping-particle" : "", "parse-names" : false, "suffix" : "" }, { "dropping-particle" : "", "family" : "Bairlein", "given" : "Franz", "non-dropping-particle" : "", "parse-names" : false, "suffix" : "" } ], "container-title" : "Nature", "id" : "ITEM-4", "issued" : { "date-parts" : [ [ "2002" ] ] }, "page" : "389-395", "title" : "Ecological responses to recent climate change.", "type" : "article-journal", "volume" : "416" }, "uris" : [ "http://www.mendeley.com/documents/?uuid=b4610160-7f1d-4380-9e52-08d019cf080e" ] }, { "id" : "ITEM-5", "itemData" : { "DOI" : "10.1146/annurev.ecolsys.37.091305.110100", "ISSN" : "1543-592X", "author" : [ { "dropping-particle" : "", "family" : "Parmesan", "given" : "Camille", "non-dropping-particle" : "", "parse-names" : false, "suffix" : "" } ], "container-title" : "Annual Review of Ecology, Evolution, and Systematics", "id" : "ITEM-5", "issue" : "1", "issued" : { "date-parts" : [ [ "2006", "12" ] ] }, "page" : "637-669", "title" : "Ecological and Evolutionary Responses to Recent Climate Change", "type" : "article-journal", "volume" : "37" }, "uris" : [ "http://www.mendeley.com/documents/?uuid=5ee53463-aeca-4d1f-9fa9-c4c6bae93f49" ] } ], "mendeley" : { "formattedCitation" : "(Easterling et al., 2000; Hughes, 2000; Walther et al., 2002; Root et al., 2003; Parmesan, 2006)", "plainTextFormattedCitation" : "(Easterling et al., 2000; Hughes, 2000; Walther et al., 2002; Root et al., 2003; Parmesan, 2006)", "previouslyFormattedCitation" : "(Easterling et al., 2000; Hughes, 2000; Walther et al., 2002; Root et al., 2003; Parmesan, 2006)" }, "properties" : { "noteIndex" : 0 }, "schema" : "https://github.com/citation-style-language/schema/raw/master/csl-citation.json" }</w:instrText>
      </w:r>
      <w:r w:rsidRPr="00191AD2">
        <w:fldChar w:fldCharType="separate"/>
      </w:r>
      <w:r w:rsidR="004D4218" w:rsidRPr="004D4218">
        <w:rPr>
          <w:noProof/>
        </w:rPr>
        <w:t>(Easterling et al., 2000; Hughes, 2000; Walther et al., 2002; Root et al., 2003; Parmesan, 2006)</w:t>
      </w:r>
      <w:r w:rsidRPr="00191AD2">
        <w:fldChar w:fldCharType="end"/>
      </w:r>
      <w:r w:rsidRPr="00191AD2">
        <w:t xml:space="preserve">. </w:t>
      </w:r>
    </w:p>
    <w:p w14:paraId="08E32FB2" w14:textId="2A0F6E8D" w:rsidR="00FC0035" w:rsidRPr="00191AD2" w:rsidRDefault="00FC0035" w:rsidP="003B7DA5">
      <w:pPr>
        <w:pStyle w:val="BodyJB"/>
        <w:ind w:firstLine="720"/>
      </w:pPr>
      <w:r w:rsidRPr="00191AD2">
        <w:t xml:space="preserve">In a meta-analysis of long-term trends in more than 1700 species, Parmesan and Yohe 2003 found that more than half of the species showed significant changes in their phenologies (mean advancement of spring events by 2.3 days per decade), and/ or their distributions (range shift averaging 6.1 km per decade towards the poles) over the past 20 to 140 years. </w:t>
      </w:r>
      <w:r w:rsidR="00BE4255" w:rsidRPr="009953BF">
        <w:t xml:space="preserve">Evidence suggests that in response to environmental change plant populations have shown significant changes in their phenologies, and/ or their distributions, over the past 20 to 140 years </w:t>
      </w:r>
      <w:r w:rsidR="00BE4255" w:rsidRPr="009953BF">
        <w:fldChar w:fldCharType="begin" w:fldLock="1"/>
      </w:r>
      <w:r w:rsidR="007C2FF9">
        <w:instrText>ADDIN CSL_CITATION { "citationItems" : [ { "id" : "ITEM-1", "itemData" : { "DOI" : "10.1038/nature01286", "ISSN" : "0028-0836", "PMID" : "12511946", "abstract" : "Causal attribution of recent biological trends to climate change is complicated because non-climatic influences dominate local, short-term biological changes. Any underlying signal from climate change is likely to be revealed by analyses that seek systematic trends across diverse species and geographic regions; however, debates within the Intergovernmental Panel on Climate Change (IPCC) reveal several definitions of a 'systematic trend'. Here, we explore these differences, apply diverse analyses to more than 1,700 species, and show that recent biological trends match climate change predictions. Global meta-analyses documented significant range shifts averaging 6.1 km per decade towards the poles (or metres per decade upward), and significant mean advancement of spring events by 2.3 days per decade. We define a diagnostic fingerprint of temporal and spatial 'sign-switching' responses uniquely predicted by twentieth century climate trends. Among appropriate long-term/large-scale/multi-species data sets, this diagnostic fingerprint was found for 279 species. This suite of analyses generates 'very high confidence' (as laid down by the IPCC) that climate change is already affecting living systems.", "author" : [ { "dropping-particle" : "", "family" : "Parmesan", "given" : "Camille", "non-dropping-particle" : "", "parse-names" : false, "suffix" : "" }, { "dropping-particle" : "", "family" : "Yohe", "given" : "Gary", "non-dropping-particle" : "", "parse-names" : false, "suffix" : "" } ], "container-title" : "Nature", "id" : "ITEM-1", "issue" : "6918", "issued" : { "date-parts" : [ [ "2003", "1", "2" ] ] }, "page" : "37-42", "title" : "A globally coherent fingerprint of climate change impacts across natural systems.", "type" : "article-journal", "volume" : "421" }, "uris" : [ "http://www.mendeley.com/documents/?uuid=bf450f21-65c8-44ce-a617-f007a4289679" ] } ], "mendeley" : { "formattedCitation" : "(Parmesan and Yohe, 2003)", "plainTextFormattedCitation" : "(Parmesan and Yohe, 2003)", "previouslyFormattedCitation" : "(Parmesan and Yohe, 2003)" }, "properties" : { "noteIndex" : 0 }, "schema" : "https://github.com/citation-style-language/schema/raw/master/csl-citation.json" }</w:instrText>
      </w:r>
      <w:r w:rsidR="00BE4255" w:rsidRPr="009953BF">
        <w:fldChar w:fldCharType="separate"/>
      </w:r>
      <w:r w:rsidR="00BE4255" w:rsidRPr="000F7BF9">
        <w:rPr>
          <w:noProof/>
        </w:rPr>
        <w:t>(Parmesan and Yohe, 2003)</w:t>
      </w:r>
      <w:r w:rsidR="00BE4255" w:rsidRPr="009953BF">
        <w:fldChar w:fldCharType="end"/>
      </w:r>
      <w:r w:rsidR="00BE4255" w:rsidRPr="009953BF">
        <w:t xml:space="preserve">. There is also evidence that some plant populations have shifted their ranges to higher latitudes and elevations in order to track climatic changes </w:t>
      </w:r>
      <w:r w:rsidR="00BE4255" w:rsidRPr="009953BF">
        <w:fldChar w:fldCharType="begin" w:fldLock="1"/>
      </w:r>
      <w:r w:rsidR="007C2FF9">
        <w:instrText>ADDIN CSL_CITATION { "citationItems" : [ { "id" : "ITEM-1", "itemData" : { "DOI" : "10.1073/pnas.0409902102", "ISSN" : "0027-8424", "PMID" : "15919825", "abstract" : "Climate change has already triggered species distribution shifts in many parts of the world. Increasing impacts are expected for the future, yet few studies have aimed for a general understanding of the regional basis for species vulnerability. We projected late 21st century distributions for 1,350 European plants species under seven climate change scenarios. Application of the International Union for Conservation of Nature and Natural Resources Red List criteria to our projections shows that many European plant species could become severely threatened. More than half of the species we studied could be vulnerable or threatened by 2080. Expected species loss and turnover per pixel proved to be highly variable across scenarios (27-42% and 45-63% respectively, averaged over Europe) and across regions (2.5-86% and 17-86%, averaged over scenarios). Modeled species loss and turnover were found to depend strongly on the degree of change in just two climate variables describing temperature and moisture conditions. Despite the coarse scale of the analysis, species from mountains could be seen to be disproportionably sensitive to climate change (approximately 60% species loss). The boreal region was projected to lose few species, although gaining many others from immigration. The greatest changes are expected in the transition between the Mediterranean and Euro-Siberian regions. We found that risks of extinction for European plants may be large, even in moderate scenarios of climate change and despite inter-model variability.", "author" : [ { "dropping-particle" : "", "family" : "Thuiller", "given" : "Wilfried", "non-dropping-particle" : "", "parse-names" : false, "suffix" : "" }, { "dropping-particle" : "", "family" : "Lavorel", "given" : "Sandra", "non-dropping-particle" : "", "parse-names" : false, "suffix" : "" }, { "dropping-particle" : "", "family" : "Ara\u00fajo", "given" : "Miguel B", "non-dropping-particle" : "", "parse-names" : false, "suffix" : "" }, { "dropping-particle" : "", "family" : "Sykes", "given" : "Martin T", "non-dropping-particle" : "", "parse-names" : false, "suffix" : "" }, { "dropping-particle" : "", "family" : "Prentice", "given" : "I Colin", "non-dropping-particle" : "", "parse-names" : false, "suffix" : "" } ], "container-title" : "Proceedings of the National Academy of Sciences of the United States of America", "id" : "ITEM-1", "issue" : "23", "issued" : { "date-parts" : [ [ "2005", "6", "7" ] ] }, "page" : "8245-50", "title" : "Climate change threats to plant diversity in Europe.", "type" : "article-journal", "volume" : "102" }, "uris" : [ "http://www.mendeley.com/documents/?uuid=a2b2bbab-858d-4ae6-907d-c4c3657dff45" ] }, { "id" : "ITEM-2", "itemData" : { "DOI" : "10.1038/416389a", "ISBN" : "0028-0836", "ISSN" : "0028-0836", "PMID" : "11919621", "abstract" : "There is now ample evidence of the ecological impacts of recent climate change, from polar terrestrial to tropical marine environments. The responses of both flora and fauna span an array of ecosystems and organizational hierarchies, from the species to the community levels. Despite continued uncertainty as to community and ecosystem trajectories under global change, our review exposes a coherent pattern of ecological change across systems. Although we are only at an early stage in the projected trends of global warming, ecological responses to recent climate change are already clearly visible.", "author" : [ { "dropping-particle" : "", "family" : "Walther", "given" : "Gian-Reto", "non-dropping-particle" : "", "parse-names" : false, "suffix" : "" }, { "dropping-particle" : "", "family" : "Post", "given" : "Eric", "non-dropping-particle" : "", "parse-names" : false, "suffix" : "" }, { "dropping-particle" : "", "family" : "Convey", "given" : "Peter", "non-dropping-particle" : "", "parse-names" : false, "suffix" : "" }, { "dropping-particle" : "", "family" : "Menzel", "given" : "Annette", "non-dropping-particle" : "", "parse-names" : false, "suffix" : "" }, { "dropping-particle" : "", "family" : "Parmesan", "given" : "Camille", "non-dropping-particle" : "", "parse-names" : false, "suffix" : "" }, { "dropping-particle" : "", "family" : "Beebee", "given" : "Trevor J C", "non-dropping-particle" : "", "parse-names" : false, "suffix" : "" }, { "dropping-particle" : "", "family" : "Fromentin", "given" : "Jean-Marc", "non-dropping-particle" : "", "parse-names" : false, "suffix" : "" }, { "dropping-particle" : "", "family" : "Hoegh-Guldberg", "given" : "Ove", "non-dropping-particle" : "", "parse-names" : false, "suffix" : "" }, { "dropping-particle" : "", "family" : "Bairlein", "given" : "Franz", "non-dropping-particle" : "", "parse-names" : false, "suffix" : "" } ], "container-title" : "Nature", "id" : "ITEM-2", "issued" : { "date-parts" : [ [ "2002" ] ] }, "page" : "389-395", "title" : "Ecological responses to recent climate change.", "type" : "article-journal", "volume" : "416" }, "uris" : [ "http://www.mendeley.com/documents/?uuid=b4610160-7f1d-4380-9e52-08d019cf080e" ] } ], "mendeley" : { "formattedCitation" : "(Walther et al., 2002; Thuiller et al., 2005)", "plainTextFormattedCitation" : "(Walther et al., 2002; Thuiller et al., 2005)", "previouslyFormattedCitation" : "(Walther et al., 2002; Thuiller et al., 2005)" }, "properties" : { "noteIndex" : 0 }, "schema" : "https://github.com/citation-style-language/schema/raw/master/csl-citation.json" }</w:instrText>
      </w:r>
      <w:r w:rsidR="00BE4255" w:rsidRPr="009953BF">
        <w:fldChar w:fldCharType="separate"/>
      </w:r>
      <w:r w:rsidR="00BE4255" w:rsidRPr="000F7BF9">
        <w:rPr>
          <w:noProof/>
        </w:rPr>
        <w:t>(Walther et al., 2002; Thuiller et al., 2005)</w:t>
      </w:r>
      <w:r w:rsidR="00BE4255" w:rsidRPr="009953BF">
        <w:fldChar w:fldCharType="end"/>
      </w:r>
      <w:r w:rsidR="00BE4255" w:rsidRPr="009953BF">
        <w:t>.</w:t>
      </w:r>
    </w:p>
    <w:p w14:paraId="6842DC74" w14:textId="7A6F2A3A" w:rsidR="00EC6145" w:rsidRDefault="00BE4255" w:rsidP="003B7DA5">
      <w:pPr>
        <w:pStyle w:val="BodyJB"/>
        <w:ind w:firstLine="720"/>
      </w:pPr>
      <w:r>
        <w:t>However, t</w:t>
      </w:r>
      <w:r w:rsidR="00C52211" w:rsidRPr="009953BF">
        <w:t>he current rapid increase in atmospheric CO</w:t>
      </w:r>
      <w:r w:rsidR="00C52211" w:rsidRPr="009953BF">
        <w:rPr>
          <w:vertAlign w:val="subscript"/>
        </w:rPr>
        <w:t>2</w:t>
      </w:r>
      <w:r w:rsidR="00C52211" w:rsidRPr="009953BF">
        <w:t xml:space="preserve"> concentration is thought to have the potential to drive current </w:t>
      </w:r>
      <w:r>
        <w:t>environmental</w:t>
      </w:r>
      <w:r w:rsidR="00C52211" w:rsidRPr="009953BF">
        <w:t xml:space="preserve"> changes more quickly than all previous climatic changes </w:t>
      </w:r>
      <w:r w:rsidR="007369BF" w:rsidRPr="009953BF">
        <w:fldChar w:fldCharType="begin" w:fldLock="1"/>
      </w:r>
      <w:r w:rsidR="007C2FF9">
        <w:instrText>ADDIN CSL_CITATION { "citationItems" : [ { "id" : "ITEM-1", "itemData" : { "ISBN" : "9780521880091", "author" : [ { "dropping-particle" : "", "family" : "IPCC", "given" : "", "non-dropping-particle" : "", "parse-names" : false, "suffix" : "" } ], "container-title" : "Cpntribution of Working Group I to the Fouryj Report of the Intergovernmental Panel on Climate Change", "editor" : [ { "dropping-particle" : "", "family" : "Solomon", "given" : "S.", "non-dropping-particle" : "", "parse-names" : false, "suffix" : "" }, { "dropping-particle" : "", "family" : "Qin", "given" : "D.", "non-dropping-particle" : "", "parse-names" : false, "suffix" : "" }, { "dropping-particle" : "", "family" : "Manning", "given" : "M.", "non-dropping-particle" : "", "parse-names" : false, "suffix" : "" }, { "dropping-particle" : "", "family" : "Chen", "given" : "Z.", "non-dropping-particle" : "", "parse-names" : false, "suffix" : "" }, { "dropping-particle" : "", "family" : "Marquis", "given" : "M.", "non-dropping-particle" : "", "parse-names" : false, "suffix" : "" }, { "dropping-particle" : "", "family" : "Averyt", "given" : "K.B.", "non-dropping-particle" : "", "parse-names" : false, "suffix" : "" }, { "dropping-particle" : "", "family" : "Tignor", "given" : "M.", "non-dropping-particle" : "", "parse-names" : false, "suffix" : "" }, { "dropping-particle" : "", "family" : "Miller", "given" : "H.L.", "non-dropping-particle" : "", "parse-names" : false, "suffix" : "" } ], "id" : "ITEM-1", "issued" : { "date-parts" : [ [ "2007" ] ] }, "publisher" : "Cambridge University Press", "title" : "Climate change 2007: The physical science basis", "type" : "chapter" }, "uris" : [ "http://www.mendeley.com/documents/?uuid=56a8ceff-64dd-4809-ab42-80097505e6ba" ] } ], "mendeley" : { "formattedCitation" : "(IPCC, 2007)", "plainTextFormattedCitation" : "(IPCC, 2007)", "previouslyFormattedCitation" : "(IPCC, 2007)" }, "properties" : { "noteIndex" : 0 }, "schema" : "https://github.com/citation-style-language/schema/raw/master/csl-citation.json" }</w:instrText>
      </w:r>
      <w:r w:rsidR="007369BF" w:rsidRPr="009953BF">
        <w:fldChar w:fldCharType="separate"/>
      </w:r>
      <w:r w:rsidR="000F7BF9" w:rsidRPr="000F7BF9">
        <w:rPr>
          <w:noProof/>
        </w:rPr>
        <w:t>(IPCC, 2007)</w:t>
      </w:r>
      <w:r w:rsidR="007369BF" w:rsidRPr="009953BF">
        <w:fldChar w:fldCharType="end"/>
      </w:r>
      <w:r w:rsidR="00C52211" w:rsidRPr="009953BF">
        <w:t xml:space="preserve">, and as such these changes may be at a pace that exceeds the ability of individuals, populations and communities to assimilate them </w:t>
      </w:r>
      <w:r w:rsidR="007369BF" w:rsidRPr="009953BF">
        <w:fldChar w:fldCharType="begin" w:fldLock="1"/>
      </w:r>
      <w:r w:rsidR="007C2FF9">
        <w:instrText>ADDIN CSL_CITATION { "citationItems" : [ { "id" : "ITEM-1", "itemData" : { "DOI" : "10.1038/nature01309.1.", "ISBN" : "0028-0836", "ISSN" : "0028-0836", "PMID" : "12511952", "abstract" : "Over the past 100 years, the global average temperature has increased by approximately 0.6 degreesC and is projected to continue to rise at a rapid rate(1). Although species have responded to climatic changes throughout their evolutionary history(2), a primary concern for wild species and their ecosystems is this rapid rate of change(3). We gathered information on species and global warming from 143 studies for our meta-analyses. These analyses reveal a consistent temperature-related shift, or 'fingerprint', in species ranging from molluscs to mammals and from grasses to trees. Indeed, more than 80% of the species that show changes are shifting in the direction expected on the basis of known physiological constraints of species. Consequently, the balance of evidence from these studies strongly suggests that a significant impact of global warming is already discernible in animal and plant populations. The synergism of rapid temperature rise and other stresses, in particular habitat destruction, could easily disrupt the connectedness among species and lead to a reformulation of species communities, reflecting differential changes in species, and to numerous extirpations and possibly extinctions.", "author" : [ { "dropping-particle" : "", "family" : "Root", "given" : "Tl", "non-dropping-particle" : "", "parse-names" : false, "suffix" : "" }, { "dropping-particle" : "", "family" : "Price", "given" : "Jt", "non-dropping-particle" : "", "parse-names" : false, "suffix" : "" }, { "dropping-particle" : "", "family" : "Hall", "given" : "Kr", "non-dropping-particle" : "", "parse-names" : false, "suffix" : "" }, { "dropping-particle" : "", "family" : "Schneider", "given" : "Sh", "non-dropping-particle" : "", "parse-names" : false, "suffix" : "" } ], "container-title" : "Nature", "id" : "ITEM-1", "issue" : "tier 2", "issued" : { "date-parts" : [ [ "2003" ] ] }, "page" : "57-60", "title" : "Fingerprints of global warming on wild animals and plants", "type" : "article-journal", "volume" : "421" }, "uris" : [ "http://www.mendeley.com/documents/?uuid=d2dfbddc-8180-4f76-8c7a-bfca771ef7a7" ] } ], "mendeley" : { "formattedCitation" : "(Root et al., 2003)", "plainTextFormattedCitation" : "(Root et al., 2003)", "previouslyFormattedCitation" : "(Root et al., 2003)" }, "properties" : { "noteIndex" : 0 }, "schema" : "https://github.com/citation-style-language/schema/raw/master/csl-citation.json" }</w:instrText>
      </w:r>
      <w:r w:rsidR="007369BF" w:rsidRPr="009953BF">
        <w:fldChar w:fldCharType="separate"/>
      </w:r>
      <w:r w:rsidR="000F7BF9" w:rsidRPr="000F7BF9">
        <w:rPr>
          <w:noProof/>
        </w:rPr>
        <w:t>(Root et al., 2003)</w:t>
      </w:r>
      <w:r w:rsidR="007369BF" w:rsidRPr="009953BF">
        <w:fldChar w:fldCharType="end"/>
      </w:r>
      <w:r w:rsidR="00C52211" w:rsidRPr="009953BF">
        <w:t xml:space="preserve">. </w:t>
      </w:r>
      <w:r w:rsidR="00C956D8" w:rsidRPr="009953BF">
        <w:t>The role of current</w:t>
      </w:r>
      <w:r w:rsidR="00EB706F">
        <w:t xml:space="preserve"> and potential</w:t>
      </w:r>
      <w:r w:rsidR="00C956D8" w:rsidRPr="009953BF">
        <w:t xml:space="preserve"> responses other than dispersal and migration must therefore be considered when predicting the consequences of changing environmental conditions </w:t>
      </w:r>
      <w:r w:rsidR="007369BF" w:rsidRPr="009953BF">
        <w:fldChar w:fldCharType="begin" w:fldLock="1"/>
      </w:r>
      <w:r w:rsidR="007C2FF9">
        <w:instrText>ADDIN CSL_CITATION { "citationItems" : [ { "id" : "ITEM-1", "itemData" : { "DOI" : "10.1111/j.1461-0248.2005.00796.x", "ISSN" : "1461-023X", "author" : [ { "dropping-particle" : "", "family" : "Jump", "given" : "Alistair S.", "non-dropping-particle" : "", "parse-names" : false, "suffix" : "" }, { "dropping-particle" : "", "family" : "Penuelas", "given" : "Josep", "non-dropping-particle" : "", "parse-names" : false, "suffix" : "" } ], "container-title" : "Ecology Letters", "id" : "ITEM-1", "issue" : "9", "issued" : { "date-parts" : [ [ "2005", "9" ] ] }, "page" : "1010-1020", "title" : "Running to stand still: adaptation and the response of plants to rapid climate change", "type" : "article-journal", "volume" : "8" }, "uris" : [ "http://www.mendeley.com/documents/?uuid=c6437cb0-5734-4fda-a3e3-cf5d1b4b788b" ] } ], "mendeley" : { "formattedCitation" : "(Jump and Penuelas, 2005)", "plainTextFormattedCitation" : "(Jump and Penuelas, 2005)", "previouslyFormattedCitation" : "(Jump and Penuelas, 2005)" }, "properties" : { "noteIndex" : 0 }, "schema" : "https://github.com/citation-style-language/schema/raw/master/csl-citation.json" }</w:instrText>
      </w:r>
      <w:r w:rsidR="007369BF" w:rsidRPr="009953BF">
        <w:fldChar w:fldCharType="separate"/>
      </w:r>
      <w:r w:rsidR="000F7BF9" w:rsidRPr="000F7BF9">
        <w:rPr>
          <w:noProof/>
        </w:rPr>
        <w:t>(Jump and Penuelas, 2005)</w:t>
      </w:r>
      <w:r w:rsidR="007369BF" w:rsidRPr="009953BF">
        <w:fldChar w:fldCharType="end"/>
      </w:r>
      <w:r w:rsidR="00C956D8" w:rsidRPr="009953BF">
        <w:t xml:space="preserve">. </w:t>
      </w:r>
    </w:p>
    <w:p w14:paraId="442C8B1C" w14:textId="77777777" w:rsidR="007034F1" w:rsidRDefault="007034F1" w:rsidP="0052046B">
      <w:pPr>
        <w:pStyle w:val="BodyJB"/>
      </w:pPr>
    </w:p>
    <w:p w14:paraId="11A559E2" w14:textId="51AEE85D" w:rsidR="007034F1" w:rsidRDefault="007034F1" w:rsidP="003B7DA5">
      <w:pPr>
        <w:pStyle w:val="BodyJB"/>
        <w:ind w:firstLine="720"/>
      </w:pPr>
      <w:r w:rsidRPr="00243476">
        <w:t xml:space="preserve">Creating a realistic understanding of population and species persistence in future environments requires knowledge of both current levels of adaptation and future adaptive potential </w:t>
      </w:r>
      <w:r w:rsidRPr="00243476">
        <w:fldChar w:fldCharType="begin" w:fldLock="1"/>
      </w:r>
      <w:r w:rsidR="007C2FF9">
        <w:instrText>ADDIN CSL_CITATION { "citationItems" : [ { "id" : "ITEM-1", "itemData" : { "author" : [ { "dropping-particle" : "", "family" : "Davis", "given" : "MB", "non-dropping-particle" : "", "parse-names" : false, "suffix" : "" }, { "dropping-particle" : "", "family" : "Shaw", "given" : "RG", "non-dropping-particle" : "", "parse-names" : false, "suffix" : "" }, { "dropping-particle" : "", "family" : "Etterson", "given" : "JR", "non-dropping-particle" : "", "parse-names" : false, "suffix" : "" } ], "container-title" : "Ecology", "id" : "ITEM-1", "issue" : "7", "issued" : { "date-parts" : [ [ "2005" ] ] }, "page" : "1704-1714", "title" : "Evolutionary responses to changing climate", "type" : "article-journal", "volume" : "86" }, "uris" : [ "http://www.mendeley.com/documents/?uuid=82d95050-f926-4a0c-a1f9-d4892789f3f2" ] }, { "id" : "ITEM-2", "itemData" : { "DOI" : "10.1111/j.1469-8137.2012.04230.x", "ISSN" : "1469-8137", "PMID" : "22816320", "abstract" : "Evolution proceeds unceasingly in all biological populations. It is clear that climate-driven evolution has molded plants in deep time and within extant populations. However, it is less certain whether adaptive evolution can proceed sufficiently rapidly to maintain the fitness and demographic stability of populations subjected to exceptionally rapid contemporary climate change. Here, we consider this question, drawing on current evidence on the rate of plant range shifts and the potential for an adaptive evolutionary response. We emphasize advances in understanding based on theoretical studies that model interacting evolutionary processes, and we provide an overview of quantitative genetic approaches that can parameterize these models to provide more meaningful predictions of the dynamic interplay between genetics, demography and evolution. We outline further research that can clarify both the adaptive potential of plant populations as climate continues to change and the role played by ongoing adaptation in their persistence.", "author" : [ { "dropping-particle" : "", "family" : "Shaw", "given" : "Ruth G", "non-dropping-particle" : "", "parse-names" : false, "suffix" : "" }, { "dropping-particle" : "", "family" : "Etterson", "given" : "Julie R", "non-dropping-particle" : "", "parse-names" : false, "suffix" : "" } ], "container-title" : "The New phytologist", "id" : "ITEM-2", "issue" : "4", "issued" : { "date-parts" : [ [ "2012", "9" ] ] }, "page" : "752-65", "title" : "Rapid climate change and the rate of adaptation: insight from experimental quantitative genetics.", "type" : "article-journal", "volume" : "195" }, "uris" : [ "http://www.mendeley.com/documents/?uuid=3f3a5802-61bf-445e-a966-c1f68dfb1d54" ] }, { "id" : "ITEM-3", "itemData" : { "DOI" : "10.1111/j.1461-0248.2005.00796.x", "ISSN" : "1461-023X", "author" : [ { "dropping-particle" : "", "family" : "Jump", "given" : "Alistair S.", "non-dropping-particle" : "", "parse-names" : false, "suffix" : "" }, { "dropping-particle" : "", "family" : "Penuelas", "given" : "Josep", "non-dropping-particle" : "", "parse-names" : false, "suffix" : "" } ], "container-title" : "Ecology Letters", "id" : "ITEM-3", "issue" : "9", "issued" : { "date-parts" : [ [ "2005", "9" ] ] }, "page" : "1010-1020", "title" : "Running to stand still: adaptation and the response of plants to rapid climate change", "type" : "article-journal", "volume" : "8" }, "uris" : [ "http://www.mendeley.com/documents/?uuid=c6437cb0-5734-4fda-a3e3-cf5d1b4b788b" ] }, { "id" : "ITEM-4", "itemData" : { "DOI" : "10.1111/j.1523-1739.2010.01552.x", "ISSN" : "1523-1739", "PMID" : "20646016", "abstract" : "Climate change affects individual organisms by altering development, physiology, behavior, and fitness, and populations by altering genetic and phenotypic composition, vital rates, and dynamics. We sought to clarify how selection, phenotypic plasticity, and demography are linked in the context of climate change. On the basis of theory and results of recent empirical studies of plants and animals, we believe the ecological and evolutionary issues relevant to population persistence as climate changes are the rate, type, magnitude, and spatial pattern of climate-induced abiotic and biotic change; generation time and life history of the organism; extent and type of phenotypic plasticity; amount and distribution of adaptive genetic variation across space and time; dispersal potential; and size and connectivity of subpopulations. An understanding of limits to plasticity and evolutionary potential across traits, populations, and species and feedbacks between adaptive and demographic responses is lacking. Integrated knowledge of coupled ecological and evolutionary mechanisms will increase understanding of the resilience and probabilities of persistence of populations and species.", "author" : [ { "dropping-particle" : "", "family" : "Reed", "given" : "Thomas E", "non-dropping-particle" : "", "parse-names" : false, "suffix" : "" }, { "dropping-particle" : "", "family" : "Schindler", "given" : "Daniel E", "non-dropping-particle" : "", "parse-names" : false, "suffix" : "" }, { "dropping-particle" : "", "family" : "Waples", "given" : "Robin S", "non-dropping-particle" : "", "parse-names" : false, "suffix" : "" } ], "container-title" : "Conservation biology : the journal of the Society for Conservation Biology", "id" : "ITEM-4", "issue" : "1", "issued" : { "date-parts" : [ [ "2011", "2" ] ] }, "page" : "56-63", "title" : "Interacting effects of phenotypic plasticity and evolution on population persistence in a changing climate.", "type" : "article-journal", "volume" : "25" }, "uris" : [ "http://www.mendeley.com/documents/?uuid=8f8b826e-986f-4cee-a917-b85cd75f4593" ] } ], "mendeley" : { "formattedCitation" : "(Davis et al., 2005; Jump and Penuelas, 2005; Reed et al., 2011; Shaw and Etterson, 2012)", "plainTextFormattedCitation" : "(Davis et al., 2005; Jump and Penuelas, 2005; Reed et al., 2011; Shaw and Etterson, 2012)", "previouslyFormattedCitation" : "(Davis et al., 2005; Jump and Penuelas, 2005; Reed et al., 2011; Shaw and Etterson, 2012)" }, "properties" : { "noteIndex" : 0 }, "schema" : "https://github.com/citation-style-language/schema/raw/master/csl-citation.json" }</w:instrText>
      </w:r>
      <w:r w:rsidRPr="00243476">
        <w:fldChar w:fldCharType="separate"/>
      </w:r>
      <w:r w:rsidRPr="000F7BF9">
        <w:rPr>
          <w:noProof/>
        </w:rPr>
        <w:t>(Davis et al., 2005; Jump and Penuelas, 2005; Reed et al., 2011; Shaw and Etterson, 2012)</w:t>
      </w:r>
      <w:r w:rsidRPr="00243476">
        <w:fldChar w:fldCharType="end"/>
      </w:r>
      <w:r w:rsidRPr="00243476">
        <w:t>.</w:t>
      </w:r>
    </w:p>
    <w:p w14:paraId="679D79B9" w14:textId="1747166D" w:rsidR="007034F1" w:rsidRDefault="007034F1" w:rsidP="003B7DA5">
      <w:pPr>
        <w:pStyle w:val="BodyJB"/>
        <w:ind w:firstLine="720"/>
      </w:pPr>
      <w:r w:rsidRPr="003B7DA5">
        <w:t>Current environmental variation occurs across a range of different temporal and spatial scales</w:t>
      </w:r>
      <w:r w:rsidR="003B7DA5" w:rsidRPr="003B7DA5">
        <w:t xml:space="preserve">. </w:t>
      </w:r>
      <w:r w:rsidRPr="003B7DA5">
        <w:t xml:space="preserve">Latitudinal gradients in environmental conditions such as temperature, precipitation, soil nutrient status and grazing pressure, have resulted intraspecific clines in a number of plant traits such as, height </w:t>
      </w:r>
      <w:r w:rsidRPr="003B7DA5">
        <w:fldChar w:fldCharType="begin" w:fldLock="1"/>
      </w:r>
      <w:r w:rsidR="007C2FF9">
        <w:instrText>ADDIN CSL_CITATION { "citationItems" : [ { "id" : "ITEM-1", "itemData" : { "DOI" : "10.1111/j.1365-2745.2009.01526.x", "ISSN" : "00220477", "author" : [ { "dropping-particle" : "", "family" : "Moles", "given" : "Angela T.", "non-dropping-particle" : "", "parse-names" : false, "suffix" : "" }, { "dropping-particle" : "", "family" : "Warton", "given" : "David I.", "non-dropping-particle" : "", "parse-names" : false, "suffix" : "" }, { "dropping-particle" : "", "family" : "Warman", "given" : "Laura", "non-dropping-particle" : "", "parse-names" : false, "suffix" : "" }, { "dropping-particle" : "", "family" : "Swenson", "given" : "Nathan G.", "non-dropping-particle" : "", "parse-names" : false, "suffix" : "" }, { "dropping-particle" : "", "family" : "Laffan", "given" : "Shawn W.", "non-dropping-particle" : "", "parse-names" : false, "suffix" : "" }, { "dropping-particle" : "", "family" : "Zanne", "given" : "Amy E.", "non-dropping-particle" : "", "parse-names" : false, "suffix" : "" }, { "dropping-particle" : "", "family" : "Pitman", "given" : "Andy", "non-dropping-particle" : "", "parse-names" : false, "suffix" : "" }, { "dropping-particle" : "", "family" : "Hemmings", "given" : "Frank a.", "non-dropping-particle" : "", "parse-names" : false, "suffix" : "" }, { "dropping-particle" : "", "family" : "Leishman", "given" : "Michelle R.", "non-dropping-particle" : "", "parse-names" : false, "suffix" : "" } ], "container-title" : "Journal of Ecology", "id" : "ITEM-1", "issue" : "5", "issued" : { "date-parts" : [ [ "2009", "9" ] ] }, "page" : "923-932", "title" : "Global patterns in plant height", "type" : "article-journal", "volume" : "97" }, "uris" : [ "http://www.mendeley.com/documents/?uuid=3380a401-766c-4a50-b614-147f2fc68a59" ] } ], "mendeley" : { "formattedCitation" : "(Moles et al., 2009)", "plainTextFormattedCitation" : "(Moles et al., 2009)", "previouslyFormattedCitation" : "(Moles et al., 2009)" }, "properties" : { "noteIndex" : 0 }, "schema" : "https://github.com/citation-style-language/schema/raw/master/csl-citation.json" }</w:instrText>
      </w:r>
      <w:r w:rsidRPr="003B7DA5">
        <w:fldChar w:fldCharType="separate"/>
      </w:r>
      <w:r w:rsidRPr="003B7DA5">
        <w:rPr>
          <w:noProof/>
        </w:rPr>
        <w:t>(Moles et al., 2009)</w:t>
      </w:r>
      <w:r w:rsidRPr="003B7DA5">
        <w:fldChar w:fldCharType="end"/>
      </w:r>
      <w:r w:rsidRPr="003B7DA5">
        <w:t xml:space="preserve">, metabolomic cold tolerance mechanisms </w:t>
      </w:r>
      <w:r w:rsidRPr="003B7DA5">
        <w:fldChar w:fldCharType="begin" w:fldLock="1"/>
      </w:r>
      <w:r w:rsidR="007C2FF9">
        <w:instrText>ADDIN CSL_CITATION { "citationItems" : [ { "id" : "ITEM-1", "itemData" : { "DOI" : "10.1007/s11306-008-0127-1", "ISSN" : "1573-3882", "author" : [ { "dropping-particle" : "", "family" : "Davey", "given" : "Matthew P.", "non-dropping-particle" : "", "parse-names" : false, "suffix" : "" }, { "dropping-particle" : "", "family" : "Ian Woodward", "given" : "F.", "non-dropping-particle" : "", "parse-names" : false, "suffix" : "" }, { "dropping-particle" : "", "family" : "Paul Quick", "given" : "W.", "non-dropping-particle" : "", "parse-names" : false, "suffix" : "" } ], "container-title" : "Metabolomics", "id" : "ITEM-1", "issue" : "1", "issued" : { "date-parts" : [ [ "2008", "9", "2" ] ] }, "page" : "138-149", "title" : "Intraspecfic variation in cold-temperature metabolic phenotypes of Arabidopsis lyrata ssp. petraea", "type" : "article-journal", "volume" : "5" }, "uris" : [ "http://www.mendeley.com/documents/?uuid=23390ae3-b215-454d-88b9-0139808db8df" ] } ], "mendeley" : { "formattedCitation" : "(Davey et al., 2008b)", "plainTextFormattedCitation" : "(Davey et al., 2008b)", "previouslyFormattedCitation" : "(Davey et al., 2008b)" }, "properties" : { "noteIndex" : 0 }, "schema" : "https://github.com/citation-style-language/schema/raw/master/csl-citation.json" }</w:instrText>
      </w:r>
      <w:r w:rsidRPr="003B7DA5">
        <w:fldChar w:fldCharType="separate"/>
      </w:r>
      <w:r w:rsidRPr="003B7DA5">
        <w:rPr>
          <w:noProof/>
        </w:rPr>
        <w:t>(Davey et al., 2008b)</w:t>
      </w:r>
      <w:r w:rsidRPr="003B7DA5">
        <w:fldChar w:fldCharType="end"/>
      </w:r>
      <w:r w:rsidRPr="003B7DA5">
        <w:t xml:space="preserve">, reproductive output </w:t>
      </w:r>
      <w:r w:rsidRPr="003B7DA5">
        <w:fldChar w:fldCharType="begin" w:fldLock="1"/>
      </w:r>
      <w:r w:rsidR="007C2FF9">
        <w:instrText>ADDIN CSL_CITATION { "citationItems" : [ { "id" : "ITEM-1", "itemData" : { "DOI" : "10.1111/j.1466-8238.2009.00487.x", "ISSN" : "1466822X", "author" : [ { "dropping-particle" : "", "family" : "Frenne", "given" : "P.", "non-dropping-particle" : "De", "parse-names" : false, "suffix" : "" }, { "dropping-particle" : "", "family" : "Kolb", "given" : "a.", "non-dropping-particle" : "", "parse-names" : false, "suffix" : "" }, { "dropping-particle" : "", "family" : "Verheyen", "given" : "K.", "non-dropping-particle" : "", "parse-names" : false, "suffix" : "" }, { "dropping-particle" : "", "family" : "Brunet", "given" : "J.", "non-dropping-particle" : "", "parse-names" : false, "suffix" : "" }, { "dropping-particle" : "", "family" : "Chabrerie", "given" : "O.", "non-dropping-particle" : "", "parse-names" : false, "suffix" : "" }, { "dropping-particle" : "", "family" : "Decocq", "given" : "G.", "non-dropping-particle" : "", "parse-names" : false, "suffix" : "" }, { "dropping-particle" : "", "family" : "Diekmann", "given" : "M.", "non-dropping-particle" : "", "parse-names" : false, "suffix" : "" }, { "dropping-particle" : "", "family" : "Eriksson", "given" : "O.", "non-dropping-particle" : "", "parse-names" : false, "suffix" : "" }, { "dropping-particle" : "", "family" : "Heinken", "given" : "T.", "non-dropping-particle" : "", "parse-names" : false, "suffix" : "" }, { "dropping-particle" : "", "family" : "Hermy", "given" : "M.", "non-dropping-particle" : "", "parse-names" : false, "suffix" : "" }, { "dropping-particle" : "", "family" : "J\u00f5gar", "given" : "\u00dc.", "non-dropping-particle" : "", "parse-names" : false, "suffix" : "" }, { "dropping-particle" : "", "family" : "Stanton", "given" : "S.", "non-dropping-particle" : "", "parse-names" : false, "suffix" : "" }, { "dropping-particle" : "", "family" : "Quataert", "given" : "P.", "non-dropping-particle" : "", "parse-names" : false, "suffix" : "" }, { "dropping-particle" : "", "family" : "Zindel", "given" : "R.", "non-dropping-particle" : "", "parse-names" : false, "suffix" : "" }, { "dropping-particle" : "", "family" : "Zobel", "given" : "M.", "non-dropping-particle" : "", "parse-names" : false, "suffix" : "" }, { "dropping-particle" : "", "family" : "Graae", "given" : "B. J.", "non-dropping-particle" : "", "parse-names" : false, "suffix" : "" } ], "container-title" : "Global Ecology and Biogeography", "id" : "ITEM-1", "issue" : "6", "issued" : { "date-parts" : [ [ "2009", "11" ] ] }, "page" : "641-651", "title" : "Unravelling the effects of temperature, latitude and local environment on the reproduction of forest herbs", "type" : "article-journal", "volume" : "18" }, "uris" : [ "http://www.mendeley.com/documents/?uuid=761b8695-3255-4c43-b635-e0b833e5d9cc" ] } ], "mendeley" : { "formattedCitation" : "(De Frenne et al., 2009)", "plainTextFormattedCitation" : "(De Frenne et al., 2009)", "previouslyFormattedCitation" : "(De Frenne et al., 2009)" }, "properties" : { "noteIndex" : 0 }, "schema" : "https://github.com/citation-style-language/schema/raw/master/csl-citation.json" }</w:instrText>
      </w:r>
      <w:r w:rsidRPr="003B7DA5">
        <w:fldChar w:fldCharType="separate"/>
      </w:r>
      <w:r w:rsidRPr="003B7DA5">
        <w:rPr>
          <w:noProof/>
        </w:rPr>
        <w:t>(De Frenne et al., 2009)</w:t>
      </w:r>
      <w:r w:rsidRPr="003B7DA5">
        <w:fldChar w:fldCharType="end"/>
      </w:r>
      <w:r w:rsidRPr="003B7DA5">
        <w:t xml:space="preserve">, growth habit </w:t>
      </w:r>
      <w:r w:rsidRPr="003B7DA5">
        <w:fldChar w:fldCharType="begin" w:fldLock="1"/>
      </w:r>
      <w:r w:rsidR="007C2FF9">
        <w:instrText>ADDIN CSL_CITATION { "citationItems" : [ { "id" : "ITEM-1", "itemData" : { "DOI" : "10.1111/j.1365-2699.2012.02773.x", "ISSN" : "03050270", "author" : [ { "dropping-particle" : "V.", "family" : "Gallagher", "given" : "Rachael", "non-dropping-particle" : "", "parse-names" : false, "suffix" : "" }, { "dropping-particle" : "", "family" : "Leishman", "given" : "Michelle R.", "non-dropping-particle" : "", "parse-names" : false, "suffix" : "" } ], "container-title" : "Journal of Biogeography", "editor" : [ { "dropping-particle" : "", "family" : "Ladiges", "given" : "Pauline", "non-dropping-particle" : "", "parse-names" : false, "suffix" : "" } ], "id" : "ITEM-1", "issue" : "10", "issued" : { "date-parts" : [ [ "2012", "10", "14" ] ] }, "page" : "1757-1771", "title" : "A global analysis of trait variation and evolution in climbing plants", "type" : "article-journal", "volume" : "39" }, "uris" : [ "http://www.mendeley.com/documents/?uuid=cdfa3a46-1cca-4f99-8ece-161837c3c910" ] } ], "mendeley" : { "formattedCitation" : "(Gallagher and Leishman, 2012)", "plainTextFormattedCitation" : "(Gallagher and Leishman, 2012)", "previouslyFormattedCitation" : "(Gallagher and Leishman, 2012)" }, "properties" : { "noteIndex" : 0 }, "schema" : "https://github.com/citation-style-language/schema/raw/master/csl-citation.json" }</w:instrText>
      </w:r>
      <w:r w:rsidRPr="003B7DA5">
        <w:fldChar w:fldCharType="separate"/>
      </w:r>
      <w:r w:rsidRPr="003B7DA5">
        <w:rPr>
          <w:noProof/>
        </w:rPr>
        <w:t>(Gallagher and Leishman, 2012)</w:t>
      </w:r>
      <w:r w:rsidRPr="003B7DA5">
        <w:fldChar w:fldCharType="end"/>
      </w:r>
      <w:r w:rsidRPr="003B7DA5">
        <w:t xml:space="preserve">, seed mass </w:t>
      </w:r>
      <w:r w:rsidRPr="003B7DA5">
        <w:fldChar w:fldCharType="begin" w:fldLock="1"/>
      </w:r>
      <w:r w:rsidR="007C2FF9">
        <w:instrText>ADDIN CSL_CITATION { "citationItems" : [ { "id" : "ITEM-1", "itemData" : { "DOI" : "10.1046/j.0305-0270.2003.00993.x", "ISSN" : "03050270", "author" : [ { "dropping-particle" : "", "family" : "Murray", "given" : "Brad R.", "non-dropping-particle" : "", "parse-names" : false, "suffix" : "" }, { "dropping-particle" : "", "family" : "Brown", "given" : "a. H. D.", "non-dropping-particle" : "", "parse-names" : false, "suffix" : "" }, { "dropping-particle" : "", "family" : "Dickman", "given" : "C. R.", "non-dropping-particle" : "", "parse-names" : false, "suffix" : "" }, { "dropping-particle" : "", "family" : "Crowther", "given" : "M. S.", "non-dropping-particle" : "", "parse-names" : false, "suffix" : "" } ], "container-title" : "Journal of Biogeography", "id" : "ITEM-1", "issue" : "3", "issued" : { "date-parts" : [ [ "2004", "3", "24" ] ] }, "page" : "379-388", "title" : "Geographical gradients in seed mass in relation to climate", "type" : "article-journal", "volume" : "31" }, "uris" : [ "http://www.mendeley.com/documents/?uuid=2ea8d071-f7f5-4f68-a2d2-6de6dd7e71af" ] } ], "mendeley" : { "formattedCitation" : "(Murray et al., 2004)", "plainTextFormattedCitation" : "(Murray et al., 2004)", "previouslyFormattedCitation" : "(Murray et al., 2004)" }, "properties" : { "noteIndex" : 0 }, "schema" : "https://github.com/citation-style-language/schema/raw/master/csl-citation.json" }</w:instrText>
      </w:r>
      <w:r w:rsidRPr="003B7DA5">
        <w:fldChar w:fldCharType="separate"/>
      </w:r>
      <w:r w:rsidRPr="003B7DA5">
        <w:rPr>
          <w:noProof/>
        </w:rPr>
        <w:t>(Murray et al., 2004)</w:t>
      </w:r>
      <w:r w:rsidRPr="003B7DA5">
        <w:fldChar w:fldCharType="end"/>
      </w:r>
      <w:r w:rsidRPr="003B7DA5">
        <w:t xml:space="preserve">, phenology </w:t>
      </w:r>
      <w:r w:rsidRPr="003B7DA5">
        <w:fldChar w:fldCharType="begin" w:fldLock="1"/>
      </w:r>
      <w:r w:rsidR="007C2FF9">
        <w:instrText>ADDIN CSL_CITATION { "citationItems" : [ { "id" : "ITEM-1", "itemData" : { "DOI" : "10.1073/pnas.0306401101", "ISSN" : "0027-8424", "PMID" : "15070783", "abstract" : "A latitudinal cline in flowering time in accessions of Arabidopsis thaliana has been widely predicted because the environmental cues that promote flowering vary systematically with latitude, but evidence for such clines has been lacking. Here, we report evidence of a significant latitudinal cline in flowering time among 70 Northern European and Mediterranean ecotypes when grown under ecologically realistic conditions in a common garden environment. The detected cline, however, is found only in ecotypes with alleles of the flowering time gene FRIGIDA (FRI) that lack major deletions that would disrupt protein function, whereas there is no relationship between flowering time and latitude of origin among accessions with FRI alleles containing such deletions. Analysis of climatological data suggests that late flowering in accessions with putatively functional FRI was associated with reduced January precipitation at the site of origin, consistent with previous reports of a positive genetic correlation between water use efficiency and flowering time in Arabidopsis, and the pleiotropic effects of FRI of increasing water use efficiency. In accessions collected from Southern latitudes, we detected that putatively functional FRI alleles were associated with accelerated flowering relative to accessions with nonfunctional FRI under the winter conditions of our experiment. These results suggest that the ecological function of the vernalization requirement conferred by FRI differs across latitudes. More generally, our results indicate that by combining ecological and molecular genetic data, it is possible to understand the forces acting on life history transitions at the level of specific loci.", "author" : [ { "dropping-particle" : "", "family" : "Stinchcombe", "given" : "John R", "non-dropping-particle" : "", "parse-names" : false, "suffix" : "" }, { "dropping-particle" : "", "family" : "Weinig", "given" : "Cynthia", "non-dropping-particle" : "", "parse-names" : false, "suffix" : "" }, { "dropping-particle" : "", "family" : "Ungerer", "given" : "Mark", "non-dropping-particle" : "", "parse-names" : false, "suffix" : "" }, { "dropping-particle" : "", "family" : "Olsen", "given" : "Kenneth M", "non-dropping-particle" : "", "parse-names" : false, "suffix" : "" }, { "dropping-particle" : "", "family" : "Mays", "given" : "Charlotte", "non-dropping-particle" : "", "parse-names" : false, "suffix" : "" }, { "dropping-particle" : "", "family" : "Halldorsdottir", "given" : "Solveig S", "non-dropping-particle" : "", "parse-names" : false, "suffix" : "" }, { "dropping-particle" : "", "family" : "Purugganan", "given" : "Michael D", "non-dropping-particle" : "", "parse-names" : false, "suffix" : "" }, { "dropping-particle" : "", "family" : "Schmitt", "given" : "Johanna", "non-dropping-particle" : "", "parse-names" : false, "suffix" : "" } ], "container-title" : "Proceedings of the National Academy of Sciences of the United States of America", "id" : "ITEM-1", "issue" : "13", "issued" : { "date-parts" : [ [ "2004", "3", "30" ] ] }, "page" : "4712-7", "title" : "A latitudinal cline in flowering time in Arabidopsis thaliana modulated by the flowering time gene FRIGIDA.", "type" : "article-journal", "volume" : "101" }, "uris" : [ "http://www.mendeley.com/documents/?uuid=fc42b8b1-396b-48e8-bb89-174dd76997a1" ] } ], "mendeley" : { "formattedCitation" : "(Stinchcombe et al., 2004)", "plainTextFormattedCitation" : "(Stinchcombe et al., 2004)", "previouslyFormattedCitation" : "(Stinchcombe et al., 2004)" }, "properties" : { "noteIndex" : 0 }, "schema" : "https://github.com/citation-style-language/schema/raw/master/csl-citation.json" }</w:instrText>
      </w:r>
      <w:r w:rsidRPr="003B7DA5">
        <w:fldChar w:fldCharType="separate"/>
      </w:r>
      <w:r w:rsidRPr="003B7DA5">
        <w:rPr>
          <w:noProof/>
        </w:rPr>
        <w:t>(Stinchcombe et al., 2004)</w:t>
      </w:r>
      <w:r w:rsidRPr="003B7DA5">
        <w:fldChar w:fldCharType="end"/>
      </w:r>
      <w:r w:rsidRPr="003B7DA5">
        <w:t xml:space="preserve">, and chemical defences against herbivory </w:t>
      </w:r>
      <w:r w:rsidRPr="003B7DA5">
        <w:fldChar w:fldCharType="begin" w:fldLock="1"/>
      </w:r>
      <w:r w:rsidR="007C2FF9">
        <w:instrText>ADDIN CSL_CITATION { "citationItems" : [ { "id" : "ITEM-1", "itemData" : { "DOI" : "10.1111/j.1365-2435.2010.01814.x", "ISSN" : "02698463", "author" : [ { "dropping-particle" : "", "family" : "Moles", "given" : "Angela T.", "non-dropping-particle" : "", "parse-names" : false, "suffix" : "" }, { "dropping-particle" : "", "family" : "Bonser", "given" : "Stephen P.", "non-dropping-particle" : "", "parse-names" : false, "suffix" : "" }, { "dropping-particle" : "", "family" : "Poore", "given" : "Alistair G.B.", "non-dropping-particle" : "", "parse-names" : false, "suffix" : "" }, { "dropping-particle" : "", "family" : "Wallis", "given" : "Ian R.", "non-dropping-particle" : "", "parse-names" : false, "suffix" : "" }, { "dropping-particle" : "", "family" : "Foley", "given" : "William J.", "non-dropping-particle" : "", "parse-names" : false, "suffix" : "" } ], "container-title" : "Functional Ecology", "id" : "ITEM-1", "issue" : "2", "issued" : { "date-parts" : [ [ "2011", "4", "9" ] ] }, "page" : "380-388", "title" : "Assessing the evidence for latitudinal gradients in plant defence and herbivory", "type" : "article-journal", "volume" : "25" }, "uris" : [ "http://www.mendeley.com/documents/?uuid=d0fc3ceb-9fc7-444d-96fd-497afacf7ad4" ] } ], "mendeley" : { "formattedCitation" : "(Moles et al., 2011)", "plainTextFormattedCitation" : "(Moles et al., 2011)", "previouslyFormattedCitation" : "(Moles et al., 2011)" }, "properties" : { "noteIndex" : 0 }, "schema" : "https://github.com/citation-style-language/schema/raw/master/csl-citation.json" }</w:instrText>
      </w:r>
      <w:r w:rsidRPr="003B7DA5">
        <w:fldChar w:fldCharType="separate"/>
      </w:r>
      <w:r w:rsidRPr="003B7DA5">
        <w:rPr>
          <w:noProof/>
        </w:rPr>
        <w:t>(Moles et al., 2011)</w:t>
      </w:r>
      <w:r w:rsidRPr="003B7DA5">
        <w:fldChar w:fldCharType="end"/>
      </w:r>
      <w:r w:rsidRPr="003B7DA5">
        <w:t>. Such clines in species functional traits can result in population differentiation</w:t>
      </w:r>
      <w:r w:rsidR="004D4218" w:rsidRPr="003B7DA5">
        <w:t>. Assessing traits expressed by different populations spanning a variety of environmental conditions</w:t>
      </w:r>
      <w:r w:rsidRPr="003B7DA5">
        <w:t xml:space="preserve"> provide</w:t>
      </w:r>
      <w:r w:rsidR="004D4218" w:rsidRPr="003B7DA5">
        <w:t>s</w:t>
      </w:r>
      <w:r w:rsidRPr="003B7DA5">
        <w:t xml:space="preserve"> </w:t>
      </w:r>
      <w:r w:rsidR="004D4218" w:rsidRPr="003B7DA5">
        <w:t xml:space="preserve">an </w:t>
      </w:r>
      <w:r w:rsidRPr="003B7DA5">
        <w:t>opportunit</w:t>
      </w:r>
      <w:r w:rsidR="004D4218" w:rsidRPr="003B7DA5">
        <w:t>y</w:t>
      </w:r>
      <w:r w:rsidRPr="003B7DA5">
        <w:t xml:space="preserve"> </w:t>
      </w:r>
      <w:r w:rsidR="004D4218" w:rsidRPr="003B7DA5">
        <w:t>to</w:t>
      </w:r>
      <w:r w:rsidRPr="003B7DA5">
        <w:t xml:space="preserve"> analys</w:t>
      </w:r>
      <w:r w:rsidR="003B7DA5" w:rsidRPr="003B7DA5">
        <w:t>e</w:t>
      </w:r>
      <w:r w:rsidRPr="003B7DA5">
        <w:t xml:space="preserve"> the relationships between environmental factors and functional traits</w:t>
      </w:r>
      <w:r w:rsidR="004D4218" w:rsidRPr="003B7DA5">
        <w:t xml:space="preserve">. This </w:t>
      </w:r>
      <w:r w:rsidRPr="003B7DA5">
        <w:t>can shed light on the processes underlying adaptation and responses to environmental change.</w:t>
      </w:r>
      <w:r w:rsidRPr="00243476">
        <w:t xml:space="preserve"> </w:t>
      </w:r>
    </w:p>
    <w:p w14:paraId="71AAC5E5" w14:textId="352CF250" w:rsidR="007034F1" w:rsidRDefault="007034F1" w:rsidP="0052046B">
      <w:pPr>
        <w:pStyle w:val="BodyJB"/>
      </w:pPr>
      <w:r w:rsidRPr="0020361A">
        <w:t>Plant performance is largely governed by climate, and since plants are immobile organisms, populations face generations of selection under specific local environmental conditions.</w:t>
      </w:r>
      <w:r w:rsidRPr="007034F1">
        <w:t xml:space="preserve"> </w:t>
      </w:r>
      <w:r w:rsidRPr="009953BF">
        <w:t xml:space="preserve">This selection may result in genetic differentiation between populations of widespread species subjected to different environmental conditions </w:t>
      </w:r>
      <w:r w:rsidRPr="009953BF">
        <w:fldChar w:fldCharType="begin" w:fldLock="1"/>
      </w:r>
      <w:r w:rsidR="007C2FF9">
        <w:instrText>ADDIN CSL_CITATION { "citationItems" : [ { "id" : "ITEM-1", "itemData" : { "DOI" : "10.1111/j.1469-8137.2011.03799.x", "ISSN" : "1469-8137", "PMID" : "21729087", "abstract" : "\u2022 Both genetic drift and natural selection result in genetic/phenotypic differentiation over space. I analyzed the role of local adaptation in the genetic differentiation of populations of the annual grass Hordeum spontaneum sampled along an aridity gradient. \u2022 The study included the introduction of plants having desert vs nondesert origin into natural (desert) environment, analysis of population differentiation in allozymes and random amplified polymorphic DNA (RAPD) markers vs phenotypic traits (Q(ST) -F(ST) comparison), and planting interpopulation hybrids under simulated desert conditions in a glasshouse. \u2022 The results of the home advantage test, Q(ST) -F(ST) comparison and crossbreeding were consistent with local adaptation; that is, that differentiation of the desert plants from plants of nondesert origin in phenotypic traits was adaptive, giving them home advantage. Each method used provided additional, otherwise unavailable, information, meaning that they should be viewed as complementary rather than alternative approaches. \u2022 Gene flow from adjacent populations (i.e. populations experiencing the desert environment) via seeds (but not pollen) had a positive effect on fitness by enhancing natural selection and counteracting drift. At the same time, the effect of genes from the species distributional core (nondesert plants) by either seed or pollen had a negative fitness effect despite its enriching effect on neutral diversity. The pattern of outbreeding depression observed in interpopulation hybrids (F(1) ) and their segregating progeny (F(2) ) was inconsistent with underdominance, but indicated the presence of additive, dominance and epistatic effects.", "author" : [ { "dropping-particle" : "", "family" : "Volis", "given" : "S", "non-dropping-particle" : "", "parse-names" : false, "suffix" : "" } ], "container-title" : "The New phytologist", "id" : "ITEM-1", "issue" : "1", "issued" : { "date-parts" : [ [ "2011", "10" ] ] }, "page" : "237-48", "title" : "Adaptive genetic differentiation in a predominantly self-pollinating species analyzed by transplanting into natural environment, crossbreeding and Q(ST)-F(ST) test.", "type" : "article-journal", "volume" : "192" }, "uris" : [ "http://www.mendeley.com/documents/?uuid=38f0bbe6-c127-41b2-9a31-f7f25cef5818" ] }, { "id" : "ITEM-2", "itemData" : { "DOI" : "Doi 10.1111/J.1469-8137.2007.02282.X", "ISBN" : "0028-646X", "abstract" : "Plant populations growing at the margin of their range may exhibit traits that indicate genetic differentiation and adaptation to their local abiotic environment. Here, it was investigated whether geographically separated marginal populations of Arabidopsis lyrata ssp. petraea have distinct metabolic phenotypes within the plant foliage. Seeds of A. petraea were obtained from populations along a latitudinal gradient (49-64 degrees N), namely Germany, Wales, Sweden and Iceland and grown in a controlled cabinet environment. Targeted metabolic profiles and fingerprints were obtained at the same initial developmental stage. The free amino acid compositions were population specific, with fold differences in arginine, aspartic acid, asparagines, glycine, phenylalanine, alanine, threonine, histidine, serine and gamma-aminobutyric acid (GABA) concentrations. Sucrose, mannose and fructose concentrations were also different between populations but polyhydric alcohol concentrations were not. Principal component analysis (PCA) of metabolite fingerprints revealed metabolic phenotypes for each population. It is suggested that glucosinolates were responsible for discriminating populations within the PCA. Metabolite fingerprinting and profiling has proved to be sufficiently sensitive to identify metabolic differences between plant populations. These findings show that there is significant natural variation in metabolism among populations of A. petraea.", "author" : [ { "dropping-particle" : "", "family" : "Davey", "given" : "M P", "non-dropping-particle" : "", "parse-names" : false, "suffix" : "" }, { "dropping-particle" : "", "family" : "Burrell", "given" : "M M", "non-dropping-particle" : "", "parse-names" : false, "suffix" : "" }, { "dropping-particle" : "", "family" : "Woodward", "given" : "F I", "non-dropping-particle" : "", "parse-names" : false, "suffix" : "" }, { "dropping-particle" : "", "family" : "Quick", "given" : "W P", "non-dropping-particle" : "", "parse-names" : false, "suffix" : "" } ], "container-title" : "New Phytologist", "id" : "ITEM-2", "issue" : "2", "issued" : { "date-parts" : [ [ "2008" ] ] }, "language" : "English", "page" : "380-388", "title" : "Population-specific metabolic phenotypes of Arabidopsis lyrata ssp petraea", "type" : "article-journal", "volume" : "177" }, "uris" : [ "http://www.mendeley.com/documents/?uuid=92e9c872-fc98-42f1-9f3f-c38db9993c16" ] }, { "id" : "ITEM-3", "itemData" : { "DOI" : "10.1111/j.0030-1299.2008.16939.x", "ISSN" : "00301299", "author" : [ { "dropping-particle" : "", "family" : "Becker", "given" : "Ute", "non-dropping-particle" : "", "parse-names" : false, "suffix" : "" }, { "dropping-particle" : "", "family" : "Dostal", "given" : "Petr", "non-dropping-particle" : "", "parse-names" : false, "suffix" : "" }, { "dropping-particle" : "", "family" : "Jorritsma-Wienk", "given" : "Linda D.", "non-dropping-particle" : "", "parse-names" : false, "suffix" : "" }, { "dropping-particle" : "", "family" : "Matthies", "given" : "Diethart", "non-dropping-particle" : "", "parse-names" : false, "suffix" : "" } ], "container-title" : "Oikos", "id" : "ITEM-3", "issue" : "12", "issued" : { "date-parts" : [ [ "2008", "12" ] ] }, "page" : "1865-1873", "title" : "The spatial scale of adaptive population differentiation in a wide-spread, well-dispersed plant species", "type" : "article-journal", "volume" : "117" }, "uris" : [ "http://www.mendeley.com/documents/?uuid=b0696bc5-d6a0-4e0e-b07c-5322dbc656f2" ] } ], "mendeley" : { "formattedCitation" : "(Becker et al., 2008; Davey et al., 2008a; Volis, 2011)", "plainTextFormattedCitation" : "(Becker et al., 2008; Davey et al., 2008a; Volis, 2011)", "previouslyFormattedCitation" : "(Becker et al., 2008; Davey et al., 2008a; Volis, 2011)" }, "properties" : { "noteIndex" : 0 }, "schema" : "https://github.com/citation-style-language/schema/raw/master/csl-citation.json" }</w:instrText>
      </w:r>
      <w:r w:rsidRPr="009953BF">
        <w:fldChar w:fldCharType="separate"/>
      </w:r>
      <w:r w:rsidRPr="000F7BF9">
        <w:rPr>
          <w:noProof/>
        </w:rPr>
        <w:t>(Becker et al., 2008; Davey et al., 2008a; Volis, 2011)</w:t>
      </w:r>
      <w:r w:rsidRPr="009953BF">
        <w:fldChar w:fldCharType="end"/>
      </w:r>
      <w:r w:rsidRPr="009953BF">
        <w:t xml:space="preserve"> resulting in local adaptation </w:t>
      </w:r>
      <w:r w:rsidRPr="009953BF">
        <w:fldChar w:fldCharType="begin" w:fldLock="1"/>
      </w:r>
      <w:r w:rsidR="007C2FF9">
        <w:instrText>ADDIN CSL_CITATION { "citationItems" : [ { "id" : "ITEM-1", "itemData" : { "DOI" : "10.1111/j.1461-0248.2004.00684.x", "ISSN" : "1461-023X", "author" : [ { "dropping-particle" : "", "family" : "Kawecki", "given" : "Tadeusz J.", "non-dropping-particle" : "", "parse-names" : false, "suffix" : "" }, { "dropping-particle" : "", "family" : "Ebert", "given" : "Dieter", "non-dropping-particle" : "", "parse-names" : false, "suffix" : "" } ], "container-title" : "Ecology Letters", "id" : "ITEM-1", "issue" : "12", "issued" : { "date-parts" : [ [ "2004", "12" ] ] }, "page" : "1225-1241", "title" : "Conceptual issues in local adaptation", "type" : "article-journal", "volume" : "7" }, "uris" : [ "http://www.mendeley.com/documents/?uuid=0766f154-88f4-44a6-8123-4f9a05208f11" ] } ], "mendeley" : { "formattedCitation" : "(Kawecki and Ebert, 2004)", "plainTextFormattedCitation" : "(Kawecki and Ebert, 2004)", "previouslyFormattedCitation" : "(Kawecki and Ebert, 2004)" }, "properties" : { "noteIndex" : 0 }, "schema" : "https://github.com/citation-style-language/schema/raw/master/csl-citation.json" }</w:instrText>
      </w:r>
      <w:r w:rsidRPr="009953BF">
        <w:fldChar w:fldCharType="separate"/>
      </w:r>
      <w:r w:rsidRPr="000F7BF9">
        <w:rPr>
          <w:noProof/>
        </w:rPr>
        <w:t>(Kawecki and Ebert, 2004)</w:t>
      </w:r>
      <w:r w:rsidRPr="009953BF">
        <w:fldChar w:fldCharType="end"/>
      </w:r>
      <w:r w:rsidRPr="009953BF">
        <w:t xml:space="preserve">.   </w:t>
      </w:r>
    </w:p>
    <w:p w14:paraId="1C9E328D" w14:textId="64B573C5" w:rsidR="00EC6145" w:rsidRPr="009953BF" w:rsidRDefault="00EC6145" w:rsidP="003B7DA5">
      <w:pPr>
        <w:pStyle w:val="BodyJB"/>
        <w:ind w:firstLine="720"/>
      </w:pPr>
      <w:r w:rsidRPr="009953BF">
        <w:t>In addition to evolutionary responses</w:t>
      </w:r>
      <w:r w:rsidR="007034F1">
        <w:t xml:space="preserve"> such genetic adaptation</w:t>
      </w:r>
      <w:r w:rsidRPr="009953BF">
        <w:t>, variability can lead to environmentally induced changes in the phenotype of a given individual, a response known as phenotypic plasticity</w:t>
      </w:r>
      <w:r w:rsidR="004D4218">
        <w:t xml:space="preserve"> </w:t>
      </w:r>
      <w:r w:rsidR="004D4218">
        <w:fldChar w:fldCharType="begin" w:fldLock="1"/>
      </w:r>
      <w:r w:rsidR="007C2FF9">
        <w:instrText>ADDIN CSL_CITATION { "citationItems" : [ { "id" : "ITEM-1", "itemData" : { "author" : [ { "dropping-particle" : "", "family" : "Bradshaw", "given" : "A. D.", "non-dropping-particle" : "", "parse-names" : false, "suffix" : "" } ], "container-title" : "Advances in Genetics", "id" : "ITEM-1", "issued" : { "date-parts" : [ [ "1965" ] ] }, "page" : "115-155", "title" : "Evolutionary significance of phenotypic plasticity in plants", "type" : "article-journal", "volume" : "13" }, "uris" : [ "http://www.mendeley.com/documents/?uuid=9f177905-37bd-410f-af44-ad52586c237b" ] } ], "mendeley" : { "formattedCitation" : "(Bradshaw, 1965)", "plainTextFormattedCitation" : "(Bradshaw, 1965)", "previouslyFormattedCitation" : "(Bradshaw, 1965)" }, "properties" : { "noteIndex" : 0 }, "schema" : "https://github.com/citation-style-language/schema/raw/master/csl-citation.json" }</w:instrText>
      </w:r>
      <w:r w:rsidR="004D4218">
        <w:fldChar w:fldCharType="separate"/>
      </w:r>
      <w:r w:rsidR="004D4218" w:rsidRPr="004D4218">
        <w:rPr>
          <w:noProof/>
        </w:rPr>
        <w:t>(Bradshaw, 1965)</w:t>
      </w:r>
      <w:r w:rsidR="004D4218">
        <w:fldChar w:fldCharType="end"/>
      </w:r>
      <w:r w:rsidRPr="009953BF">
        <w:t xml:space="preserve">. It is thought that this response can also buffer against long-term environmental variation associated with climate change </w:t>
      </w:r>
      <w:r w:rsidR="007369BF" w:rsidRPr="009953BF">
        <w:fldChar w:fldCharType="begin" w:fldLock="1"/>
      </w:r>
      <w:r w:rsidR="007C2FF9">
        <w:instrText>ADDIN CSL_CITATION { "citationItems" : [ { "id" : "ITEM-1", "itemData" : { "DOI" : "10.1016/j.tplants.2010.09.008", "ISSN" : "1878-4372", "PMID" : "20970368", "abstract" : "Climate change is altering the availability of resources and the conditions that are crucial to plant performance. One way plants will respond to these changes is through environmentally induced shifts in phenotype (phenotypic plasticity). Understanding plastic responses is crucial for predicting and managing the effects of climate change on native species as well as crop plants. Here, we provide a toolbox with definitions of key theoretical elements and a synthesis of the current understanding of the molecular and genetic mechanisms underlying plasticity relevant to climate change. By bringing ecological, evolutionary, physiological and molecular perspectives together, we hope to provide clear directives for future research and stimulate cross-disciplinary dialogue on the relevance of phenotypic plasticity under climate change.", "author" : [ { "dropping-particle" : "", "family" : "Nicotra", "given" : "a B", "non-dropping-particle" : "", "parse-names" : false, "suffix" : "" }, { "dropping-particle" : "", "family" : "Atkin", "given" : "O K", "non-dropping-particle" : "", "parse-names" : false, "suffix" : "" }, { "dropping-particle" : "", "family" : "Bonser", "given" : "S P", "non-dropping-particle" : "", "parse-names" : false, "suffix" : "" }, { "dropping-particle" : "", "family" : "Davidson", "given" : "a M", "non-dropping-particle" : "", "parse-names" : false, "suffix" : "" }, { "dropping-particle" : "", "family" : "Finnegan", "given" : "E J", "non-dropping-particle" : "", "parse-names" : false, "suffix" : "" }, { "dropping-particle" : "", "family" : "Mathesius", "given" : "U", "non-dropping-particle" : "", "parse-names" : false, "suffix" : "" }, { "dropping-particle" : "", "family" : "Poot", "given" : "P", "non-dropping-particle" : "", "parse-names" : false, "suffix" : "" }, { "dropping-particle" : "", "family" : "Purugganan", "given" : "M D", "non-dropping-particle" : "", "parse-names" : false, "suffix" : "" }, { "dropping-particle" : "", "family" : "Richards", "given" : "C L", "non-dropping-particle" : "", "parse-names" : false, "suffix" : "" }, { "dropping-particle" : "", "family" : "Valladares", "given" : "F", "non-dropping-particle" : "", "parse-names" : false, "suffix" : "" }, { "dropping-particle" : "", "family" : "Kleunen", "given" : "M", "non-dropping-particle" : "van", "parse-names" : false, "suffix" : "" } ], "container-title" : "Trends in plant science", "id" : "ITEM-1", "issue" : "12", "issued" : { "date-parts" : [ [ "2010", "12" ] ] }, "page" : "684-92", "publisher" : "Elsevier Ltd", "title" : "Plant phenotypic plasticity in a changing climate.", "type" : "article-journal", "volume" : "15" }, "uris" : [ "http://www.mendeley.com/documents/?uuid=d4433a93-0257-43bd-84ac-ed7597addeb6" ] } ], "mendeley" : { "formattedCitation" : "(Nicotra et al., 2010)", "plainTextFormattedCitation" : "(Nicotra et al., 2010)", "previouslyFormattedCitation" : "(Nicotra et al., 2010)" }, "properties" : { "noteIndex" : 0 }, "schema" : "https://github.com/citation-style-language/schema/raw/master/csl-citation.json" }</w:instrText>
      </w:r>
      <w:r w:rsidR="007369BF" w:rsidRPr="009953BF">
        <w:fldChar w:fldCharType="separate"/>
      </w:r>
      <w:r w:rsidR="000F7BF9" w:rsidRPr="000F7BF9">
        <w:rPr>
          <w:noProof/>
        </w:rPr>
        <w:t>(Nicotra et al., 2010)</w:t>
      </w:r>
      <w:r w:rsidR="007369BF" w:rsidRPr="009953BF">
        <w:fldChar w:fldCharType="end"/>
      </w:r>
      <w:r w:rsidRPr="009953BF">
        <w:t>.</w:t>
      </w:r>
      <w:r w:rsidR="003B7DA5">
        <w:t xml:space="preserve"> </w:t>
      </w:r>
      <w:r w:rsidRPr="009953BF">
        <w:t xml:space="preserve">The expression of plasticity is mediated at the molecular level </w:t>
      </w:r>
      <w:r w:rsidR="007369BF" w:rsidRPr="009953BF">
        <w:fldChar w:fldCharType="begin" w:fldLock="1"/>
      </w:r>
      <w:r w:rsidR="007C2FF9">
        <w:instrText>ADDIN CSL_CITATION { "citationItems" : [ { "id" : "ITEM-1", "itemData" : { "abstract" : "We argue that phenotypic plasticity should be broadly construed to encompass a diversity of phenomena spanning several hierarchical levels of organization. Despite seemingly disparate outcomes among different groups of organisms (e.g., the opening/closing of stomata in leaves, adjustments of allocation to growth/reproduction, or the production of different castes in social insects), there are underlying shared processes that initiate these responses. At the most fundamental level, all plastic responses originate at the level of individual cells, which receive and process signals from their environment. The broad variations in physiology, morphology, behavior, etc., that can be produced by a single genotype, can be accounted for by processes regulating gene expression in response to environmental variation. Although evolution of adaptive plasticity may not be possible for some types of environmental signals, in many cases selection has molded responses to environmental variation that generate precise and repeatable patterns of gene expression. We highlight the example of responses of plants to variation in light quality and quantity, mediated via the phytochrome genes. Responses to changes in light at particular stages of plants\u2019 life cycles (e.g., seed germination, competition, reproduction) are controlled by different members of this gene family. The mechanistic details of the cell and molecular biology of phytochrome gene action (e.g., their effects on expression of other genes) is outlined. Plasticity of cells and organisms to internal and external environmental signals is pervasive, and represents not just an outcome of evolutionary processes, but also a potentially important molder of them. Phenotypes originally initiated via a plastic response, can be fixed through genetic assimilation as alternate regulatory pathways are shut off. Evolution of mechanisms of plasticity and canalization can both reduce genetic variation, as well as shield it. When the organism encounters novel environmental conditions, this shielded variation may be expressed, revealing hidden reaction norms that represent the raw material for subsequent evolution.", "author" : [ { "dropping-particle" : "", "family" : "Schlichting", "given" : "C D", "non-dropping-particle" : "", "parse-names" : false, "suffix" : "" }, { "dropping-particle" : "", "family" : "Smith", "given" : "H", "non-dropping-particle" : "", "parse-names" : false, "suffix" : "" } ], "container-title" : "Evolutionary Ecology", "id" : "ITEM-1", "issued" : { "date-parts" : [ [ "2002" ] ] }, "page" : "189\u2013211", "title" : "Phenotypic plasticity: linking molecular mechanisms with\\revolutionary outcomes", "type" : "article-journal", "volume" : "16" }, "uris" : [ "http://www.mendeley.com/documents/?uuid=4107bbee-9272-4924-8a46-384230e016fc" ] } ], "mendeley" : { "formattedCitation" : "(Schlichting and Smith, 2002)", "plainTextFormattedCitation" : "(Schlichting and Smith, 2002)", "previouslyFormattedCitation" : "(Schlichting and Smith, 2002)" }, "properties" : { "noteIndex" : 0 }, "schema" : "https://github.com/citation-style-language/schema/raw/master/csl-citation.json" }</w:instrText>
      </w:r>
      <w:r w:rsidR="007369BF" w:rsidRPr="009953BF">
        <w:fldChar w:fldCharType="separate"/>
      </w:r>
      <w:r w:rsidR="000F7BF9" w:rsidRPr="000F7BF9">
        <w:rPr>
          <w:noProof/>
        </w:rPr>
        <w:t>(Schlichting and Smith, 2002)</w:t>
      </w:r>
      <w:r w:rsidR="007369BF" w:rsidRPr="009953BF">
        <w:fldChar w:fldCharType="end"/>
      </w:r>
      <w:r w:rsidRPr="009953BF">
        <w:t xml:space="preserve">. </w:t>
      </w:r>
    </w:p>
    <w:p w14:paraId="7C060B5C" w14:textId="15AB21A3" w:rsidR="00EC6145" w:rsidRDefault="00EC6145" w:rsidP="003B7DA5">
      <w:pPr>
        <w:pStyle w:val="BodyJB"/>
        <w:ind w:firstLine="720"/>
      </w:pPr>
      <w:r w:rsidRPr="009953BF">
        <w:t xml:space="preserve">When predicting ecological and evolutionary responses to environmental change the relative importance of plastic, maternal, and genetic contributions to phenotypic variation must be considered. However, unravelling these responses is often not trivial. Gienapp et al., </w:t>
      </w:r>
      <w:r w:rsidR="007369BF" w:rsidRPr="009953BF">
        <w:fldChar w:fldCharType="begin" w:fldLock="1"/>
      </w:r>
      <w:r w:rsidR="007C2FF9">
        <w:instrText>ADDIN CSL_CITATION { "citationItems" : [ { "id" : "ITEM-1", "itemData" : { "DOI" : "10.1111/j.1365-294X.2007.03413.x", "ISSN" : "0962-1083", "PMID" : "18173499", "abstract" : "Rapid climate change is likely to impose strong selection pressures on traits important for fitness, and therefore, microevolution in response to climate-mediated selection is potentially an important mechanism mitigating negative consequences of climate change. We reviewed the empirical evidence for recent microevolutionary responses to climate change in longitudinal studies emphasizing the following three perspectives emerging from the published data. First, although signatures of climate change are clearly visible in many ecological processes, similar examples of microevolutionary responses in literature are in fact very rare. Second, the quality of evidence for microevolutionary responses to climate change is far from satisfactory as the documented responses are often - if not typically - based on nongenetic data. We reinforce the view that it is as important to make the distinction between genetic (evolutionary) and phenotypic (includes a nongenetic, plastic component) responses clear, as it is to understand the relative roles of plasticity and genetics in adaptation to climate change. Third, in order to illustrate the difficulties and their potential ubiquity in detection of microevolution in response to natural selection, we reviewed the quantitative genetic studies on microevolutionary responses to natural selection in the context of long-term studies of vertebrates. The available evidence points to the overall conclusion that many responses perceived as adaptations to changing environmental conditions could be environmentally induced plastic responses rather than microevolutionary adaptations. Hence, clear-cut evidence indicating a significant role for evolutionary adaptation to ongoing climate warming is conspicuously scarce.", "author" : [ { "dropping-particle" : "", "family" : "Gienapp", "given" : "P", "non-dropping-particle" : "", "parse-names" : false, "suffix" : "" }, { "dropping-particle" : "", "family" : "Teplitsky", "given" : "C", "non-dropping-particle" : "", "parse-names" : false, "suffix" : "" }, { "dropping-particle" : "", "family" : "Alho", "given" : "J S", "non-dropping-particle" : "", "parse-names" : false, "suffix" : "" }, { "dropping-particle" : "", "family" : "Mills", "given" : "J a", "non-dropping-particle" : "", "parse-names" : false, "suffix" : "" }, { "dropping-particle" : "", "family" : "Meril\u00e4", "given" : "J", "non-dropping-particle" : "", "parse-names" : false, "suffix" : "" } ], "container-title" : "Molecular ecology", "id" : "ITEM-1", "issue" : "1", "issued" : { "date-parts" : [ [ "2008", "1" ] ] }, "page" : "167-78", "title" : "Climate change and evolution: disentangling environmental and genetic responses.", "type" : "article-journal", "volume" : "17" }, "uris" : [ "http://www.mendeley.com/documents/?uuid=25b0780d-a7a4-4b4d-8b84-5e7225bc9965" ] } ], "mendeley" : { "formattedCitation" : "(Gienapp et al., 2008)", "manualFormatting" : "(2008)", "plainTextFormattedCitation" : "(Gienapp et al., 2008)", "previouslyFormattedCitation" : "(Gienapp et al., 2008)" }, "properties" : { "noteIndex" : 0 }, "schema" : "https://github.com/citation-style-language/schema/raw/master/csl-citation.json" }</w:instrText>
      </w:r>
      <w:r w:rsidR="007369BF" w:rsidRPr="009953BF">
        <w:fldChar w:fldCharType="separate"/>
      </w:r>
      <w:r w:rsidRPr="009355DB">
        <w:rPr>
          <w:noProof/>
        </w:rPr>
        <w:t>(2008)</w:t>
      </w:r>
      <w:r w:rsidR="007369BF" w:rsidRPr="009953BF">
        <w:fldChar w:fldCharType="end"/>
      </w:r>
      <w:r w:rsidRPr="009953BF">
        <w:t xml:space="preserve"> review several studies that find temporal ecotypic variation in phenotypic traits, claiming to be examples of microevolutionary responses, yet providing no evidence that trait variation has a genetic basis. There is also a relationship between the two responses since plasticity is controlled by genes that determine the responsiveness of phenotypes to environmental cues </w:t>
      </w:r>
      <w:r w:rsidR="007369BF" w:rsidRPr="009953BF">
        <w:fldChar w:fldCharType="begin" w:fldLock="1"/>
      </w:r>
      <w:r w:rsidR="007C2FF9">
        <w:instrText>ADDIN CSL_CITATION { "citationItems" : [ { "id" : "ITEM-1", "itemData" : { "DOI" : "10.1016/j.tplants.2010.09.008", "ISSN" : "1878-4372", "PMID" : "20970368", "abstract" : "Climate change is altering the availability of resources and the conditions that are crucial to plant performance. One way plants will respond to these changes is through environmentally induced shifts in phenotype (phenotypic plasticity). Understanding plastic responses is crucial for predicting and managing the effects of climate change on native species as well as crop plants. Here, we provide a toolbox with definitions of key theoretical elements and a synthesis of the current understanding of the molecular and genetic mechanisms underlying plasticity relevant to climate change. By bringing ecological, evolutionary, physiological and molecular perspectives together, we hope to provide clear directives for future research and stimulate cross-disciplinary dialogue on the relevance of phenotypic plasticity under climate change.", "author" : [ { "dropping-particle" : "", "family" : "Nicotra", "given" : "a B", "non-dropping-particle" : "", "parse-names" : false, "suffix" : "" }, { "dropping-particle" : "", "family" : "Atkin", "given" : "O K", "non-dropping-particle" : "", "parse-names" : false, "suffix" : "" }, { "dropping-particle" : "", "family" : "Bonser", "given" : "S P", "non-dropping-particle" : "", "parse-names" : false, "suffix" : "" }, { "dropping-particle" : "", "family" : "Davidson", "given" : "a M", "non-dropping-particle" : "", "parse-names" : false, "suffix" : "" }, { "dropping-particle" : "", "family" : "Finnegan", "given" : "E J", "non-dropping-particle" : "", "parse-names" : false, "suffix" : "" }, { "dropping-particle" : "", "family" : "Mathesius", "given" : "U", "non-dropping-particle" : "", "parse-names" : false, "suffix" : "" }, { "dropping-particle" : "", "family" : "Poot", "given" : "P", "non-dropping-particle" : "", "parse-names" : false, "suffix" : "" }, { "dropping-particle" : "", "family" : "Purugganan", "given" : "M D", "non-dropping-particle" : "", "parse-names" : false, "suffix" : "" }, { "dropping-particle" : "", "family" : "Richards", "given" : "C L", "non-dropping-particle" : "", "parse-names" : false, "suffix" : "" }, { "dropping-particle" : "", "family" : "Valladares", "given" : "F", "non-dropping-particle" : "", "parse-names" : false, "suffix" : "" }, { "dropping-particle" : "", "family" : "Kleunen", "given" : "M", "non-dropping-particle" : "van", "parse-names" : false, "suffix" : "" } ], "container-title" : "Trends in plant science", "id" : "ITEM-1", "issue" : "12", "issued" : { "date-parts" : [ [ "2010", "12" ] ] }, "page" : "684-92", "publisher" : "Elsevier Ltd", "title" : "Plant phenotypic plasticity in a changing climate.", "type" : "article-journal", "volume" : "15" }, "uris" : [ "http://www.mendeley.com/documents/?uuid=d4433a93-0257-43bd-84ac-ed7597addeb6" ] } ], "mendeley" : { "formattedCitation" : "(Nicotra et al., 2010)", "plainTextFormattedCitation" : "(Nicotra et al., 2010)", "previouslyFormattedCitation" : "(Nicotra et al., 2010)" }, "properties" : { "noteIndex" : 0 }, "schema" : "https://github.com/citation-style-language/schema/raw/master/csl-citation.json" }</w:instrText>
      </w:r>
      <w:r w:rsidR="007369BF" w:rsidRPr="009953BF">
        <w:fldChar w:fldCharType="separate"/>
      </w:r>
      <w:r w:rsidR="000F7BF9" w:rsidRPr="000F7BF9">
        <w:rPr>
          <w:noProof/>
        </w:rPr>
        <w:t>(Nicotra et al., 2010)</w:t>
      </w:r>
      <w:r w:rsidR="007369BF" w:rsidRPr="009953BF">
        <w:fldChar w:fldCharType="end"/>
      </w:r>
      <w:r w:rsidRPr="009953BF">
        <w:t xml:space="preserve">. Plasticity can therefore alter along an environmental gradient due genetic drift of populations caused by differing selection pressures </w:t>
      </w:r>
      <w:r w:rsidR="007369BF" w:rsidRPr="009953BF">
        <w:fldChar w:fldCharType="begin" w:fldLock="1"/>
      </w:r>
      <w:r w:rsidR="007C2FF9">
        <w:instrText>ADDIN CSL_CITATION { "citationItems" : [ { "id" : "ITEM-1", "itemData" : { "author" : [ { "dropping-particle" : "", "family" : "Emery", "given" : "R J N", "non-dropping-particle" : "", "parse-names" : false, "suffix" : "" }, { "dropping-particle" : "", "family" : "Chinnappa", "given" : "C C", "non-dropping-particle" : "", "parse-names" : false, "suffix" : "" }, { "dropping-particle" : "", "family" : "Chmielewski", "given" : "J G", "non-dropping-particle" : "", "parse-names" : false, "suffix" : "" } ], "container-title" : "International Journal of Plant Sciences", "id" : "ITEM-1", "issue" : "2", "issued" : { "date-parts" : [ [ "1994" ] ] }, "page" : "203-219", "title" : "Specialization, plant strategies, and phenotypic plasticity in populations of Stellaria longpipes along an elevational gradient", "type" : "article-journal", "volume" : "155" }, "uris" : [ "http://www.mendeley.com/documents/?uuid=59dcb1b3-be6e-408d-87d0-bd63f91f573c" ] } ], "mendeley" : { "formattedCitation" : "(Emery et al., 1994)", "plainTextFormattedCitation" : "(Emery et al., 1994)", "previouslyFormattedCitation" : "(Emery et al., 1994)" }, "properties" : { "noteIndex" : 0 }, "schema" : "https://github.com/citation-style-language/schema/raw/master/csl-citation.json" }</w:instrText>
      </w:r>
      <w:r w:rsidR="007369BF" w:rsidRPr="009953BF">
        <w:fldChar w:fldCharType="separate"/>
      </w:r>
      <w:r w:rsidR="000F7BF9" w:rsidRPr="000F7BF9">
        <w:rPr>
          <w:noProof/>
        </w:rPr>
        <w:t>(Emery et al., 1994)</w:t>
      </w:r>
      <w:r w:rsidR="007369BF" w:rsidRPr="009953BF">
        <w:fldChar w:fldCharType="end"/>
      </w:r>
      <w:r w:rsidRPr="009953BF">
        <w:t xml:space="preserve">. </w:t>
      </w:r>
      <w:r w:rsidR="00C956D8" w:rsidRPr="009953BF">
        <w:tab/>
      </w:r>
    </w:p>
    <w:p w14:paraId="0EEEB4D9" w14:textId="7D7B7170" w:rsidR="00D97119" w:rsidRPr="009953BF" w:rsidRDefault="00D97119" w:rsidP="003B7DA5">
      <w:pPr>
        <w:pStyle w:val="BodyJB"/>
        <w:ind w:firstLine="720"/>
      </w:pPr>
      <w:r w:rsidRPr="00296734">
        <w:t xml:space="preserve">The impacts of both biotic and abiotic environment conditions are ultimately based at the level of the individual. Understanding traits at the individual level provides a basis from which to understand more complex dynamics at the population and community level. </w:t>
      </w:r>
      <w:r w:rsidRPr="00296734">
        <w:rPr>
          <w:rFonts w:ascii="Times New Roman" w:hAnsi="Times New Roman"/>
        </w:rPr>
        <w:t xml:space="preserve">Typically studies aim to determine whether differentiation is adaptive by assessing a number of fitness related traits simultaneously </w:t>
      </w:r>
      <w:r w:rsidRPr="00296734">
        <w:rPr>
          <w:rFonts w:ascii="Times New Roman" w:hAnsi="Times New Roman"/>
        </w:rPr>
        <w:fldChar w:fldCharType="begin" w:fldLock="1"/>
      </w:r>
      <w:r w:rsidR="007C2FF9">
        <w:rPr>
          <w:rFonts w:ascii="Times New Roman" w:hAnsi="Times New Roman"/>
        </w:rPr>
        <w:instrText>ADDIN CSL_CITATION { "citationItems" : [ { "id" : "ITEM-1", "itemData" : { "ISSN" : "0014-3820", "PMID" : "11005286", "abstract" : "Studies of many plants species have demonstrated adaptive genetic differentiation to local environmental conditions. Typically these studies are conducted to evaluate adaptation to contrasting environments. As a consequence, although local adaptation has been frequently demonstrated, we have little information as to the spatial scale of adaptive evolution. We evaluated adaptive differentiation between populations of the annual legume Chamaecrista fasciculata using a replicated common-garden design. Study sites were established in three field locations that are home to native populations of C. fasciculata. Each location was planted for two years with seed from the population native to the study site (home population) and populations located six distances (0.1-2000 km) from each site (transplanted populations). Seeds were planted into the study sites with minimum disturbance to determine the scale of local adaptation, as measured by a home-site fitness advantage, for five fitness components: germination, survival, vegetative biomass, fruit production, and the number of fruit produced per seed planted (an estimate of cumulative fitness). For all characters there was little evidence for local adaptation, except at the furthest spatial scales. Patterns of adaptive differentiation were fairly consistent in two of the three sites, but varied between years. Little genetic variation was expressed at the third site. These results, combined with previous estimates of limited gene flow, suggest that metapopulation processes and temporal environmental variation act together to reduce local adaptation, except over long distances.", "author" : [ { "dropping-particle" : "", "family" : "Galloway", "given" : "L F", "non-dropping-particle" : "", "parse-names" : false, "suffix" : "" }, { "dropping-particle" : "", "family" : "Fenster", "given" : "C B", "non-dropping-particle" : "", "parse-names" : false, "suffix" : "" } ], "container-title" : "Evolution; international journal of organic evolution", "id" : "ITEM-1", "issue" : "4", "issued" : { "date-parts" : [ [ "2000", "8" ] ] }, "page" : "1173-81", "title" : "Population differentiation in an annual legume: local adaptation.", "type" : "article-journal", "volume" : "54" }, "uris" : [ "http://www.mendeley.com/documents/?uuid=66719885-feca-49a8-b1e9-c5550493fbb8" ] }, { "id" : "ITEM-2", "itemData" : { "abstract" : "Plant populations often adapt to local environmentalconditions. Here we demonstrate local adaptation in twosubspecies of the California native annual Gilia capitata usingstandard reciprocal transplant techniques in two sites (coastaland inland) over three consecutive years. Subspeciesperformance in each site was measured in four ways: probabilityof seedling emergence, early vegetative size (length of longestleaf), probability of flowering, and total number ofinflorescences produced per plant. Analysis of three of thefour variables demonstrated local adaptation through site-by-subspecies interactions in which natives outperformedimmigrants. The disparity between natives and immigrants intheir probability of emergence and probability of flowering wasgreater at the coastal site than at the inland site. Treated inisolation, these two fitness components suggest that migrationfrom the coast to the inland site may be less restricted byselection than migration in the opposite direction. Twomeasurements of individual size (leaf length and number ofinflorescences), suggest (though not strongly) that immigrantsmay be subject to weaker selection at the coastal site than atthe inland site. A standard cohort life table is used tocompare replacement rates (R-0) for each subspecies at eachsite. Comparisons of R(0)s suggest that immigrants are under asevere demographic disadvantage at the coastal site, but only asmall disadvantage at the inland site. The results point outthe importance of integrating over several fitness componentswhen documenting the magnitude of local adaptation.", "author" : [ { "dropping-particle" : "", "family" : "Nagy", "given" : "E S", "non-dropping-particle" : "", "parse-names" : false, "suffix" : "" }, { "dropping-particle" : "", "family" : "Rice", "given" : "K J", "non-dropping-particle" : "", "parse-names" : false, "suffix" : "" } ], "container-title" : "Evolution", "id" : "ITEM-2", "issue" : "4", "issued" : { "date-parts" : [ [ "1997" ] ] }, "page" : "1079-1089", "title" : "Local Adaptation in Two Subspecies of an Annual Plant:Implications for Migration and Gene Flow", "type" : "article-journal", "volume" : "51" }, "uris" : [ "http://www.mendeley.com/documents/?uuid=7d9f68d6-e653-42fd-b5dc-2eaca945c164" ] }, { "id" : "ITEM-3", "itemData" : { "DOI" : "10.1111/j.1420-9101.2008.01566.x", "ISSN" : "1420-9101", "PMID" : "18557796", "abstract" : "Climate change is likely to spur rapid evolution, potentially altering integrated suites of life-history traits. We examined evolutionary change in multiple life-history traits of the annual plant Brassica rapa collected before and after a recent 5-year drought in southern California. We used a direct approach to examining evolutionary change by comparing ancestors and descendants. Collections were made from two populations varying in average soil moisture levels, and lines propagated from the collected seeds were grown in a greenhouse and experimentally subjected to conditions simulating either drought (short growing season) or high precipitation (long growing season) years. Comparing ancestors and descendants, we found that the drought caused many changes in life-history traits, including a shift to earlier flowering, longer duration of flowering, reduced peak flowering and greater skew of the flowering schedule. Descendants had thinner stems and fewer leaf nodes at the time of flowering than ancestors, indicating that the drought selected for plants that flowered at a smaller size and earlier ontogenetic stage rather than selecting for plants to develop more rapidly. Thus, there was not evidence for absolute developmental constraints to flowering time evolution. Common principal component analyses showed substantial differences in the matrix of trait covariances both between short and long growing season treatments and between populations. Although the covariances matrices were generally similar between ancestors and descendants, there was evidence for complex evolutionary changes in the relationships among the traits, and these changes depended on the population and treatment. These results show that a full appreciation of the impacts of global change on phenotypic evolution will entail an understanding of how changes in climatic conditions affect trait values and the structure of relationships among traits.", "author" : [ { "dropping-particle" : "", "family" : "Franks", "given" : "S J", "non-dropping-particle" : "", "parse-names" : false, "suffix" : "" }, { "dropping-particle" : "", "family" : "Weis", "given" : "a E", "non-dropping-particle" : "", "parse-names" : false, "suffix" : "" } ], "container-title" : "Journal of evolutionary biology", "id" : "ITEM-3", "issue" : "5", "issued" : { "date-parts" : [ [ "2008", "9" ] ] }, "page" : "1321-34", "title" : "A change in climate causes rapid evolution of multiple life-history traits and their interactions in an annual plant.", "type" : "article-journal", "volume" : "21" }, "uris" : [ "http://www.mendeley.com/documents/?uuid=a0726486-e940-4763-98f7-fa30ffb97121" ] }, { "id" : "ITEM-4", "itemData" : { "DOI" : "10.1139/b03-141", "ISBN" : "0008-4026", "ISSN" : "0008-4026", "abstract" : "Adaptation to winter cold in temperate and boreal trees involves complex genetic, physiological, and devel- opmental processes. Genecological studies demonstrate the existence of steep genetic clines for cold adaptation traits in relation to environmental (mostly temperature related) gradients. Population differentiation is generally stronger for cold adaptation traits than for other quantitative traits and allozymes. Therefore, these traits appear to be under strong natu- ral selection. Nonetheless, high levels of genetic variation persist within populations. The genetic control of cold adap- tation traits ranges from weak to strong, with phenological traits having the highest heritabilities. Within-population genetic correlations among traits range from negligible to moderate. Generally, bud phenology and cold hardiness in the fall are genetically uncorrelated with bud phenology and cold hardiness in the spring. Analyses of quantitative trait loci indicate that cold adaptation traits are mostly controlled by multiple genes with small effects and that quantitative trait loci \u00d7 environment interactions are common. Given this inherent complexity, we suggest that future research should focus on identifying and developing markers for cold adaptation candidate genes, then using multilocus, multi- allelic analytical techniques to uncover the relationships between genotype and phenotype at both the individual and population levels. Ultimately, these methods may be useful for predicting the performance of genotypes in breeding programs and for better understanding the evolutionary ecology of forest trees. Key", "author" : [ { "dropping-particle" : "", "family" : "Howe", "given" : "Glenn T", "non-dropping-particle" : "", "parse-names" : false, "suffix" : "" }, { "dropping-particle" : "", "family" : "Aitken", "given" : "Sally N", "non-dropping-particle" : "", "parse-names" : false, "suffix" : "" }, { "dropping-particle" : "", "family" : "Neale", "given" : "David B", "non-dropping-particle" : "", "parse-names" : false, "suffix" : "" }, { "dropping-particle" : "", "family" : "Jermstad", "given" : "Kathleen D", "non-dropping-particle" : "", "parse-names" : false, "suffix" : "" }, { "dropping-particle" : "", "family" : "Wheeler", "given" : "Nicholas C", "non-dropping-particle" : "", "parse-names" : false, "suffix" : "" }, { "dropping-particle" : "", "family" : "Chen", "given" : "Tony Hh", "non-dropping-particle" : "", "parse-names" : false, "suffix" : "" } ], "container-title" : "Canadian Journal of Botany", "id" : "ITEM-4", "issued" : { "date-parts" : [ [ "2003" ] ] }, "page" : "1247-1266", "title" : "From genotype to phenotype: unraveling the complexities of cold adaptation in forest trees", "type" : "article-journal", "volume" : "81" }, "uris" : [ "http://www.mendeley.com/documents/?uuid=484e0404-a56e-4f21-9bee-51525fbf4ed1" ] } ], "mendeley" : { "formattedCitation" : "(Nagy and Rice, 1997; Galloway and Fenster, 2000; Howe et al., 2003; Franks and Weis, 2008)", "plainTextFormattedCitation" : "(Nagy and Rice, 1997; Galloway and Fenster, 2000; Howe et al., 2003; Franks and Weis, 2008)", "previouslyFormattedCitation" : "(Nagy and Rice, 1997; Galloway and Fenster, 2000; Howe et al., 2003; Franks and Weis, 2008)" }, "properties" : { "noteIndex" : 0 }, "schema" : "https://github.com/citation-style-language/schema/raw/master/csl-citation.json" }</w:instrText>
      </w:r>
      <w:r w:rsidRPr="00296734">
        <w:rPr>
          <w:rFonts w:ascii="Times New Roman" w:hAnsi="Times New Roman"/>
        </w:rPr>
        <w:fldChar w:fldCharType="separate"/>
      </w:r>
      <w:r w:rsidR="000F7BF9" w:rsidRPr="000F7BF9">
        <w:rPr>
          <w:rFonts w:ascii="Times New Roman" w:hAnsi="Times New Roman"/>
          <w:noProof/>
        </w:rPr>
        <w:t>(Nagy and Rice, 1997; Galloway and Fenster, 2000; Howe et al., 2003; Franks and Weis, 2008)</w:t>
      </w:r>
      <w:r w:rsidRPr="00296734">
        <w:rPr>
          <w:rFonts w:ascii="Times New Roman" w:hAnsi="Times New Roman"/>
        </w:rPr>
        <w:fldChar w:fldCharType="end"/>
      </w:r>
      <w:r w:rsidRPr="00296734">
        <w:rPr>
          <w:rFonts w:ascii="Times New Roman" w:hAnsi="Times New Roman"/>
        </w:rPr>
        <w:t xml:space="preserve">. The analysis of correlated traits is of key importance in predicting evolutionary change since evolution not only operates on individual traits but through their covariance with other traits </w:t>
      </w:r>
      <w:r w:rsidRPr="00296734">
        <w:rPr>
          <w:rFonts w:ascii="Times New Roman" w:hAnsi="Times New Roman"/>
        </w:rPr>
        <w:fldChar w:fldCharType="begin" w:fldLock="1"/>
      </w:r>
      <w:r w:rsidR="007C2FF9">
        <w:rPr>
          <w:rFonts w:ascii="Times New Roman" w:hAnsi="Times New Roman"/>
        </w:rPr>
        <w:instrText>ADDIN CSL_CITATION { "citationItems" : [ { "id" : "ITEM-1", "itemData" : { "DOI" : "10.1126/science.1063656", "ISSN" : "0036-8075", "PMID" : "11588260", "abstract" : "We characterized the genetic architecture of three populations of a native North American prairie plant in field conditions that simulate the warmer and more arid climates predicted by global climate models. Despite genetic variance for traits under selection, among-trait genetic correlations that are antagonistic to the direction of selection limit adaptive evolution within these populations. Predicted rates of evolutionary response are much slower than the predicted rate of climate change.", "author" : [ { "dropping-particle" : "", "family" : "Etterson", "given" : "J R", "non-dropping-particle" : "", "parse-names" : false, "suffix" : "" }, { "dropping-particle" : "", "family" : "Shaw", "given" : "R G", "non-dropping-particle" : "", "parse-names" : false, "suffix" : "" } ], "container-title" : "Science (New York, N.Y.)", "id" : "ITEM-1", "issue" : "5540", "issued" : { "date-parts" : [ [ "2001", "10", "5" ] ] }, "page" : "151-4", "title" : "Constraint to adaptive evolution in response to global warming.", "type" : "article-journal", "volume" : "294" }, "uris" : [ "http://www.mendeley.com/documents/?uuid=cfed61f5-e6cd-4bbd-ac91-d85abe840ba1" ] } ], "mendeley" : { "formattedCitation" : "(Etterson and Shaw, 2001)", "plainTextFormattedCitation" : "(Etterson and Shaw, 2001)", "previouslyFormattedCitation" : "(Etterson and Shaw, 2001)" }, "properties" : { "noteIndex" : 0 }, "schema" : "https://github.com/citation-style-language/schema/raw/master/csl-citation.json" }</w:instrText>
      </w:r>
      <w:r w:rsidRPr="00296734">
        <w:rPr>
          <w:rFonts w:ascii="Times New Roman" w:hAnsi="Times New Roman"/>
        </w:rPr>
        <w:fldChar w:fldCharType="separate"/>
      </w:r>
      <w:r w:rsidR="000F7BF9" w:rsidRPr="000F7BF9">
        <w:rPr>
          <w:rFonts w:ascii="Times New Roman" w:hAnsi="Times New Roman"/>
          <w:noProof/>
        </w:rPr>
        <w:t>(Etterson and Shaw, 2001)</w:t>
      </w:r>
      <w:r w:rsidRPr="00296734">
        <w:rPr>
          <w:rFonts w:ascii="Times New Roman" w:hAnsi="Times New Roman"/>
        </w:rPr>
        <w:fldChar w:fldCharType="end"/>
      </w:r>
      <w:r w:rsidRPr="00296734">
        <w:rPr>
          <w:rFonts w:ascii="Times New Roman" w:hAnsi="Times New Roman"/>
        </w:rPr>
        <w:t xml:space="preserve">. As well as measuring a number of traits relating to phenology growth, reproduction, this </w:t>
      </w:r>
      <w:r w:rsidR="00BE4255">
        <w:rPr>
          <w:rFonts w:ascii="Times New Roman" w:hAnsi="Times New Roman"/>
        </w:rPr>
        <w:t>thesis</w:t>
      </w:r>
      <w:r w:rsidRPr="00296734">
        <w:rPr>
          <w:rFonts w:ascii="Times New Roman" w:hAnsi="Times New Roman"/>
        </w:rPr>
        <w:t xml:space="preserve"> analyses the metabolic profiles of plant species.</w:t>
      </w:r>
    </w:p>
    <w:p w14:paraId="071AF850" w14:textId="77777777" w:rsidR="001119C8" w:rsidRPr="009953BF" w:rsidRDefault="001119C8" w:rsidP="007C44CD">
      <w:pPr>
        <w:pStyle w:val="BodyJB"/>
      </w:pPr>
    </w:p>
    <w:p w14:paraId="423CBCDA" w14:textId="15F90BB3" w:rsidR="00A23813" w:rsidRPr="00F35EBE" w:rsidRDefault="004C507C" w:rsidP="00B64224">
      <w:pPr>
        <w:pStyle w:val="SubheadingJB"/>
      </w:pPr>
      <w:bookmarkStart w:id="3" w:name="_Toc291410029"/>
      <w:r w:rsidRPr="009953BF">
        <w:t>1.2</w:t>
      </w:r>
      <w:r w:rsidR="00A23813" w:rsidRPr="009953BF">
        <w:t xml:space="preserve">- </w:t>
      </w:r>
      <w:r w:rsidR="009953BF" w:rsidRPr="009953BF">
        <w:t>A new assessment of</w:t>
      </w:r>
      <w:r w:rsidR="00A23813" w:rsidRPr="009953BF">
        <w:t xml:space="preserve"> climate-plant relationships</w:t>
      </w:r>
      <w:bookmarkEnd w:id="3"/>
    </w:p>
    <w:p w14:paraId="2F25C473" w14:textId="77777777" w:rsidR="004C507C" w:rsidRPr="00B64224" w:rsidRDefault="004C507C" w:rsidP="003B7DA5">
      <w:pPr>
        <w:pStyle w:val="subheadingMINOR"/>
      </w:pPr>
      <w:bookmarkStart w:id="4" w:name="_Toc291410030"/>
      <w:r w:rsidRPr="00B64224">
        <w:t>1.2.1- Metabolomics background</w:t>
      </w:r>
      <w:bookmarkEnd w:id="4"/>
    </w:p>
    <w:p w14:paraId="56EE2DAB" w14:textId="711E44CA" w:rsidR="004C507C" w:rsidRPr="009953BF" w:rsidRDefault="004C507C" w:rsidP="003B7DA5">
      <w:pPr>
        <w:pStyle w:val="BodyJB"/>
        <w:ind w:firstLine="720"/>
      </w:pPr>
      <w:r w:rsidRPr="009953BF">
        <w:t xml:space="preserve">Variation in metabolism underpins plant response to changing environmental conditions, therefore metabolic traits play an important role in a plant’s growth and survival. Studying phenotypic variation and plasticity within populations requires an analysis that can detect changes in plant phenotypes according to environmental stress and individual genotype </w:t>
      </w:r>
      <w:r w:rsidR="00567C96">
        <w:fldChar w:fldCharType="begin" w:fldLock="1"/>
      </w:r>
      <w:r w:rsidR="007C2FF9">
        <w:instrText>ADDIN CSL_CITATION { "citationItems" : [ { "id" : "ITEM-1", "itemData" : { "ISSN" : "1360-1385", "PMID" : "10637658", "abstract" : "The definition of gene functions requires the phenotypic characterization of genetic variants. Currently, such functional analysis of Arabidopsis genes is based largely on laboratory-induced mutants that are selected in forward and reverse genetic studies. An alternative complementary source of genetic variation is available: the naturally occurring variation among accessions. The multigenic nature of most of this variation has limited its application until now. However, the use of genetic methods developed to map quantitative trait loci, in combination with the characteristics and resources available for molecular biology in Arabidopsis, allow this variation to be exploited up to the molecular level. Here, we describe the current tools available for the forward genetic analysis of this variation, and review the recent progress in the detection and mapping of loci and the cloning of large-effect genes.", "author" : [ { "dropping-particle" : "", "family" : "Alonso-Blanco", "given" : "C", "non-dropping-particle" : "", "parse-names" : false, "suffix" : "" }, { "dropping-particle" : "", "family" : "Koornneef", "given" : "M", "non-dropping-particle" : "", "parse-names" : false, "suffix" : "" } ], "container-title" : "Trends in plant science", "id" : "ITEM-1", "issue" : "1", "issued" : { "date-parts" : [ [ "2000", "1" ] ] }, "page" : "22-9", "title" : "Naturally occurring variation in Arabidopsis: an underexploited resource for plant genetics.", "type" : "article-journal", "volume" : "5" }, "uris" : [ "http://www.mendeley.com/documents/?uuid=d0950faa-cc74-418c-b101-d2b526c08a2c" ] } ], "mendeley" : { "formattedCitation" : "(Alonso-Blanco and Koornneef, 2000)", "plainTextFormattedCitation" : "(Alonso-Blanco and Koornneef, 2000)", "previouslyFormattedCitation" : "(Alonso-Blanco and Koornneef, 2000)" }, "properties" : { "noteIndex" : 0 }, "schema" : "https://github.com/citation-style-language/schema/raw/master/csl-citation.json" }</w:instrText>
      </w:r>
      <w:r w:rsidR="00567C96">
        <w:fldChar w:fldCharType="separate"/>
      </w:r>
      <w:r w:rsidR="000F7BF9" w:rsidRPr="000F7BF9">
        <w:rPr>
          <w:noProof/>
        </w:rPr>
        <w:t>(Alonso-Blanco and Koornneef, 2000)</w:t>
      </w:r>
      <w:r w:rsidR="00567C96">
        <w:fldChar w:fldCharType="end"/>
      </w:r>
      <w:r w:rsidR="00567C96">
        <w:t xml:space="preserve">. </w:t>
      </w:r>
    </w:p>
    <w:p w14:paraId="0A5AD450" w14:textId="64059D54" w:rsidR="004C507C" w:rsidRPr="009953BF" w:rsidRDefault="004C507C" w:rsidP="0052046B">
      <w:pPr>
        <w:pStyle w:val="BodyJB"/>
      </w:pPr>
      <w:r w:rsidRPr="009953BF">
        <w:t xml:space="preserve">The metabolome is the collection of all metabolites (compounds of low molecular weight) within an organism and represents the ultimate phenotype of cells after the perturbations in gene expression and protein functions caused by the environment or genetic mutations </w:t>
      </w:r>
      <w:r w:rsidR="007369BF" w:rsidRPr="009953BF">
        <w:fldChar w:fldCharType="begin" w:fldLock="1"/>
      </w:r>
      <w:r w:rsidR="007C2FF9">
        <w:instrText>ADDIN CSL_CITATION { "citationItems" : [ { "id" : "ITEM-1", "itemData" : { "ISBN" : "0167-4412", "abstract" : "Metabolites are the end products of cellular regulatory processes, and their levels can be regarded as the ultimate response of biological systems to genetic or environmental changes. In parallel to the terms 'transcriptome' and 'proteome', the set of metabolites synthesized by a biological system constitute its 'metabolome'. Yet, unlike other functional genomics approaches, the unbiased simultaneous identification and quantification of plant metabolomes has been largely neglected. Until recently, most analyses were restricted to profiling selected classes of compounds, or to fingerprinting metabolic changes without sufficient analytical resolution to determine metabolite levels and identities individually. As a prerequisite for metabolomic analysis, careful consideration of the methods employed for tissue extraction, sample preparation, data acquisition, and data mining must be taken. In this review, the differences among metabolite target analysis, metabolite profiling, and metabolic fingerprinting are clarified, and terms are defined. Current approaches are examined, and potential applications are summarized with a special emphasis on data mining and mathematical modelling of metabolism.", "author" : [ { "dropping-particle" : "", "family" : "Fiehn", "given" : "O", "non-dropping-particle" : "", "parse-names" : false, "suffix" : "" } ], "container-title" : "Plant Molecular Biology", "id" : "ITEM-1", "issue" : "1-2", "issued" : { "date-parts" : [ [ "2002" ] ] }, "language" : "English", "page" : "155-171", "title" : "Metabolomics - the link between genotypes and phenotypes", "type" : "article-journal", "volume" : "48" }, "uris" : [ "http://www.mendeley.com/documents/?uuid=b4b28144-2f4d-4108-8afb-7fc67846588b" ] } ], "mendeley" : { "formattedCitation" : "(Fiehn, 2002)", "plainTextFormattedCitation" : "(Fiehn, 2002)", "previouslyFormattedCitation" : "(Fiehn, 2002)" }, "properties" : { "noteIndex" : 0 }, "schema" : "https://github.com/citation-style-language/schema/raw/master/csl-citation.json" }</w:instrText>
      </w:r>
      <w:r w:rsidR="007369BF" w:rsidRPr="009953BF">
        <w:fldChar w:fldCharType="separate"/>
      </w:r>
      <w:r w:rsidR="000F7BF9" w:rsidRPr="000F7BF9">
        <w:rPr>
          <w:noProof/>
        </w:rPr>
        <w:t>(Fiehn, 2002)</w:t>
      </w:r>
      <w:r w:rsidR="007369BF" w:rsidRPr="009953BF">
        <w:fldChar w:fldCharType="end"/>
      </w:r>
      <w:r w:rsidRPr="009953BF">
        <w:t xml:space="preserve">. Metabolites can be endogenous in origin, synthesized within the cell or organism, or they may be exogenous having been consumed from the external environment (food, nutrients) </w:t>
      </w:r>
      <w:r w:rsidR="007369BF" w:rsidRPr="009953BF">
        <w:fldChar w:fldCharType="begin">
          <w:fldData xml:space="preserve">PEVuZE5vdGU+PENpdGU+PEF1dGhvcj5EdW5uPC9BdXRob3I+PFllYXI+MjAwODwvWWVhcj48UmVj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==
</w:fldData>
        </w:fldChar>
      </w:r>
      <w:r w:rsidRPr="009953BF">
        <w:instrText xml:space="preserve"> ADDIN EN.CITE </w:instrText>
      </w:r>
      <w:r w:rsidR="007369BF" w:rsidRPr="009953BF">
        <w:fldChar w:fldCharType="begin">
          <w:fldData xml:space="preserve">PEVuZE5vdGU+PENpdGU+PEF1dGhvcj5EdW5uPC9BdXRob3I+PFllYXI+MjAwODwvWWVhcj48UmVj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==
</w:fldData>
        </w:fldChar>
      </w:r>
      <w:r w:rsidRPr="009953BF">
        <w:instrText xml:space="preserve"> ADDIN EN.CITE.DATA </w:instrText>
      </w:r>
      <w:r w:rsidR="007369BF" w:rsidRPr="009953BF">
        <w:fldChar w:fldCharType="end"/>
      </w:r>
      <w:r w:rsidR="007369BF" w:rsidRPr="009953BF">
        <w:fldChar w:fldCharType="separate"/>
      </w:r>
      <w:r w:rsidRPr="009953BF">
        <w:rPr>
          <w:noProof/>
        </w:rPr>
        <w:t>(Dunn, 2008)</w:t>
      </w:r>
      <w:r w:rsidR="007369BF" w:rsidRPr="009953BF">
        <w:fldChar w:fldCharType="end"/>
      </w:r>
      <w:r w:rsidRPr="009953BF">
        <w:t>.</w:t>
      </w:r>
    </w:p>
    <w:p w14:paraId="598FB6B6" w14:textId="77777777" w:rsidR="004C507C" w:rsidRPr="009953BF" w:rsidRDefault="004C507C" w:rsidP="0052046B">
      <w:pPr>
        <w:pStyle w:val="BodyJB"/>
      </w:pPr>
      <w:r w:rsidRPr="009953BF">
        <w:t xml:space="preserve">Metabolomics is now a well-established scientific field that studies this metabolome in different organisms using a variety of strategies. Metabolic profiling is the identification and quantification of metabolites present in an organism </w:t>
      </w:r>
      <w:r w:rsidR="007369BF" w:rsidRPr="009953BF">
        <w:fldChar w:fldCharType="begin"/>
      </w:r>
      <w:r w:rsidRPr="009953BF">
        <w:instrText xml:space="preserve"> ADDIN EN.CITE &lt;EndNote&gt;&lt;Cite&gt;&lt;Author&gt;Hall&lt;/Author&gt;&lt;Year&gt;2006&lt;/Year&gt;&lt;RecNum&gt;37&lt;/RecNum&gt;&lt;record&gt;&lt;rec-number&gt;37&lt;/rec-number&gt;&lt;foreign-keys&gt;&lt;key app="EN" db-id="pese2xzve2rpzpe9z06psrtrar5ta009v9pp"&gt;37&lt;/key&gt;&lt;/foreign-keys&gt;&lt;ref-type name="Journal Article"&gt;17&lt;/ref-type&gt;&lt;contributors&gt;&lt;authors&gt;&lt;author&gt;Hall, R. D.&lt;/author&gt;&lt;/authors&gt;&lt;/contributors&gt;&lt;auth-address&gt;Hall, Rd&amp;#xD;Plant Res Int, Business Unit Biosci, POB 16, NL-6700 AA Wageningen, Netherlands&amp;#xD;Plant Res Int, Business Unit Biosci, POB 16, NL-6700 AA Wageningen, Netherlands&amp;#xD;Plant Res Int, Business Unit Biosci, NL-6700 AA Wageningen, Netherlands&amp;#xD;Ctr Biosyst Genom, NL-6700 AB Wageningen, Netherlands&lt;/auth-address&gt;&lt;titles&gt;&lt;title&gt;Plant metabolomics: from holistic hope, to hype, to hot topic&lt;/title&gt;&lt;secondary-title&gt;New Phytologist&lt;/secondary-title&gt;&lt;alt-title&gt;New Phytol&lt;/alt-title&gt;&lt;/titles&gt;&lt;periodical&gt;&lt;full-title&gt;New Phytologist&lt;/full-title&gt;&lt;abbr-1&gt;New Phytol&lt;/abbr-1&gt;&lt;/periodical&gt;&lt;alt-periodical&gt;&lt;full-title&gt;New Phytologist&lt;/full-title&gt;&lt;abbr-1&gt;New Phytol&lt;/abbr-1&gt;&lt;/alt-periodical&gt;&lt;pages&gt;453-468&lt;/pages&gt;&lt;volume&gt;169&lt;/volume&gt;&lt;number&gt;3&lt;/number&gt;&lt;keywords&gt;&lt;keyword&gt;functional genomics&lt;/keyword&gt;&lt;keyword&gt;mass spectrometry&lt;/keyword&gt;&lt;keyword&gt;metabolism&lt;/keyword&gt;&lt;keyword&gt;metabolomics&lt;/keyword&gt;&lt;keyword&gt;nuclear magnetic resonance (nmr)&lt;/keyword&gt;&lt;keyword&gt;pathways&lt;/keyword&gt;&lt;keyword&gt;systems biology&lt;/keyword&gt;&lt;keyword&gt;electrophoresis mass-spectrometry&lt;/keyword&gt;&lt;keyword&gt;systems biology&lt;/keyword&gt;&lt;keyword&gt;arabidopsis-thaliana&lt;/keyword&gt;&lt;keyword&gt;functional genomics&lt;/keyword&gt;&lt;keyword&gt;secondary metabolites&lt;/keyword&gt;&lt;keyword&gt;tomato&lt;/keyword&gt;&lt;keyword&gt;tool&lt;/keyword&gt;&lt;keyword&gt;nmr&lt;/keyword&gt;&lt;keyword&gt;transcriptomics&lt;/keyword&gt;&lt;keyword&gt;discrimination&lt;/keyword&gt;&lt;/keywords&gt;&lt;dates&gt;&lt;year&gt;2006&lt;/year&gt;&lt;/dates&gt;&lt;isbn&gt;0028-646X&lt;/isbn&gt;&lt;accession-num&gt;ISI:000234524700004&lt;/accession-num&gt;&lt;urls&gt;&lt;related-urls&gt;&lt;url&gt;&amp;lt;Go to ISI&amp;gt;://000234524700004&lt;/url&gt;&lt;/related-urls&gt;&lt;/urls&gt;&lt;electronic-resource-num&gt;Doi 10.1111/J.1469-8137.2005.01632.X&lt;/electronic-resource-num&gt;&lt;language&gt;English&lt;/language&gt;&lt;/record&gt;&lt;/Cite&gt;&lt;/EndNote&gt;</w:instrText>
      </w:r>
      <w:r w:rsidR="007369BF" w:rsidRPr="009953BF">
        <w:fldChar w:fldCharType="separate"/>
      </w:r>
      <w:r w:rsidRPr="009953BF">
        <w:rPr>
          <w:noProof/>
        </w:rPr>
        <w:t>(Hall, 2006)</w:t>
      </w:r>
      <w:r w:rsidR="007369BF" w:rsidRPr="009953BF">
        <w:fldChar w:fldCharType="end"/>
      </w:r>
      <w:r w:rsidRPr="009953BF">
        <w:t xml:space="preserve">. It is generally only feasible to profile a limited number of components of the metabolome at any one time, since profiling techniques, are designed to investigate only small parts of the metabolome </w:t>
      </w:r>
      <w:r w:rsidR="007369BF" w:rsidRPr="009953BF">
        <w:fldChar w:fldCharType="begin">
          <w:fldData xml:space="preserve">PEVuZE5vdGU+PENpdGU+PEF1dGhvcj5IYWxrZXQ8L0F1dGhvcj48WWVhcj4yMDA1PC9ZZWFyPjxS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</w:fldData>
        </w:fldChar>
      </w:r>
      <w:r w:rsidRPr="009953BF">
        <w:instrText xml:space="preserve"> ADDIN EN.CITE </w:instrText>
      </w:r>
      <w:r w:rsidR="007369BF" w:rsidRPr="009953BF">
        <w:fldChar w:fldCharType="begin">
          <w:fldData xml:space="preserve">PEVuZE5vdGU+PENpdGU+PEF1dGhvcj5IYWxrZXQ8L0F1dGhvcj48WWVhcj4yMDA1PC9ZZWFyPjxS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</w:fldData>
        </w:fldChar>
      </w:r>
      <w:r w:rsidRPr="009953BF">
        <w:instrText xml:space="preserve"> ADDIN EN.CITE.DATA </w:instrText>
      </w:r>
      <w:r w:rsidR="007369BF" w:rsidRPr="009953BF">
        <w:fldChar w:fldCharType="end"/>
      </w:r>
      <w:r w:rsidR="007369BF" w:rsidRPr="009953BF">
        <w:fldChar w:fldCharType="separate"/>
      </w:r>
      <w:r w:rsidRPr="009953BF">
        <w:rPr>
          <w:noProof/>
        </w:rPr>
        <w:t>(Halket et al., 2005)</w:t>
      </w:r>
      <w:r w:rsidR="007369BF" w:rsidRPr="009953BF">
        <w:fldChar w:fldCharType="end"/>
      </w:r>
      <w:r w:rsidRPr="009953BF">
        <w:t xml:space="preserve">. This process is typically used in studies that aim to elucidate the effects of biotic and abiotic factors on specific pathways using targeted analytical techniques such as HPLC. </w:t>
      </w:r>
    </w:p>
    <w:p w14:paraId="16C85ECF" w14:textId="0E429731" w:rsidR="004C507C" w:rsidRPr="009953BF" w:rsidRDefault="004C507C" w:rsidP="0052046B">
      <w:pPr>
        <w:pStyle w:val="BodyJB"/>
      </w:pPr>
      <w:r w:rsidRPr="009953BF">
        <w:tab/>
      </w:r>
      <w:r w:rsidRPr="003B7DA5">
        <w:t>When identification of ev</w:t>
      </w:r>
      <w:r w:rsidR="00567C96" w:rsidRPr="003B7DA5">
        <w:t>ery metabolite is not necessary, t</w:t>
      </w:r>
      <w:r w:rsidRPr="003B7DA5">
        <w:t xml:space="preserve">he metabolome can also be studied by using an unbiased exploratory process called metabolic fingerprinting. This is the high throughput qualitative screening of the metabolic composition of an organism </w:t>
      </w:r>
      <w:r w:rsidR="007369BF" w:rsidRPr="003B7DA5">
        <w:fldChar w:fldCharType="begin"/>
      </w:r>
      <w:r w:rsidRPr="003B7DA5">
        <w:instrText xml:space="preserve"> ADDIN EN.CITE &lt;EndNote&gt;&lt;Cite&gt;&lt;Author&gt;Hall&lt;/Author&gt;&lt;Year&gt;2006&lt;/Year&gt;&lt;RecNum&gt;37&lt;/RecNum&gt;&lt;record&gt;&lt;rec-number&gt;37&lt;/rec-number&gt;&lt;foreign-keys&gt;&lt;key app="EN" db-id="pese2xzve2rpzpe9z06psrtrar5ta009v9pp"&gt;37&lt;/key&gt;&lt;/foreign-keys&gt;&lt;ref-type name="Journal Article"&gt;17&lt;/ref-type&gt;&lt;contributors&gt;&lt;authors&gt;&lt;author&gt;Hall, R. D.&lt;/author&gt;&lt;/authors&gt;&lt;/contributors&gt;&lt;auth-address&gt;Hall, Rd&amp;#xD;Plant Res Int, Business Unit Biosci, POB 16, NL-6700 AA Wageningen, Netherlands&amp;#xD;Plant Res Int, Business Unit Biosci, POB 16, NL-6700 AA Wageningen, Netherlands&amp;#xD;Plant Res Int, Business Unit Biosci, NL-6700 AA Wageningen, Netherlands&amp;#xD;Ctr Biosyst Genom, NL-6700 AB Wageningen, Netherlands&lt;/auth-address&gt;&lt;titles&gt;&lt;title&gt;Plant metabolomics: from holistic hope, to hype, to hot topic&lt;/title&gt;&lt;secondary-title&gt;New Phytologist&lt;/secondary-title&gt;&lt;alt-title&gt;New Phytol&lt;/alt-title&gt;&lt;/titles&gt;&lt;periodical&gt;&lt;full-title&gt;New Phytologist&lt;/full-title&gt;&lt;abbr-1&gt;New Phytol&lt;/abbr-1&gt;&lt;/periodical&gt;&lt;alt-periodical&gt;&lt;full-title&gt;New Phytologist&lt;/full-title&gt;&lt;abbr-1&gt;New Phytol&lt;/abbr-1&gt;&lt;/alt-periodical&gt;&lt;pages&gt;453-468&lt;/pages&gt;&lt;volume&gt;169&lt;/volume&gt;&lt;number&gt;3&lt;/number&gt;&lt;keywords&gt;&lt;keyword&gt;functional genomics&lt;/keyword&gt;&lt;keyword&gt;mass spectrometry&lt;/keyword&gt;&lt;keyword&gt;metabolism&lt;/keyword&gt;&lt;keyword&gt;metabolomics&lt;/keyword&gt;&lt;keyword&gt;nuclear magnetic resonance (nmr)&lt;/keyword&gt;&lt;keyword&gt;pathways&lt;/keyword&gt;&lt;keyword&gt;systems biology&lt;/keyword&gt;&lt;keyword&gt;electrophoresis mass-spectrometry&lt;/keyword&gt;&lt;keyword&gt;systems biology&lt;/keyword&gt;&lt;keyword&gt;arabidopsis-thaliana&lt;/keyword&gt;&lt;keyword&gt;functional genomics&lt;/keyword&gt;&lt;keyword&gt;secondary metabolites&lt;/keyword&gt;&lt;keyword&gt;tomato&lt;/keyword&gt;&lt;keyword&gt;tool&lt;/keyword&gt;&lt;keyword&gt;nmr&lt;/keyword&gt;&lt;keyword&gt;transcriptomics&lt;/keyword&gt;&lt;keyword&gt;discrimination&lt;/keyword&gt;&lt;/keywords&gt;&lt;dates&gt;&lt;year&gt;2006&lt;/year&gt;&lt;/dates&gt;&lt;isbn&gt;0028-646X&lt;/isbn&gt;&lt;accession-num&gt;ISI:000234524700004&lt;/accession-num&gt;&lt;urls&gt;&lt;related-urls&gt;&lt;url&gt;&amp;lt;Go to ISI&amp;gt;://000234524700004&lt;/url&gt;&lt;/related-urls&gt;&lt;/urls&gt;&lt;electronic-resource-num&gt;Doi 10.1111/J.1469-8137.2005.01632.X&lt;/electronic-resource-num&gt;&lt;language&gt;English&lt;/language&gt;&lt;/record&gt;&lt;/Cite&gt;&lt;/EndNote&gt;</w:instrText>
      </w:r>
      <w:r w:rsidR="007369BF" w:rsidRPr="003B7DA5">
        <w:fldChar w:fldCharType="separate"/>
      </w:r>
      <w:r w:rsidRPr="003B7DA5">
        <w:rPr>
          <w:noProof/>
        </w:rPr>
        <w:t>(Hall, 2006)</w:t>
      </w:r>
      <w:r w:rsidR="007369BF" w:rsidRPr="003B7DA5">
        <w:fldChar w:fldCharType="end"/>
      </w:r>
      <w:r w:rsidRPr="003B7DA5">
        <w:t xml:space="preserve">. Generally this process does not aim to identify the metabolites present, instead it is used to provide a much bigger picture of the metabolome enabling it to be employed for discriminating samples based on their origin or their ecological relevance. With this function in mind, metabolic fingerprinting endeavors to be a quick and simple process, though because of this it often lacks specificity </w:t>
      </w:r>
      <w:r w:rsidR="007369BF" w:rsidRPr="003B7DA5">
        <w:fldChar w:fldCharType="begin">
          <w:fldData xml:space="preserve">PEVuZE5vdGU+PENpdGU+PEF1dGhvcj5IYWxrZXQ8L0F1dGhvcj48WWVhcj4yMDA1PC9ZZWFyPjxS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</w:fldData>
        </w:fldChar>
      </w:r>
      <w:r w:rsidRPr="003B7DA5">
        <w:instrText xml:space="preserve"> ADDIN EN.CITE </w:instrText>
      </w:r>
      <w:r w:rsidR="007369BF" w:rsidRPr="003B7DA5">
        <w:fldChar w:fldCharType="begin">
          <w:fldData xml:space="preserve">PEVuZE5vdGU+PENpdGU+PEF1dGhvcj5IYWxrZXQ8L0F1dGhvcj48WWVhcj4yMDA1PC9ZZWFyPjxS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</w:fldData>
        </w:fldChar>
      </w:r>
      <w:r w:rsidRPr="003B7DA5">
        <w:instrText xml:space="preserve"> ADDIN EN.CITE.DATA </w:instrText>
      </w:r>
      <w:r w:rsidR="007369BF" w:rsidRPr="003B7DA5">
        <w:fldChar w:fldCharType="end"/>
      </w:r>
      <w:r w:rsidR="007369BF" w:rsidRPr="003B7DA5">
        <w:fldChar w:fldCharType="separate"/>
      </w:r>
      <w:r w:rsidRPr="003B7DA5">
        <w:rPr>
          <w:noProof/>
        </w:rPr>
        <w:t>(Halket et al., 2005)</w:t>
      </w:r>
      <w:r w:rsidR="007369BF" w:rsidRPr="003B7DA5">
        <w:fldChar w:fldCharType="end"/>
      </w:r>
      <w:r w:rsidRPr="003B7DA5">
        <w:t>.</w:t>
      </w:r>
      <w:r w:rsidRPr="009953BF">
        <w:t xml:space="preserve"> </w:t>
      </w:r>
    </w:p>
    <w:p w14:paraId="1FE9D8D6" w14:textId="77777777" w:rsidR="004C507C" w:rsidRPr="009953BF" w:rsidRDefault="004C507C" w:rsidP="0052046B">
      <w:pPr>
        <w:pStyle w:val="BodyJB"/>
      </w:pPr>
    </w:p>
    <w:p w14:paraId="69303A1B" w14:textId="77777777" w:rsidR="004C507C" w:rsidRPr="00B64224" w:rsidRDefault="004C507C" w:rsidP="003B7DA5">
      <w:pPr>
        <w:pStyle w:val="subheadingMINOR"/>
      </w:pPr>
      <w:bookmarkStart w:id="5" w:name="_Toc291410031"/>
      <w:r w:rsidRPr="00B64224">
        <w:t xml:space="preserve">1.2.2.- Application to </w:t>
      </w:r>
      <w:r w:rsidR="005F079F" w:rsidRPr="00B64224">
        <w:t>ecological</w:t>
      </w:r>
      <w:r w:rsidRPr="00B64224">
        <w:t xml:space="preserve"> studies</w:t>
      </w:r>
      <w:bookmarkEnd w:id="5"/>
    </w:p>
    <w:p w14:paraId="70A4BDE8" w14:textId="6F057E66" w:rsidR="00A1636F" w:rsidRDefault="004C507C" w:rsidP="003358FB">
      <w:pPr>
        <w:pStyle w:val="BodyJB"/>
        <w:ind w:firstLine="720"/>
      </w:pPr>
      <w:r w:rsidRPr="009953BF">
        <w:t>The metabolomic approach has many advantages for studying organism-environment interactions</w:t>
      </w:r>
      <w:r w:rsidR="00AE6DC7">
        <w:t xml:space="preserve">. </w:t>
      </w:r>
      <w:r w:rsidRPr="009953BF">
        <w:t xml:space="preserve"> </w:t>
      </w:r>
      <w:r w:rsidR="00E26B24" w:rsidRPr="009953BF">
        <w:t>Because the collection of all metabolites with an organism represents the ‘ultimate phenotype’ of the plant after genetic and environmental interactions, metabol</w:t>
      </w:r>
      <w:r w:rsidR="00413F98">
        <w:t xml:space="preserve">omic study </w:t>
      </w:r>
      <w:r w:rsidR="00F7782F">
        <w:t>can be used to determine the relative strength and implications of these interactions. Analysing a snapshot of global metabolism using metabol</w:t>
      </w:r>
      <w:r w:rsidR="008D659D">
        <w:t>ic</w:t>
      </w:r>
      <w:r w:rsidR="00F7782F">
        <w:t xml:space="preserve"> fingerprinting tools, rather than focussing on interactions between the environment and one metabolic or phenotypic trait, allows the identification of unexpected metabolite responses and pathway interactions. This can provide new and insightful </w:t>
      </w:r>
      <w:r w:rsidR="003B7DA5">
        <w:t xml:space="preserve">knowledge to ecological studies. </w:t>
      </w:r>
      <w:r w:rsidR="008D659D">
        <w:t xml:space="preserve">In principle </w:t>
      </w:r>
      <w:r w:rsidR="00B127FA">
        <w:t xml:space="preserve">metabolic pathways can be mechanistically related to the plant phenotype, since alterations at the phenotypic level in response to environmental conditions must be preceded by alterations at the metabolic, this approach can therefore be used to infer the impacts on a wide range of traits </w:t>
      </w:r>
      <w:r w:rsidR="002D2CF0">
        <w:t>by analysing only one set of data.</w:t>
      </w:r>
    </w:p>
    <w:p w14:paraId="266A601C" w14:textId="77777777" w:rsidR="00A1636F" w:rsidRDefault="00A1636F" w:rsidP="0052046B">
      <w:pPr>
        <w:pStyle w:val="BodyJB"/>
      </w:pPr>
    </w:p>
    <w:p w14:paraId="603C9D36" w14:textId="0F261DB9" w:rsidR="004C507C" w:rsidRPr="009953BF" w:rsidRDefault="004C507C" w:rsidP="003B7DA5">
      <w:pPr>
        <w:pStyle w:val="BodyJB"/>
        <w:ind w:firstLine="720"/>
      </w:pPr>
      <w:r w:rsidRPr="009953BF">
        <w:t xml:space="preserve">The application of metabolomics to understand the interactions between living organisms and the environment has formed the field of ‘environmental metabolomics’ research.Metabolomic processes have been used to detect phenotypic variability at the metabolic level in response to environmental changes in </w:t>
      </w:r>
      <w:r w:rsidR="00C83B6D" w:rsidRPr="002B6213">
        <w:t>drough</w:t>
      </w:r>
      <w:r w:rsidR="00C83B6D">
        <w:t xml:space="preserve">t </w:t>
      </w:r>
      <w:r w:rsidR="007369BF">
        <w:fldChar w:fldCharType="begin" w:fldLock="1"/>
      </w:r>
      <w:r w:rsidR="007C2FF9">
        <w:instrText>ADDIN CSL_CITATION { "citationItems" : [ { "id" : "ITEM-1", "itemData" : { "DOI" : "10.1093/mp/ssr114", "ISSN" : "1752-9867", "PMID" : "22207720", "abstract" : "Drought has serious effects on the physiology of cereal crops. At the cellular and specifically the metabolite level, many individual compounds are increased to provide osmoprotective functions, prevent the dissociation of enzymes, and to decrease the number of reactive oxygen species present in the cell. We have used a targeted GC-MS approach to identify compounds that differ in three different cultivars of bread wheat characterized by different levels of tolerance to drought under drought stress (Kukri, intolerant; Excalibur and RAC875, tolerant). Levels of amino acids, most notably proline, tryptophan, and the branched chain amino acids leucine, isoleucine, and valine were increased under drought stress in all cultivars. In the two tolerant cultivars, a small decrease in a large number of organic acids was also evident. Excalibur, a cultivar genotypically related to Kukri, showed a pattern of response that was more similar to Kukri under well-watered conditions. Under drought stress, Excalibur and RAC875 had a similar response; however, Excalibur did not have the same magnitude of response as RAC875. Here, the results are discussed in the context of previous work in physiological and proteomic analyses of these cultivars under drought stress.", "author" : [ { "dropping-particle" : "", "family" : "Bowne", "given" : "Jairus B", "non-dropping-particle" : "", "parse-names" : false, "suffix" : "" }, { "dropping-particle" : "", "family" : "Erwin", "given" : "Tim a", "non-dropping-particle" : "", "parse-names" : false, "suffix" : "" }, { "dropping-particle" : "", "family" : "Juttner", "given" : "Juan", "non-dropping-particle" : "", "parse-names" : false, "suffix" : "" }, { "dropping-particle" : "", "family" : "Schnurbusch", "given" : "Thorsten", "non-dropping-particle" : "", "parse-names" : false, "suffix" : "" }, { "dropping-particle" : "", "family" : "Langridge", "given" : "Peter", "non-dropping-particle" : "", "parse-names" : false, "suffix" : "" }, { "dropping-particle" : "", "family" : "Bacic", "given" : "Antony", "non-dropping-particle" : "", "parse-names" : false, "suffix" : "" }, { "dropping-particle" : "", "family" : "Roessner", "given" : "Ute", "non-dropping-particle" : "", "parse-names" : false, "suffix" : "" } ], "container-title" : "Molecular plant", "id" : "ITEM-1", "issue" : "2", "issued" : { "date-parts" : [ [ "2012", "3" ] ] }, "page" : "418-29", "title" : "Drought responses of leaf tissues from wheat cultivars of differing drought tolerance at the metabolite level.", "type" : "article-journal", "volume" : "5" }, "uris" : [ "http://www.mendeley.com/documents/?uuid=75d83b7d-816d-4f3e-86d8-40cd3594d2e3" ] } ], "mendeley" : { "formattedCitation" : "(Bowne et al., 2012)", "plainTextFormattedCitation" : "(Bowne et al., 2012)", "previouslyFormattedCitation" : "(Bowne et al., 2012)" }, "properties" : { "noteIndex" : 0 }, "schema" : "https://github.com/citation-style-language/schema/raw/master/csl-citation.json" }</w:instrText>
      </w:r>
      <w:r w:rsidR="007369BF">
        <w:fldChar w:fldCharType="separate"/>
      </w:r>
      <w:r w:rsidR="000F7BF9" w:rsidRPr="000F7BF9">
        <w:rPr>
          <w:noProof/>
        </w:rPr>
        <w:t>(Bowne et al., 2012)</w:t>
      </w:r>
      <w:r w:rsidR="007369BF">
        <w:fldChar w:fldCharType="end"/>
      </w:r>
      <w:r w:rsidR="00C83B6D">
        <w:t xml:space="preserve">, </w:t>
      </w:r>
      <w:r w:rsidR="00C83B6D" w:rsidRPr="002B6213">
        <w:t xml:space="preserve">temperature </w:t>
      </w:r>
      <w:r w:rsidR="007369BF" w:rsidRPr="002B6213">
        <w:fldChar w:fldCharType="begin" w:fldLock="1"/>
      </w:r>
      <w:r w:rsidR="007C2FF9">
        <w:instrText>ADDIN CSL_CITATION { "citationItems" : [ { "id" : "ITEM-1", "itemData" : { "DOI" : "10.1111/j.1399-3054.2005.00507.x", "ISSN" : "0031-9317", "author" : [ { "dropping-particle" : "", "family" : "Gray", "given" : "Gordon R.", "non-dropping-particle" : "", "parse-names" : false, "suffix" : "" }, { "dropping-particle" : "", "family" : "Heath", "given" : "Doug", "non-dropping-particle" : "", "parse-names" : false, "suffix" : "" } ], "container-title" : "Physiologia Plantarum", "id" : "ITEM-1", "issue" : "2", "issued" : { "date-parts" : [ [ "2005", "6" ] ] }, "page" : "236-248", "title" : "A global reorganization of the metabolome in Arabidopsis during cold acclimation is revealed by metabolic fingerprinting", "type" : "article-journal", "volume" : "124" }, "uris" : [ "http://www.mendeley.com/documents/?uuid=13ae7866-faa1-4f08-adaa-d8e2abe7f31e" ] }, { "id" : "ITEM-2", "itemData" : { "DOI" : "10.1007/s11306-008-0127-1", "ISSN" : "1573-3882", "author" : [ { "dropping-particle" : "", "family" : "Davey", "given" : "Matthew P.", "non-dropping-particle" : "", "parse-names" : false, "suffix" : "" }, { "dropping-particle" : "", "family" : "Ian Woodward", "given" : "F.", "non-dropping-particle" : "", "parse-names" : false, "suffix" : "" }, { "dropping-particle" : "", "family" : "Paul Quick", "given" : "W.", "non-dropping-particle" : "", "parse-names" : false, "suffix" : "" } ], "container-title" : "Metabolomics", "id" : "ITEM-2", "issue" : "1", "issued" : { "date-parts" : [ [ "2008", "9", "2" ] ] }, "page" : "138-149", "title" : "Intraspecfic variation in cold-temperature metabolic phenotypes of Arabidopsis lyrata ssp. petraea", "type" : "article-journal", "volume" : "5" }, "uris" : [ "http://www.mendeley.com/documents/?uuid=23390ae3-b215-454d-88b9-0139808db8df" ] }, { "id" : "ITEM-3", "itemData" : { "DOI" : "Doi 10.1111/J.1399-3054.2007.00999.X", "ISBN" : "0031-9317", "abstract" : "Plants possess inducible tolerance mechanisms that extend the temperature range for survival during acute temperature stress. The inducible mechanisms of cold acclimation and acquired thermotolerance involve highly complex processes. These include perception and signal transduction of non-optimal temperatures or their physical consequences on cellular components that program extensive modification of the transcriptome, proteome, metabolome and composition and physical structure of the cytoplasm, membranes and cell walls. Therefore, a systems biology approach will be necessary to advance the understanding of plant stress responses and tolerance mechanisms. One promise of systems biology is that it will greatly enhance our understanding of individual and collective functions and thereby provide a more holistic view of plant stress responses. Past studies have found that several metabolites that could functionally contribute to induced stress tolerance have been associated with stress responses. Recent metabolite-profiling studies have refocused attention on these and other potentially important components found in the 'temperature-stress metabolome'. These metabolomic studies have demonstrated that active reconfiguration of the metabolome is regulated in part by changes in gene expression initiated by temperature-stress-activated signaling and stress-related transcription factors. One aspect of metabolism that is consistent across all of the temperature-stress metabolomic studies to date is the prominent role of central carbohydrate metabolism, which seems to be a major feature of the reprogramming of the metabolome during temperature stress. Future metabolomic studies of plant temperature-stress responses should reveal additional metabolic pathways that have important functions in temperature-stress tolerance mechanisms.", "author" : [ { "dropping-particle" : "", "family" : "Guy", "given" : "C", "non-dropping-particle" : "", "parse-names" : false, "suffix" : "" }, { "dropping-particle" : "", "family" : "Kaplan", "given" : "F", "non-dropping-particle" : "", "parse-names" : false, "suffix" : "" }, { "dropping-particle" : "", "family" : "Kopka", "given" : "J", "non-dropping-particle" : "", "parse-names" : false, "suffix" : "" }, { "dropping-particle" : "", "family" : "Selbig", "given" : "J", "non-dropping-particle" : "", "parse-names" : false, "suffix" : "" }, { "dropping-particle" : "", "family" : "Hincha", "given" : "D K", "non-dropping-particle" : "", "parse-names" : false, "suffix" : "" } ], "container-title" : "Physiologia Plantarum", "id" : "ITEM-3", "issue" : "2", "issued" : { "date-parts" : [ [ "2008" ] ] }, "language" : "English", "page" : "220-235", "title" : "Metabolomics of temperature stress", "type" : "article-journal", "volume" : "132" }, "uris" : [ "http://www.mendeley.com/documents/?uuid=fbd425ec-a6b7-42b6-893f-f91ebde17ec7" ] } ], "mendeley" : { "formattedCitation" : "(Gray and Heath, 2005; Guy et al., 2008; Davey et al., 2008b)", "plainTextFormattedCitation" : "(Gray and Heath, 2005; Guy et al., 2008; Davey et al., 2008b)", "previouslyFormattedCitation" : "(Gray and Heath, 2005; Guy et al., 2008; Davey et al., 2008b)" }, "properties" : { "noteIndex" : 0 }, "schema" : "https://github.com/citation-style-language/schema/raw/master/csl-citation.json" }</w:instrText>
      </w:r>
      <w:r w:rsidR="007369BF" w:rsidRPr="002B6213">
        <w:fldChar w:fldCharType="separate"/>
      </w:r>
      <w:r w:rsidR="000F7BF9" w:rsidRPr="000F7BF9">
        <w:rPr>
          <w:noProof/>
        </w:rPr>
        <w:t>(Gray and Heath, 2005; Guy et al., 2008; Davey et al., 2008b)</w:t>
      </w:r>
      <w:r w:rsidR="007369BF" w:rsidRPr="002B6213">
        <w:fldChar w:fldCharType="end"/>
      </w:r>
      <w:r w:rsidR="00C83B6D">
        <w:t>,</w:t>
      </w:r>
      <w:r w:rsidR="00C83B6D" w:rsidRPr="002B6213">
        <w:t xml:space="preserve"> salinity </w:t>
      </w:r>
      <w:r w:rsidR="007369BF" w:rsidRPr="002B6213">
        <w:fldChar w:fldCharType="begin" w:fldLock="1"/>
      </w:r>
      <w:r w:rsidR="007C2FF9">
        <w:instrText>ADDIN CSL_CITATION { "citationItems" : [ { "id" : "ITEM-1", "itemData" : { "author" : [ { "dropping-particle" : "", "family" : "Zhang", "given" : "Jingtao", "non-dropping-particle" : "", "parse-names" : false, "suffix" : "" }, { "dropping-particle" : "", "family" : "Zhang", "given" : "Yong", "non-dropping-particle" : "", "parse-names" : false, "suffix" : "" }, { "dropping-particle" : "", "family" : "Du", "given" : "Yuanyuan", "non-dropping-particle" : "", "parse-names" : false, "suffix" : "" }, { "dropping-particle" : "", "family" : "Chen", "given" : "Shiyun", "non-dropping-particle" : "", "parse-names" : false, "suffix" : "" }, { "dropping-particle" : "", "family" : "Tang", "given" : "Huiru", "non-dropping-particle" : "", "parse-names" : false, "suffix" : "" } ], "id" : "ITEM-1", "issued" : { "date-parts" : [ [ "2011" ] ] }, "page" : "1904-1914", "title" : "Dynamic Metabonomic Responses of Tobacco ( Nicotiana tabacum ) Plants to Salt Stress", "type" : "article-journal" }, "uris" : [ "http://www.mendeley.com/documents/?uuid=e8fb7a9b-0aa0-42b5-be42-da7d94f181cd" ] }, { "id" : "ITEM-2", "itemData" : { "DOI" : "10.1186/gb-2005-6-12-r101", "ISSN" : "1465-6914", "PMID" : "16356264", "abstract" : "Plants growing in their natural habitat represent a valuable resource for elucidating mechanisms of acclimation to environmental constraints. Populus euphratica is a salt-tolerant tree species growing in saline semi-arid areas. To identify genes involved in abiotic stress responses under natural conditions we constructed several normalized and subtracted cDNA libraries from control, stress-exposed and desert-grown P. euphratica trees. In addition, we identified several metabolites in desert-grown P. euphratica trees.", "author" : [ { "dropping-particle" : "", "family" : "Brosch\u00e9", "given" : "Mikael", "non-dropping-particle" : "", "parse-names" : false, "suffix" : "" }, { "dropping-particle" : "", "family" : "Vinocur", "given" : "Basia", "non-dropping-particle" : "", "parse-names" : false, "suffix" : "" }, { "dropping-particle" : "", "family" : "Alatalo", "given" : "Edward R", "non-dropping-particle" : "", "parse-names" : false, "suffix" : "" }, { "dropping-particle" : "", "family" : "Lamminm\u00e4ki", "given" : "Airi", "non-dropping-particle" : "", "parse-names" : false, "suffix" : "" }, { "dropping-particle" : "", "family" : "Teichmann", "given" : "Thomas", "non-dropping-particle" : "", "parse-names" : false, "suffix" : "" }, { "dropping-particle" : "", "family" : "Ottow", "given" : "Eric a", "non-dropping-particle" : "", "parse-names" : false, "suffix" : "" }, { "dropping-particle" : "", "family" : "Djilianov", "given" : "Dimitar", "non-dropping-particle" : "", "parse-names" : false, "suffix" : "" }, { "dropping-particle" : "", "family" : "Afif", "given" : "Dany", "non-dropping-particle" : "", "parse-names" : false, "suffix" : "" }, { "dropping-particle" : "", "family" : "Bogeat-Triboulot", "given" : "Marie-B\u00e9atrice", "non-dropping-particle" : "", "parse-names" : false, "suffix" : "" }, { "dropping-particle" : "", "family" : "Altman", "given" : "Arie", "non-dropping-particle" : "", "parse-names" : false, "suffix" : "" }, { "dropping-particle" : "", "family" : "Polle", "given" : "Andrea", "non-dropping-particle" : "", "parse-names" : false, "suffix" : "" }, { "dropping-particle" : "", "family" : "Dreyer", "given" : "Erwin", "non-dropping-particle" : "", "parse-names" : false, "suffix" : "" }, { "dropping-particle" : "", "family" : "Rudd", "given" : "Stephen", "non-dropping-particle" : "", "parse-names" : false, "suffix" : "" }, { "dropping-particle" : "", "family" : "Paulin", "given" : "Lars", "non-dropping-particle" : "", "parse-names" : false, "suffix" : "" }, { "dropping-particle" : "", "family" : "Auvinen", "given" : "Petri", "non-dropping-particle" : "", "parse-names" : false, "suffix" : "" }, { "dropping-particle" : "", "family" : "Kangasj\u00e4rvi", "given" : "Jaakko", "non-dropping-particle" : "", "parse-names" : false, "suffix" : "" } ], "container-title" : "Genome biology", "id" : "ITEM-2", "issue" : "12", "issued" : { "date-parts" : [ [ "2005", "1" ] ] }, "page" : "R101", "title" : "Gene expression and metabolite profiling of Populus euphratica growing in the Negev desert.", "type" : "article-journal", "volume" : "6" }, "uris" : [ "http://www.mendeley.com/documents/?uuid=160ef6e1-85da-40cd-9ce0-06d7b343cf91" ] } ], "mendeley" : { "formattedCitation" : "(Brosch\u00e9 et al., 2005; Zhang et al., 2011)", "plainTextFormattedCitation" : "(Brosch\u00e9 et al., 2005; Zhang et al., 2011)", "previouslyFormattedCitation" : "(Brosch\u00e9 et al., 2005; Zhang et al., 2011)" }, "properties" : { "noteIndex" : 0 }, "schema" : "https://github.com/citation-style-language/schema/raw/master/csl-citation.json" }</w:instrText>
      </w:r>
      <w:r w:rsidR="007369BF" w:rsidRPr="002B6213">
        <w:fldChar w:fldCharType="separate"/>
      </w:r>
      <w:r w:rsidR="000F7BF9" w:rsidRPr="000F7BF9">
        <w:rPr>
          <w:noProof/>
          <w:lang w:val="fr-FR"/>
        </w:rPr>
        <w:t>(Brosché et al., 2005; Zhang et al., 2011)</w:t>
      </w:r>
      <w:r w:rsidR="007369BF" w:rsidRPr="002B6213">
        <w:fldChar w:fldCharType="end"/>
      </w:r>
      <w:r w:rsidR="00C83B6D">
        <w:t>,</w:t>
      </w:r>
      <w:r w:rsidR="00C83B6D" w:rsidRPr="002B6213">
        <w:rPr>
          <w:lang w:val="fr-FR"/>
        </w:rPr>
        <w:t xml:space="preserve"> nutrient availability </w:t>
      </w:r>
      <w:r w:rsidR="007369BF" w:rsidRPr="002B6213">
        <w:fldChar w:fldCharType="begin" w:fldLock="1"/>
      </w:r>
      <w:r w:rsidR="007C2FF9">
        <w:rPr>
          <w:lang w:val="fr-FR"/>
        </w:rPr>
        <w:instrText>ADDIN CSL_CITATION { "citationItems" : [ { "id" : "ITEM-1", "itemData" : { "DOI" : "Doi 10.1073/Pnas.0403218101", "ISBN" : "0027-8424", "abstract" : "Plant metabolism is a complex set of processes that produce a wide diversity of foods, woods, and medicines. With the genome sequences of Arabidopsis and rice in hands, postgenomics studies integrating all \"omics\" sciences can depict precise pictures of a whole-cellular process. Here, we present, to our knowledge, the first report of investigation for gene-to-metabolite networks regulating sulfur and nitrogen nutrition and secondary metabolism in Arabidopsis, with integration of metabolomics and transcriptomics. Transcriptome and metabolome analyses were carried out, respectively, with DNA macroarray and several chemical analytical methods, including ultra high-resolution Fourier transform-ion cyclotron MS. Mathematical analyses, including principal component analysis and batch-learning self-organizing map analysis of transcriptome and metabolome data suggested the presence of general responses to sulfur and nitrogen deficiencies. In addition, specific responses to either sulfur or nitrogen deficiency were observed in several metabolic pathways: in particular, the genes and metabolites involved in glucosinolate metabolism were shown to be coordinately modulated. Understanding such gene-to-metabolite networks in primary and secondary metabolism through integration of transcriptomics and metabolomics can lead to identification of gene function and subsequent improvement of production of useful compounds in plants.", "author" : [ { "dropping-particle" : "", "family" : "Hirai", "given" : "M Y", "non-dropping-particle" : "", "parse-names" : false, "suffix" : "" }, { "dropping-particle" : "", "family" : "Yano", "given" : "M", "non-dropping-particle" : "", "parse-names" : false, "suffix" : "" }, { "dropping-particle" : "", "family" : "Goodenowe", "given" : "D B", "non-dropping-particle" : "", "parse-names" : false, "suffix" : "" }, { "dropping-particle" : "", "family" : "Kanaya", "given" : "S", "non-dropping-particle" : "", "parse-names" : false, "suffix" : "" }, { "dropping-particle" : "", "family" : "Kimura", "given" : "T", "non-dropping-particle" : "", "parse-names" : false, "suffix" : "" }, { "dropping-particle" : "", "family" : "Awazuhara", "given" : "M", "non-dropping-particle" : "", "parse-names" : false, "suffix" : "" }, { "dropping-particle" : "", "family" : "Arita", "given" : "M", "non-dropping-particle" : "", "parse-names" : false, "suffix" : "" }, { "dropping-particle" : "", "family" : "Fujiwara", "given" : "T", "non-dropping-particle" : "", "parse-names" : false, "suffix" : "" }, { "dropping-particle" : "", "family" : "Saito", "given" : "K", "non-dropping-particle" : "", "parse-names" : false, "suffix" : "" } ], "container-title" : "Proceedings of the National Academy of Sciences of the United States of America", "id" : "ITEM-1", "issue" : "27", "issued" : { "date-parts" : [ [ "2004" ] ] }, "language" : "English", "page" : "10205-10210", "title" : "Integration of transcriptomics and metabolomics for understanding of global responses to nutritional stresses in Arabidopsis thaliana", "type" : "article-journal", "volume" : "101" }, "uris" : [ "http://www.mendeley.com/documents/?uuid=04e5771c-f09d-4f3c-b4e6-bd3d16942150" ] }, { "id" : "ITEM-2", "itemData" : { "DOI" : "10.1104/pp.105.071589.2", "abstract" : "A metabolite profiling technique for Chlamydomonas reinhardtii cells for multiparallel analysis of low-molecular weight polar compounds was developed. The experimental protocol was optimized to quickly inactivate enzymatic activity, achieve maximum extraction capacity, and process large sample quantities. As a result of the rapid sampling, extraction, and analysis by gas chromatography coupled to time-of-flight mass spectrometry, more than 800 analytes from a single sample could be measured, of which more than 100 could be identified. Analyte responses could be determined mostly with SEs less than 10%. Wild-type cells of C. reinhardtii strain CC-125 subjected to nitrogen-, phosphorus-, sulfur-, or iron-depleted growth conditions develop highly distinctive metabolite profiles. Individual metabolites undergo marked changes in their steady-state levels. Compared to control conditions, sulfur-depleted cells accumulated 4-hydroxyproline more than 50-fold, whereas the amount of 2-ketovaline was reduced to 2% of control levels. The contribution of each compound to the differences observed in the metabolic phenotypes is summarized in a quantitatively rigorous way by principal component analysis, which clearly discriminates the cells from different growth regimes and indicates that phosphorus-depleted conditions induce a deficiency syndrome quite different from the response to nitrogen, sulfur, or iron starvation.", "author" : [ { "dropping-particle" : "", "family" : "B\u00f6lling", "given" : "Christian", "non-dropping-particle" : "", "parse-names" : false, "suffix" : "" }, { "dropping-particle" : "", "family" : "Fiehn", "given" : "Oliver", "non-dropping-particle" : "", "parse-names" : false, "suffix" : "" } ], "container-title" : "Plant Physiology", "id" : "ITEM-2", "issue" : "4", "issued" : { "date-parts" : [ [ "2005" ] ] }, "page" : "1995-2005", "title" : "Metabolite profiling of &lt;i&gt;Chlamydomonas reinhardti&lt;/i&gt; under nutrient deprivation", "type" : "article-journal", "volume" : "139" }, "uris" : [ "http://www.mendeley.com/documents/?uuid=3d4e0b4a-a13c-4ec9-b002-08385ac4c930" ] } ], "mendeley" : { "formattedCitation" : "(Hirai et al., 2004; B\u00f6lling and Fiehn, 2005)", "plainTextFormattedCitation" : "(Hirai et al., 2004; B\u00f6lling and Fiehn, 2005)", "previouslyFormattedCitation" : "(Hirai et al., 2004; B\u00f6lling and Fiehn, 2005)" }, "properties" : { "noteIndex" : 0 }, "schema" : "https://github.com/citation-style-language/schema/raw/master/csl-citation.json" }</w:instrText>
      </w:r>
      <w:r w:rsidR="007369BF" w:rsidRPr="002B6213">
        <w:fldChar w:fldCharType="separate"/>
      </w:r>
      <w:r w:rsidR="000F7BF9" w:rsidRPr="000F7BF9">
        <w:rPr>
          <w:noProof/>
        </w:rPr>
        <w:t>(Hirai et al., 2004; Bölling and Fiehn, 2005)</w:t>
      </w:r>
      <w:r w:rsidR="007369BF" w:rsidRPr="002B6213">
        <w:fldChar w:fldCharType="end"/>
      </w:r>
      <w:r w:rsidR="00C83B6D" w:rsidRPr="002B6213">
        <w:t xml:space="preserve">, and pollutants </w:t>
      </w:r>
      <w:r w:rsidR="007369BF" w:rsidRPr="002B6213">
        <w:fldChar w:fldCharType="begin" w:fldLock="1"/>
      </w:r>
      <w:r w:rsidR="007C2FF9">
        <w:instrText>ADDIN CSL_CITATION { "citationItems" : [ { "id" : "ITEM-1", "itemData" : { "DOI" : "10.1016/j.chemosphere.2009.11.045", "ISSN" : "1879-1298", "PMID" : "20044121", "abstract" : "The metabolic responses of Arabidopsis thaliana to cadmium exposure was characterized in this study. A. thaliana was cultivated in medium contaminated with different cadmium concentrations (0, 5 and 50microM, respectively) for 2weeks. Metabolite analyses were performed using gas chromatography-mass spectrometry. More than 80 metabolites characterized by retention time indices and specific mass fragments were identified. The levels of carbohydrates, organic acids, amino acids, and other stress-responsive metabolites changed under cadmium stress. Treated plants showed increased levels of Ala, beta-ala, Pro, Ser, putrescine, Suc and other metabolites with compatible solute-like properties, notably 4-aminobutyric acid, glycerol, raffinose and trehalose, compared to control (untreated) plants. Studies indicated that concentrations of antioxidants (alfa-tocopherol, campesterol, beta-sitosterol and isoflavone) also increased significantly. These results confirm the important role of antioxidant defences in the mechanisms of plant-resistance to cadmium stress. Our results suggested that metabolic profiling is a powerful tool that can rapidly classify environmentally modified plants and simplify the process of cadmium-stress responses. These data will be helpful for better understanding of mechanisms of plant adaptation to cadmium stress at the metabolite level.", "author" : [ { "dropping-particle" : "", "family" : "Sun", "given" : "Xiumei", "non-dropping-particle" : "", "parse-names" : false, "suffix" : "" }, { "dropping-particle" : "", "family" : "Zhang", "given" : "Jixiu", "non-dropping-particle" : "", "parse-names" : false, "suffix" : "" }, { "dropping-particle" : "", "family" : "Zhang", "given" : "Haijun", "non-dropping-particle" : "", "parse-names" : false, "suffix" : "" }, { "dropping-particle" : "", "family" : "Ni", "given" : "Yuwen", "non-dropping-particle" : "", "parse-names" : false, "suffix" : "" }, { "dropping-particle" : "", "family" : "Zhang", "given" : "Qing", "non-dropping-particle" : "", "parse-names" : false, "suffix" : "" }, { "dropping-particle" : "", "family" : "Chen", "given" : "Jiping", "non-dropping-particle" : "", "parse-names" : false, "suffix" : "" }, { "dropping-particle" : "", "family" : "Guan", "given" : "Yafeng", "non-dropping-particle" : "", "parse-names" : false, "suffix" : "" } ], "container-title" : "Chemosphere", "id" : "ITEM-1", "issue" : "7", "issued" : { "date-parts" : [ [ "2010", "2" ] ] }, "page" : "840-5", "publisher" : "Elsevier Ltd", "title" : "The responses of Arabidopsis thaliana to cadmium exposure explored via metabolite profiling.", "type" : "article-journal", "volume" : "78" }, "uris" : [ "http://www.mendeley.com/documents/?uuid=3ca4f55f-6097-451e-9932-3f62e271beb1" ] } ], "mendeley" : { "formattedCitation" : "(Sun et al., 2010)", "plainTextFormattedCitation" : "(Sun et al., 2010)", "previouslyFormattedCitation" : "(Sun et al., 2010)" }, "properties" : { "noteIndex" : 0 }, "schema" : "https://github.com/citation-style-language/schema/raw/master/csl-citation.json" }</w:instrText>
      </w:r>
      <w:r w:rsidR="007369BF" w:rsidRPr="002B6213">
        <w:fldChar w:fldCharType="separate"/>
      </w:r>
      <w:r w:rsidR="000F7BF9" w:rsidRPr="000F7BF9">
        <w:rPr>
          <w:noProof/>
        </w:rPr>
        <w:t>(Sun et al., 2010)</w:t>
      </w:r>
      <w:r w:rsidR="007369BF" w:rsidRPr="002B6213">
        <w:fldChar w:fldCharType="end"/>
      </w:r>
      <w:r w:rsidR="00C83B6D" w:rsidRPr="002B6213">
        <w:t xml:space="preserve">. </w:t>
      </w:r>
      <w:r w:rsidR="003B7DA5">
        <w:t xml:space="preserve"> </w:t>
      </w:r>
      <w:r w:rsidRPr="009953BF">
        <w:t xml:space="preserve">Environmental metabolomics has the potential to identify specific metabolites as functional biomarkers for particular environmental stresses, which will allow them to be targeted in future research in different ecosystems </w:t>
      </w:r>
      <w:r w:rsidR="007369BF" w:rsidRPr="009953BF">
        <w:fldChar w:fldCharType="begin"/>
      </w:r>
      <w:r w:rsidRPr="009953BF">
        <w:instrText xml:space="preserve"> ADDIN EN.CITE &lt;EndNote&gt;&lt;Cite&gt;&lt;Author&gt;Davey&lt;/Author&gt;&lt;Year&gt;2008&lt;/Year&gt;&lt;RecNum&gt;1&lt;/RecNum&gt;&lt;record&gt;&lt;rec-number&gt;1&lt;/rec-number&gt;&lt;foreign-keys&gt;&lt;key app="EN" db-id="pese2xzve2rpzpe9z06psrtrar5ta009v9pp"&gt;1&lt;/key&gt;&lt;/foreign-keys&gt;&lt;ref-type name="Journal Article"&gt;17&lt;/ref-type&gt;&lt;contributors&gt;&lt;authors&gt;&lt;author&gt;Davey, M. P.&lt;/author&gt;&lt;author&gt;Burrell, M. M.&lt;/author&gt;&lt;author&gt;Woodward, F. I.&lt;/author&gt;&lt;author&gt;Quick, W. P.&lt;/author&gt;&lt;/authors&gt;&lt;/contributors&gt;&lt;auth-address&gt;Davey, MP&amp;#xD;Univ Sheffield, Sheffield, S Yorkshire, England&amp;#xD;Univ Sheffield, Sheffield, S Yorkshire, England&amp;#xD;Univ Sheffield, Sheffield, S Yorkshire, England&lt;/auth-address&gt;&lt;titles&gt;&lt;title&gt;Population-specific metabolic phenotypes of Arabidopsis lyrata ssp petraea&lt;/title&gt;&lt;secondary-title&gt;New Phytologist&lt;/secondary-title&gt;&lt;alt-title&gt;New Phytol&lt;/alt-title&gt;&lt;/titles&gt;&lt;periodical&gt;&lt;full-title&gt;New Phytologist&lt;/full-title&gt;&lt;abbr-1&gt;New Phytol&lt;/abbr-1&gt;&lt;/periodical&gt;&lt;alt-periodical&gt;&lt;full-title&gt;New Phytologist&lt;/full-title&gt;&lt;abbr-1&gt;New Phytol&lt;/abbr-1&gt;&lt;/alt-periodical&gt;&lt;pages&gt;380-388&lt;/pages&gt;&lt;volume&gt;177&lt;/volume&gt;&lt;number&gt;2&lt;/number&gt;&lt;keywords&gt;&lt;keyword&gt;arabidopsis lyrata petraea&lt;/keyword&gt;&lt;keyword&gt;direct injection mass spectrometry&lt;/keyword&gt;&lt;keyword&gt;environmental metabolomics&lt;/keyword&gt;&lt;keyword&gt;marginal populations&lt;/keyword&gt;&lt;keyword&gt;metabolic phenotypes&lt;/keyword&gt;&lt;keyword&gt;metabolite fingerprinting&lt;/keyword&gt;&lt;keyword&gt;genetic-variation&lt;/keyword&gt;&lt;keyword&gt;functional genomics&lt;/keyword&gt;&lt;keyword&gt;natural variation&lt;/keyword&gt;&lt;keyword&gt;cold-acclimation&lt;/keyword&gt;&lt;keyword&gt;climate-change&lt;/keyword&gt;&lt;keyword&gt;plant&lt;/keyword&gt;&lt;keyword&gt;brassicaceae&lt;/keyword&gt;&lt;keyword&gt;glucosinolate&lt;/keyword&gt;&lt;keyword&gt;evolution&lt;/keyword&gt;&lt;keyword&gt;relatives&lt;/keyword&gt;&lt;/keywords&gt;&lt;dates&gt;&lt;year&gt;2008&lt;/year&gt;&lt;/dates&gt;&lt;isbn&gt;0028-646X&lt;/isbn&gt;&lt;accession-num&gt;ISI:000251766300012&lt;/accession-num&gt;&lt;urls&gt;&lt;related-urls&gt;&lt;url&gt;&amp;lt;Go to ISI&amp;gt;://000251766300012&lt;/url&gt;&lt;/related-urls&gt;&lt;/urls&gt;&lt;electronic-resource-num&gt;Doi 10.1111/J.1469-8137.2007.02282.X&lt;/electronic-resource-num&gt;&lt;language&gt;English&lt;/language&gt;&lt;/record&gt;&lt;/Cite&gt;&lt;/EndNote&gt;</w:instrText>
      </w:r>
      <w:r w:rsidR="007369BF" w:rsidRPr="009953BF">
        <w:fldChar w:fldCharType="separate"/>
      </w:r>
      <w:r w:rsidRPr="009953BF">
        <w:rPr>
          <w:noProof/>
        </w:rPr>
        <w:t>(Davey et al., 2008)</w:t>
      </w:r>
      <w:r w:rsidR="007369BF" w:rsidRPr="009953BF">
        <w:fldChar w:fldCharType="end"/>
      </w:r>
      <w:r w:rsidRPr="009953BF">
        <w:t xml:space="preserve">. </w:t>
      </w:r>
    </w:p>
    <w:p w14:paraId="051EF135" w14:textId="77777777" w:rsidR="00A23813" w:rsidRPr="009953BF" w:rsidRDefault="00A23813" w:rsidP="0052046B">
      <w:pPr>
        <w:pStyle w:val="BodyJB"/>
      </w:pPr>
    </w:p>
    <w:p w14:paraId="0F1831E2" w14:textId="5D0455E6" w:rsidR="00A23813" w:rsidRPr="009953BF" w:rsidRDefault="00AB0F46" w:rsidP="00B64224">
      <w:pPr>
        <w:pStyle w:val="SubheadingJB"/>
      </w:pPr>
      <w:bookmarkStart w:id="6" w:name="_Toc291410032"/>
      <w:r>
        <w:t>1.3</w:t>
      </w:r>
      <w:r w:rsidR="00A23813" w:rsidRPr="009953BF">
        <w:t>- Study System</w:t>
      </w:r>
      <w:bookmarkEnd w:id="6"/>
    </w:p>
    <w:p w14:paraId="7A362EA1" w14:textId="1424CFB0" w:rsidR="000F7BF9" w:rsidRPr="00735DDD" w:rsidRDefault="000F7BF9" w:rsidP="003B7DA5">
      <w:pPr>
        <w:pStyle w:val="BodyJB"/>
        <w:ind w:firstLine="720"/>
      </w:pPr>
      <w:r w:rsidRPr="00735DDD">
        <w:t xml:space="preserve">This research utilises </w:t>
      </w:r>
      <w:r>
        <w:t>7</w:t>
      </w:r>
      <w:r w:rsidRPr="00735DDD">
        <w:t xml:space="preserve"> study sites that have been established in Atlantic sand dune annual communities over a latitudinal gradient of </w:t>
      </w:r>
      <w:r w:rsidR="00411ECF">
        <w:t>1300</w:t>
      </w:r>
      <w:r w:rsidRPr="00735DDD">
        <w:t>km (</w:t>
      </w:r>
      <w:r w:rsidR="00411ECF">
        <w:t>for details see Methods chapter 2.2.1- Study System ad Species</w:t>
      </w:r>
      <w:r w:rsidRPr="00735DDD">
        <w:t>). The north-south transect ru</w:t>
      </w:r>
      <w:r>
        <w:t>ns from Norfolk, England to Northern Spain</w:t>
      </w:r>
      <w:r w:rsidRPr="00735DDD">
        <w:t>. Sites are 150 km to 300 km apart and incorporate a mean maximum temperature difference of approximately 5° C between the extreme ends of the transect.</w:t>
      </w:r>
    </w:p>
    <w:p w14:paraId="2A9C7B7B" w14:textId="5D7EDBEF" w:rsidR="007C0B25" w:rsidRDefault="00652EC7" w:rsidP="0052046B">
      <w:pPr>
        <w:pStyle w:val="BodyJB"/>
      </w:pPr>
      <w:r w:rsidRPr="009953BF">
        <w:tab/>
        <w:t xml:space="preserve">This study system allows the comparison of multiple species growing in a specific habitat type that exists in fragmented pockets along a latitudinal gradient. </w:t>
      </w:r>
      <w:r w:rsidR="009A270D" w:rsidRPr="009953BF">
        <w:t>Plants occupying grey dunes are subjected to a variety of biotic and abiotic features that make this habitat unique. Details of the grey dune habitat will be discussed in the following Methods chapter but briefly these factors comprise, extremely permeable soil type</w:t>
      </w:r>
      <w:r w:rsidR="001E7AA1" w:rsidRPr="009953BF">
        <w:t xml:space="preserve"> causing nutrient leaching and drought conditions</w:t>
      </w:r>
      <w:r w:rsidR="000F7BF9">
        <w:t xml:space="preserve"> </w:t>
      </w:r>
      <w:r w:rsidR="000F7BF9">
        <w:fldChar w:fldCharType="begin" w:fldLock="1"/>
      </w:r>
      <w:r w:rsidR="007C2FF9">
        <w:instrText>ADDIN CSL_CITATION { "citationItems" : [ { "id" : "ITEM-1", "itemData" : { "DOI" : "10.3318/BIOE.2006.106.3.301", "ISBN" : "0791-7945", "ISSN" : "07917945", "abstract" : "We have completed a review of lichen-rich grey dune vegetation. All of the quadrat data for the National Vegetation Classification (NVC) grey dune community described as Carex arenaria \u2013 Cornicularia aculeata (SD11) collected during the Sand Dune Survey of Great Britain has been reanalysed using Pseudo-quadrat Analysis. This is based on a recent mathematical development showing that it is possible to generate artificial quadrats (\u2018pseudo-random quadrats\u2019) from the phytosociological tables provided in the NVC manuals. These are mathematical approximations of the original NVC quadrat datasets and can be used to compare the NVC with newly acquired quadrat data using a standard ordination technique\u2014Detrended Correspondence Analysis (DCA). The field quadrats can be placed into this ordination space as passive samples, and their distance from the artificial NVC quadrats used as a measure of community membership. As was expected this has shown that there is a degree of inter- and intra-site variation among grey dunes, with some stands having strong affinities with various heathland communities, and others having more in common with certain lichen\u2013rich grasslands. An ecological interpretation of grey dune vegetation is provided together with some details on how British grey dunes compare with those of continental Europe.Nomenclature follows Stace (1997) for vascular plants, Smith (2004) for bryophytes and Purvis et al . (1992) for lichens.", "author" : [ { "dropping-particle" : "", "family" : "Rhind", "given" : "Peter", "non-dropping-particle" : "", "parse-names" : false, "suffix" : "" }, { "dropping-particle" : "", "family" : "Stevens", "given" : "David", "non-dropping-particle" : "", "parse-names" : false, "suffix" : "" }, { "dropping-particle" : "", "family" : "Sanderson", "given" : "Roy", "non-dropping-particle" : "", "parse-names" : false, "suffix" : "" } ], "container-title" : "Biology and Environment", "id" : "ITEM-1", "issued" : { "date-parts" : [ [ "2006" ] ] }, "page" : "301-310", "title" : "A review and floristic analysis of lichen-rich grey dune vegetation in Britain", "type" : "article-journal", "volume" : "106" }, "uris" : [ "http://www.mendeley.com/documents/?uuid=add91895-a6da-4970-a75a-8e7cf2d0c613" ] } ], "mendeley" : { "formattedCitation" : "(Rhind et al., 2006)", "plainTextFormattedCitation" : "(Rhind et al., 2006)", "previouslyFormattedCitation" : "(Rhind et al., 2006)" }, "properties" : { "noteIndex" : 0 }, "schema" : "https://github.com/citation-style-language/schema/raw/master/csl-citation.json" }</w:instrText>
      </w:r>
      <w:r w:rsidR="000F7BF9">
        <w:fldChar w:fldCharType="separate"/>
      </w:r>
      <w:r w:rsidR="000F7BF9" w:rsidRPr="000F7BF9">
        <w:rPr>
          <w:noProof/>
        </w:rPr>
        <w:t>(Rhind et al., 2006)</w:t>
      </w:r>
      <w:r w:rsidR="000F7BF9">
        <w:fldChar w:fldCharType="end"/>
      </w:r>
      <w:r w:rsidR="000F7BF9">
        <w:t xml:space="preserve">, </w:t>
      </w:r>
      <w:r w:rsidR="001E7AA1" w:rsidRPr="009953BF">
        <w:t xml:space="preserve">fine scale environmental variation caused by micro-relief </w:t>
      </w:r>
      <w:r w:rsidR="007369BF" w:rsidRPr="00025E52">
        <w:fldChar w:fldCharType="begin" w:fldLock="1"/>
      </w:r>
      <w:r w:rsidR="007C1C5F">
        <w:instrText>ADDIN CSL_CITATION { "citationItems" : [ { "id" : "ITEM-1", "itemData" : { "DOI" : "10.1652/1400-0350(2004)010[0033:EMAMOG]2.0.CO;2", "ISSN" : "1400-0350", "author" : [ { "dropping-particle" : "", "family" : "Provoost", "given" : "Sam", "non-dropping-particle" : "", "parse-names" : false, "suffix" : "" }, { "dropping-particle" : "", "family" : "Ampe", "given" : "Carole", "non-dropping-particle" : "", "parse-names" : false, "suffix" : "" }, { "dropping-particle" : "", "family" : "Bonte", "given" : "Dries", "non-dropping-particle" : "", "parse-names" : false, "suffix" : "" }, { "dropping-particle" : "", "family" : "Cosyns", "given" : "Eric", "non-dropping-particle" : "", "parse-names" : false, "suffix" : "" }, { "dropping-particle" : "", "family" : "Hoffmann", "given" : "Maurice", "non-dropping-particle" : "", "parse-names" : false, "suffix" : "" } ], "container-title" : "Journal of Coastal Conservation", "id" : "ITEM-1", "issue" : "1", "issued" : { "date-parts" : [ [ "2004" ] ] }, "page" : "33", "title" : "Ecology, management and monitoring of grey dunes in Flanders", "type" : "article-journal", "volume" : "10" }, "uris" : [ "http://www.mendeley.com/documents/?uuid=d03568bb-0261-4a13-aeab-7e97e49dc0ca" ] } ], "mendeley" : { "formattedCitation" : "(Provoost et al., 2004a)", "manualFormatting" : "(Provoost et al., 2004a)", "plainTextFormattedCitation" : "(Provoost et al., 2004a)", "previouslyFormattedCitation" : "(Provoost et al., 2004a)" }, "properties" : { "noteIndex" : 0 }, "schema" : "https://github.com/citation-style-language/schema/raw/master/csl-citation.json" }</w:instrText>
      </w:r>
      <w:r w:rsidR="007369BF" w:rsidRPr="00025E52">
        <w:fldChar w:fldCharType="separate"/>
      </w:r>
      <w:r w:rsidR="00134C22" w:rsidRPr="00134C22">
        <w:rPr>
          <w:noProof/>
        </w:rPr>
        <w:t>(Provoost et al., 2004a)</w:t>
      </w:r>
      <w:r w:rsidR="007369BF" w:rsidRPr="00025E52">
        <w:fldChar w:fldCharType="end"/>
      </w:r>
      <w:r w:rsidR="001E7AA1" w:rsidRPr="00025E52">
        <w:t xml:space="preserve">, intense rabbit grazing </w:t>
      </w:r>
      <w:r w:rsidR="007369BF" w:rsidRPr="00025E52">
        <w:fldChar w:fldCharType="begin" w:fldLock="1"/>
      </w:r>
      <w:r w:rsidR="007C2FF9">
        <w:instrText>ADDIN CSL_CITATION { "citationItems" : [ { "id" : "ITEM-1", "itemData" : { "DOI" : "10.3318/BIOE.2006.106.3.301", "ISBN" : "0791-7945", "ISSN" : "07917945", "abstract" : "We have completed a review of lichen-rich grey dune vegetation. All of the quadrat data for the National Vegetation Classification (NVC) grey dune community described as Carex arenaria \u2013 Cornicularia aculeata (SD11) collected during the Sand Dune Survey of Great Britain has been reanalysed using Pseudo-quadrat Analysis. This is based on a recent mathematical development showing that it is possible to generate artificial quadrats (\u2018pseudo-random quadrats\u2019) from the phytosociological tables provided in the NVC manuals. These are mathematical approximations of the original NVC quadrat datasets and can be used to compare the NVC with newly acquired quadrat data using a standard ordination technique\u2014Detrended Correspondence Analysis (DCA). The field quadrats can be placed into this ordination space as passive samples, and their distance from the artificial NVC quadrats used as a measure of community membership. As was expected this has shown that there is a degree of inter- and intra-site variation among grey dunes, with some stands having strong affinities with various heathland communities, and others having more in common with certain lichen\u2013rich grasslands. An ecological interpretation of grey dune vegetation is provided together with some details on how British grey dunes compare with those of continental Europe.Nomenclature follows Stace (1997) for vascular plants, Smith (2004) for bryophytes and Purvis et al . (1992) for lichens.", "author" : [ { "dropping-particle" : "", "family" : "Rhind", "given" : "Peter", "non-dropping-particle" : "", "parse-names" : false, "suffix" : "" }, { "dropping-particle" : "", "family" : "Stevens", "given" : "David", "non-dropping-particle" : "", "parse-names" : false, "suffix" : "" }, { "dropping-particle" : "", "family" : "Sanderson", "given" : "Roy", "non-dropping-particle" : "", "parse-names" : false, "suffix" : "" } ], "container-title" : "Biology and Environment", "id" : "ITEM-1", "issued" : { "date-parts" : [ [ "2006" ] ] }, "page" : "301-310", "title" : "A review and floristic analysis of lichen-rich grey dune vegetation in Britain", "type" : "article-journal", "volume" : "106" }, "uris" : [ "http://www.mendeley.com/documents/?uuid=add91895-a6da-4970-a75a-8e7cf2d0c613" ] } ], "mendeley" : { "formattedCitation" : "(Rhind et al., 2006)", "manualFormatting" : "(Rhind et al., 2006)", "plainTextFormattedCitation" : "(Rhind et al., 2006)", "previouslyFormattedCitation" : "(Rhind et al., 2006)" }, "properties" : { "noteIndex" : 0 }, "schema" : "https://github.com/citation-style-language/schema/raw/master/csl-citation.json" }</w:instrText>
      </w:r>
      <w:r w:rsidR="007369BF" w:rsidRPr="00025E52">
        <w:fldChar w:fldCharType="separate"/>
      </w:r>
      <w:r w:rsidR="000F7BF9" w:rsidRPr="009355DB">
        <w:rPr>
          <w:noProof/>
        </w:rPr>
        <w:t>(Rhind et al., 2006)</w:t>
      </w:r>
      <w:r w:rsidR="007369BF" w:rsidRPr="00025E52">
        <w:fldChar w:fldCharType="end"/>
      </w:r>
      <w:r w:rsidR="001E7AA1" w:rsidRPr="00025E52">
        <w:t xml:space="preserve">, competition between winter annual species and perennial plant species </w:t>
      </w:r>
      <w:r w:rsidR="007369BF" w:rsidRPr="00025E52">
        <w:fldChar w:fldCharType="begin" w:fldLock="1"/>
      </w:r>
      <w:r w:rsidR="007C2FF9">
        <w:instrText>ADDIN CSL_CITATION { "citationItems" : [ { "id" : "ITEM-1", "itemData" : { "ISBN" : "0022-0477", "author" : [ { "dropping-particle" : "", "family" : "Pemadasa", "given" : "M A", "non-dropping-particle" : "", "parse-names" : false, "suffix" : "" }, { "dropping-particle" : "", "family" : "Greigsmi.P", "given" : "", "non-dropping-particle" : "", "parse-names" : false, "suffix" : "" }, { "dropping-particle" : "", "family" : "Lovell", "given" : "P H", "non-dropping-particle" : "", "parse-names" : false, "suffix" : "" } ], "container-title" : "Journal of Ecology", "id" : "ITEM-1", "issue" : "2", "issued" : { "date-parts" : [ [ "1974" ] ] }, "language" : "English", "page" : "379-402", "title" : "Quantitative Description of Distribution of Annuals in Dune System at Aberffraw, Anglesey", "type" : "article-journal", "volume" : "62" }, "uris" : [ "http://www.mendeley.com/documents/?uuid=86c18da3-5010-4c77-916d-0a6ffa991406" ] } ], "mendeley" : { "formattedCitation" : "(Pemadasa et al., 1974)", "plainTextFormattedCitation" : "(Pemadasa et al., 1974)", "previouslyFormattedCitation" : "(Pemadasa et al., 1974)" }, "properties" : { "noteIndex" : 0 }, "schema" : "https://github.com/citation-style-language/schema/raw/master/csl-citation.json" }</w:instrText>
      </w:r>
      <w:r w:rsidR="007369BF" w:rsidRPr="00025E52">
        <w:fldChar w:fldCharType="separate"/>
      </w:r>
      <w:r w:rsidR="000F7BF9" w:rsidRPr="000F7BF9">
        <w:rPr>
          <w:noProof/>
        </w:rPr>
        <w:t>(Pemadasa et al., 1974)</w:t>
      </w:r>
      <w:r w:rsidR="007369BF" w:rsidRPr="00025E52">
        <w:fldChar w:fldCharType="end"/>
      </w:r>
      <w:r w:rsidR="001E7AA1" w:rsidRPr="00025E52">
        <w:t>(</w:t>
      </w:r>
      <w:r w:rsidR="00025E52" w:rsidRPr="00025E52">
        <w:t>Vergnon et al., in press)</w:t>
      </w:r>
      <w:r w:rsidR="001E7AA1" w:rsidRPr="00025E52">
        <w:t>.</w:t>
      </w:r>
      <w:r w:rsidR="001E7AA1" w:rsidRPr="009953BF">
        <w:t xml:space="preserve"> </w:t>
      </w:r>
    </w:p>
    <w:p w14:paraId="5039ECA8" w14:textId="534BD544" w:rsidR="00764B75" w:rsidRPr="009953BF" w:rsidRDefault="007C0B25" w:rsidP="0052046B">
      <w:pPr>
        <w:pStyle w:val="BodyJB"/>
      </w:pPr>
      <w:r w:rsidRPr="009953BF">
        <w:tab/>
        <w:t xml:space="preserve">The occurrence of this habitat along a latitudinal gradient makes it ideal for </w:t>
      </w:r>
      <w:r w:rsidR="00764B75" w:rsidRPr="009953BF">
        <w:t xml:space="preserve">studying the influence of environmental variation on plant populations and the potential impacts of climate change.  Latitudinal gradients encompass a variety of large-scale environmental variability, temperature and growing season length decease towards the poles </w:t>
      </w:r>
      <w:r w:rsidR="007369BF" w:rsidRPr="009953BF">
        <w:fldChar w:fldCharType="begin" w:fldLock="1"/>
      </w:r>
      <w:r w:rsidR="007C2FF9">
        <w:instrText>ADDIN CSL_CITATION { "citationItems" : [ { "id" : "ITEM-1", "itemData" : { "DOI" : "10.1111/1365-2745.12074", "ISSN" : "00220477", "author" : [ { "dropping-particle" : "", "family" : "Frenne", "given" : "Pieter", "non-dropping-particle" : "De", "parse-names" : false, "suffix" : "" }, { "dropping-particle" : "", "family" : "Graae", "given" : "Bente J.", "non-dropping-particle" : "", "parse-names" : false, "suffix" : "" }, { "dropping-particle" : "", "family" : "Rodr\u00edguez-S\u00e1nchez", "given" : "Francisco", "non-dropping-particle" : "", "parse-names" : false, "suffix" : "" }, { "dropping-particle" : "", "family" : "Kolb", "given" : "Annette", "non-dropping-particle" : "", "parse-names" : false, "suffix" : "" }, { "dropping-particle" : "", "family" : "Chabrerie", "given" : "Olivier", "non-dropping-particle" : "", "parse-names" : false, "suffix" : "" }, { "dropping-particle" : "", "family" : "Decocq", "given" : "Guillaume", "non-dropping-particle" : "", "parse-names" : false, "suffix" : "" }, { "dropping-particle" : "", "family" : "Kort", "given" : "Hanne", "non-dropping-particle" : "De", "parse-names" : false, "suffix" : "" }, { "dropping-particle" : "", "family" : "Schrijver", "given" : "An", "non-dropping-particle" : "De", "parse-names" : false, "suffix" : "" }, { "dropping-particle" : "", "family" : "Diekmann", "given" : "Martin", "non-dropping-particle" : "", "parse-names" : false, "suffix" : "" }, { "dropping-particle" : "", "family" : "Eriksson", "given" : "Ove", "non-dropping-particle" : "", "parse-names" : false, "suffix" : "" }, { "dropping-particle" : "", "family" : "Gruwez", "given" : "Robert", "non-dropping-particle" : "", "parse-names" : false, "suffix" : "" }, { "dropping-particle" : "", "family" : "Hermy", "given" : "Martin", "non-dropping-particle" : "", "parse-names" : false, "suffix" : "" }, { "dropping-particle" : "", "family" : "Lenoir", "given" : "Jonathan", "non-dropping-particle" : "", "parse-names" : false, "suffix" : "" }, { "dropping-particle" : "", "family" : "Plue", "given" : "Jan", "non-dropping-particle" : "", "parse-names" : false, "suffix" : "" }, { "dropping-particle" : "", "family" : "Coomes", "given" : "David a.", "non-dropping-particle" : "", "parse-names" : false, "suffix" : "" }, { "dropping-particle" : "", "family" : "Verheyen", "given" : "Kris", "non-dropping-particle" : "", "parse-names" : false, "suffix" : "" } ], "container-title" : "Journal of Ecology", "editor" : [ { "dropping-particle" : "", "family" : "Gilliam", "given" : "Frank", "non-dropping-particle" : "", "parse-names" : false, "suffix" : "" } ], "id" : "ITEM-1", "issue" : "3", "issued" : { "date-parts" : [ [ "2013", "5", "25" ] ] }, "page" : "784-795", "title" : "Latitudinal gradients as natural laboratories to infer species' responses to temperature", "type" : "article-journal", "volume" : "101" }, "uris" : [ "http://www.mendeley.com/documents/?uuid=76aa5380-9089-46a7-b47f-15811dd1c3d4" ] } ], "mendeley" : { "formattedCitation" : "(De Frenne et al., 2013)", "plainTextFormattedCitation" : "(De Frenne et al., 2013)", "previouslyFormattedCitation" : "(De Frenne et al., 2013)" }, "properties" : { "noteIndex" : 0 }, "schema" : "https://github.com/citation-style-language/schema/raw/master/csl-citation.json" }</w:instrText>
      </w:r>
      <w:r w:rsidR="007369BF" w:rsidRPr="009953BF">
        <w:fldChar w:fldCharType="separate"/>
      </w:r>
      <w:r w:rsidR="000F7BF9" w:rsidRPr="000F7BF9">
        <w:rPr>
          <w:noProof/>
        </w:rPr>
        <w:t>(De Frenne et al., 2013)</w:t>
      </w:r>
      <w:r w:rsidR="007369BF" w:rsidRPr="009953BF">
        <w:fldChar w:fldCharType="end"/>
      </w:r>
      <w:r w:rsidR="00764B75" w:rsidRPr="009953BF">
        <w:t xml:space="preserve">, inter-annual variability and seasonality in precipitation tends to decrease towards the pole in the Northern hemisphere </w:t>
      </w:r>
      <w:r w:rsidR="007369BF" w:rsidRPr="009953BF">
        <w:fldChar w:fldCharType="begin" w:fldLock="1"/>
      </w:r>
      <w:r w:rsidR="007C2FF9">
        <w:instrText>ADDIN CSL_CITATION { "citationItems" : [ { "id" : "ITEM-1", "itemData" : { "DOI" : "10.1111/j.1365-2486.2011.02515.x", "ISSN" : "13541013", "author" : [ { "dropping-particle" : "", "family" : "Pau", "given" : "Stephanie", "non-dropping-particle" : "", "parse-names" : false, "suffix" : "" }, { "dropping-particle" : "", "family" : "Wolkovich", "given" : "Elizabeth M.", "non-dropping-particle" : "", "parse-names" : false, "suffix" : "" }, { "dropping-particle" : "", "family" : "Cook", "given" : "Benjamin I.", "non-dropping-particle" : "", "parse-names" : false, "suffix" : "" }, { "dropping-particle" : "", "family" : "Davies", "given" : "T. Jonathan", "non-dropping-particle" : "", "parse-names" : false, "suffix" : "" }, { "dropping-particle" : "", "family" : "Kraft", "given" : "Nathan J. B.", "non-dropping-particle" : "", "parse-names" : false, "suffix" : "" }, { "dropping-particle" : "", "family" : "Bolmgren", "given" : "Kjell", "non-dropping-particle" : "", "parse-names" : false, "suffix" : "" }, { "dropping-particle" : "", "family" : "Betancourt", "given" : "Julio L.", "non-dropping-particle" : "", "parse-names" : false, "suffix" : "" }, { "dropping-particle" : "", "family" : "Cleland", "given" : "Elsa E.", "non-dropping-particle" : "", "parse-names" : false, "suffix" : "" } ], "container-title" : "Global Change Biology", "id" : "ITEM-1", "issue" : "12", "issued" : { "date-parts" : [ [ "2011", "12", "19" ] ] }, "page" : "3633-3643", "title" : "Predicting phenology by integrating ecology, evolution and climate science", "type" : "article-journal", "volume" : "17" }, "uris" : [ "http://www.mendeley.com/documents/?uuid=baf04ac3-d433-469e-8824-71065bee720c" ] } ], "mendeley" : { "formattedCitation" : "(Pau et al., 2011)", "plainTextFormattedCitation" : "(Pau et al., 2011)", "previouslyFormattedCitation" : "(Pau et al., 2011)" }, "properties" : { "noteIndex" : 0 }, "schema" : "https://github.com/citation-style-language/schema/raw/master/csl-citation.json" }</w:instrText>
      </w:r>
      <w:r w:rsidR="007369BF" w:rsidRPr="009953BF">
        <w:fldChar w:fldCharType="separate"/>
      </w:r>
      <w:r w:rsidR="000F7BF9" w:rsidRPr="000F7BF9">
        <w:rPr>
          <w:noProof/>
        </w:rPr>
        <w:t>(Pau et al., 2011)</w:t>
      </w:r>
      <w:r w:rsidR="007369BF" w:rsidRPr="009953BF">
        <w:fldChar w:fldCharType="end"/>
      </w:r>
      <w:r w:rsidR="00764B75" w:rsidRPr="009953BF">
        <w:t xml:space="preserve">, while some soil characters such as decomposition rates show similar pattern of decreases towards the Northern pole </w:t>
      </w:r>
      <w:r w:rsidR="007369BF" w:rsidRPr="009953BF">
        <w:fldChar w:fldCharType="begin" w:fldLock="1"/>
      </w:r>
      <w:r w:rsidR="007C2FF9">
        <w:instrText>ADDIN CSL_CITATION { "citationItems" : [ { "id" : "ITEM-1", "itemData" : { "DOI" : "10.1038/35009076", "ISSN" : "0028-0836", "PMID" : "10786789", "abstract" : "It has been suggested that increases in temperature can accelerate the decomposition of organic carbon contained in forest mineral soil (Cs), and, therefore, that global warming should increase the release of soil organic carbon to the atmosphere. These predictions assume, however, that decay constants can be accurately derived from short-term laboratory incubations of soil or that in situ incubations of fresh litter accurately represent the temperature sensitivity of Cs decomposition. But our limited understanding of the biophysical factors that control Cs decomposition rates, and observations of only minor increases in Cs decomposition rate with temperature in longer-term forest soil heating experiments and in latitudinal comparisons of Cs decomposition rates bring these predictions into question. Here we have compiled Cs decomposition data from 82 sites on five continents. We found that Cs decomposition rates were remarkably constant across a global-scale gradient in mean annual temperature. These data suggest that Cs decomposition rates for forest soils are not controlled by temperature limitations to microbial activity, and that increased temperature alone will not stimulate the decomposition of forest-derived carbon in mineral soil.", "author" : [ { "dropping-particle" : "", "family" : "Giardina", "given" : "C P", "non-dropping-particle" : "", "parse-names" : false, "suffix" : "" }, { "dropping-particle" : "", "family" : "Ryan", "given" : "M G", "non-dropping-particle" : "", "parse-names" : false, "suffix" : "" } ], "container-title" : "Nature", "id" : "ITEM-1", "issue" : "6780", "issued" : { "date-parts" : [ [ "2000", "4", "20" ] ] }, "page" : "858-61", "title" : "Evidence that decomposition rates of organic carbon in mineral soil do not vary with temperature.", "type" : "article-journal", "volume" : "404" }, "uris" : [ "http://www.mendeley.com/documents/?uuid=c824a477-da70-41c3-9f4d-10e266f19fc5" ] } ], "mendeley" : { "formattedCitation" : "(Giardina and Ryan, 2000)", "plainTextFormattedCitation" : "(Giardina and Ryan, 2000)", "previouslyFormattedCitation" : "(Giardina and Ryan, 2000)" }, "properties" : { "noteIndex" : 0 }, "schema" : "https://github.com/citation-style-language/schema/raw/master/csl-citation.json" }</w:instrText>
      </w:r>
      <w:r w:rsidR="007369BF" w:rsidRPr="009953BF">
        <w:fldChar w:fldCharType="separate"/>
      </w:r>
      <w:r w:rsidR="000F7BF9" w:rsidRPr="000F7BF9">
        <w:rPr>
          <w:noProof/>
        </w:rPr>
        <w:t>(Giardina and Ryan, 2000)</w:t>
      </w:r>
      <w:r w:rsidR="007369BF" w:rsidRPr="009953BF">
        <w:fldChar w:fldCharType="end"/>
      </w:r>
      <w:r w:rsidR="00764B75" w:rsidRPr="009953BF">
        <w:t xml:space="preserve">, others such as pH increase </w:t>
      </w:r>
      <w:r w:rsidR="007369BF" w:rsidRPr="009953BF">
        <w:fldChar w:fldCharType="begin" w:fldLock="1"/>
      </w:r>
      <w:r w:rsidR="007C2FF9">
        <w:instrText>ADDIN CSL_CITATION { "citationItems" : [ { "id" : "ITEM-1", "itemData" : { "author" : [ { "dropping-particle" : "", "family" : "P\u00e4rtel", "given" : "M", "non-dropping-particle" : "", "parse-names" : false, "suffix" : "" } ], "container-title" : "Ecology", "id" : "ITEM-1", "issue" : "9", "issued" : { "date-parts" : [ [ "2002" ] ] }, "page" : "2361-2366", "title" : "Local plant diversity patterns and evolutionary history at the regional scale", "type" : "article-journal", "volume" : "83" }, "uris" : [ "http://www.mendeley.com/documents/?uuid=aa3efa0b-77f0-41a0-ba69-eb4678e3f469" ] } ], "mendeley" : { "formattedCitation" : "(P\u00e4rtel, 2002)", "plainTextFormattedCitation" : "(P\u00e4rtel, 2002)", "previouslyFormattedCitation" : "(P\u00e4rtel, 2002)" }, "properties" : { "noteIndex" : 0 }, "schema" : "https://github.com/citation-style-language/schema/raw/master/csl-citation.json" }</w:instrText>
      </w:r>
      <w:r w:rsidR="007369BF" w:rsidRPr="009953BF">
        <w:fldChar w:fldCharType="separate"/>
      </w:r>
      <w:r w:rsidR="000F7BF9" w:rsidRPr="000F7BF9">
        <w:rPr>
          <w:noProof/>
        </w:rPr>
        <w:t>(Pärtel, 2002)</w:t>
      </w:r>
      <w:r w:rsidR="007369BF" w:rsidRPr="009953BF">
        <w:fldChar w:fldCharType="end"/>
      </w:r>
      <w:r w:rsidR="00764B75" w:rsidRPr="009953BF">
        <w:t>.</w:t>
      </w:r>
    </w:p>
    <w:p w14:paraId="5938D41A" w14:textId="77777777" w:rsidR="00860EC9" w:rsidRPr="009953BF" w:rsidRDefault="00860EC9" w:rsidP="0052046B">
      <w:pPr>
        <w:pStyle w:val="BodyJB"/>
      </w:pPr>
    </w:p>
    <w:p w14:paraId="742DD8F0" w14:textId="0AA20C5B" w:rsidR="00A23813" w:rsidRPr="00EF6193" w:rsidRDefault="000C558F" w:rsidP="00B64224">
      <w:pPr>
        <w:pStyle w:val="SubheadingJB"/>
      </w:pPr>
      <w:bookmarkStart w:id="7" w:name="_Toc291410033"/>
      <w:r>
        <w:t>1</w:t>
      </w:r>
      <w:r w:rsidR="00A23813" w:rsidRPr="00EF6193">
        <w:t>.4- Dune annuals</w:t>
      </w:r>
      <w:bookmarkEnd w:id="7"/>
    </w:p>
    <w:p w14:paraId="1DE853D2" w14:textId="01A285C5" w:rsidR="003E06C6" w:rsidRPr="009953BF" w:rsidRDefault="003E06C6" w:rsidP="003B7DA5">
      <w:pPr>
        <w:pStyle w:val="BodyJB"/>
        <w:ind w:firstLine="720"/>
      </w:pPr>
      <w:r w:rsidRPr="009953BF">
        <w:t xml:space="preserve">Grey dunes provide habitat for a wide variety of winter annuals which germinate in autumn and flower and seed in the spring, avoiding </w:t>
      </w:r>
      <w:r w:rsidR="003F32BA">
        <w:t xml:space="preserve">summer </w:t>
      </w:r>
      <w:r w:rsidRPr="009953BF">
        <w:t xml:space="preserve">period of drought and utilizing periods of lower temperature. These annuals are particularly well suited for studies aiming to determine plant </w:t>
      </w:r>
      <w:r w:rsidRPr="003B7DA5">
        <w:t xml:space="preserve">acclimation and adaption to environmental conditions as they complete their life cycle quickly, and have key life-history traits that are closely tied with abiotic factors, </w:t>
      </w:r>
      <w:r w:rsidR="007369BF" w:rsidRPr="003B7DA5">
        <w:fldChar w:fldCharType="begin" w:fldLock="1"/>
      </w:r>
      <w:r w:rsidR="007C1C5F">
        <w:instrText>ADDIN CSL_CITATION { "citationItems" : [ { "id" : "ITEM-1", "itemData" : { "author" : [ { "dropping-particle" : "", "family" : "Pemadasa", "given" : "MA", "non-dropping-particle" : "", "parse-names" : false, "suffix" : "" }, { "dropping-particle" : "", "family" : "Lovell", "given" : "PH", "non-dropping-particle" : "", "parse-names" : false, "suffix" : "" } ], "container-title" : "The Journal of Ecology", "id" : "ITEM-1", "issue" : "3", "issued" : { "date-parts" : [ [ "1974" ] ] }, "page" : "869-880", "title" : "Factors Controlling the Flowering Time of Some Dune Annuals", "type" : "article-journal", "volume" : "62" }, "uris" : [ "http://www.mendeley.com/documents/?uuid=ad17c335-e597-4aff-8e9d-548bd3da0672" ] } ], "mendeley" : { "formattedCitation" : "(Pemadasa and Lovell, 1974a)", "plainTextFormattedCitation" : "(Pemadasa and Lovell, 1974a)", "previouslyFormattedCitation" : "(Pemadasa and Lovell, 1974a)" }, "properties" : { "noteIndex" : 0 }, "schema" : "https://github.com/citation-style-language/schema/raw/master/csl-citation.json" }</w:instrText>
      </w:r>
      <w:r w:rsidR="007369BF" w:rsidRPr="003B7DA5">
        <w:fldChar w:fldCharType="separate"/>
      </w:r>
      <w:r w:rsidR="00134C22" w:rsidRPr="007C2FF9">
        <w:rPr>
          <w:noProof/>
        </w:rPr>
        <w:t>(Pemadasa and Lovell, 1974a)</w:t>
      </w:r>
      <w:r w:rsidR="007369BF" w:rsidRPr="003B7DA5">
        <w:fldChar w:fldCharType="end"/>
      </w:r>
      <w:r w:rsidR="00AB0F46" w:rsidRPr="003B7DA5">
        <w:t>.</w:t>
      </w:r>
      <w:r w:rsidRPr="009953BF">
        <w:t xml:space="preserve"> </w:t>
      </w:r>
    </w:p>
    <w:p w14:paraId="74E450AA" w14:textId="77777777" w:rsidR="00771F9F" w:rsidRDefault="003E06C6" w:rsidP="009D171B">
      <w:pPr>
        <w:pStyle w:val="BodyJB"/>
        <w:ind w:firstLine="720"/>
      </w:pPr>
      <w:r w:rsidRPr="009953BF">
        <w:t xml:space="preserve">The dune annuals </w:t>
      </w:r>
      <w:r w:rsidRPr="009953BF">
        <w:rPr>
          <w:i/>
          <w:iCs/>
        </w:rPr>
        <w:t xml:space="preserve">Arenaria serpyllifolia </w:t>
      </w:r>
      <w:r w:rsidRPr="009953BF">
        <w:t xml:space="preserve">(L.), </w:t>
      </w:r>
      <w:r w:rsidRPr="009953BF">
        <w:rPr>
          <w:i/>
          <w:iCs/>
        </w:rPr>
        <w:t xml:space="preserve">Cerastium diffusum </w:t>
      </w:r>
      <w:r w:rsidRPr="009953BF">
        <w:t>(L.)</w:t>
      </w:r>
      <w:r w:rsidRPr="009953BF">
        <w:rPr>
          <w:i/>
          <w:iCs/>
        </w:rPr>
        <w:t xml:space="preserve">, Erodium cicutarium </w:t>
      </w:r>
      <w:r w:rsidRPr="009953BF">
        <w:t xml:space="preserve">(L.), </w:t>
      </w:r>
      <w:r w:rsidRPr="009953BF">
        <w:rPr>
          <w:i/>
          <w:iCs/>
        </w:rPr>
        <w:t xml:space="preserve">Phleum arenarium </w:t>
      </w:r>
      <w:r w:rsidRPr="009953BF">
        <w:t xml:space="preserve">(L.), </w:t>
      </w:r>
      <w:r w:rsidRPr="009953BF">
        <w:rPr>
          <w:i/>
          <w:iCs/>
        </w:rPr>
        <w:t xml:space="preserve">Senecio vulgaris </w:t>
      </w:r>
      <w:r w:rsidRPr="009953BF">
        <w:t>(L.)</w:t>
      </w:r>
      <w:r w:rsidRPr="009953BF">
        <w:rPr>
          <w:i/>
          <w:iCs/>
        </w:rPr>
        <w:t xml:space="preserve">, Veronica arvensis </w:t>
      </w:r>
      <w:r w:rsidRPr="009953BF">
        <w:t xml:space="preserve">(L.) occur at different sites along the transect and were the species studied for this thesis. Species details follow in the following chapter. </w:t>
      </w:r>
    </w:p>
    <w:p w14:paraId="5A4AD316" w14:textId="3B6B44AB" w:rsidR="009D171B" w:rsidRDefault="009D171B" w:rsidP="009D171B">
      <w:pPr>
        <w:pStyle w:val="BodyJB"/>
        <w:ind w:firstLine="720"/>
        <w:rPr>
          <w:szCs w:val="22"/>
        </w:rPr>
      </w:pPr>
      <w:r w:rsidRPr="00D5411A">
        <w:rPr>
          <w:szCs w:val="22"/>
        </w:rPr>
        <w:t xml:space="preserve">These species predominantly display selfing mating systems, and dispersal is very limited, occurring in the immediate locality of the reproducing adult </w:t>
      </w:r>
      <w:r w:rsidRPr="00D5411A">
        <w:rPr>
          <w:szCs w:val="22"/>
        </w:rPr>
        <w:fldChar w:fldCharType="begin" w:fldLock="1"/>
      </w:r>
      <w:r w:rsidRPr="00D5411A">
        <w:rPr>
          <w:szCs w:val="22"/>
        </w:rPr>
        <w:instrText>ADDIN CSL_CITATION { "citationItems" : [ { "id" : "ITEM-1", "itemData" : { "author" : [ { "dropping-particle" : "", "family" : "Doxford", "given" : "Simon W.", "non-dropping-particle" : "", "parse-names" : false, "suffix" : "" } ], "id" : "ITEM-1", "issued" : { "date-parts" : [ [ "2012" ] ] }, "publisher" : "University of Sheffield", "title" : "Plant population responses to environmental change and the role of biotic interactions along environmental gradients", "type" : "thesis" }, "uris" : [ "http://www.mendeley.com/documents/?uuid=f4972f86-2f0e-4bef-a3a9-c8cd6fd0f709" ] } ], "mendeley" : { "formattedCitation" : "(Doxford, 2012)", "plainTextFormattedCitation" : "(Doxford, 2012)", "previouslyFormattedCitation" : "(Doxford, 2012)" }, "properties" : { "noteIndex" : 0 }, "schema" : "https://github.com/citation-style-language/schema/raw/master/csl-citation.json" }</w:instrText>
      </w:r>
      <w:r w:rsidRPr="00D5411A">
        <w:rPr>
          <w:szCs w:val="22"/>
        </w:rPr>
        <w:fldChar w:fldCharType="separate"/>
      </w:r>
      <w:r w:rsidRPr="00D5411A">
        <w:rPr>
          <w:noProof/>
          <w:szCs w:val="22"/>
        </w:rPr>
        <w:t>(Doxford, 2012)</w:t>
      </w:r>
      <w:r w:rsidRPr="00D5411A">
        <w:rPr>
          <w:szCs w:val="22"/>
        </w:rPr>
        <w:fldChar w:fldCharType="end"/>
      </w:r>
      <w:r w:rsidRPr="00D5411A">
        <w:rPr>
          <w:szCs w:val="22"/>
        </w:rPr>
        <w:t xml:space="preserve">. This suggests that although these species are not confined to the fragmented grey dune habitat, decreased genetic variation within populations is likely </w:t>
      </w:r>
      <w:r w:rsidRPr="00D5411A">
        <w:rPr>
          <w:szCs w:val="22"/>
        </w:rPr>
        <w:fldChar w:fldCharType="begin" w:fldLock="1"/>
      </w:r>
      <w:r>
        <w:rPr>
          <w:szCs w:val="22"/>
        </w:rPr>
        <w:instrText>ADDIN CSL_CITATION { "citationItems" : [ { "id" : "ITEM-1", "itemData" : { "DOI" : "10.3732/ajb.0900224", "ISBN" : "0002-9122", "abstract" : "The degree to which plants self-fertilize may impact their potential for genetic adaptation. Given that the mating system influences genetic processes within and among populations, the mating system could limit or promote local adaptation. I conducted a literature survey of published reciprocal transplant experiments in plant populations to quantify the effect of mating system on the magnitude of local adaptation. Mating system had no effect on local adaptation. I detected no effect when species were categorized as either self-compatible or self-incompatible or when accounting for environmental differences between source populations. The results suggest that, despite limited genetic variation in selfing species and greater potential for gene flow in outcrossing species, mating system has little influence on adaptation of populations.", "author" : [ { "dropping-particle" : "", "family" : "Hereford", "given" : "J", "non-dropping-particle" : "", "parse-names" : false, "suffix" : "" } ], "container-title" : "American Journal of Botany", "id" : "ITEM-1", "issue" : "2", "issued" : { "date-parts" : [ [ "2010" ] ] }, "language" : "English", "page" : "298-302", "title" : "Does Selfing or Outcrossing Promote Local Adaptation?", "type" : "article-journal", "volume" : "97" }, "uris" : [ "http://www.mendeley.com/documents/?uuid=12f12cd0-2354-4a69-b055-66fcd8a83183" ] } ], "mendeley" : { "formattedCitation" : "(Hereford, 2010)", "plainTextFormattedCitation" : "(Hereford, 2010)", "previouslyFormattedCitation" : "(Hereford, 2010)" }, "properties" : { "noteIndex" : 0 }, "schema" : "https://github.com/citation-style-language/schema/raw/master/csl-citation.json" }</w:instrText>
      </w:r>
      <w:r w:rsidRPr="00D5411A">
        <w:rPr>
          <w:szCs w:val="22"/>
        </w:rPr>
        <w:fldChar w:fldCharType="separate"/>
      </w:r>
      <w:r w:rsidRPr="00D5411A">
        <w:rPr>
          <w:noProof/>
          <w:szCs w:val="22"/>
        </w:rPr>
        <w:t>(Hereford, 2010)</w:t>
      </w:r>
      <w:r w:rsidRPr="00D5411A">
        <w:rPr>
          <w:szCs w:val="22"/>
        </w:rPr>
        <w:fldChar w:fldCharType="end"/>
      </w:r>
      <w:r w:rsidRPr="00D5411A">
        <w:rPr>
          <w:szCs w:val="22"/>
        </w:rPr>
        <w:t>.</w:t>
      </w:r>
      <w:r>
        <w:rPr>
          <w:szCs w:val="22"/>
        </w:rPr>
        <w:t xml:space="preserve">  </w:t>
      </w:r>
    </w:p>
    <w:p w14:paraId="0DEBE6D3" w14:textId="77777777" w:rsidR="00A23813" w:rsidRPr="009953BF" w:rsidRDefault="00A23813" w:rsidP="0052046B">
      <w:pPr>
        <w:pStyle w:val="BodyJB"/>
      </w:pPr>
    </w:p>
    <w:p w14:paraId="2E02D291" w14:textId="4E3D300B" w:rsidR="00A23813" w:rsidRDefault="000C558F" w:rsidP="00B64224">
      <w:pPr>
        <w:pStyle w:val="SubheadingJB"/>
      </w:pPr>
      <w:bookmarkStart w:id="8" w:name="_Toc291410034"/>
      <w:r>
        <w:t>1</w:t>
      </w:r>
      <w:r w:rsidR="00A23813" w:rsidRPr="00EF6193">
        <w:t xml:space="preserve">.5- </w:t>
      </w:r>
      <w:r>
        <w:t>Research aims and outline of thesis</w:t>
      </w:r>
      <w:bookmarkEnd w:id="8"/>
      <w:r w:rsidR="00A23813" w:rsidRPr="00EF6193">
        <w:t xml:space="preserve"> </w:t>
      </w:r>
    </w:p>
    <w:p w14:paraId="1604804C" w14:textId="77777777" w:rsidR="00E5631E" w:rsidRDefault="00E5631E" w:rsidP="00E5631E">
      <w:pPr>
        <w:pStyle w:val="BodyJB"/>
        <w:ind w:firstLine="720"/>
      </w:pPr>
      <w:r>
        <w:t>The overall aim</w:t>
      </w:r>
      <w:r w:rsidRPr="009953BF">
        <w:t xml:space="preserve"> of this thesis </w:t>
      </w:r>
      <w:r>
        <w:t>is</w:t>
      </w:r>
      <w:r w:rsidRPr="009953BF">
        <w:t xml:space="preserve"> to progress ecological </w:t>
      </w:r>
      <w:r>
        <w:t>understanding of</w:t>
      </w:r>
      <w:r w:rsidRPr="009953BF">
        <w:t xml:space="preserve"> the mechanisms underpinning </w:t>
      </w:r>
      <w:r>
        <w:t>plant population responses</w:t>
      </w:r>
      <w:r w:rsidRPr="009953BF">
        <w:t xml:space="preserve"> </w:t>
      </w:r>
      <w:r>
        <w:t xml:space="preserve">to </w:t>
      </w:r>
      <w:r w:rsidRPr="009953BF">
        <w:t xml:space="preserve">environmental variation. </w:t>
      </w:r>
      <w:r>
        <w:t>To achieve a new perspective</w:t>
      </w:r>
      <w:r w:rsidRPr="009953BF">
        <w:t>, a novel scientific approach, environmental metabolomics</w:t>
      </w:r>
      <w:r>
        <w:t>,</w:t>
      </w:r>
      <w:r w:rsidRPr="009953BF">
        <w:t xml:space="preserve"> </w:t>
      </w:r>
      <w:r>
        <w:t>was</w:t>
      </w:r>
      <w:r w:rsidRPr="009953BF">
        <w:t xml:space="preserve"> applied to </w:t>
      </w:r>
      <w:r>
        <w:t>assess</w:t>
      </w:r>
      <w:r w:rsidRPr="009953BF">
        <w:t xml:space="preserve"> the impacts of environmental change on plants</w:t>
      </w:r>
      <w:r>
        <w:t>, their populations and their communities</w:t>
      </w:r>
      <w:r w:rsidRPr="009953BF">
        <w:t xml:space="preserve">. </w:t>
      </w:r>
    </w:p>
    <w:p w14:paraId="45BA979C" w14:textId="77777777" w:rsidR="00E5631E" w:rsidRDefault="00E5631E" w:rsidP="00E5631E">
      <w:pPr>
        <w:pStyle w:val="BodyJB"/>
        <w:ind w:firstLine="720"/>
      </w:pPr>
      <w:r w:rsidRPr="009953BF">
        <w:t>Before metabolomic work is undertaken, important insights into the environmental and genetic control of plant</w:t>
      </w:r>
      <w:r>
        <w:t xml:space="preserve"> phenotypic traits are made. </w:t>
      </w:r>
    </w:p>
    <w:p w14:paraId="02375063" w14:textId="77777777" w:rsidR="00E5631E" w:rsidRDefault="00E5631E" w:rsidP="00E5631E">
      <w:pPr>
        <w:pStyle w:val="BodyJB"/>
      </w:pPr>
    </w:p>
    <w:p w14:paraId="1F139074" w14:textId="77777777" w:rsidR="00E5631E" w:rsidRPr="00032186" w:rsidRDefault="00E5631E" w:rsidP="00E5631E">
      <w:pPr>
        <w:pStyle w:val="BodyJB"/>
        <w:rPr>
          <w:b/>
        </w:rPr>
      </w:pPr>
      <w:r w:rsidRPr="00032186">
        <w:rPr>
          <w:b/>
        </w:rPr>
        <w:t xml:space="preserve">Aim 1: To characterise intra-specific trait variability in a community. </w:t>
      </w:r>
    </w:p>
    <w:p w14:paraId="4C99653E" w14:textId="77777777" w:rsidR="00E5631E" w:rsidRDefault="00E5631E" w:rsidP="00E5631E">
      <w:pPr>
        <w:pStyle w:val="BodyJB"/>
      </w:pPr>
      <w:r>
        <w:t xml:space="preserve">Two generations of multiple populations of five species were grown under controlled environmental conditions in order to minimise the influence of environmental variation on trait differentiation. </w:t>
      </w:r>
      <w:r w:rsidRPr="009953BF">
        <w:t xml:space="preserve">I </w:t>
      </w:r>
      <w:r>
        <w:t>measured a variety of traits relating to</w:t>
      </w:r>
      <w:r w:rsidRPr="009953BF">
        <w:t xml:space="preserve"> phenology, productivit</w:t>
      </w:r>
      <w:r>
        <w:t>y and reproductive traits in order to address the following objectives.</w:t>
      </w:r>
    </w:p>
    <w:p w14:paraId="33CDE7B9" w14:textId="77777777" w:rsidR="00E5631E" w:rsidRPr="00310EAA" w:rsidRDefault="00E5631E" w:rsidP="00E5631E">
      <w:pPr>
        <w:pStyle w:val="BodyJB"/>
        <w:numPr>
          <w:ilvl w:val="0"/>
          <w:numId w:val="45"/>
        </w:numPr>
        <w:rPr>
          <w:rFonts w:cs="Times New Roman"/>
          <w:sz w:val="20"/>
          <w:szCs w:val="20"/>
          <w:lang w:eastAsia="en-US"/>
        </w:rPr>
      </w:pPr>
      <w:r>
        <w:t>To determine patterns of population variation in the expression of traits</w:t>
      </w:r>
    </w:p>
    <w:p w14:paraId="7D3F62C5" w14:textId="77777777" w:rsidR="00E5631E" w:rsidRPr="00310EAA" w:rsidRDefault="00E5631E" w:rsidP="00E5631E">
      <w:pPr>
        <w:pStyle w:val="BodyJB"/>
        <w:numPr>
          <w:ilvl w:val="0"/>
          <w:numId w:val="45"/>
        </w:numPr>
        <w:rPr>
          <w:rFonts w:cs="Times New Roman"/>
          <w:sz w:val="20"/>
          <w:szCs w:val="20"/>
          <w:lang w:eastAsia="en-US"/>
        </w:rPr>
      </w:pPr>
      <w:r>
        <w:t>To assess the basis and control of population trait differentiation</w:t>
      </w:r>
    </w:p>
    <w:p w14:paraId="0792D03F" w14:textId="77777777" w:rsidR="00E5631E" w:rsidRDefault="00E5631E" w:rsidP="00E5631E">
      <w:pPr>
        <w:pStyle w:val="BodyJB"/>
      </w:pPr>
    </w:p>
    <w:p w14:paraId="264BC7C5" w14:textId="77777777" w:rsidR="00E5631E" w:rsidRDefault="00E5631E" w:rsidP="00E5631E">
      <w:pPr>
        <w:pStyle w:val="BodyJB"/>
      </w:pPr>
      <w:r>
        <w:t xml:space="preserve">Untargeted metabolic fingerprinting techniques were then applied to assess metabolic variation in these plants that were grown under controlled environmental conditions. </w:t>
      </w:r>
    </w:p>
    <w:p w14:paraId="443BA3F6" w14:textId="77777777" w:rsidR="00E5631E" w:rsidRDefault="00E5631E" w:rsidP="00E5631E">
      <w:pPr>
        <w:pStyle w:val="BodyJB"/>
      </w:pPr>
    </w:p>
    <w:p w14:paraId="3F0DF493" w14:textId="77777777" w:rsidR="00E5631E" w:rsidRPr="00032186" w:rsidRDefault="00E5631E" w:rsidP="00E5631E">
      <w:pPr>
        <w:pStyle w:val="BodyJB"/>
        <w:rPr>
          <w:b/>
        </w:rPr>
      </w:pPr>
      <w:r w:rsidRPr="00032186">
        <w:rPr>
          <w:b/>
        </w:rPr>
        <w:t>Aim 2: To define the key metabolic differences between species in the dune annual community.</w:t>
      </w:r>
    </w:p>
    <w:p w14:paraId="156C8DF0" w14:textId="77777777" w:rsidR="00E5631E" w:rsidRDefault="00E5631E" w:rsidP="00E5631E">
      <w:pPr>
        <w:pStyle w:val="BodyJB"/>
      </w:pPr>
      <w:r>
        <w:t>An initial assessment of metabolic variation within the dune community was made by statistically analysing variation of the metabolic profiles between species, in order to address the following objectives.</w:t>
      </w:r>
    </w:p>
    <w:p w14:paraId="008DDE33" w14:textId="77777777" w:rsidR="00E5631E" w:rsidRDefault="00E5631E" w:rsidP="00E5631E">
      <w:pPr>
        <w:pStyle w:val="BodyJB"/>
        <w:numPr>
          <w:ilvl w:val="0"/>
          <w:numId w:val="44"/>
        </w:numPr>
      </w:pPr>
      <w:r>
        <w:t>To determine metabolic variation between a number of species</w:t>
      </w:r>
    </w:p>
    <w:p w14:paraId="5D91EBDE" w14:textId="77777777" w:rsidR="00E5631E" w:rsidRPr="005E78A5" w:rsidRDefault="00E5631E" w:rsidP="00E5631E">
      <w:pPr>
        <w:pStyle w:val="BodyJB"/>
        <w:numPr>
          <w:ilvl w:val="0"/>
          <w:numId w:val="44"/>
        </w:numPr>
      </w:pPr>
      <w:r>
        <w:t xml:space="preserve">To define the key compounds relating to metabolic variation in species </w:t>
      </w:r>
    </w:p>
    <w:p w14:paraId="42129D55" w14:textId="77777777" w:rsidR="00E5631E" w:rsidRDefault="00E5631E" w:rsidP="00E5631E">
      <w:pPr>
        <w:pStyle w:val="BodyJB"/>
      </w:pPr>
    </w:p>
    <w:p w14:paraId="5F2AAA95" w14:textId="77777777" w:rsidR="00E5631E" w:rsidRPr="00D13AFE" w:rsidRDefault="00E5631E" w:rsidP="00E5631E">
      <w:pPr>
        <w:pStyle w:val="BodyJB"/>
        <w:rPr>
          <w:b/>
        </w:rPr>
      </w:pPr>
      <w:r w:rsidRPr="00D13AFE">
        <w:rPr>
          <w:b/>
        </w:rPr>
        <w:t>Aim 3: To characterise population differentiation in metabolic traits.</w:t>
      </w:r>
    </w:p>
    <w:p w14:paraId="02DEF4C4" w14:textId="77777777" w:rsidR="00E5631E" w:rsidRDefault="00E5631E" w:rsidP="00E5631E">
      <w:pPr>
        <w:pStyle w:val="BodyJB"/>
      </w:pPr>
      <w:r>
        <w:t>In order to determine the relative importance of phenotypic plasticity and adaptation on plant metabolism multiple populations of five species were grown under controlled environmental conditions in order to minimise the influence of environmental variation on metabolic. Metabolic profiles were statistically analysed in relation to the population of origin of the plant, in order to address the following objectives.</w:t>
      </w:r>
    </w:p>
    <w:p w14:paraId="3E60C67D" w14:textId="77777777" w:rsidR="00E5631E" w:rsidRDefault="00E5631E" w:rsidP="00E5631E">
      <w:pPr>
        <w:pStyle w:val="BodyJB"/>
        <w:numPr>
          <w:ilvl w:val="0"/>
          <w:numId w:val="43"/>
        </w:numPr>
      </w:pPr>
      <w:r>
        <w:t>To determine metabolic variation between the populations of origin in a number of species</w:t>
      </w:r>
    </w:p>
    <w:p w14:paraId="21AB8799" w14:textId="77777777" w:rsidR="00E5631E" w:rsidRPr="005E78A5" w:rsidRDefault="00E5631E" w:rsidP="00E5631E">
      <w:pPr>
        <w:pStyle w:val="BodyJB"/>
        <w:numPr>
          <w:ilvl w:val="0"/>
          <w:numId w:val="43"/>
        </w:numPr>
      </w:pPr>
      <w:r>
        <w:t>To define the key compounds relating to metabolic variation in populations</w:t>
      </w:r>
    </w:p>
    <w:p w14:paraId="118B5015" w14:textId="77777777" w:rsidR="00E5631E" w:rsidRPr="00E44EF7" w:rsidRDefault="00E5631E" w:rsidP="00E5631E">
      <w:pPr>
        <w:pStyle w:val="BodyJB"/>
      </w:pPr>
    </w:p>
    <w:p w14:paraId="288BF40C" w14:textId="77777777" w:rsidR="00E5631E" w:rsidRPr="00E44EF7" w:rsidRDefault="00E5631E" w:rsidP="00E5631E">
      <w:pPr>
        <w:pStyle w:val="BodyJB"/>
      </w:pPr>
      <w:r w:rsidRPr="00E44EF7">
        <w:t>Finally, untargeted metabolic fingerprinting techniques are applied to analyse plants growing in their natural habitat.</w:t>
      </w:r>
    </w:p>
    <w:p w14:paraId="0390DE98" w14:textId="77777777" w:rsidR="009D171B" w:rsidRDefault="009D171B" w:rsidP="00E5631E">
      <w:pPr>
        <w:pStyle w:val="BodyJB"/>
        <w:rPr>
          <w:b/>
        </w:rPr>
      </w:pPr>
    </w:p>
    <w:p w14:paraId="4D14E61C" w14:textId="77777777" w:rsidR="00E5631E" w:rsidRPr="00E44EF7" w:rsidRDefault="00E5631E" w:rsidP="00E5631E">
      <w:pPr>
        <w:pStyle w:val="BodyJB"/>
        <w:rPr>
          <w:rFonts w:eastAsia="Times New Roman" w:cs="Arial"/>
          <w:b/>
          <w:color w:val="000000"/>
          <w:lang w:eastAsia="en-US"/>
        </w:rPr>
      </w:pPr>
      <w:r w:rsidRPr="00E44EF7">
        <w:rPr>
          <w:b/>
        </w:rPr>
        <w:t xml:space="preserve">Aim 4. To characterise how </w:t>
      </w:r>
      <w:r w:rsidRPr="00E44EF7">
        <w:rPr>
          <w:rFonts w:cs="Arial"/>
          <w:b/>
          <w:color w:val="000000"/>
          <w:lang w:eastAsia="en-US"/>
        </w:rPr>
        <w:t>environmental variation over different spatial scales impact</w:t>
      </w:r>
      <w:r>
        <w:rPr>
          <w:rFonts w:cs="Arial"/>
          <w:b/>
          <w:color w:val="000000"/>
          <w:lang w:eastAsia="en-US"/>
        </w:rPr>
        <w:t xml:space="preserve">s </w:t>
      </w:r>
      <w:r w:rsidRPr="00E44EF7">
        <w:rPr>
          <w:rFonts w:eastAsia="Times New Roman" w:cs="Arial"/>
          <w:b/>
          <w:color w:val="000000"/>
          <w:lang w:eastAsia="en-US"/>
        </w:rPr>
        <w:t>plant metabolism.</w:t>
      </w:r>
    </w:p>
    <w:p w14:paraId="35CC9EBB" w14:textId="77777777" w:rsidR="00E5631E" w:rsidRPr="00E44EF7" w:rsidRDefault="00E5631E" w:rsidP="00E5631E">
      <w:pPr>
        <w:pStyle w:val="BodyJB"/>
      </w:pPr>
      <w:r w:rsidRPr="00E44EF7">
        <w:t xml:space="preserve">Plants </w:t>
      </w:r>
      <w:r>
        <w:t xml:space="preserve">(of one species) </w:t>
      </w:r>
      <w:r w:rsidRPr="00E44EF7">
        <w:t>growing in their natural habitat, located at different sites across Europe were sampled and analysed comparing metabolic variation at different spatial scales, in order to address the following objectives.</w:t>
      </w:r>
    </w:p>
    <w:p w14:paraId="05F24E9E" w14:textId="77777777" w:rsidR="00E5631E" w:rsidRDefault="00E5631E" w:rsidP="00E5631E">
      <w:pPr>
        <w:pStyle w:val="BodyJB"/>
        <w:numPr>
          <w:ilvl w:val="0"/>
          <w:numId w:val="46"/>
        </w:numPr>
      </w:pPr>
      <w:r w:rsidRPr="00E44EF7">
        <w:t xml:space="preserve">To </w:t>
      </w:r>
      <w:r>
        <w:t>determine over what spatial scale metabolism between plants is most pronounced.</w:t>
      </w:r>
    </w:p>
    <w:p w14:paraId="3BBEBF57" w14:textId="77777777" w:rsidR="00E5631E" w:rsidRPr="005E78A5" w:rsidRDefault="00E5631E" w:rsidP="00E5631E">
      <w:pPr>
        <w:pStyle w:val="BodyJB"/>
        <w:numPr>
          <w:ilvl w:val="0"/>
          <w:numId w:val="46"/>
        </w:numPr>
      </w:pPr>
      <w:r>
        <w:t xml:space="preserve">To define the key compounds relating to metabolic variation at different spatial scales. </w:t>
      </w:r>
    </w:p>
    <w:p w14:paraId="50A99D4D" w14:textId="77777777" w:rsidR="00E5631E" w:rsidRPr="00E5631E" w:rsidRDefault="00E5631E" w:rsidP="00E5631E">
      <w:pPr>
        <w:pStyle w:val="BodyJB"/>
        <w:rPr>
          <w:b/>
        </w:rPr>
      </w:pPr>
    </w:p>
    <w:p w14:paraId="20F51D3C" w14:textId="77777777" w:rsidR="003358FB" w:rsidRDefault="003358FB">
      <w:pPr>
        <w:rPr>
          <w:rFonts w:ascii="Times" w:hAnsi="Times"/>
          <w:b/>
          <w:sz w:val="36"/>
        </w:rPr>
      </w:pPr>
      <w:r>
        <w:br w:type="page"/>
      </w:r>
    </w:p>
    <w:p w14:paraId="2A24D26F" w14:textId="5157661C" w:rsidR="0052730F" w:rsidRPr="00735DDD" w:rsidRDefault="0052730F" w:rsidP="0052730F">
      <w:pPr>
        <w:pStyle w:val="HeadingJB"/>
      </w:pPr>
      <w:bookmarkStart w:id="9" w:name="_Toc291410035"/>
      <w:r w:rsidRPr="00735DDD">
        <w:t>Chapter 2: General Materials and Methods</w:t>
      </w:r>
      <w:bookmarkEnd w:id="9"/>
    </w:p>
    <w:p w14:paraId="61A9A8F1" w14:textId="77777777" w:rsidR="0052730F" w:rsidRPr="00735DDD" w:rsidRDefault="0052730F" w:rsidP="0052730F">
      <w:pPr>
        <w:pStyle w:val="BodyJB"/>
      </w:pPr>
    </w:p>
    <w:p w14:paraId="44C2FD5E" w14:textId="77777777" w:rsidR="0052730F" w:rsidRPr="00735DDD" w:rsidRDefault="0052730F" w:rsidP="0052730F">
      <w:pPr>
        <w:pStyle w:val="SubheadingJB"/>
      </w:pPr>
      <w:bookmarkStart w:id="10" w:name="_Toc250775660"/>
      <w:bookmarkStart w:id="11" w:name="_Toc291410036"/>
      <w:r>
        <w:t xml:space="preserve">2.1- </w:t>
      </w:r>
      <w:r w:rsidRPr="00735DDD">
        <w:t>Methods Background</w:t>
      </w:r>
      <w:bookmarkEnd w:id="10"/>
      <w:bookmarkEnd w:id="11"/>
    </w:p>
    <w:p w14:paraId="077ED47F" w14:textId="1E78DCB0" w:rsidR="0052730F" w:rsidRPr="00735DDD" w:rsidRDefault="0052730F" w:rsidP="003B7DA5">
      <w:pPr>
        <w:pStyle w:val="BodyJB"/>
        <w:ind w:firstLine="720"/>
      </w:pPr>
      <w:r w:rsidRPr="00735DDD">
        <w:t xml:space="preserve">Study of the metabolome requires the analysis of hundreds of thousands of compounds that span a range of structures </w:t>
      </w:r>
      <w:r w:rsidRPr="00735DDD">
        <w:fldChar w:fldCharType="begin" w:fldLock="1"/>
      </w:r>
      <w:r w:rsidR="007C2FF9">
        <w:instrText>ADDIN CSL_CITATION { "citationItems" : [ { "id" : "ITEM-1", "itemData" : { "DOI" : "Artn 109", "ISBN" : "1465-6914", "abstract" : "Optimal use of genome sequences and gene-expression resources requires powerful phenotyping platforms, including those for systematic analysis of metabolite composition. The most used technologies for metabolite profiling, including mass spectral, nuclear magnetic resonance and enzyme-based approaches, have various advantages and disadvantages, and problems can arise with reliability and the interpretation of the huge datasets produced. These techniques will be useful for answering important biological questions in the future.", "author" : [ { "dropping-particle" : "", "family" : "Kopka", "given" : "J", "non-dropping-particle" : "", "parse-names" : false, "suffix" : "" }, { "dropping-particle" : "", "family" : "Fernie", "given" : "A", "non-dropping-particle" : "", "parse-names" : false, "suffix" : "" }, { "dropping-particle" : "", "family" : "Weckwerth", "given" : "W", "non-dropping-particle" : "", "parse-names" : false, "suffix" : "" }, { "dropping-particle" : "", "family" : "Gibon", "given" : "Y", "non-dropping-particle" : "", "parse-names" : false, "suffix" : "" }, { "dropping-particle" : "", "family" : "Stitt", "given" : "M", "non-dropping-particle" : "", "parse-names" : false, "suffix" : "" } ], "container-title" : "Genome Biology", "id" : "ITEM-1", "issue" : "6", "issued" : { "date-parts" : [ [ "2004" ] ] }, "language" : "English", "page" : "-", "title" : "Metabolite profiling in plant biology: platforms and destinations", "type" : "article-journal", "volume" : "5" }, "uris" : [ "http://www.mendeley.com/documents/?uuid=2da348a4-a17a-4915-b51d-1ee6e0a2f773" ] } ], "mendeley" : { "formattedCitation" : "(Kopka et al., 2004)", "manualFormatting" : "(Kopka et al., 2004)", "plainTextFormattedCitation" : "(Kopka et al., 2004)", "previouslyFormattedCitation" : "(Kopka et al., 2004)" }, "properties" : { "noteIndex" : 0 }, "schema" : "https://github.com/citation-style-language/schema/raw/master/csl-citation.json" }</w:instrText>
      </w:r>
      <w:r w:rsidRPr="00735DDD">
        <w:fldChar w:fldCharType="separate"/>
      </w:r>
      <w:r w:rsidRPr="009355DB">
        <w:rPr>
          <w:noProof/>
        </w:rPr>
        <w:t>(Kopka et al., 2004)</w:t>
      </w:r>
      <w:r w:rsidRPr="00735DDD">
        <w:fldChar w:fldCharType="end"/>
      </w:r>
      <w:r w:rsidRPr="00735DDD">
        <w:t xml:space="preserve">. This has resulted in a huge variety of sampling, extraction, separation and detection techniques aimed at analysing different groups of compounds </w:t>
      </w:r>
      <w:r w:rsidRPr="00735DDD">
        <w:fldChar w:fldCharType="begin" w:fldLock="1"/>
      </w:r>
      <w:r w:rsidR="007C2FF9">
        <w:instrText>ADDIN CSL_CITATION { "citationItems" : [ { "id" : "ITEM-1", "itemData" : { "DOI" : "10.1021/pr0604716", "ISSN" : "1535-3893", "PMID" : "17269705", "abstract" : "Over the past years, metabolic profiling has been established as a comprehensive systems biology tool. Mass spectrometry or NMR spectroscopy-based technology platforms combined with unsupervised or supervised multivariate statistical methodologies allow a deep insight into the complex metabolite patterns of plant-derived samples. Within this review, we provide a thorough introduction to the analytical hard- and software requirements of metabolic profiling platforms. Methodological limitations are addressed, and the metabolic profiling workflow is exemplified by summarizing recent applications ranging from model systems to more applied topics.", "author" : [ { "dropping-particle" : "", "family" : "Seger", "given" : "Christoph", "non-dropping-particle" : "", "parse-names" : false, "suffix" : "" }, { "dropping-particle" : "", "family" : "Sturm", "given" : "Sonja", "non-dropping-particle" : "", "parse-names" : false, "suffix" : "" } ], "container-title" : "Journal of proteome research", "id" : "ITEM-1", "issue" : "2", "issued" : { "date-parts" : [ [ "2007", "2" ] ] }, "page" : "480-97", "title" : "Analytical aspects of plant metabolite profiling platforms: current standings and future aims.", "type" : "article-journal", "volume" : "6" }, "uris" : [ "http://www.mendeley.com/documents/?uuid=b38051ab-4cbb-4cd1-8df0-1f1ec1a650cb" ] }, { "id" : "ITEM-2", "itemData" : { "DOI" : "Doi 10.1093/Jxb/Eri069", "ISBN" : "0022-0957", "abstract" : "An overview is presented of gas chromatography/mass spectrometry (GC/MS) and liquid chromatography/mass spectrometry (LC/MS), the two major hyphenated techniques employed in metabolic profiling that complement direct 'fingerprinting' methods such as atmospheric pressure ionization (API) quadrupole time-of-flight MS, API Fourier transform MS, and NMR. In GC/MS, the analytes are normally derivatized prior to analysis in order to reduce their polarity and facilitate chromatographic separation. The electron ionization mass spectra obtained are reproducible and suitable for library matching, mass spectral collections being readily available. In LC/MS, derivatization and library matching are at an early stage of development and mini-reviews are provided. Chemical derivatization can dramatically increase the sensitivity and specificity of LC/MS methods for less polar compounds and provides additional structural information. The potential of derivatization for metabolic profiling in LC/MS is demonstrated by the enhanced analysis of plant extracts, including the potential to measure volatile acids such as formic acid, difficult to achieve by GC/MS. The important role of mass spectral library creation and usage in these techniques is discussed and illustrated by examples.", "author" : [ { "dropping-particle" : "", "family" : "Halket", "given" : "J M", "non-dropping-particle" : "", "parse-names" : false, "suffix" : "" }, { "dropping-particle" : "", "family" : "Waterman", "given" : "D", "non-dropping-particle" : "", "parse-names" : false, "suffix" : "" }, { "dropping-particle" : "", "family" : "Przyborowska", "given" : "A M", "non-dropping-particle" : "", "parse-names" : false, "suffix" : "" }, { "dropping-particle" : "", "family" : "Patel", "given" : "R K P", "non-dropping-particle" : "", "parse-names" : false, "suffix" : "" }, { "dropping-particle" : "", "family" : "Fraser", "given" : "P D", "non-dropping-particle" : "", "parse-names" : false, "suffix" : "" }, { "dropping-particle" : "", "family" : "Bramley", "given" : "P M", "non-dropping-particle" : "", "parse-names" : false, "suffix" : "" } ], "container-title" : "Journal of Experimental Botany", "id" : "ITEM-2", "issue" : "410", "issued" : { "date-parts" : [ [ "2005" ] ] }, "language" : "English", "page" : "219-243", "title" : "Chemical derivatization and mass spectral libraries in metabolic profiling by GC/MS and LC/MS/MS", "type" : "article-journal", "volume" : "56" }, "uris" : [ "http://www.mendeley.com/documents/?uuid=ac22e421-4493-46fc-a2fb-8bd2d8ce2ca3" ] }, { "id" : "ITEM-3", "itemData" : { "DOI" : "Doi 10.1002/Pca.1188", "ISBN" : "0958-0344", "abstract" : "Sample preparation in plant metabolomics is a fundamental and critical step with important consequences for the accuracy of results. Depending on the analytical tools and the metabolites of interest, sample preparation has to be decided. However, the various methods reported in the literature have many steps in common and consequently the practical considerations concerning the pros and cons are similar. In this review, each step of the sample preparation - harvesting, drying, extraction and purification - will be discussed in detail. Copyright (C) 2009 John Wiley &amp; Sons, Ltd.", "author" : [ { "dropping-particle" : "", "family" : "Kim", "given" : "H K", "non-dropping-particle" : "", "parse-names" : false, "suffix" : "" }, { "dropping-particle" : "", "family" : "Verpoorte", "given" : "R", "non-dropping-particle" : "", "parse-names" : false, "suffix" : "" } ], "container-title" : "Phytochemical Analysis", "id" : "ITEM-3", "issue" : "1", "issued" : { "date-parts" : [ [ "2010" ] ] }, "language" : "English", "page" : "4-13", "title" : "Sample Preparation for Plant Metabolomics", "type" : "article-journal", "volume" : "21" }, "uris" : [ "http://www.mendeley.com/documents/?uuid=b78b5aed-46ca-40a1-9d3e-f24707488423" ] } ], "mendeley" : { "formattedCitation" : "(Halket et al., 2005; Seger and Sturm, 2007; Kim and Verpoorte, 2010)", "plainTextFormattedCitation" : "(Halket et al., 2005; Seger and Sturm, 2007; Kim and Verpoorte, 2010)", "previouslyFormattedCitation" : "(Halket et al., 2005; Seger and Sturm, 2007; Kim and Verpoorte, 2010)" }, "properties" : { "noteIndex" : 0 }, "schema" : "https://github.com/citation-style-language/schema/raw/master/csl-citation.json" }</w:instrText>
      </w:r>
      <w:r w:rsidRPr="00735DDD">
        <w:fldChar w:fldCharType="separate"/>
      </w:r>
      <w:r w:rsidRPr="006B3180">
        <w:rPr>
          <w:noProof/>
        </w:rPr>
        <w:t>(Halket et al., 2005; Seger and Sturm, 2007; Kim and Verpoorte, 2010)</w:t>
      </w:r>
      <w:r w:rsidRPr="00735DDD">
        <w:fldChar w:fldCharType="end"/>
      </w:r>
      <w:r w:rsidRPr="00735DDD">
        <w:t>.</w:t>
      </w:r>
    </w:p>
    <w:p w14:paraId="27AABB58" w14:textId="77777777" w:rsidR="0052730F" w:rsidRPr="00735DDD" w:rsidRDefault="0052730F" w:rsidP="0052730F">
      <w:pPr>
        <w:pStyle w:val="BodyJB"/>
      </w:pPr>
    </w:p>
    <w:p w14:paraId="5BE1E314" w14:textId="77777777" w:rsidR="0052730F" w:rsidRPr="00D87A8E" w:rsidRDefault="0052730F" w:rsidP="003B7DA5">
      <w:pPr>
        <w:pStyle w:val="subheadingMINOR"/>
      </w:pPr>
      <w:bookmarkStart w:id="12" w:name="_Toc291410037"/>
      <w:r w:rsidRPr="00D87A8E">
        <w:t>Sampling</w:t>
      </w:r>
      <w:bookmarkEnd w:id="12"/>
    </w:p>
    <w:p w14:paraId="03D15461" w14:textId="05FBD3DC" w:rsidR="0052730F" w:rsidRPr="00735DDD" w:rsidRDefault="0052730F" w:rsidP="003B7DA5">
      <w:pPr>
        <w:pStyle w:val="BodyJB"/>
        <w:ind w:firstLine="720"/>
      </w:pPr>
      <w:r w:rsidRPr="00735DDD">
        <w:t xml:space="preserve">Primary metabolites are those that play a role in a large number of reactions associated with cellular functioning, therefore these metabolites will be of key interest in environmental metabolomic studies as their levels are likely to alter as plants respond to changing environmental conditions. As a consequence of key roles primary metabolites typically have very rapid turnover, metabolites involved in the Calvin cycle have been reported to have a turnover of &lt;1 sec, with some compounds such as NADP being as rapid as 0.01 sec </w:t>
      </w:r>
      <w:r w:rsidRPr="00735DDD">
        <w:fldChar w:fldCharType="begin" w:fldLock="1"/>
      </w:r>
      <w:r w:rsidR="007C2FF9">
        <w:instrText>ADDIN CSL_CITATION { "citationItems" : [ { "id" : "ITEM-1", "itemData" : { "DOI" : "10.1111/j.1365-313X.2009.03902.x", "ISSN" : "1365-313X", "PMID" : "19453453", "abstract" : "A platform using reverse-phase liquid chromatography coupled to tandem mass spectrometry was developed to measure 28 metabolites from photosynthetic metabolism. It was validated by comparison with authentic standards, with a requirement for distinct and clearly separated peaks, high sensitivity and repeatability in Arabidopsis rosette extracts. The recovery of authentic standards added to the plant material before extraction was 80-120%, demonstrating the reliability of the extraction and analytic procedures. Some metabolites could not be reliably measured, and were extracted and determined by other methods. Measurements of 37 metabolites in Arabidopsis rosettes after 15 min of illumination at different CO(2) concentrations showed that most Calvin cycle intermediates remain unaltered, or decrease only slightly (&lt;30%), at compensation point CO(2), whereas dedicated metabolites in end-product synthesis pathways decrease strongly. The inhibition of end-product synthesis allows high levels of metabolites to be retained in the Calvin cycle to support a rapid cycle with photorespiration.", "author" : [ { "dropping-particle" : "", "family" : "Arrivault", "given" : "St\u00e9phanie", "non-dropping-particle" : "", "parse-names" : false, "suffix" : "" }, { "dropping-particle" : "", "family" : "Guenther", "given" : "Manuela", "non-dropping-particle" : "", "parse-names" : false, "suffix" : "" }, { "dropping-particle" : "", "family" : "Ivakov", "given" : "Alexander", "non-dropping-particle" : "", "parse-names" : false, "suffix" : "" }, { "dropping-particle" : "", "family" : "Feil", "given" : "Regina", "non-dropping-particle" : "", "parse-names" : false, "suffix" : "" }, { "dropping-particle" : "", "family" : "Vosloh", "given" : "Daniel", "non-dropping-particle" : "", "parse-names" : false, "suffix" : "" }, { "dropping-particle" : "", "family" : "Dongen", "given" : "Joost T", "non-dropping-particle" : "van", "parse-names" : false, "suffix" : "" }, { "dropping-particle" : "", "family" : "Sulpice", "given" : "Ronan", "non-dropping-particle" : "", "parse-names" : false, "suffix" : "" }, { "dropping-particle" : "", "family" : "Stitt", "given" : "Mark", "non-dropping-particle" : "", "parse-names" : false, "suffix" : "" } ], "container-title" : "The Plant journal : for cell and molecular biology", "id" : "ITEM-1", "issue" : "5", "issued" : { "date-parts" : [ [ "2009", "9" ] ] }, "page" : "826-39", "title" : "Use of reverse-phase liquid chromatography, linked to tandem mass spectrometry, to profile the Calvin cycle and other metabolic intermediates in Arabidopsis rosettes at different carbon dioxide concentrations.", "type" : "article-journal", "volume" : "59" }, "uris" : [ "http://www.mendeley.com/documents/?uuid=65a0f17f-0686-45f7-bd27-d6f69c02924d" ] } ], "mendeley" : { "formattedCitation" : "(Arrivault et al., 2009)", "plainTextFormattedCitation" : "(Arrivault et al., 2009)", "previouslyFormattedCitation" : "(Arrivault et al., 2009)" }, "properties" : { "noteIndex" : 0 }, "schema" : "https://github.com/citation-style-language/schema/raw/master/csl-citation.json" }</w:instrText>
      </w:r>
      <w:r w:rsidRPr="00735DDD">
        <w:fldChar w:fldCharType="separate"/>
      </w:r>
      <w:r w:rsidRPr="006B3180">
        <w:rPr>
          <w:noProof/>
        </w:rPr>
        <w:t>(Arrivault et al., 2009)</w:t>
      </w:r>
      <w:r w:rsidRPr="00735DDD">
        <w:fldChar w:fldCharType="end"/>
      </w:r>
      <w:r w:rsidRPr="00735DDD">
        <w:t xml:space="preserve">. Quenching of metabolism is therefore one of the most important steps in metabolome analysis to ensure that the resulting ‘snapshot’ of the metabolome is representative of the functioning plant and reproducible between samples. Quenching also acts to inactivate enzymes that degrade metabolites after sampling has occurred </w:t>
      </w:r>
      <w:r w:rsidRPr="00735DDD">
        <w:fldChar w:fldCharType="begin" w:fldLock="1"/>
      </w:r>
      <w:r w:rsidR="007C2FF9">
        <w:instrText>ADDIN CSL_CITATION { "citationItems" : [ { "id" : "ITEM-1", "itemData" : { "author" : [ { "dropping-particle" : "", "family" : "Villas-B\u00f4as", "given" : "Silas G", "non-dropping-particle" : "", "parse-names" : false, "suffix" : "" }, { "dropping-particle" : "", "family" : "Roessner", "given" : "Ute", "non-dropping-particle" : "", "parse-names" : false, "suffix" : "" }, { "dropping-particle" : "", "family" : "Hansen", "given" : "Michael A E", "non-dropping-particle" : "", "parse-names" : false, "suffix" : "" }, { "dropping-particle" : "", "family" : "Smedsgaard", "given" : "Jorn", "non-dropping-particle" : "", "parse-names" : false, "suffix" : "" }, { "dropping-particle" : "", "family" : "Nielsen", "given" : "Jens", "non-dropping-particle" : "", "parse-names" : false, "suffix" : "" } ], "container-title" : "Metabolome Analysis: An introduction", "id" : "ITEM-1", "issued" : { "date-parts" : [ [ "2007" ] ] }, "number-of-pages" : "39-", "title" : "Metabolome Analysis: An Introduction", "type" : "book" }, "uris" : [ "http://www.mendeley.com/documents/?uuid=5d9763d3-37b5-4840-8815-1b911b648b97" ] } ], "mendeley" : { "formattedCitation" : "(Villas-B\u00f4as et al., 2007)", "plainTextFormattedCitation" : "(Villas-B\u00f4as et al., 2007)", "previouslyFormattedCitation" : "(Villas-B\u00f4as et al., 2007)" }, "properties" : { "noteIndex" : 0 }, "schema" : "https://github.com/citation-style-language/schema/raw/master/csl-citation.json" }</w:instrText>
      </w:r>
      <w:r w:rsidRPr="00735DDD">
        <w:fldChar w:fldCharType="separate"/>
      </w:r>
      <w:r w:rsidRPr="006B3180">
        <w:rPr>
          <w:noProof/>
        </w:rPr>
        <w:t>(Villas-Bôas et al., 2007)</w:t>
      </w:r>
      <w:r w:rsidRPr="00735DDD">
        <w:fldChar w:fldCharType="end"/>
      </w:r>
      <w:r w:rsidRPr="00735DDD">
        <w:t>. Rapid inactivation of metabolism occurs via rapid alterations in temperature of pH. Plant tissue is typically sampled from the plant and simultaneously placed in a hot (&gt; 80</w:t>
      </w:r>
      <w:r w:rsidRPr="00735DDD">
        <w:sym w:font="Symbol" w:char="F0B0"/>
      </w:r>
      <w:r w:rsidRPr="00735DDD">
        <w:t>C), cold (&lt; -40</w:t>
      </w:r>
      <w:r w:rsidRPr="00735DDD">
        <w:sym w:font="Symbol" w:char="F0B0"/>
      </w:r>
      <w:r w:rsidRPr="00735DDD">
        <w:t xml:space="preserve">C), acidic (pH &lt; 2.0) or alkaline (pH &gt; 10) solution to inactivate cellular metabolism and enzymatic activities within the tissue </w:t>
      </w:r>
      <w:r w:rsidRPr="00735DDD">
        <w:fldChar w:fldCharType="begin" w:fldLock="1"/>
      </w:r>
      <w:r w:rsidR="007C2FF9">
        <w:instrText>ADDIN CSL_CITATION { "citationItems" : [ { "id" : "ITEM-1", "itemData" : { "author" : [ { "dropping-particle" : "", "family" : "Villas-B\u00f4as", "given" : "Silas G", "non-dropping-particle" : "", "parse-names" : false, "suffix" : "" }, { "dropping-particle" : "", "family" : "Roessner", "given" : "Ute", "non-dropping-particle" : "", "parse-names" : false, "suffix" : "" }, { "dropping-particle" : "", "family" : "Hansen", "given" : "Michael A E", "non-dropping-particle" : "", "parse-names" : false, "suffix" : "" }, { "dropping-particle" : "", "family" : "Smedsgaard", "given" : "Jorn", "non-dropping-particle" : "", "parse-names" : false, "suffix" : "" }, { "dropping-particle" : "", "family" : "Nielsen", "given" : "Jens", "non-dropping-particle" : "", "parse-names" : false, "suffix" : "" } ], "container-title" : "Metabolome Analysis: An introduction", "id" : "ITEM-1", "issued" : { "date-parts" : [ [ "2007" ] ] }, "number-of-pages" : "39-", "title" : "Metabolome Analysis: An Introduction", "type" : "book" }, "uris" : [ "http://www.mendeley.com/documents/?uuid=5d9763d3-37b5-4840-8815-1b911b648b97" ] } ], "mendeley" : { "formattedCitation" : "(Villas-B\u00f4as et al., 2007)", "plainTextFormattedCitation" : "(Villas-B\u00f4as et al., 2007)", "previouslyFormattedCitation" : "(Villas-B\u00f4as et al., 2007)" }, "properties" : { "noteIndex" : 0 }, "schema" : "https://github.com/citation-style-language/schema/raw/master/csl-citation.json" }</w:instrText>
      </w:r>
      <w:r w:rsidRPr="00735DDD">
        <w:fldChar w:fldCharType="separate"/>
      </w:r>
      <w:r w:rsidRPr="006B3180">
        <w:rPr>
          <w:noProof/>
        </w:rPr>
        <w:t>(Villas-Bôas et al., 2007)</w:t>
      </w:r>
      <w:r w:rsidRPr="00735DDD">
        <w:fldChar w:fldCharType="end"/>
      </w:r>
      <w:r w:rsidRPr="00735DDD">
        <w:t xml:space="preserve">. </w:t>
      </w:r>
    </w:p>
    <w:p w14:paraId="109EC61D" w14:textId="207D3EB3" w:rsidR="0052730F" w:rsidRPr="00735DDD" w:rsidRDefault="0052730F" w:rsidP="003B7DA5">
      <w:pPr>
        <w:pStyle w:val="BodyJB"/>
        <w:ind w:firstLine="720"/>
      </w:pPr>
      <w:r w:rsidRPr="00735DDD">
        <w:t xml:space="preserve">Biological variability represents a major limitation of the metabolomics approach and this has consequences for the design of environmental metabolomics experiments. Since levels of plant metabolites vary during the day it is essential to consider the timing of sampling. Both primary </w:t>
      </w:r>
      <w:r w:rsidRPr="00735DDD">
        <w:fldChar w:fldCharType="begin" w:fldLock="1"/>
      </w:r>
      <w:r w:rsidR="007C2FF9">
        <w:instrText>ADDIN CSL_CITATION { "citationItems" : [ { "id" : "ITEM-1", "itemData" : { "DOI" : "10.1186/gb-2006-7-8-r76", "ISBN" : "1465-6914 (Electronic)\\n1465-6906 (Linking)", "ISSN" : "1465-6914", "PMID" : "16916443", "author" : [ { "dropping-particle" : "", "family" : "Gibon", "given" : "Yves", "non-dropping-particle" : "", "parse-names" : false, "suffix" : "" }, { "dropping-particle" : "", "family" : "Usadel", "given" : "Bjoern", "non-dropping-particle" : "", "parse-names" : false, "suffix" : "" }, { "dropping-particle" : "", "family" : "Blaesing", "given" : "Oliver E", "non-dropping-particle" : "", "parse-names" : false, "suffix" : "" }, { "dropping-particle" : "", "family" : "Kamlage", "given" : "Beate", "non-dropping-particle" : "", "parse-names" : false, "suffix" : "" }, { "dropping-particle" : "", "family" : "Hoehne", "given" : "Melanie", "non-dropping-particle" : "", "parse-names" : false, "suffix" : "" }, { "dropping-particle" : "", "family" : "Trethewey", "given" : "Richard", "non-dropping-particle" : "", "parse-names" : false, "suffix" : "" }, { "dropping-particle" : "", "family" : "Stitt", "given" : "Mark", "non-dropping-particle" : "", "parse-names" : false, "suffix" : "" } ], "container-title" : "Genome biology", "id" : "ITEM-1", "issued" : { "date-parts" : [ [ "2006" ] ] }, "title" : "Integration of metabolite with transcript and enzyme activity profiling during diurnal cycles in Arabidopsis rosettes.", "type" : "article-journal" }, "uris" : [ "http://www.mendeley.com/documents/?uuid=82640dd1-a613-4ca2-87af-e7c47b5d5b82" ] } ], "mendeley" : { "formattedCitation" : "(Gibon et al., 2006)", "plainTextFormattedCitation" : "(Gibon et al., 2006)", "previouslyFormattedCitation" : "(Gibon et al., 2006)" }, "properties" : { "noteIndex" : 0 }, "schema" : "https://github.com/citation-style-language/schema/raw/master/csl-citation.json" }</w:instrText>
      </w:r>
      <w:r w:rsidRPr="00735DDD">
        <w:fldChar w:fldCharType="separate"/>
      </w:r>
      <w:r w:rsidRPr="006B3180">
        <w:rPr>
          <w:noProof/>
        </w:rPr>
        <w:t>(Gibon et al., 2006)</w:t>
      </w:r>
      <w:r w:rsidRPr="00735DDD">
        <w:fldChar w:fldCharType="end"/>
      </w:r>
      <w:r w:rsidRPr="00735DDD">
        <w:t xml:space="preserve"> and secondary metabolites </w:t>
      </w:r>
      <w:r w:rsidRPr="00735DDD">
        <w:fldChar w:fldCharType="begin" w:fldLock="1"/>
      </w:r>
      <w:r w:rsidR="007C2FF9">
        <w:instrText>ADDIN CSL_CITATION { "citationItems" : [ { "id" : "ITEM-1", "itemData" : { "DOI" : "10.1007/s00425-005-1483-y", "ISSN" : "0032-0935", "PMID" : "15744496", "abstract" : "Diurnal changes in carbohydrates and a broad range of primary metabolites were analysed through a diurnal period in potato leaves (Solanum tuberosum cv. Desiree) using an established gas chromatography-mass spectrometry based metabolic profiling protocol alongside conventional spectrophotometric technologies. In tandem, we profiled transcript levels using both a custom array containing approximately 2,500 cDNA clones predominantly representing transcripts involved in primary metabolism and commercially available arrays containing approximately 12,000 cDNA clones that gave coverage of transcript levels over a broader functional range. The levels of many metabolites and transcripts varied during the diurnal period with 56 significant differences observed in the metabolite contents and 832 significant differences recorded in transcript levels. Whilst a large number of the differences would be expected from what has been known previously, several novel changes were observed in these experiments. Notably, qualitative comparison of the combined data sets obtained from the parallel analysis of transcripts and metabolites suggests relatively few changes in gene expression strongly correlate with changes in metabolite levels during a diurnal cycle. Furthermore, these changes appear to be confined to the central metabolic pathways. However, principal component analysis of the metabolic profiles obtained here revealed that metabolite patterns change progressively through a diurnal period suggesting the operation of mechanisms for tight temporal regulation of metabolite composition.", "author" : [ { "dropping-particle" : "", "family" : "Urbanczyk-Wochniak", "given" : "Ewa", "non-dropping-particle" : "", "parse-names" : false, "suffix" : "" }, { "dropping-particle" : "", "family" : "Baxter", "given" : "Charles", "non-dropping-particle" : "", "parse-names" : false, "suffix" : "" }, { "dropping-particle" : "", "family" : "Kolbe", "given" : "Anna", "non-dropping-particle" : "", "parse-names" : false, "suffix" : "" }, { "dropping-particle" : "", "family" : "Kopka", "given" : "Joachim", "non-dropping-particle" : "", "parse-names" : false, "suffix" : "" }, { "dropping-particle" : "", "family" : "Sweetlove", "given" : "Lee J", "non-dropping-particle" : "", "parse-names" : false, "suffix" : "" }, { "dropping-particle" : "", "family" : "Fernie", "given" : "Alisdair R", "non-dropping-particle" : "", "parse-names" : false, "suffix" : "" } ], "container-title" : "Planta", "id" : "ITEM-1", "issue" : "6", "issued" : { "date-parts" : [ [ "2005", "8" ] ] }, "page" : "891-903", "title" : "Profiling of diurnal patterns of metabolite and transcript abundance in potato (Solanum tuberosum) leaves.", "type" : "article-journal", "volume" : "221" }, "uris" : [ "http://www.mendeley.com/documents/?uuid=35576272-7116-442e-b61e-4fb4a5295ed5" ] } ], "mendeley" : { "formattedCitation" : "(Urbanczyk-Wochniak et al., 2005)", "plainTextFormattedCitation" : "(Urbanczyk-Wochniak et al., 2005)", "previouslyFormattedCitation" : "(Urbanczyk-Wochniak et al., 2005)" }, "properties" : { "noteIndex" : 0 }, "schema" : "https://github.com/citation-style-language/schema/raw/master/csl-citation.json" }</w:instrText>
      </w:r>
      <w:r w:rsidRPr="00735DDD">
        <w:fldChar w:fldCharType="separate"/>
      </w:r>
      <w:r w:rsidRPr="006B3180">
        <w:rPr>
          <w:noProof/>
        </w:rPr>
        <w:t>(Urbanczyk-Wochniak et al., 2005)</w:t>
      </w:r>
      <w:r w:rsidRPr="00735DDD">
        <w:fldChar w:fldCharType="end"/>
      </w:r>
      <w:r w:rsidRPr="00735DDD">
        <w:t xml:space="preserve"> show fluctuating diurnal patterns of concentration in response to varying environmental conditions. As well as temporal metabolic variation, biological variation at different levels of organization within the plant will impact the ‘snapshot’ of metabolism that is gathered. Metabolite content will vary within the plant between different organs and also within the same type of organ, for example between young and old leaves </w:t>
      </w:r>
      <w:r w:rsidRPr="00735DDD">
        <w:fldChar w:fldCharType="begin" w:fldLock="1"/>
      </w:r>
      <w:r w:rsidR="007C2FF9">
        <w:instrText>ADDIN CSL_CITATION { "citationItems" : [ { "id" : "ITEM-1", "itemData" : { "DOI" : "Doi 10.1002/Pca.1188", "ISBN" : "0958-0344", "abstract" : "Sample preparation in plant metabolomics is a fundamental and critical step with important consequences for the accuracy of results. Depending on the analytical tools and the metabolites of interest, sample preparation has to be decided. However, the various methods reported in the literature have many steps in common and consequently the practical considerations concerning the pros and cons are similar. In this review, each step of the sample preparation - harvesting, drying, extraction and purification - will be discussed in detail. Copyright (C) 2009 John Wiley &amp; Sons, Ltd.", "author" : [ { "dropping-particle" : "", "family" : "Kim", "given" : "H K", "non-dropping-particle" : "", "parse-names" : false, "suffix" : "" }, { "dropping-particle" : "", "family" : "Verpoorte", "given" : "R", "non-dropping-particle" : "", "parse-names" : false, "suffix" : "" } ], "container-title" : "Phytochemical Analysis", "id" : "ITEM-1", "issue" : "1", "issued" : { "date-parts" : [ [ "2010" ] ] }, "language" : "English", "page" : "4-13", "title" : "Sample Preparation for Plant Metabolomics", "type" : "article-journal", "volume" : "21" }, "uris" : [ "http://www.mendeley.com/documents/?uuid=b78b5aed-46ca-40a1-9d3e-f24707488423" ] } ], "mendeley" : { "formattedCitation" : "(Kim and Verpoorte, 2010)", "plainTextFormattedCitation" : "(Kim and Verpoorte, 2010)", "previouslyFormattedCitation" : "(Kim and Verpoorte, 2010)" }, "properties" : { "noteIndex" : 0 }, "schema" : "https://github.com/citation-style-language/schema/raw/master/csl-citation.json" }</w:instrText>
      </w:r>
      <w:r w:rsidRPr="00735DDD">
        <w:fldChar w:fldCharType="separate"/>
      </w:r>
      <w:r w:rsidRPr="006B3180">
        <w:rPr>
          <w:noProof/>
        </w:rPr>
        <w:t>(Kim and Verpoorte, 2010)</w:t>
      </w:r>
      <w:r w:rsidRPr="00735DDD">
        <w:fldChar w:fldCharType="end"/>
      </w:r>
      <w:r w:rsidRPr="00735DDD">
        <w:t xml:space="preserve">. The impact of biological variation on metabolism continues through levels of organization between different individuals and species, typically studies can minimize this variation by pooling sample, either by analyzing different tissues of the plant within a single sample, or by pooling multiple replicate plants </w:t>
      </w:r>
      <w:r w:rsidRPr="00735DDD">
        <w:fldChar w:fldCharType="begin" w:fldLock="1"/>
      </w:r>
      <w:r w:rsidR="007C2FF9">
        <w:instrText>ADDIN CSL_CITATION { "citationItems" : [ { "id" : "ITEM-1", "itemData" : { "DOI" : "Doi 10.1016/S0031-9422(02)00708-2", "ISBN" : "0031-9422", "abstract" : "Metabolomics or the large-scale phytochemical analysis of plants is reviewed in relation to functional genomics and systems biology. A historical account of the introduction and evolution of metabolite profiling into today's modern comprehensive metabolomics approach is provided. Many of the technologies used in metabolomics, including optical spectroscopy, nuclear magnetic resonance, and mass spectrometry are surveyed. The critical role of bioinformatics and various methods of data visualization are summarized and the future role of metabolomics in plant science assessed. (C) 2003 Elsevier Science Ltd. All rights reserved.", "author" : [ { "dropping-particle" : "", "family" : "Sumner", "given" : "L W", "non-dropping-particle" : "", "parse-names" : false, "suffix" : "" }, { "dropping-particle" : "", "family" : "Mendes", "given" : "P", "non-dropping-particle" : "", "parse-names" : false, "suffix" : "" }, { "dropping-particle" : "", "family" : "Dixon", "given" : "R A", "non-dropping-particle" : "", "parse-names" : false, "suffix" : "" } ], "container-title" : "Phytochemistry", "id" : "ITEM-1", "issue" : "6", "issued" : { "date-parts" : [ [ "2003" ] ] }, "language" : "English", "page" : "817-836", "title" : "Plant metabolomics: large-scale phytochemistry in the functional genomics era", "type" : "article-journal", "volume" : "62" }, "uris" : [ "http://www.mendeley.com/documents/?uuid=c81a161e-ac66-4328-add7-caef651b5c97" ] } ], "mendeley" : { "formattedCitation" : "(Sumner et al., 2003)", "plainTextFormattedCitation" : "(Sumner et al., 2003)", "previouslyFormattedCitation" : "(Sumner et al., 2003)" }, "properties" : { "noteIndex" : 0 }, "schema" : "https://github.com/citation-style-language/schema/raw/master/csl-citation.json" }</w:instrText>
      </w:r>
      <w:r w:rsidRPr="00735DDD">
        <w:fldChar w:fldCharType="separate"/>
      </w:r>
      <w:r w:rsidRPr="006B3180">
        <w:rPr>
          <w:noProof/>
        </w:rPr>
        <w:t>(Sumner et al., 2003)</w:t>
      </w:r>
      <w:r w:rsidRPr="00735DDD">
        <w:fldChar w:fldCharType="end"/>
      </w:r>
    </w:p>
    <w:p w14:paraId="3622F4D7" w14:textId="77777777" w:rsidR="0052730F" w:rsidRDefault="0052730F" w:rsidP="0052730F">
      <w:pPr>
        <w:pStyle w:val="BodyJB"/>
        <w:rPr>
          <w:highlight w:val="green"/>
        </w:rPr>
      </w:pPr>
    </w:p>
    <w:p w14:paraId="7617BFAF" w14:textId="77777777" w:rsidR="0052730F" w:rsidRPr="00D87A8E" w:rsidRDefault="0052730F" w:rsidP="003B7DA5">
      <w:pPr>
        <w:pStyle w:val="subheadingMINOR"/>
      </w:pPr>
      <w:bookmarkStart w:id="13" w:name="_Toc250775661"/>
      <w:bookmarkStart w:id="14" w:name="_Toc291410038"/>
      <w:r w:rsidRPr="00D87A8E">
        <w:t>Sample Extraction</w:t>
      </w:r>
      <w:bookmarkEnd w:id="13"/>
      <w:bookmarkEnd w:id="14"/>
    </w:p>
    <w:p w14:paraId="082185C7" w14:textId="7BB9E7BD" w:rsidR="0052730F" w:rsidRPr="00735DDD" w:rsidRDefault="0052730F" w:rsidP="003B7DA5">
      <w:pPr>
        <w:pStyle w:val="BodyJB"/>
        <w:ind w:firstLine="720"/>
      </w:pPr>
      <w:r w:rsidRPr="00735DDD">
        <w:t xml:space="preserve">The second step of sample preparation prior to analysis is extraction. The aim of extraction is to make the metabolites accessible, methods typically do this by mechanically (grinding) or chemically (use of solvents) disrupting the cell envelope to release intracellular compounds, and also separating low molecular mass compounds from the biological matrix </w:t>
      </w:r>
      <w:r w:rsidRPr="00735DDD">
        <w:fldChar w:fldCharType="begin" w:fldLock="1"/>
      </w:r>
      <w:r w:rsidR="007C2FF9">
        <w:instrText>ADDIN CSL_CITATION { "citationItems" : [ { "id" : "ITEM-1", "itemData" : { "author" : [ { "dropping-particle" : "", "family" : "Villas-B\u00f4as", "given" : "Silas G", "non-dropping-particle" : "", "parse-names" : false, "suffix" : "" }, { "dropping-particle" : "", "family" : "Roessner", "given" : "Ute", "non-dropping-particle" : "", "parse-names" : false, "suffix" : "" }, { "dropping-particle" : "", "family" : "Hansen", "given" : "Michael A E", "non-dropping-particle" : "", "parse-names" : false, "suffix" : "" }, { "dropping-particle" : "", "family" : "Smedsgaard", "given" : "Jorn", "non-dropping-particle" : "", "parse-names" : false, "suffix" : "" }, { "dropping-particle" : "", "family" : "Nielsen", "given" : "Jens", "non-dropping-particle" : "", "parse-names" : false, "suffix" : "" } ], "container-title" : "Metabolome Analysis: An introduction", "id" : "ITEM-1", "issued" : { "date-parts" : [ [ "2007" ] ] }, "number-of-pages" : "39-", "title" : "Metabolome Analysis: An Introduction", "type" : "book" }, "uris" : [ "http://www.mendeley.com/documents/?uuid=5d9763d3-37b5-4840-8815-1b911b648b97" ] } ], "mendeley" : { "formattedCitation" : "(Villas-B\u00f4as et al., 2007)", "plainTextFormattedCitation" : "(Villas-B\u00f4as et al., 2007)", "previouslyFormattedCitation" : "(Villas-B\u00f4as et al., 2007)" }, "properties" : { "noteIndex" : 0 }, "schema" : "https://github.com/citation-style-language/schema/raw/master/csl-citation.json" }</w:instrText>
      </w:r>
      <w:r w:rsidRPr="00735DDD">
        <w:fldChar w:fldCharType="separate"/>
      </w:r>
      <w:r w:rsidRPr="006B3180">
        <w:rPr>
          <w:noProof/>
        </w:rPr>
        <w:t>(Villas-Bôas et al., 2007)</w:t>
      </w:r>
      <w:r w:rsidRPr="00735DDD">
        <w:fldChar w:fldCharType="end"/>
      </w:r>
      <w:r w:rsidRPr="00735DDD">
        <w:t xml:space="preserve">. The vast array of compounds of different concentrations and polarities that make up the metabolome create difficulties at the extraction step. Since no one solvent is capable of dissolving all compounds choosing certain solvents and methods can limit the general view of the metabolome. The advantages and disadvantages as well as the ideal conditions required by different extraction methods are well summarized in </w:t>
      </w:r>
      <w:r w:rsidRPr="00735DDD">
        <w:rPr>
          <w:noProof/>
        </w:rPr>
        <w:t xml:space="preserve">Villas-Bôas et al., 2007. Kim &amp; Verpoorte, 2010 neatly present the results from a study testing a series of different solvents of Arabidopsis tissue samples using Principal Componant Analysis. This work indicates that different solvents produce very different metbolic profiles, with compounds such as carbohydrates, amino acids and organic acids being differentially extracted with MeOH-water (1:1) and water solvents compared with Acetone, Aceone-MeOH and acetonitrile solvents. Studies must therefore choose an appropriate combination of solvents that complement the target compounds. </w:t>
      </w:r>
    </w:p>
    <w:p w14:paraId="0915D7AC" w14:textId="77777777" w:rsidR="0052730F" w:rsidRPr="00735DDD" w:rsidRDefault="0052730F" w:rsidP="0052730F">
      <w:pPr>
        <w:pStyle w:val="BodyJB"/>
      </w:pPr>
    </w:p>
    <w:p w14:paraId="25FF93B0" w14:textId="77777777" w:rsidR="0052730F" w:rsidRPr="00D87A8E" w:rsidRDefault="0052730F" w:rsidP="003B7DA5">
      <w:pPr>
        <w:pStyle w:val="subheadingMINOR"/>
      </w:pPr>
      <w:bookmarkStart w:id="15" w:name="_Toc250775662"/>
      <w:bookmarkStart w:id="16" w:name="_Toc291410039"/>
      <w:r w:rsidRPr="00D87A8E">
        <w:t>Mass Spectrometry Analysis</w:t>
      </w:r>
      <w:bookmarkEnd w:id="15"/>
      <w:bookmarkEnd w:id="16"/>
    </w:p>
    <w:p w14:paraId="58D1953D" w14:textId="77777777" w:rsidR="0052730F" w:rsidRPr="00735DDD" w:rsidRDefault="0052730F" w:rsidP="0052730F">
      <w:pPr>
        <w:pStyle w:val="BodyJB"/>
      </w:pPr>
      <w:r w:rsidRPr="00735DDD">
        <w:tab/>
        <w:t xml:space="preserve">As well as the associated problems with the extraction procedure, the chemical complexity of the metabolome has led to the creation of a variety of analytical platforms, not one of which is able to detect all metabolites present. Common analytical techniques include: thin-layer chromatography (TLC), gas chromatography (GC), nuclear magnetic resonance (NMR), high-performance liquid chromatography (HPLC),and especially mass spectrometry (MS) by direct-infusion (DIMS) or coupled to chromatographic techniques such as GC (GC-MS), capillary electrophoresis (CE-MS) and liquid chromatography (LC-MS). </w:t>
      </w:r>
    </w:p>
    <w:p w14:paraId="7B5717E1" w14:textId="1F1F8668" w:rsidR="0052730F" w:rsidRPr="00735DDD" w:rsidRDefault="0052730F" w:rsidP="003B7DA5">
      <w:pPr>
        <w:pStyle w:val="BodyJB"/>
        <w:ind w:firstLine="720"/>
      </w:pPr>
      <w:r w:rsidRPr="00735DDD">
        <w:t xml:space="preserve">While NMR provides a very competent tool in terms of structural information content and quantitative analysis of metabolomic samples, compound detection within a single sample is limited from one to several dozens, sensitivity is well below that of mass spectrometry (see </w:t>
      </w:r>
      <w:r w:rsidRPr="00735DDD">
        <w:fldChar w:fldCharType="begin" w:fldLock="1"/>
      </w:r>
      <w:r w:rsidR="007C2FF9">
        <w:instrText>ADDIN CSL_CITATION { "citationItems" : [ { "id" : "ITEM-1", "itemData" : { "DOI" : "10.1002/pca.1185", "ISSN" : "1099-1565", "PMID" : "19904731", "abstract" : "The present state-of-the-art of NMR in plant metabolomics is reviewed. Attention is paid to the different practical aspects of the application of NMR. The sample preparation, the measurement of the spectrum, quantitative aspects and data analysis are discussed. Each stage has its specific problems, which are pointed out and recommendations are made.", "author" : [ { "dropping-particle" : "", "family" : "Schripsema", "given" : "Jan", "non-dropping-particle" : "", "parse-names" : false, "suffix" : "" } ], "container-title" : "Phytochemical analysis : PCA", "id" : "ITEM-1", "issue" : "1", "issued" : { "date-parts" : [ [ "2010" ] ] }, "page" : "14-21", "title" : "Application of NMR in plant metabolomics: techniques, problems and prospects.", "type" : "article-journal", "volume" : "21" }, "uris" : [ "http://www.mendeley.com/documents/?uuid=6dca3805-2f46-449a-9dcf-140a8c314024" ] } ], "mendeley" : { "formattedCitation" : "(Schripsema, 2010)", "plainTextFormattedCitation" : "(Schripsema, 2010)", "previouslyFormattedCitation" : "(Schripsema, 2010)" }, "properties" : { "noteIndex" : 0 }, "schema" : "https://github.com/citation-style-language/schema/raw/master/csl-citation.json" }</w:instrText>
      </w:r>
      <w:r w:rsidRPr="00735DDD">
        <w:fldChar w:fldCharType="separate"/>
      </w:r>
      <w:r w:rsidRPr="006B3180">
        <w:rPr>
          <w:noProof/>
        </w:rPr>
        <w:t>(Schripsema, 2010)</w:t>
      </w:r>
      <w:r w:rsidRPr="00735DDD">
        <w:fldChar w:fldCharType="end"/>
      </w:r>
      <w:r w:rsidRPr="00735DDD">
        <w:t xml:space="preserve"> for a review of the application of NMR in plant metabolomics). Mass spectrometry (MS) measurement is the main tool used in metabolomics sue to is chemical selectivity, sensitivity, range of metabolome coverage and relative cost </w:t>
      </w:r>
      <w:r w:rsidRPr="00735DDD">
        <w:fldChar w:fldCharType="begin" w:fldLock="1"/>
      </w:r>
      <w:r w:rsidR="007C2FF9">
        <w:instrText>ADDIN CSL_CITATION { "citationItems" : [ { "id" : "ITEM-1", "itemData" : { "DOI" : "Doi 10.1016/J.Trac.2008.01.006", "ISBN" : "0165-9936", "abstract" : "Mass spectrometry (MS) has secured a central role in metabolomics that is predicted to grow based upon continuous developments and improvements in MS technologies. This article reviews both current MS technologies incorporated into many metabolomics programs as well as emerging MS technologies that hold additional promise for the advancement of metabolomics. We discuss examples of metabolic fingerprinting using direct MS analysis of complex mixtures with traditional and emerging ionization sources, spatially resolved metabolite profiling via MS imaging, metabolite profiling using chromatography coupled to MS, multi-dimensional chromatography coupled to MS, and ion-mobility MS. (c) 2008 Published by Elsevier Ltd.", "author" : [ { "dropping-particle" : "", "family" : "Bedair", "given" : "M", "non-dropping-particle" : "", "parse-names" : false, "suffix" : "" }, { "dropping-particle" : "", "family" : "Sumner", "given" : "L W", "non-dropping-particle" : "", "parse-names" : false, "suffix" : "" } ], "container-title" : "Trac-Trends in Analytical Chemistry", "id" : "ITEM-1", "issue" : "3", "issued" : { "date-parts" : [ [ "2008" ] ] }, "language" : "English", "page" : "238-250", "title" : "Current and emerging mass-spectrometry technologies for metabolomics", "type" : "article-journal", "volume" : "27" }, "uris" : [ "http://www.mendeley.com/documents/?uuid=fa026e20-b5c0-4fd3-9ff4-ad9719cdc8fb" ] } ], "mendeley" : { "formattedCitation" : "(Bedair and Sumner, 2008)", "plainTextFormattedCitation" : "(Bedair and Sumner, 2008)", "previouslyFormattedCitation" : "(Bedair and Sumner, 2008)" }, "properties" : { "noteIndex" : 0 }, "schema" : "https://github.com/citation-style-language/schema/raw/master/csl-citation.json" }</w:instrText>
      </w:r>
      <w:r w:rsidRPr="00735DDD">
        <w:fldChar w:fldCharType="separate"/>
      </w:r>
      <w:r w:rsidRPr="006B3180">
        <w:rPr>
          <w:noProof/>
        </w:rPr>
        <w:t>(Bedair and Sumner, 2008)</w:t>
      </w:r>
      <w:r w:rsidRPr="00735DDD">
        <w:fldChar w:fldCharType="end"/>
      </w:r>
      <w:r w:rsidRPr="00735DDD">
        <w:t xml:space="preserve">. MS coupled with high-resolution separation techniques such as GC, have been widely used for metabolite identification in studies </w:t>
      </w:r>
      <w:r w:rsidRPr="00735DDD">
        <w:fldChar w:fldCharType="begin" w:fldLock="1"/>
      </w:r>
      <w:r w:rsidR="007C2FF9">
        <w:instrText>ADDIN CSL_CITATION { "citationItems" : [ { "id" : "ITEM-1", "itemData" : { "ISBN" : "1087-0156", "abstract" : "Multiparallel analyses of mRNA and proteins are central to today's functional genomics initiatives. We describe here the use of metabolite profiling as a new tool for a comparative display of gene function. It has the potential not only to provide deeper insight into complex regulatory processes but also to determine phenotype directly. Using gas chromatography/mass spectrometry (GC/MS), we automatically quantified 326 distinct compounds from Arabidopsis thaliana leaf extracts. It was possible to assign a chemical structure to approximately half of these compounds. Comparison of four Arabidopsis genotypes (two homozygous ecotypes and a mutant of each ecotype) showed that each genotype possesses a distinct metabolic profile. Data mining tools such as principal component analysis enabled the assignment of \"metabolic phenotypes\" using these large data sets. The metabolic phenotypes of the two ecotypes were more divergent than were the metabolic phenotypes of the single-loci mutant and their parental ecotypes. These results demonstrate the use of metabolite profiling as a tool to significantly extend and enhance the power of existing functional genomics approaches.", "author" : [ { "dropping-particle" : "", "family" : "Fiehn", "given" : "O", "non-dropping-particle" : "", "parse-names" : false, "suffix" : "" }, { "dropping-particle" : "", "family" : "Kopka", "given" : "J", "non-dropping-particle" : "", "parse-names" : false, "suffix" : "" }, { "dropping-particle" : "", "family" : "Dormann", "given" : "P", "non-dropping-particle" : "", "parse-names" : false, "suffix" : "" }, { "dropping-particle" : "", "family" : "Altmann", "given" : "T", "non-dropping-particle" : "", "parse-names" : false, "suffix" : "" }, { "dropping-particle" : "", "family" : "Trethewey", "given" : "R N", "non-dropping-particle" : "", "parse-names" : false, "suffix" : "" }, { "dropping-particle" : "", "family" : "Willmitzer", "given" : "L", "non-dropping-particle" : "", "parse-names" : false, "suffix" : "" } ], "container-title" : "Nature Biotechnology", "id" : "ITEM-1", "issue" : "11", "issued" : { "date-parts" : [ [ "2000" ] ] }, "language" : "English", "page" : "1157-1161", "title" : "Metabolite profiling for plant functional genomics", "type" : "article-journal", "volume" : "18" }, "uris" : [ "http://www.mendeley.com/documents/?uuid=e16b33c0-9ffc-4da8-a895-02ee7a9ed25f" ] }, { "id" : "ITEM-2", "itemData" : { "DOI" : "10.1093/mp/ssr114", "ISSN" : "1752-9867", "PMID" : "22207720", "abstract" : "Drought has serious effects on the physiology of cereal crops. At the cellular and specifically the metabolite level, many individual compounds are increased to provide osmoprotective functions, prevent the dissociation of enzymes, and to decrease the number of reactive oxygen species present in the cell. We have used a targeted GC-MS approach to identify compounds that differ in three different cultivars of bread wheat characterized by different levels of tolerance to drought under drought stress (Kukri, intolerant; Excalibur and RAC875, tolerant). Levels of amino acids, most notably proline, tryptophan, and the branched chain amino acids leucine, isoleucine, and valine were increased under drought stress in all cultivars. In the two tolerant cultivars, a small decrease in a large number of organic acids was also evident. Excalibur, a cultivar genotypically related to Kukri, showed a pattern of response that was more similar to Kukri under well-watered conditions. Under drought stress, Excalibur and RAC875 had a similar response; however, Excalibur did not have the same magnitude of response as RAC875. Here, the results are discussed in the context of previous work in physiological and proteomic analyses of these cultivars under drought stress.", "author" : [ { "dropping-particle" : "", "family" : "Bowne", "given" : "Jairus B", "non-dropping-particle" : "", "parse-names" : false, "suffix" : "" }, { "dropping-particle" : "", "family" : "Erwin", "given" : "Tim a", "non-dropping-particle" : "", "parse-names" : false, "suffix" : "" }, { "dropping-particle" : "", "family" : "Juttner", "given" : "Juan", "non-dropping-particle" : "", "parse-names" : false, "suffix" : "" }, { "dropping-particle" : "", "family" : "Schnurbusch", "given" : "Thorsten", "non-dropping-particle" : "", "parse-names" : false, "suffix" : "" }, { "dropping-particle" : "", "family" : "Langridge", "given" : "Peter", "non-dropping-particle" : "", "parse-names" : false, "suffix" : "" }, { "dropping-particle" : "", "family" : "Bacic", "given" : "Antony", "non-dropping-particle" : "", "parse-names" : false, "suffix" : "" }, { "dropping-particle" : "", "family" : "Roessner", "given" : "Ute", "non-dropping-particle" : "", "parse-names" : false, "suffix" : "" } ], "container-title" : "Molecular plant", "id" : "ITEM-2", "issue" : "2", "issued" : { "date-parts" : [ [ "2012", "3" ] ] }, "page" : "418-29", "title" : "Drought responses of leaf tissues from wheat cultivars of differing drought tolerance at the metabolite level.", "type" : "article-journal", "volume" : "5" }, "uris" : [ "http://www.mendeley.com/documents/?uuid=75d83b7d-816d-4f3e-86d8-40cd3594d2e3" ] }, { "id" : "ITEM-3", "itemData" : { "DOI" : "ARTN e12569\nDOI 10.1371/journal.pone.0012569", "ISBN" : "1932-6203", "abstract" : "In spite of evidence for positive diversity-productivity relationships increasing plant diversity has highly variable effects on the performance of individual plant species, but the mechanisms behind these differential responses are far from being understood. To gain deeper insights into the physiological responses of individual plant species to increasing plant diversity we performed systematic untargeted metabolite profiling on a number of herbs derived from a grassland biodiversity experiment (Jena Experiment). The Jena Experiment comprises plots of varying species number (1, 2, 4, 8, 16 and 60) and number and composition of functional groups (1 to 4; grasses, legumes, tall herbs, small herbs). In this study the metabolomes of two tall-growing herbs (legume: Medicago x varia; non-legume: Knautia arvensis) and three small-growing herbs (legume: Lotus corniculatus; non-legumes: Bellis perennis, Leontodon autumnalis) in plant communities of increasing diversity were analyzed. For metabolite profiling we combined gas chromatography coupled to time-of-flight mass spectrometry (GC-TOF-MS) and UPLC coupled to FT-ICR-MS (LC-FT-MS) analyses from the same sample. This resulted in several thousands of detected m/z-features. ANOVA and multivariate statistical analysis revealed 139 significantly changed metabolites (30 by GC-TOF-MS and 109 by LC-FT-MS). The small-statured plants L. autumnalis, B. perennis and L. corniculatus showed metabolic response signatures to increasing plant diversity and species richness in contrast to tall-statured plants. Key-metabolites indicated C-and N-limitation for the non-leguminous small-statured species B. perennis and L. autumnalis, while the metabolic signature of the small-statured legume L. corniculatus indicated facilitation by other legumes. Thus, metabolomic analysis provided evidence for negative effects of resource competition on the investigated small-statured herbs that might mechanistically explain their decreasing performance with increasing plant diversity. In contrast, taller species often becoming dominant in mixed plant communities did not show modified metabolite profiles in response to altered resource availability with increasing plant diversity. Taken together, our study demonstrates that metabolite profiling is a strong diagnostic tool to assess individual metabolic phenotypes in response to plant diversity and ecophysiological adjustment.", "author" : [ { "dropping-particle" : "", "family" : "Scherling", "given" : "C", "non-dropping-particle" : "", "parse-names" : false, "suffix" : "" }, { "dropping-particle" : "", "family" : "Roscher", "given" : "C", "non-dropping-particle" : "", "parse-names" : false, "suffix" : "" }, { "dropping-particle" : "", "family" : "Giavalisco", "given" : "P", "non-dropping-particle" : "", "parse-names" : false, "suffix" : "" }, { "dropping-particle" : "", "family" : "Schulze", "given" : "E D", "non-dropping-particle" : "", "parse-names" : false, "suffix" : "" }, { "dropping-particle" : "", "family" : "Weckwerth", "given" : "W", "non-dropping-particle" : "", "parse-names" : false, "suffix" : "" } ], "container-title" : "Plos One", "id" : "ITEM-3", "issue" : "9", "issued" : { "date-parts" : [ [ "2010" ] ] }, "language" : "English", "page" : "-", "title" : "Metabolomics Unravel Contrasting Effects of Biodiversity on the Performance of Individual Plant Species", "type" : "article-journal", "volume" : "5" }, "uris" : [ "http://www.mendeley.com/documents/?uuid=f06d3fcd-2266-4ee5-a46b-ec0b9c5423bc" ] } ], "mendeley" : { "formattedCitation" : "(Fiehn et al., 2000; Scherling et al., 2010; Bowne et al., 2012)", "plainTextFormattedCitation" : "(Fiehn et al., 2000; Scherling et al., 2010; Bowne et al., 2012)", "previouslyFormattedCitation" : "(Fiehn et al., 2000; Scherling et al., 2010; Bowne et al., 2012)" }, "properties" : { "noteIndex" : 0 }, "schema" : "https://github.com/citation-style-language/schema/raw/master/csl-citation.json" }</w:instrText>
      </w:r>
      <w:r w:rsidRPr="00735DDD">
        <w:fldChar w:fldCharType="separate"/>
      </w:r>
      <w:r w:rsidRPr="006B3180">
        <w:rPr>
          <w:noProof/>
        </w:rPr>
        <w:t>(Fiehn et al., 2000; Scherling et al., 2010; Bowne et al., 2012)</w:t>
      </w:r>
      <w:r w:rsidRPr="00735DDD">
        <w:fldChar w:fldCharType="end"/>
      </w:r>
      <w:r w:rsidRPr="00735DDD">
        <w:t>.</w:t>
      </w:r>
    </w:p>
    <w:p w14:paraId="573C00F5" w14:textId="5B59C24F" w:rsidR="0052730F" w:rsidRPr="00735DDD" w:rsidRDefault="0052730F" w:rsidP="003B7DA5">
      <w:pPr>
        <w:pStyle w:val="BodyJB"/>
        <w:ind w:firstLine="720"/>
      </w:pPr>
      <w:r w:rsidRPr="00735DDD">
        <w:t xml:space="preserve">Direct MS allows the high-throughput analysis of complex mixtures of metabolites, providing a sensitive tool used widely for metabolic fingerprinting studies </w:t>
      </w:r>
      <w:r w:rsidR="009D171B">
        <w:fldChar w:fldCharType="begin" w:fldLock="1"/>
      </w:r>
      <w:r w:rsidR="00A11DEA">
        <w:instrText>ADDIN CSL_CITATION { "citationItems" : [ { "id" : "ITEM-1", "itemData" : { "DOI" : "10.1039/b206037j", "ISSN" : "00032654", "author" : [ { "dropping-particle" : "", "family" : "Goodacre", "given" : "Royston", "non-dropping-particle" : "", "parse-names" : false, "suffix" : "" }, { "dropping-particle" : "", "family" : "Vaidyanathan", "given" : "Seetharaman", "non-dropping-particle" : "", "parse-names" : false, "suffix" : "" }, { "dropping-particle" : "", "family" : "Bianchi", "given" : "Giorgio", "non-dropping-particle" : "", "parse-names" : false, "suffix" : "" }, { "dropping-particle" : "", "family" : "Kell", "given" : "Douglas B.", "non-dropping-particle" : "", "parse-names" : false, "suffix" : "" } ], "container-title" : "The Analyst", "id" : "ITEM-1", "issue" : "11", "issued" : { "date-parts" : [ [ "2002", "10", "28" ] ] }, "page" : "1457-1462", "title" : "Metabolic profiling using direct infusion electrospray ionisation mass spectrometry for the characterisation of olive oils", "type" : "article-journal", "volume" : "127" }, "uris" : [ "http://www.mendeley.com/documents/?uuid=efc87a63-fa4e-43dc-90b2-dd16d7ab0555" ] }, { "id" : "ITEM-2", "itemData" : { "DOI" : "Doi 10.1111/J.1469-8137.2007.02282.X", "ISBN" : "0028-646X", "abstract" : "Plant populations growing at the margin of their range may exhibit traits that indicate genetic differentiation and adaptation to their local abiotic environment. Here, it was investigated whether geographically separated marginal populations of Arabidopsis lyrata ssp. petraea have distinct metabolic phenotypes within the plant foliage. Seeds of A. petraea were obtained from populations along a latitudinal gradient (49-64 degrees N), namely Germany, Wales, Sweden and Iceland and grown in a controlled cabinet environment. Targeted metabolic profiles and fingerprints were obtained at the same initial developmental stage. The free amino acid compositions were population specific, with fold differences in arginine, aspartic acid, asparagines, glycine, phenylalanine, alanine, threonine, histidine, serine and gamma-aminobutyric acid (GABA) concentrations. Sucrose, mannose and fructose concentrations were also different between populations but polyhydric alcohol concentrations were not. Principal component analysis (PCA) of metabolite fingerprints revealed metabolic phenotypes for each population. It is suggested that glucosinolates were responsible for discriminating populations within the PCA. Metabolite fingerprinting and profiling has proved to be sufficiently sensitive to identify metabolic differences between plant populations. These findings show that there is significant natural variation in metabolism among populations of A. petraea.", "author" : [ { "dropping-particle" : "", "family" : "Davey", "given" : "M P", "non-dropping-particle" : "", "parse-names" : false, "suffix" : "" }, { "dropping-particle" : "", "family" : "Burrell", "given" : "M M", "non-dropping-particle" : "", "parse-names" : false, "suffix" : "" }, { "dropping-particle" : "", "family" : "Woodward", "given" : "F I", "non-dropping-particle" : "", "parse-names" : false, "suffix" : "" }, { "dropping-particle" : "", "family" : "Quick", "given" : "W P", "non-dropping-particle" : "", "parse-names" : false, "suffix" : "" } ], "container-title" : "New Phytologist", "id" : "ITEM-2", "issue" : "2", "issued" : { "date-parts" : [ [ "2008" ] ] }, "language" : "English", "page" : "380-388", "title" : "Population-specific metabolic phenotypes of Arabidopsis lyrata ssp petraea", "type" : "article-journal", "volume" : "177" }, "uris" : [ "http://www.mendeley.com/documents/?uuid=92e9c872-fc98-42f1-9f3f-c38db9993c16" ] }, { "id" : "ITEM-3", "itemData" : { "DOI" : "10.1098/rspb.2008.1767", "ISSN" : "0962-8452", "PMID" : "19324821", "abstract" : "Range margins are spatially complex, with environmental, genetic and phenotypic variations occurring across a range of spatial scales. We examine variation in temperature, genes and metabolomic profiles within and between populations of the subalpine perennial plant Arabidopsis lyrata ssp. petraea from across its northwest European range. Our surveys cover a gradient of fragmentation from largely continuous populations in Iceland, through more fragmented Scandinavian populations, to increasingly widely scattered populations at the range margin in Scotland, Wales and Ireland. Temperature regimes vary substantially within some populations, but within-population variation represents a larger fraction of genetic and especially metabolomic variances. Both physical distance and temperature differences between sites are found to be associated with genetic profiles, but not metabolomic profiles, and no relationship was found between genetic and metabolomic population structures in any region. Genetic similarity between plants within populations is the highest in the fragmented populations at the range margin, but differentiation across space is the highest there as well, suggesting that regional patterns of genetic diversity may be scale dependent.", "author" : [ { "dropping-particle" : "", "family" : "Kunin", "given" : "William E", "non-dropping-particle" : "", "parse-names" : false, "suffix" : "" }, { "dropping-particle" : "", "family" : "Vergeer", "given" : "Philippine", "non-dropping-particle" : "", "parse-names" : false, "suffix" : "" }, { "dropping-particle" : "", "family" : "Kenta", "given" : "Tanaka", "non-dropping-particle" : "", "parse-names" : false, "suffix" : "" }, { "dropping-particle" : "", "family" : "Davey", "given" : "Matthew P", "non-dropping-particle" : "", "parse-names" : false, "suffix" : "" }, { "dropping-particle" : "", "family" : "Burke", "given" : "Terry", "non-dropping-particle" : "", "parse-names" : false, "suffix" : "" }, { "dropping-particle" : "", "family" : "Woodward", "given" : "F Ian", "non-dropping-particle" : "", "parse-names" : false, "suffix" : "" }, { "dropping-particle" : "", "family" : "Quick", "given" : "Paul", "non-dropping-particle" : "", "parse-names" : false, "suffix" : "" }, { "dropping-particle" : "", "family" : "Mannarelli", "given" : "Maria-Elena", "non-dropping-particle" : "", "parse-names" : false, "suffix" : "" }, { "dropping-particle" : "", "family" : "Watson-Haigh", "given" : "Nathan S", "non-dropping-particle" : "", "parse-names" : false, "suffix" : "" }, { "dropping-particle" : "", "family" : "Butlin", "given" : "Roger", "non-dropping-particle" : "", "parse-names" : false, "suffix" : "" } ], "container-title" : "Proceedings. Biological sciences / The Royal Society", "id" : "ITEM-3", "issue" : "1661", "issued" : { "date-parts" : [ [ "2009", "4", "22" ] ] }, "page" : "1495-506", "title" : "Variation at range margins across multiple spatial scales: environmental temperature, population genetics and metabolomic phenotype.", "type" : "article-journal", "volume" : "276" }, "uris" : [ "http://www.mendeley.com/documents/?uuid=827d9369-f81e-43f1-96c8-69d38acebeac" ] } ], "mendeley" : { "formattedCitation" : "(Goodacre et al., 2002; Davey et al., 2008a; Kunin et al., 2009)", "plainTextFormattedCitation" : "(Goodacre et al., 2002; Davey et al., 2008a; Kunin et al., 2009)", "previouslyFormattedCitation" : "(Goodacre et al., 2002; Davey et al., 2008a; Kunin et al., 2009)" }, "properties" : { "noteIndex" : 0 }, "schema" : "https://github.com/citation-style-language/schema/raw/master/csl-citation.json" }</w:instrText>
      </w:r>
      <w:r w:rsidR="009D171B">
        <w:fldChar w:fldCharType="separate"/>
      </w:r>
      <w:r w:rsidR="009D171B" w:rsidRPr="009D171B">
        <w:rPr>
          <w:noProof/>
        </w:rPr>
        <w:t>(Goodacre et al., 2002; Davey et al., 2008a; Kunin et al., 2009)</w:t>
      </w:r>
      <w:r w:rsidR="009D171B">
        <w:fldChar w:fldCharType="end"/>
      </w:r>
      <w:r w:rsidRPr="00735DDD">
        <w:t xml:space="preserve">As with all metabolomic analysis platforms there are limitations, with DIMS these include, susceptibility to ionization suppression </w:t>
      </w:r>
      <w:r w:rsidRPr="00735DDD">
        <w:fldChar w:fldCharType="begin" w:fldLock="1"/>
      </w:r>
      <w:r w:rsidR="007C2FF9">
        <w:instrText>ADDIN CSL_CITATION { "citationItems" : [ { "id" : "ITEM-1", "itemData" : { "DOI" : "Doi 10.1016/J.Trac.2008.01.006", "ISBN" : "0165-9936", "abstract" : "Mass spectrometry (MS) has secured a central role in metabolomics that is predicted to grow based upon continuous developments and improvements in MS technologies. This article reviews both current MS technologies incorporated into many metabolomics programs as well as emerging MS technologies that hold additional promise for the advancement of metabolomics. We discuss examples of metabolic fingerprinting using direct MS analysis of complex mixtures with traditional and emerging ionization sources, spatially resolved metabolite profiling via MS imaging, metabolite profiling using chromatography coupled to MS, multi-dimensional chromatography coupled to MS, and ion-mobility MS. (c) 2008 Published by Elsevier Ltd.", "author" : [ { "dropping-particle" : "", "family" : "Bedair", "given" : "M", "non-dropping-particle" : "", "parse-names" : false, "suffix" : "" }, { "dropping-particle" : "", "family" : "Sumner", "given" : "L W", "non-dropping-particle" : "", "parse-names" : false, "suffix" : "" } ], "container-title" : "Trac-Trends in Analytical Chemistry", "id" : "ITEM-1", "issue" : "3", "issued" : { "date-parts" : [ [ "2008" ] ] }, "language" : "English", "page" : "238-250", "title" : "Current and emerging mass-spectrometry technologies for metabolomics", "type" : "article-journal", "volume" : "27" }, "uris" : [ "http://www.mendeley.com/documents/?uuid=fa026e20-b5c0-4fd3-9ff4-ad9719cdc8fb" ] } ], "mendeley" : { "formattedCitation" : "(Bedair and Sumner, 2008)", "plainTextFormattedCitation" : "(Bedair and Sumner, 2008)", "previouslyFormattedCitation" : "(Bedair and Sumner, 2008)" }, "properties" : { "noteIndex" : 0 }, "schema" : "https://github.com/citation-style-language/schema/raw/master/csl-citation.json" }</w:instrText>
      </w:r>
      <w:r w:rsidRPr="00735DDD">
        <w:fldChar w:fldCharType="separate"/>
      </w:r>
      <w:r w:rsidRPr="006B3180">
        <w:rPr>
          <w:noProof/>
        </w:rPr>
        <w:t>(Bedair and Sumner, 2008)</w:t>
      </w:r>
      <w:r w:rsidRPr="00735DDD">
        <w:fldChar w:fldCharType="end"/>
      </w:r>
      <w:r w:rsidRPr="00735DDD">
        <w:t xml:space="preserve">. </w:t>
      </w:r>
      <w:r>
        <w:t xml:space="preserve"> </w:t>
      </w:r>
    </w:p>
    <w:p w14:paraId="33FD9856" w14:textId="77777777" w:rsidR="0052730F" w:rsidRPr="00735DDD" w:rsidRDefault="0052730F" w:rsidP="0052730F">
      <w:pPr>
        <w:pStyle w:val="BodyJB"/>
      </w:pPr>
    </w:p>
    <w:p w14:paraId="22C9F336" w14:textId="77777777" w:rsidR="0052730F" w:rsidRPr="00D87A8E" w:rsidRDefault="0052730F" w:rsidP="003B7DA5">
      <w:pPr>
        <w:pStyle w:val="subheadingMINOR"/>
      </w:pPr>
      <w:bookmarkStart w:id="17" w:name="_Toc291410040"/>
      <w:r w:rsidRPr="00D87A8E">
        <w:t>Data Processing</w:t>
      </w:r>
      <w:bookmarkEnd w:id="17"/>
    </w:p>
    <w:p w14:paraId="38841B89" w14:textId="590226F1" w:rsidR="0052730F" w:rsidRPr="00735DDD" w:rsidRDefault="0052730F" w:rsidP="003B7DA5">
      <w:pPr>
        <w:pStyle w:val="BodyJB"/>
        <w:ind w:firstLine="720"/>
      </w:pPr>
      <w:r w:rsidRPr="00735DDD">
        <w:t>Mass spectrometry techniques result in spectral profiles that represent the compounds within a sample, separated by their protonated molecular mass. DIMS studies produce spectra that detail the intensity of thousands of ‘features’, defined as atomic masses (recorded as mass to charge (</w:t>
      </w:r>
      <w:r w:rsidRPr="00735DDD">
        <w:rPr>
          <w:i/>
        </w:rPr>
        <w:t>m/z</w:t>
      </w:r>
      <w:r w:rsidRPr="00735DDD">
        <w:t xml:space="preserve">) ratios) that ultimately represent different metabolites </w:t>
      </w:r>
      <w:r w:rsidRPr="00735DDD">
        <w:fldChar w:fldCharType="begin" w:fldLock="1"/>
      </w:r>
      <w:r w:rsidR="007C2FF9">
        <w:instrText>ADDIN CSL_CITATION { "citationItems" : [ { "id" : "ITEM-1", "itemData" : { "DOI" : "10.1039/b901179j", "ISSN" : "1364-5528", "PMID" : "19562197", "abstract" : "The chemical identification of mass spectrometric signals in metabolomic applications is important to provide conversion of analytical data to biological knowledge about metabolic pathways. The complexity of electrospray mass spectrometric data acquired from a range of samples (serum, urine, yeast intracellular extracts, yeast metabolic footprints, placental tissue metabolic footprints) has been investigated and has defined the frequency of different ion types routinely detected. Although some ion types were expected (protonated and deprotonated peaks, isotope peaks, multiply charged peaks) others were not expected (sodium formate adduct ions). In parallel, the Manchester Metabolomics Database (MMD) has been constructed with data from genome scale metabolic reconstructions, HMDB, KEGG, Lipid Maps, BioCyc and DrugBank to provide knowledge on 42,687 endogenous and exogenous metabolite species. The combination of accurate mass data for a large collection of metabolites, theoretical isotope abundance data and knowledge of the different ion types detected provided a greater number of electrospray mass spectrometric signals which were putatively identified and with greater confidence in the samples studied. To provide definitive identification metabolite-specific mass spectral libraries for UPLC-MS and GC-MS have been constructed for 1,065 commercially available authentic standards. The MMD data are available at http://dbkgroup.org/MMD/.", "author" : [ { "dropping-particle" : "", "family" : "Brown", "given" : "M", "non-dropping-particle" : "", "parse-names" : false, "suffix" : "" }, { "dropping-particle" : "", "family" : "Dunn", "given" : "W B", "non-dropping-particle" : "", "parse-names" : false, "suffix" : "" }, { "dropping-particle" : "", "family" : "Dobson", "given" : "P", "non-dropping-particle" : "", "parse-names" : false, "suffix" : "" }, { "dropping-particle" : "", "family" : "Patel", "given" : "Y", "non-dropping-particle" : "", "parse-names" : false, "suffix" : "" }, { "dropping-particle" : "", "family" : "Winder", "given" : "C L", "non-dropping-particle" : "", "parse-names" : false, "suffix" : "" }, { "dropping-particle" : "", "family" : "Francis-McIntyre", "given" : "S", "non-dropping-particle" : "", "parse-names" : false, "suffix" : "" }, { "dropping-particle" : "", "family" : "Begley", "given" : "P", "non-dropping-particle" : "", "parse-names" : false, "suffix" : "" }, { "dropping-particle" : "", "family" : "Carroll", "given" : "K", "non-dropping-particle" : "", "parse-names" : false, "suffix" : "" }, { "dropping-particle" : "", "family" : "Broadhurst", "given" : "D", "non-dropping-particle" : "", "parse-names" : false, "suffix" : "" }, { "dropping-particle" : "", "family" : "Tseng", "given" : "a", "non-dropping-particle" : "", "parse-names" : false, "suffix" : "" }, { "dropping-particle" : "", "family" : "Swainston", "given" : "N", "non-dropping-particle" : "", "parse-names" : false, "suffix" : "" }, { "dropping-particle" : "", "family" : "Spasic", "given" : "I", "non-dropping-particle" : "", "parse-names" : false, "suffix" : "" }, { "dropping-particle" : "", "family" : "Goodacre", "given" : "R", "non-dropping-particle" : "", "parse-names" : false, "suffix" : "" }, { "dropping-particle" : "", "family" : "Kell", "given" : "D B", "non-dropping-particle" : "", "parse-names" : false, "suffix" : "" } ], "container-title" : "The Analyst", "id" : "ITEM-1", "issue" : "7", "issued" : { "date-parts" : [ [ "2009", "7" ] ] }, "page" : "1322-32", "title" : "Mass spectrometry tools and metabolite-specific databases for molecular identification in metabolomics.", "type" : "article-journal", "volume" : "134" }, "uris" : [ "http://www.mendeley.com/documents/?uuid=abd967c1-3247-4acd-9a59-0c4245a4c26c" ] } ], "mendeley" : { "formattedCitation" : "(Brown et al., 2009)", "plainTextFormattedCitation" : "(Brown et al., 2009)", "previouslyFormattedCitation" : "(Brown et al., 2009)" }, "properties" : { "noteIndex" : 0 }, "schema" : "https://github.com/citation-style-language/schema/raw/master/csl-citation.json" }</w:instrText>
      </w:r>
      <w:r w:rsidRPr="00735DDD">
        <w:fldChar w:fldCharType="separate"/>
      </w:r>
      <w:r w:rsidRPr="006B3180">
        <w:rPr>
          <w:noProof/>
        </w:rPr>
        <w:t>(Brown et al., 2009)</w:t>
      </w:r>
      <w:r w:rsidRPr="00735DDD">
        <w:fldChar w:fldCharType="end"/>
      </w:r>
      <w:r w:rsidRPr="00735DDD">
        <w:t xml:space="preserve">. The enormous data sets created by metabolomic studies require a range of statistical tools to disseminate patterns in the data that describe biology within the system. In line with the key goals of the metabolomic fingerprinting approach, chemometric non-targeted data analysis techniques use raw, binned spectral data with multivariate statistics to identify features (masses) that are statistically significant between two or more sample populations </w:t>
      </w:r>
      <w:r w:rsidRPr="00735DDD">
        <w:fldChar w:fldCharType="begin" w:fldLock="1"/>
      </w:r>
      <w:r w:rsidR="007C2FF9">
        <w:instrText>ADDIN CSL_CITATION { "citationItems" : [ { "id" : "ITEM-1", "itemData" : { "author" : [ { "dropping-particle" : "", "family" : "Xia", "given" : "J", "non-dropping-particle" : "", "parse-names" : false, "suffix" : "" }, { "dropping-particle" : "", "family" : "Wishart", "given" : "DS", "non-dropping-particle" : "", "parse-names" : false, "suffix" : "" } ], "container-title" : "Nature Protocols", "id" : "ITEM-1", "issued" : { "date-parts" : [ [ "2011" ] ] }, "title" : "Web-based inference of biological patterns, functions and pathways from metabolomic data using MetaboAnalyst", "type" : "article-journal" }, "uris" : [ "http://www.mendeley.com/documents/?uuid=cd184c6a-f8a9-49d4-90d2-8c7733008662" ] } ], "mendeley" : { "formattedCitation" : "(Xia and Wishart, 2011)", "plainTextFormattedCitation" : "(Xia and Wishart, 2011)", "previouslyFormattedCitation" : "(Xia and Wishart, 2011)" }, "properties" : { "noteIndex" : 0 }, "schema" : "https://github.com/citation-style-language/schema/raw/master/csl-citation.json" }</w:instrText>
      </w:r>
      <w:r w:rsidRPr="00735DDD">
        <w:fldChar w:fldCharType="separate"/>
      </w:r>
      <w:r w:rsidRPr="006B3180">
        <w:rPr>
          <w:noProof/>
        </w:rPr>
        <w:t>(Xia and Wishart, 2011)</w:t>
      </w:r>
      <w:r w:rsidRPr="00735DDD">
        <w:fldChar w:fldCharType="end"/>
      </w:r>
      <w:r w:rsidRPr="00735DDD">
        <w:t xml:space="preserve">. These interesting features are then often identified in further analysis steps. </w:t>
      </w:r>
    </w:p>
    <w:p w14:paraId="3F212419" w14:textId="493BE2B5" w:rsidR="0052730F" w:rsidRDefault="0052730F" w:rsidP="003B7DA5">
      <w:pPr>
        <w:pStyle w:val="BodyJB"/>
        <w:ind w:firstLine="720"/>
      </w:pPr>
      <w:r w:rsidRPr="00735DDD">
        <w:t xml:space="preserve">The first step involves preprocessing, which transforms the complex data sets to improve the data quality allowing a more robust statistical analysis of the data </w:t>
      </w:r>
      <w:r w:rsidRPr="00735DDD">
        <w:fldChar w:fldCharType="begin" w:fldLock="1"/>
      </w:r>
      <w:r w:rsidR="007C2FF9">
        <w:instrText>ADDIN CSL_CITATION { "citationItems" : [ { "id" : "ITEM-1", "itemData" : { "author" : [ { "dropping-particle" : "", "family" : "Enot", "given" : "DP", "non-dropping-particle" : "", "parse-names" : false, "suffix" : "" }, { "dropping-particle" : "", "family" : "Lin", "given" : "W", "non-dropping-particle" : "", "parse-names" : false, "suffix" : "" }, { "dropping-particle" : "", "family" : "Beckmann", "given" : "M", "non-dropping-particle" : "", "parse-names" : false, "suffix" : "" }, { "dropping-particle" : "", "family" : "Parker", "given" : "D", "non-dropping-particle" : "", "parse-names" : false, "suffix" : "" } ], "container-title" : "Nature protocols", "id" : "ITEM-1", "issued" : { "date-parts" : [ [ "2008" ] ] }, "title" : "Preprocessing, classification modeling and feature selection using flow injection electrospray mass spectrometry metabolite fingerprint data", "type" : "article-journal" }, "uris" : [ "http://www.mendeley.com/documents/?uuid=ddf26308-3dce-4340-b88d-a029973d7585" ] } ], "mendeley" : { "formattedCitation" : "(Enot et al., 2008)", "plainTextFormattedCitation" : "(Enot et al., 2008)", "previouslyFormattedCitation" : "(Enot et al., 2008)" }, "properties" : { "noteIndex" : 0 }, "schema" : "https://github.com/citation-style-language/schema/raw/master/csl-citation.json" }</w:instrText>
      </w:r>
      <w:r w:rsidRPr="00735DDD">
        <w:fldChar w:fldCharType="separate"/>
      </w:r>
      <w:r w:rsidRPr="006B3180">
        <w:rPr>
          <w:noProof/>
        </w:rPr>
        <w:t>(Enot et al., 2008)</w:t>
      </w:r>
      <w:r w:rsidRPr="00735DDD">
        <w:fldChar w:fldCharType="end"/>
      </w:r>
      <w:r w:rsidRPr="00735DDD">
        <w:t xml:space="preserve">. Typical processes include spectral alignment and normalisation that adjust values of variables in different samples in order to allow sample comparison, as well as centering and scaling which remove information that is equal in all samples, thus highlighting metabolic differences </w:t>
      </w:r>
      <w:r w:rsidRPr="00735DDD">
        <w:fldChar w:fldCharType="begin" w:fldLock="1"/>
      </w:r>
      <w:r w:rsidR="007C2FF9">
        <w:instrText>ADDIN CSL_CITATION { "citationItems" : [ { "id" : "ITEM-1", "itemData" : { "DOI" : "10.1002/pca.1181", "ISSN" : "1099-1565", "PMID" : "19904732", "abstract" : "Plant metabolomics experiments yield large amounts of data, too much to be interpretable by eye. Multivariate data analyses are therefore essential to extract and visualise the information of interest.", "author" : [ { "dropping-particle" : "", "family" : "Jansen", "given" : "Jeroen J", "non-dropping-particle" : "", "parse-names" : false, "suffix" : "" }, { "dropping-particle" : "", "family" : "Smit", "given" : "Suzanne", "non-dropping-particle" : "", "parse-names" : false, "suffix" : "" }, { "dropping-particle" : "", "family" : "Hoefsloot", "given" : "Huub C J", "non-dropping-particle" : "", "parse-names" : false, "suffix" : "" }, { "dropping-particle" : "", "family" : "Smilde", "given" : "Age K", "non-dropping-particle" : "", "parse-names" : false, "suffix" : "" } ], "container-title" : "Phytochemical analysis : PCA", "id" : "ITEM-1", "issue" : "1", "issued" : { "date-parts" : [ [ "2010" ] ] }, "page" : "48-60", "title" : "The photographer and the greenhouse: how to analyse plant metabolomics data.", "type" : "article-journal", "volume" : "21" }, "uris" : [ "http://www.mendeley.com/documents/?uuid=427e0296-9825-4fe3-88ab-00223909169b" ] } ], "mendeley" : { "formattedCitation" : "(Jansen et al., 2010)", "plainTextFormattedCitation" : "(Jansen et al., 2010)", "previouslyFormattedCitation" : "(Jansen et al., 2010)" }, "properties" : { "noteIndex" : 0 }, "schema" : "https://github.com/citation-style-language/schema/raw/master/csl-citation.json" }</w:instrText>
      </w:r>
      <w:r w:rsidRPr="00735DDD">
        <w:fldChar w:fldCharType="separate"/>
      </w:r>
      <w:r w:rsidRPr="006B3180">
        <w:rPr>
          <w:noProof/>
        </w:rPr>
        <w:t>(Jansen et al., 2010)</w:t>
      </w:r>
      <w:r w:rsidRPr="00735DDD">
        <w:fldChar w:fldCharType="end"/>
      </w:r>
      <w:r w:rsidRPr="00735DDD">
        <w:t xml:space="preserve">. </w:t>
      </w:r>
    </w:p>
    <w:p w14:paraId="757297F0" w14:textId="77777777" w:rsidR="0052730F" w:rsidRDefault="0052730F" w:rsidP="0052730F">
      <w:pPr>
        <w:pStyle w:val="BodyJB"/>
      </w:pPr>
    </w:p>
    <w:p w14:paraId="483BCF9E" w14:textId="77777777" w:rsidR="0052730F" w:rsidRPr="00D87A8E" w:rsidRDefault="0052730F" w:rsidP="003B7DA5">
      <w:pPr>
        <w:pStyle w:val="subheadingMINOR"/>
      </w:pPr>
      <w:bookmarkStart w:id="18" w:name="_Toc291410041"/>
      <w:r w:rsidRPr="00D87A8E">
        <w:t>Data Analysis</w:t>
      </w:r>
      <w:bookmarkEnd w:id="18"/>
    </w:p>
    <w:p w14:paraId="3998BCF0" w14:textId="2597BF73" w:rsidR="0052730F" w:rsidRPr="00735DDD" w:rsidRDefault="0052730F" w:rsidP="003B7DA5">
      <w:pPr>
        <w:pStyle w:val="BodyJB"/>
        <w:ind w:firstLine="720"/>
      </w:pPr>
      <w:r w:rsidRPr="00735DDD">
        <w:t xml:space="preserve">One of the most widely used multivariate analysis techniques is principal component analysis (PCA). This is an unsupervised approach that explains the variation among metabolic features in terms of a set of orthogonal variables, principal components </w:t>
      </w:r>
      <w:r w:rsidRPr="00735DDD">
        <w:fldChar w:fldCharType="begin" w:fldLock="1"/>
      </w:r>
      <w:r w:rsidR="007C2FF9">
        <w:instrText>ADDIN CSL_CITATION { "citationItems" : [ { "id" : "ITEM-1", "itemData" : { "DOI" : "Doi 10.1016/S0031-9422(02)00708-2", "ISBN" : "0031-9422", "abstract" : "Metabolomics or the large-scale phytochemical analysis of plants is reviewed in relation to functional genomics and systems biology. A historical account of the introduction and evolution of metabolite profiling into today's modern comprehensive metabolomics approach is provided. Many of the technologies used in metabolomics, including optical spectroscopy, nuclear magnetic resonance, and mass spectrometry are surveyed. The critical role of bioinformatics and various methods of data visualization are summarized and the future role of metabolomics in plant science assessed. (C) 2003 Elsevier Science Ltd. All rights reserved.", "author" : [ { "dropping-particle" : "", "family" : "Sumner", "given" : "L W", "non-dropping-particle" : "", "parse-names" : false, "suffix" : "" }, { "dropping-particle" : "", "family" : "Mendes", "given" : "P", "non-dropping-particle" : "", "parse-names" : false, "suffix" : "" }, { "dropping-particle" : "", "family" : "Dixon", "given" : "R A", "non-dropping-particle" : "", "parse-names" : false, "suffix" : "" } ], "container-title" : "Phytochemistry", "id" : "ITEM-1", "issue" : "6", "issued" : { "date-parts" : [ [ "2003" ] ] }, "language" : "English", "page" : "817-836", "title" : "Plant metabolomics: large-scale phytochemistry in the functional genomics era", "type" : "article-journal", "volume" : "62" }, "uris" : [ "http://www.mendeley.com/documents/?uuid=c81a161e-ac66-4328-add7-caef651b5c97" ] }, { "id" : "ITEM-2", "itemData" : { "DOI" : "10.1104/pp.109.150524", "author" : [ { "dropping-particle" : "", "family" : "Scott", "given" : "IM", "non-dropping-particle" : "", "parse-names" : false, "suffix" : "" }, { "dropping-particle" : "", "family" : "Vermeer", "given" : "CP", "non-dropping-particle" : "", "parse-names" : false, "suffix" : "" }, { "dropping-particle" : "", "family" : "Liakata", "given" : "Maria", "non-dropping-particle" : "", "parse-names" : false, "suffix" : "" } ], "container-title" : "Plant \u2026", "id" : "ITEM-2", "issue" : "August", "issued" : { "date-parts" : [ [ "2010" ] ] }, "page" : "1506-1520", "title" : "Enhancement of Plant Metabolite Fingerprinting by Machine Learning", "type" : "article-journal", "volume" : "153" }, "uris" : [ "http://www.mendeley.com/documents/?uuid=092e5cd1-ca9b-4f21-a581-c4e9c04f167b" ] } ], "mendeley" : { "formattedCitation" : "(Sumner et al., 2003; Scott et al., 2010)", "plainTextFormattedCitation" : "(Sumner et al., 2003; Scott et al., 2010)", "previouslyFormattedCitation" : "(Sumner et al., 2003; Scott et al., 2010)" }, "properties" : { "noteIndex" : 0 }, "schema" : "https://github.com/citation-style-language/schema/raw/master/csl-citation.json" }</w:instrText>
      </w:r>
      <w:r w:rsidRPr="00735DDD">
        <w:fldChar w:fldCharType="separate"/>
      </w:r>
      <w:r w:rsidRPr="006B3180">
        <w:rPr>
          <w:noProof/>
        </w:rPr>
        <w:t>(Sumner et al., 2003; Scott et al., 2010)</w:t>
      </w:r>
      <w:r w:rsidRPr="00735DDD">
        <w:fldChar w:fldCharType="end"/>
      </w:r>
      <w:r w:rsidRPr="00735DDD">
        <w:t xml:space="preserve">. </w:t>
      </w:r>
      <w:r>
        <w:t xml:space="preserve">By looking at all of the metabolic features simultaneously, loss of information is avoided. During the modelling procedure, each metabolic feature forms a point in a multidimensional space; these points are then projected onto a plain based on the principal components. </w:t>
      </w:r>
      <w:r w:rsidRPr="00735DDD">
        <w:t xml:space="preserve">Principal components are ranked by the proportion of the overall data variance they encapsulate, with PC1 summarizing the most prominent pattern in the data </w:t>
      </w:r>
      <w:r w:rsidRPr="00735DDD">
        <w:fldChar w:fldCharType="begin" w:fldLock="1"/>
      </w:r>
      <w:r w:rsidR="007C2FF9">
        <w:instrText>ADDIN CSL_CITATION { "citationItems" : [ { "id" : "ITEM-1", "itemData" : { "DOI" : "10.1104/pp.109.150524", "author" : [ { "dropping-particle" : "", "family" : "Scott", "given" : "IM", "non-dropping-particle" : "", "parse-names" : false, "suffix" : "" }, { "dropping-particle" : "", "family" : "Vermeer", "given" : "CP", "non-dropping-particle" : "", "parse-names" : false, "suffix" : "" }, { "dropping-particle" : "", "family" : "Liakata", "given" : "Maria", "non-dropping-particle" : "", "parse-names" : false, "suffix" : "" } ], "container-title" : "Plant \u2026", "id" : "ITEM-1", "issue" : "August", "issued" : { "date-parts" : [ [ "2010" ] ] }, "page" : "1506-1520", "title" : "Enhancement of Plant Metabolite Fingerprinting by Machine Learning", "type" : "article-journal", "volume" : "153" }, "uris" : [ "http://www.mendeley.com/documents/?uuid=092e5cd1-ca9b-4f21-a581-c4e9c04f167b" ] } ], "mendeley" : { "formattedCitation" : "(Scott et al., 2010)", "plainTextFormattedCitation" : "(Scott et al., 2010)", "previouslyFormattedCitation" : "(Scott et al., 2010)" }, "properties" : { "noteIndex" : 0 }, "schema" : "https://github.com/citation-style-language/schema/raw/master/csl-citation.json" }</w:instrText>
      </w:r>
      <w:r w:rsidRPr="00735DDD">
        <w:fldChar w:fldCharType="separate"/>
      </w:r>
      <w:r w:rsidRPr="006B3180">
        <w:rPr>
          <w:noProof/>
        </w:rPr>
        <w:t>(Scott et al., 2010)</w:t>
      </w:r>
      <w:r w:rsidRPr="00735DDD">
        <w:fldChar w:fldCharType="end"/>
      </w:r>
      <w:r w:rsidRPr="00735DDD">
        <w:t>.</w:t>
      </w:r>
      <w:r>
        <w:t xml:space="preserve"> </w:t>
      </w:r>
      <w:r w:rsidRPr="00735DDD">
        <w:t xml:space="preserve">Plotting the data provides a rapid means of visualizing similarities or differences in the data set lending itself to metabolic fingerprinting analyses. </w:t>
      </w:r>
    </w:p>
    <w:p w14:paraId="3395032D" w14:textId="0B44865F" w:rsidR="0052730F" w:rsidRDefault="0052730F" w:rsidP="003B7DA5">
      <w:pPr>
        <w:pStyle w:val="BodyJB"/>
        <w:ind w:firstLine="720"/>
      </w:pPr>
      <w:r w:rsidRPr="00735DDD">
        <w:t xml:space="preserve">Supervised data analysis methods are also regularly employed in metabolomic studies. </w:t>
      </w:r>
      <w:r>
        <w:t xml:space="preserve">Orthogonal partial least-square discriminant analysis (OPLS-DA) is associated with PCA, is commonly used for discriminating between groups and is a useful method of determining biomarker candidates, metabolic features of interest </w:t>
      </w:r>
      <w:r w:rsidR="00134C22">
        <w:fldChar w:fldCharType="begin" w:fldLock="1"/>
      </w:r>
      <w:r w:rsidR="007C2FF9">
        <w:instrText>ADDIN CSL_CITATION { "citationItems" : [ { "id" : "ITEM-1", "itemData" : { "DOI" : "10.1007/s11306-011-0304-5", "ISSN" : "1573-3890", "PMID" : "22593724", "abstract" : "Analysis of metabolomics data often goes beyond the task of discovering biomarkers and can be aimed at recovering other important characteristics of observed metabolomic changes. In this paper we explore different methods to detect the presence of distinctive phases in seasonal-responsive changes of metabolomic patterns of Siberian spruce (Picea obovata) during cold acclimation occurred in the period from mid-August to January. Multivariate analysis, specifically orthogonal projection to latent structures discriminant analysis (OPLS-DA), identified time points where the metabolomic patterns underwent substantial modifications as a whole, revealing four distinctive phases during acclimation. This conclusion was re-examined by a univariate analysis consisting of multiple pair-wise comparisons to identify homogeneity intervals for each metabolite. These tests complemented OPLS-DA, clarifying biological interpretation of the classification: about 60% of metabolites found responsive to the cold stress indeed changed at one or more of the time points predicted by OPLS-DA. However, the univariate approach did not support the proposed division of the acclimation period into four phases: less than 10% of metabolites altered during the acclimation had homogeneous levels predicted by OPLS-DA. This demonstrates that coupling the classification found by OPLS-DA and the analysis of dynamics of individual metabolites obtained by pair-wise multicomparisons reveals a more correct characterization of biochemical processes in freezing tolerant trees and leads to interpretations that cannot be deduced by either method alone. The combined analysis can be used in other 'omics'-studies, where response factors have a causal dependence (like the time in the present work) and pair-wise multicomparisons are not conservative. ELECTRONIC SUPPLEMENTARY MATERIAL: The online version of this article (doi:10.1007/s11306-011-0304-5) contains supplementary material, which is available to authorized users.", "author" : [ { "dropping-particle" : "", "family" : "Shiryaeva", "given" : "Liudmila", "non-dropping-particle" : "", "parse-names" : false, "suffix" : "" }, { "dropping-particle" : "", "family" : "Antti", "given" : "Henrik", "non-dropping-particle" : "", "parse-names" : false, "suffix" : "" }, { "dropping-particle" : "", "family" : "Schr\u00f6der", "given" : "Wolfgang P", "non-dropping-particle" : "", "parse-names" : false, "suffix" : "" }, { "dropping-particle" : "", "family" : "Strimbeck", "given" : "Richard", "non-dropping-particle" : "", "parse-names" : false, "suffix" : "" }, { "dropping-particle" : "", "family" : "Shiriaev", "given" : "Anton S", "non-dropping-particle" : "", "parse-names" : false, "suffix" : "" } ], "container-title" : "Metabolomics : Official journal of the Metabolomic Society", "id" : "ITEM-1", "issue" : "Suppl 1", "issued" : { "date-parts" : [ [ "2012", "6" ] ] }, "page" : "123-130", "title" : "Pair-wise multicomparison and OPLS analyses of cold-acclimation phases in Siberian spruce.", "type" : "article-journal", "volume" : "8" }, "uris" : [ "http://www.mendeley.com/documents/?uuid=73bb00fc-9e12-488f-bee4-ac6638332eb7" ] } ], "mendeley" : { "formattedCitation" : "(Shiryaeva et al., 2012)", "plainTextFormattedCitation" : "(Shiryaeva et al., 2012)", "previouslyFormattedCitation" : "(Shiryaeva et al., 2012)" }, "properties" : { "noteIndex" : 0 }, "schema" : "https://github.com/citation-style-language/schema/raw/master/csl-citation.json" }</w:instrText>
      </w:r>
      <w:r w:rsidR="00134C22">
        <w:fldChar w:fldCharType="separate"/>
      </w:r>
      <w:r w:rsidR="00134C22" w:rsidRPr="00134C22">
        <w:rPr>
          <w:noProof/>
        </w:rPr>
        <w:t>(Shiryaeva et al., 2012)</w:t>
      </w:r>
      <w:r w:rsidR="00134C22">
        <w:fldChar w:fldCharType="end"/>
      </w:r>
      <w:r w:rsidR="00134C22">
        <w:t>.</w:t>
      </w:r>
      <w:r>
        <w:t xml:space="preserve"> OPLS-DA is a prediction and regression method that finds information in the metabolomic features (known as X-variables) that is related to known information, i.e. treatment groups (known as Y-variables). The method uses regression to determine how well X and Y data correlate together, and prediction to determine how well the known information (Y data) is predicted. OPLS-DA improves biological interpretation of metabolomic feature as it discovers systematic variation within the data and ignores variation that is random. OPLS separates data into variation that can be predicted and explained by the Y variables (known as predictive components), and variation that is uncorrelated to Y (orthogonal components). This method results in plots of both scores (overall patterns between samples) and loadings (details of which metabolomic features cause sample patterns) that provide improved visualization of the metabolic patterns relevant to the interest of the particular study. </w:t>
      </w:r>
    </w:p>
    <w:p w14:paraId="76A7B3D4" w14:textId="7AC251CD" w:rsidR="0052730F" w:rsidRPr="00735DDD" w:rsidRDefault="0052730F" w:rsidP="0052730F">
      <w:pPr>
        <w:pStyle w:val="BodyJB"/>
      </w:pPr>
      <w:r>
        <w:t>Univariate m</w:t>
      </w:r>
      <w:r w:rsidRPr="00735DDD">
        <w:t xml:space="preserve">ethods such as analysis of variance (ANOVA) and regression methods </w:t>
      </w:r>
      <w:r>
        <w:t xml:space="preserve">can also be applied </w:t>
      </w:r>
      <w:r w:rsidRPr="00735DDD">
        <w:t>to relate metabolite</w:t>
      </w:r>
      <w:r>
        <w:t xml:space="preserve"> concentrations</w:t>
      </w:r>
      <w:r w:rsidRPr="00735DDD">
        <w:t xml:space="preserve"> with independent experimental variables such as study populations or abiotic conditions </w:t>
      </w:r>
      <w:r w:rsidRPr="00735DDD">
        <w:fldChar w:fldCharType="begin" w:fldLock="1"/>
      </w:r>
      <w:r w:rsidR="007C2FF9">
        <w:instrText>ADDIN CSL_CITATION { "citationItems" : [ { "id" : "ITEM-1", "itemData" : { "DOI" : "10.1002/pca.1181", "ISSN" : "1099-1565", "PMID" : "19904732", "abstract" : "Plant metabolomics experiments yield large amounts of data, too much to be interpretable by eye. Multivariate data analyses are therefore essential to extract and visualise the information of interest.", "author" : [ { "dropping-particle" : "", "family" : "Jansen", "given" : "Jeroen J", "non-dropping-particle" : "", "parse-names" : false, "suffix" : "" }, { "dropping-particle" : "", "family" : "Smit", "given" : "Suzanne", "non-dropping-particle" : "", "parse-names" : false, "suffix" : "" }, { "dropping-particle" : "", "family" : "Hoefsloot", "given" : "Huub C J", "non-dropping-particle" : "", "parse-names" : false, "suffix" : "" }, { "dropping-particle" : "", "family" : "Smilde", "given" : "Age K", "non-dropping-particle" : "", "parse-names" : false, "suffix" : "" } ], "container-title" : "Phytochemical analysis : PCA", "id" : "ITEM-1", "issue" : "1", "issued" : { "date-parts" : [ [ "2010" ] ] }, "page" : "48-60", "title" : "The photographer and the greenhouse: how to analyse plant metabolomics data.", "type" : "article-journal", "volume" : "21" }, "uris" : [ "http://www.mendeley.com/documents/?uuid=427e0296-9825-4fe3-88ab-00223909169b" ] } ], "mendeley" : { "formattedCitation" : "(Jansen et al., 2010)", "plainTextFormattedCitation" : "(Jansen et al., 2010)", "previouslyFormattedCitation" : "(Jansen et al., 2010)" }, "properties" : { "noteIndex" : 0 }, "schema" : "https://github.com/citation-style-language/schema/raw/master/csl-citation.json" }</w:instrText>
      </w:r>
      <w:r w:rsidRPr="00735DDD">
        <w:fldChar w:fldCharType="separate"/>
      </w:r>
      <w:r w:rsidRPr="006B3180">
        <w:rPr>
          <w:noProof/>
        </w:rPr>
        <w:t>(Jansen et al., 2010)</w:t>
      </w:r>
      <w:r w:rsidRPr="00735DDD">
        <w:fldChar w:fldCharType="end"/>
      </w:r>
      <w:r w:rsidRPr="00735DDD">
        <w:t xml:space="preserve">. </w:t>
      </w:r>
      <w:r>
        <w:t xml:space="preserve">The application of univariate analyses to metabolomic data may result in high numbers of false positive </w:t>
      </w:r>
      <w:r w:rsidRPr="00735DDD">
        <w:fldChar w:fldCharType="begin" w:fldLock="1"/>
      </w:r>
      <w:r w:rsidR="007C2FF9">
        <w:instrText>ADDIN CSL_CITATION { "citationItems" : [ { "id" : "ITEM-1", "itemData" : { "DOI" : "Doi 10.1007/S11306-006-0037-Z", "ISBN" : "1573-3882", "abstract" : "Many metabolomics, and other high-content or high-throughput, experiments are set up such that the primary aim is the discovery of biomarker metabolites that can discriminate, with a certain level of certainty, between nominally matched 'case' and 'control' samples. However, it is unfortunately very easy to find markers that are apparently persuasive but that are in fact entirely spurious, and there are well-known examples in the proteomics literature. The main types of danger are not entirely independent of each other, but include bias, inadequate sample size (especially relative to the number of metabolite variables and to the required statistical power to prove that a biomarker is discriminant), excessive false discovery rate due to multiple hypothesis testing, inappropriate choice of particular numerical methods, and overfitting (generally caused by the failure to perform adequate validation and cross-validation). Many studies fail to take these into account, and thereby fail to discover anything of true significance (despite their claims). We summarise these problems, and provide pointers to a substantial existing literature that should assist in the improved design and evaluation of metabolomics experiments, thereby allowing robust scientific conclusions to be drawn from the available data. We provide a list of some of the simpler checks that might improve one's confidence that a candidate biomarker is not simply a statistical artefact, and suggest a series of preferred tests and visualisation tools that can assist readers and authors in assessing papers. These tools can be applied to individual metabolites by using multiple univariate tests performed in parallel across all metabolite peaks. They may also be applied to the validation of multivariate models. We stress in particular that classical p-values such as \"p &lt; 0.05\", that are often used in biomedicine, are far too optimistic when multiple tests are done simultaneously (as in metabolomics). Ultimately it is desirable that all data and metadata are available electronically, as this allows the entire community to assess conclusions drawn from them. These analyses apply to all high-dimensional 'omics' datasets.", "author" : [ { "dropping-particle" : "", "family" : "Broadhurst", "given" : "D I", "non-dropping-particle" : "", "parse-names" : false, "suffix" : "" }, { "dropping-particle" : "", "family" : "Kell", "given" : "D B", "non-dropping-particle" : "", "parse-names" : false, "suffix" : "" } ], "container-title" : "Metabolomics", "id" : "ITEM-1", "issue" : "4", "issued" : { "date-parts" : [ [ "2006" ] ] }, "language" : "English", "page" : "171-196", "title" : "Statistical strategies for avoiding false discoveries in metabolomics and related experiments", "type" : "article-journal", "volume" : "2" }, "uris" : [ "http://www.mendeley.com/documents/?uuid=b162c887-3fc7-465c-8135-a30b53bb07f8" ] } ], "mendeley" : { "formattedCitation" : "(Broadhurst and Kell, 2006)", "plainTextFormattedCitation" : "(Broadhurst and Kell, 2006)", "previouslyFormattedCitation" : "(Broadhurst and Kell, 2006)" }, "properties" : { "noteIndex" : 0 }, "schema" : "https://github.com/citation-style-language/schema/raw/master/csl-citation.json" }</w:instrText>
      </w:r>
      <w:r w:rsidRPr="00735DDD">
        <w:fldChar w:fldCharType="separate"/>
      </w:r>
      <w:r w:rsidRPr="006B3180">
        <w:rPr>
          <w:noProof/>
        </w:rPr>
        <w:t>(Broadhurst and Kell, 2006)</w:t>
      </w:r>
      <w:r w:rsidRPr="00735DDD">
        <w:fldChar w:fldCharType="end"/>
      </w:r>
      <w:r>
        <w:t>. A standard approach to account for these high false positive rate is to correct the</w:t>
      </w:r>
      <w:r w:rsidR="00134C22">
        <w:t xml:space="preserve"> p-value (e.g. Bonferroni, FDR)</w:t>
      </w:r>
      <w:r>
        <w:t xml:space="preserve">. While providing a useful measure of statistical importance, these corrections are associated with a significant loss of statistical power and may result in the loss of true positives </w:t>
      </w:r>
      <w:r>
        <w:fldChar w:fldCharType="begin" w:fldLock="1"/>
      </w:r>
      <w:r w:rsidR="007C2FF9">
        <w:instrText>ADDIN CSL_CITATION { "citationItems" : [ { "id" : "ITEM-1", "itemData" : { "DOI" : "10.1039/c3mb70194h", "ISSN" : "1742-2051", "PMID" : "23999822", "abstract" : "Respiratory diseases are multifactorial heterogeneous diseases that have proved recalcitrant to understanding using focused molecular techniques. This trend has led to the rise of 'omics approaches (e.g., transcriptomics, proteomics) and subsequent acquisition of large-scale datasets consisting of multiple variables. In 'omics technology-based investigations, discrepancies between the number of variables analyzed (e.g., mRNA, proteins, metabolites) and the number of study subjects constitutes a major statistical challenge. The application of traditional univariate statistical methods (e.g., t-test) to these \"short-and-wide\" datasets may result in high numbers of false positives, while the predominant approach of p-value correction to account for these high false positive rates (e.g., FDR, Bonferroni) are associated with significant losses in statistical power. In other words, the benefit in decreased false positives must be counterbalanced with a concomitant loss in true positives. As an alternative, multivariate statistical analysis (MVA) is increasingly being employed to cope with 'omics-based data structures. When properly applied, MVA approaches can be powerful tools for integration and interpretation of complex 'omics-based datasets towards the goal of identifying biomarkers and/or subphenotypes. However, MVA methods are also prone to over-interpretation and misuse. A common software used in biomedical research to perform MVA-based analyses is the SIMCA package, which includes multiple MVA methods. In this opinion piece, we propose guidelines for minimum reporting standards for a SIMCA-based workflow, in terms of data preprocessing (e.g., normalization, scaling) and model statistics (number of components, R2, Q2, and CV-ANOVA p-value). Examples of these applications in recent COPD and asthma studies are provided. It is expected that readers will gain an increased understanding of the power and utility of MVA methods for applications in biomedical research.", "author" : [ { "dropping-particle" : "", "family" : "Wheelock", "given" : "\u00c5sa M", "non-dropping-particle" : "", "parse-names" : false, "suffix" : "" }, { "dropping-particle" : "", "family" : "Wheelock", "given" : "Craig E", "non-dropping-particle" : "", "parse-names" : false, "suffix" : "" } ], "container-title" : "Molecular bioSystems", "id" : "ITEM-1", "issue" : "11", "issued" : { "date-parts" : [ [ "2013", "11" ] ] }, "page" : "2589-96", "title" : "Trials and tribulations of 'omics data analysis: assessing quality of SIMCA-based multivariate models using examples from pulmonary medicine.", "type" : "article-journal", "volume" : "9" }, "uris" : [ "http://www.mendeley.com/documents/?uuid=85e076f6-55b9-4a11-bbac-145724228c72" ] } ], "mendeley" : { "formattedCitation" : "(Wheelock and Wheelock, 2013)", "plainTextFormattedCitation" : "(Wheelock and Wheelock, 2013)", "previouslyFormattedCitation" : "(Wheelock and Wheelock, 2013)" }, "properties" : { "noteIndex" : 0 }, "schema" : "https://github.com/citation-style-language/schema/raw/master/csl-citation.json" }</w:instrText>
      </w:r>
      <w:r>
        <w:fldChar w:fldCharType="separate"/>
      </w:r>
      <w:r w:rsidRPr="0089667E">
        <w:rPr>
          <w:noProof/>
        </w:rPr>
        <w:t>(Wheelock and Wheelock, 2013)</w:t>
      </w:r>
      <w:r>
        <w:fldChar w:fldCharType="end"/>
      </w:r>
      <w:r>
        <w:t xml:space="preserve">. </w:t>
      </w:r>
    </w:p>
    <w:p w14:paraId="1AAACE18" w14:textId="4D1CA3C3" w:rsidR="0052730F" w:rsidRPr="00735DDD" w:rsidRDefault="0052730F" w:rsidP="0052730F">
      <w:pPr>
        <w:pStyle w:val="BodyJB"/>
      </w:pPr>
      <w:r w:rsidRPr="00735DDD">
        <w:t xml:space="preserve">The form and size of metabolomic data sets create many dangers for statistical analysis that should be considered when designing studies. </w:t>
      </w:r>
      <w:r w:rsidRPr="00735DDD">
        <w:fldChar w:fldCharType="begin" w:fldLock="1"/>
      </w:r>
      <w:r w:rsidR="007C2FF9">
        <w:instrText>ADDIN CSL_CITATION { "citationItems" : [ { "id" : "ITEM-1", "itemData" : { "DOI" : "Doi 10.1007/S11306-006-0037-Z", "ISBN" : "1573-3882", "abstract" : "Many metabolomics, and other high-content or high-throughput, experiments are set up such that the primary aim is the discovery of biomarker metabolites that can discriminate, with a certain level of certainty, between nominally matched 'case' and 'control' samples. However, it is unfortunately very easy to find markers that are apparently persuasive but that are in fact entirely spurious, and there are well-known examples in the proteomics literature. The main types of danger are not entirely independent of each other, but include bias, inadequate sample size (especially relative to the number of metabolite variables and to the required statistical power to prove that a biomarker is discriminant), excessive false discovery rate due to multiple hypothesis testing, inappropriate choice of particular numerical methods, and overfitting (generally caused by the failure to perform adequate validation and cross-validation). Many studies fail to take these into account, and thereby fail to discover anything of true significance (despite their claims). We summarise these problems, and provide pointers to a substantial existing literature that should assist in the improved design and evaluation of metabolomics experiments, thereby allowing robust scientific conclusions to be drawn from the available data. We provide a list of some of the simpler checks that might improve one's confidence that a candidate biomarker is not simply a statistical artefact, and suggest a series of preferred tests and visualisation tools that can assist readers and authors in assessing papers. These tools can be applied to individual metabolites by using multiple univariate tests performed in parallel across all metabolite peaks. They may also be applied to the validation of multivariate models. We stress in particular that classical p-values such as \"p &lt; 0.05\", that are often used in biomedicine, are far too optimistic when multiple tests are done simultaneously (as in metabolomics). Ultimately it is desirable that all data and metadata are available electronically, as this allows the entire community to assess conclusions drawn from them. These analyses apply to all high-dimensional 'omics' datasets.", "author" : [ { "dropping-particle" : "", "family" : "Broadhurst", "given" : "D I", "non-dropping-particle" : "", "parse-names" : false, "suffix" : "" }, { "dropping-particle" : "", "family" : "Kell", "given" : "D B", "non-dropping-particle" : "", "parse-names" : false, "suffix" : "" } ], "container-title" : "Metabolomics", "id" : "ITEM-1", "issue" : "4", "issued" : { "date-parts" : [ [ "2006" ] ] }, "language" : "English", "page" : "171-196", "title" : "Statistical strategies for avoiding false discoveries in metabolomics and related experiments", "type" : "article-journal", "volume" : "2" }, "uris" : [ "http://www.mendeley.com/documents/?uuid=b162c887-3fc7-465c-8135-a30b53bb07f8" ] } ], "mendeley" : { "formattedCitation" : "(Broadhurst and Kell, 2006)", "plainTextFormattedCitation" : "(Broadhurst and Kell, 2006)", "previouslyFormattedCitation" : "(Broadhurst and Kell, 2006)" }, "properties" : { "noteIndex" : 0 }, "schema" : "https://github.com/citation-style-language/schema/raw/master/csl-citation.json" }</w:instrText>
      </w:r>
      <w:r w:rsidRPr="00735DDD">
        <w:fldChar w:fldCharType="separate"/>
      </w:r>
      <w:r w:rsidRPr="006B3180">
        <w:rPr>
          <w:noProof/>
        </w:rPr>
        <w:t>(Broadhurst and Kell, 2006)</w:t>
      </w:r>
      <w:r w:rsidRPr="00735DDD">
        <w:fldChar w:fldCharType="end"/>
      </w:r>
      <w:r w:rsidRPr="00735DDD">
        <w:t xml:space="preserve"> summarise these problems, which include bias, inadequate sample size, ignorance of Type I statistical errors, choice of inappropriate tests. </w:t>
      </w:r>
    </w:p>
    <w:p w14:paraId="25B12EC9" w14:textId="77777777" w:rsidR="0052730F" w:rsidRDefault="0052730F" w:rsidP="0052730F">
      <w:pPr>
        <w:pStyle w:val="BodyJB"/>
      </w:pPr>
    </w:p>
    <w:p w14:paraId="195C941D" w14:textId="77777777" w:rsidR="0052730F" w:rsidRPr="00735DDD" w:rsidRDefault="0052730F" w:rsidP="00134C22">
      <w:pPr>
        <w:pStyle w:val="BodyJB"/>
        <w:ind w:firstLine="720"/>
      </w:pPr>
      <w:r w:rsidRPr="00735DDD">
        <w:t>The aim of this chapter is to introduce the study system and species used in this research, detail the specific methods developed to metabolically fingerprint these species, and statistically analysis the data.</w:t>
      </w:r>
    </w:p>
    <w:p w14:paraId="0FAACDC4" w14:textId="77777777" w:rsidR="0052730F" w:rsidRDefault="0052730F" w:rsidP="0052730F">
      <w:pPr>
        <w:pStyle w:val="BodyJB"/>
      </w:pPr>
      <w:bookmarkStart w:id="19" w:name="_Toc250775663"/>
    </w:p>
    <w:p w14:paraId="26A498A5" w14:textId="77777777" w:rsidR="0052730F" w:rsidRPr="00E07A18" w:rsidRDefault="0052730F" w:rsidP="0052730F">
      <w:pPr>
        <w:pStyle w:val="BodyJB"/>
      </w:pPr>
    </w:p>
    <w:p w14:paraId="07BD7303" w14:textId="3A0AAFFD" w:rsidR="00134C22" w:rsidRDefault="0052730F" w:rsidP="0052730F">
      <w:pPr>
        <w:pStyle w:val="SubheadingJB"/>
      </w:pPr>
      <w:bookmarkStart w:id="20" w:name="_Toc291410042"/>
      <w:r w:rsidRPr="00735DDD">
        <w:t>2.2- Methods</w:t>
      </w:r>
      <w:bookmarkEnd w:id="19"/>
      <w:bookmarkEnd w:id="20"/>
      <w:r w:rsidRPr="00735DDD">
        <w:t xml:space="preserve"> </w:t>
      </w:r>
      <w:bookmarkStart w:id="21" w:name="_Toc250775664"/>
    </w:p>
    <w:p w14:paraId="4A8D3D93" w14:textId="77777777" w:rsidR="0052730F" w:rsidRPr="00735DDD" w:rsidRDefault="0052730F" w:rsidP="0052730F">
      <w:pPr>
        <w:pStyle w:val="SubheadingJB"/>
      </w:pPr>
      <w:bookmarkStart w:id="22" w:name="_Toc291410043"/>
      <w:r>
        <w:t xml:space="preserve">2.2.1- </w:t>
      </w:r>
      <w:r w:rsidRPr="00735DDD">
        <w:t>Study System and Species</w:t>
      </w:r>
      <w:bookmarkEnd w:id="21"/>
      <w:bookmarkEnd w:id="22"/>
    </w:p>
    <w:p w14:paraId="27801914" w14:textId="77777777" w:rsidR="0052730F" w:rsidRPr="00D87A8E" w:rsidRDefault="0052730F" w:rsidP="00134C22">
      <w:pPr>
        <w:pStyle w:val="subheadingMINOR"/>
      </w:pPr>
      <w:bookmarkStart w:id="23" w:name="_Toc250775665"/>
      <w:bookmarkStart w:id="24" w:name="_Toc291410044"/>
      <w:r w:rsidRPr="00D87A8E">
        <w:t>Grey dune characteristics</w:t>
      </w:r>
      <w:bookmarkEnd w:id="23"/>
      <w:bookmarkEnd w:id="24"/>
      <w:r w:rsidRPr="00D87A8E">
        <w:t xml:space="preserve"> </w:t>
      </w:r>
    </w:p>
    <w:p w14:paraId="05A443E9" w14:textId="5907707E" w:rsidR="0052730F" w:rsidRPr="00735DDD" w:rsidRDefault="0052730F" w:rsidP="00A4141F">
      <w:pPr>
        <w:pStyle w:val="BodyJB"/>
      </w:pPr>
      <w:r w:rsidRPr="00735DDD">
        <w:t xml:space="preserve">This research takes an environmental metabolomics approach to improve understanding on the adaptability of plant species occurring in grey dunes to climate change. The vegetation structure of these fixed coastal dunes is typified by an assemblage of carpet forming moss-lichen species such as </w:t>
      </w:r>
      <w:r w:rsidRPr="00735DDD">
        <w:rPr>
          <w:i/>
        </w:rPr>
        <w:t>Hypnum cupressiforme, Racomitrium canescens, Syntrichia ruralis</w:t>
      </w:r>
      <w:r w:rsidRPr="00735DDD">
        <w:t xml:space="preserve">, and </w:t>
      </w:r>
      <w:r w:rsidRPr="00735DDD">
        <w:rPr>
          <w:i/>
        </w:rPr>
        <w:t>Cladonia</w:t>
      </w:r>
      <w:r w:rsidRPr="00735DDD">
        <w:t xml:space="preserve"> lichen species, the colouration of which gives these dunes their ‘grey’ characteristic </w:t>
      </w:r>
      <w:r w:rsidRPr="00735DDD">
        <w:fldChar w:fldCharType="begin" w:fldLock="1"/>
      </w:r>
      <w:r w:rsidR="007C2FF9">
        <w:instrText>ADDIN CSL_CITATION { "citationItems" : [ { "id" : "ITEM-1", "itemData" : { "DOI" : "10.3318/BIOE.2006.106.3.301", "ISBN" : "0791-7945", "ISSN" : "07917945", "abstract" : "We have completed a review of lichen-rich grey dune vegetation. All of the quadrat data for the National Vegetation Classification (NVC) grey dune community described as Carex arenaria \u2013 Cornicularia aculeata (SD11) collected during the Sand Dune Survey of Great Britain has been reanalysed using Pseudo-quadrat Analysis. This is based on a recent mathematical development showing that it is possible to generate artificial quadrats (\u2018pseudo-random quadrats\u2019) from the phytosociological tables provided in the NVC manuals. These are mathematical approximations of the original NVC quadrat datasets and can be used to compare the NVC with newly acquired quadrat data using a standard ordination technique\u2014Detrended Correspondence Analysis (DCA). The field quadrats can be placed into this ordination space as passive samples, and their distance from the artificial NVC quadrats used as a measure of community membership. As was expected this has shown that there is a degree of inter- and intra-site variation among grey dunes, with some stands having strong affinities with various heathland communities, and others having more in common with certain lichen\u2013rich grasslands. An ecological interpretation of grey dune vegetation is provided together with some details on how British grey dunes compare with those of continental Europe.Nomenclature follows Stace (1997) for vascular plants, Smith (2004) for bryophytes and Purvis et al . (1992) for lichens.", "author" : [ { "dropping-particle" : "", "family" : "Rhind", "given" : "Peter", "non-dropping-particle" : "", "parse-names" : false, "suffix" : "" }, { "dropping-particle" : "", "family" : "Stevens", "given" : "David", "non-dropping-particle" : "", "parse-names" : false, "suffix" : "" }, { "dropping-particle" : "", "family" : "Sanderson", "given" : "Roy", "non-dropping-particle" : "", "parse-names" : false, "suffix" : "" } ], "container-title" : "Biology and Environment", "id" : "ITEM-1", "issued" : { "date-parts" : [ [ "2006" ] ] }, "page" : "301-310", "title" : "A review and floristic analysis of lichen-rich grey dune vegetation in Britain", "type" : "article-journal", "volume" : "106" }, "uris" : [ "http://www.mendeley.com/documents/?uuid=add91895-a6da-4970-a75a-8e7cf2d0c613" ] } ], "mendeley" : { "formattedCitation" : "(Rhind et al., 2006)", "plainTextFormattedCitation" : "(Rhind et al., 2006)", "previouslyFormattedCitation" : "(Rhind et al., 2006)" }, "properties" : { "noteIndex" : 0 }, "schema" : "https://github.com/citation-style-language/schema/raw/master/csl-citation.json" }</w:instrText>
      </w:r>
      <w:r w:rsidRPr="00735DDD">
        <w:fldChar w:fldCharType="separate"/>
      </w:r>
      <w:r w:rsidRPr="006B3180">
        <w:rPr>
          <w:noProof/>
        </w:rPr>
        <w:t>(Rhind et al., 2006)</w:t>
      </w:r>
      <w:r w:rsidRPr="00735DDD">
        <w:fldChar w:fldCharType="end"/>
      </w:r>
      <w:r w:rsidRPr="00735DDD">
        <w:t xml:space="preserve">. This habitat also supports a high diversity of perennial herbs, grasses and annual species, the latter of which compose 20-40 % of the flora assemblage of sand dunes in Great Britain </w:t>
      </w:r>
      <w:r w:rsidRPr="00735DDD">
        <w:fldChar w:fldCharType="begin" w:fldLock="1"/>
      </w:r>
      <w:r w:rsidR="007C2FF9">
        <w:instrText>ADDIN CSL_CITATION { "citationItems" : [ { "id" : "ITEM-1", "itemData" : { "author" : [ { "dropping-particle" : "", "family" : "Watkinson", "given" : "AR", "non-dropping-particle" : "", "parse-names" : false, "suffix" : "" }, { "dropping-particle" : "", "family" : "Davy", "given" : "AJ", "non-dropping-particle" : "", "parse-names" : false, "suffix" : "" } ], "container-title" : "Vegetatio", "id" : "ITEM-1", "issued" : { "date-parts" : [ [ "1985" ] ] }, "page" : "487-497", "title" : "Population biology of salt marsh and sand dune annuals", "type" : "article-journal", "volume" : "62" }, "uris" : [ "http://www.mendeley.com/documents/?uuid=2285530e-fae3-4e0f-85d6-805e36bd6588" ] } ], "mendeley" : { "formattedCitation" : "(Watkinson and Davy, 1985)", "plainTextFormattedCitation" : "(Watkinson and Davy, 1985)", "previouslyFormattedCitation" : "(Watkinson and Davy, 1985)" }, "properties" : { "noteIndex" : 0 }, "schema" : "https://github.com/citation-style-language/schema/raw/master/csl-citation.json" }</w:instrText>
      </w:r>
      <w:r w:rsidRPr="00735DDD">
        <w:fldChar w:fldCharType="separate"/>
      </w:r>
      <w:r w:rsidRPr="006B3180">
        <w:rPr>
          <w:noProof/>
        </w:rPr>
        <w:t>(Watkinson and Davy, 1985)</w:t>
      </w:r>
      <w:r w:rsidRPr="00735DDD">
        <w:fldChar w:fldCharType="end"/>
      </w:r>
      <w:r w:rsidRPr="00735DDD">
        <w:t xml:space="preserve">. </w:t>
      </w:r>
    </w:p>
    <w:p w14:paraId="1ABBE6AB" w14:textId="77777777" w:rsidR="00A10B56" w:rsidRDefault="0052730F" w:rsidP="00A4141F">
      <w:pPr>
        <w:pStyle w:val="BodyJB"/>
        <w:ind w:firstLine="720"/>
      </w:pPr>
      <w:r w:rsidRPr="00735DDD">
        <w:t xml:space="preserve">Grey dune habitat can be found in most dune systems in the Atlantic region especially in Portugal, Denmark and the Netherlands </w:t>
      </w:r>
      <w:r w:rsidR="00BA3BDB">
        <w:fldChar w:fldCharType="begin" w:fldLock="1"/>
      </w:r>
      <w:r w:rsidR="00A4141F">
        <w:instrText>ADDIN CSL_CITATION { "citationItems" : [ { "id" : "ITEM-1", "itemData" : { "ISBN" : "9789279083198", "author" : [ { "dropping-particle" : "", "family" : "Houston", "given" : "J", "non-dropping-particle" : "", "parse-names" : false, "suffix" : "" } ], "container-title" : "European Commission", "id" : "ITEM-1", "issued" : { "date-parts" : [ [ "2008" ] ] }, "title" : "Management of Natura 2000 habitats. 2130* Fixed coastal dunes with herbaceous vegetation (\u201cgrey dunes\u201d)", "type" : "article-journal" }, "uris" : [ "http://www.mendeley.com/documents/?uuid=e112889b-0256-494f-98a6-ae163c9c11db" ] } ], "mendeley" : { "formattedCitation" : "(Houston, 2008)", "plainTextFormattedCitation" : "(Houston, 2008)", "previouslyFormattedCitation" : "(Houston, 2008)" }, "properties" : { "noteIndex" : 0 }, "schema" : "https://github.com/citation-style-language/schema/raw/master/csl-citation.json" }</w:instrText>
      </w:r>
      <w:r w:rsidR="00BA3BDB">
        <w:fldChar w:fldCharType="separate"/>
      </w:r>
      <w:r w:rsidR="00BA3BDB" w:rsidRPr="00BA3BDB">
        <w:rPr>
          <w:noProof/>
        </w:rPr>
        <w:t>(Houston, 2008)</w:t>
      </w:r>
      <w:r w:rsidR="00BA3BDB">
        <w:fldChar w:fldCharType="end"/>
      </w:r>
      <w:r w:rsidR="00A4141F">
        <w:t xml:space="preserve">. </w:t>
      </w:r>
      <w:r w:rsidRPr="00735DDD">
        <w:t xml:space="preserve">This range occurs along a major temperature gradient from southwest to northeast Europe, which also experiences an extensive variation in precipitation (Table 1.1)(Provoost, 2004). Abiotic factors play a large role in determining species composition and performance in this habitat. Regionally, grey dunes are distributed on soils that are extremely permeable and as such experience nutrient leaching and severe drought </w:t>
      </w:r>
      <w:r w:rsidR="005F427C" w:rsidRPr="00735DDD">
        <w:fldChar w:fldCharType="begin" w:fldLock="1"/>
      </w:r>
      <w:r w:rsidR="007C2FF9">
        <w:instrText>ADDIN CSL_CITATION { "citationItems" : [ { "id" : "ITEM-1", "itemData" : { "DOI" : "10.3318/BIOE.2006.106.3.301", "ISBN" : "0791-7945", "ISSN" : "07917945", "abstract" : "We have completed a review of lichen-rich grey dune vegetation. All of the quadrat data for the National Vegetation Classification (NVC) grey dune community described as Carex arenaria \u2013 Cornicularia aculeata (SD11) collected during the Sand Dune Survey of Great Britain has been reanalysed using Pseudo-quadrat Analysis. This is based on a recent mathematical development showing that it is possible to generate artificial quadrats (\u2018pseudo-random quadrats\u2019) from the phytosociological tables provided in the NVC manuals. These are mathematical approximations of the original NVC quadrat datasets and can be used to compare the NVC with newly acquired quadrat data using a standard ordination technique\u2014Detrended Correspondence Analysis (DCA). The field quadrats can be placed into this ordination space as passive samples, and their distance from the artificial NVC quadrats used as a measure of community membership. As was expected this has shown that there is a degree of inter- and intra-site variation among grey dunes, with some stands having strong affinities with various heathland communities, and others having more in common with certain lichen\u2013rich grasslands. An ecological interpretation of grey dune vegetation is provided together with some details on how British grey dunes compare with those of continental Europe.Nomenclature follows Stace (1997) for vascular plants, Smith (2004) for bryophytes and Purvis et al . (1992) for lichens.", "author" : [ { "dropping-particle" : "", "family" : "Rhind", "given" : "Peter", "non-dropping-particle" : "", "parse-names" : false, "suffix" : "" }, { "dropping-particle" : "", "family" : "Stevens", "given" : "David", "non-dropping-particle" : "", "parse-names" : false, "suffix" : "" }, { "dropping-particle" : "", "family" : "Sanderson", "given" : "Roy", "non-dropping-particle" : "", "parse-names" : false, "suffix" : "" } ], "container-title" : "Biology and Environment", "id" : "ITEM-1", "issued" : { "date-parts" : [ [ "2006" ] ] }, "page" : "301-310", "title" : "A review and floristic analysis of lichen-rich grey dune vegetation in Britain", "type" : "article-journal", "volume" : "106" }, "uris" : [ "http://www.mendeley.com/documents/?uuid=add91895-a6da-4970-a75a-8e7cf2d0c613" ] } ], "mendeley" : { "formattedCitation" : "(Rhind et al., 2006)", "plainTextFormattedCitation" : "(Rhind et al., 2006)", "previouslyFormattedCitation" : "(Rhind et al., 2006)" }, "properties" : { "noteIndex" : 0 }, "schema" : "https://github.com/citation-style-language/schema/raw/master/csl-citation.json" }</w:instrText>
      </w:r>
      <w:r w:rsidR="005F427C" w:rsidRPr="00735DDD">
        <w:fldChar w:fldCharType="separate"/>
      </w:r>
      <w:r w:rsidR="005F427C" w:rsidRPr="006B3180">
        <w:rPr>
          <w:noProof/>
        </w:rPr>
        <w:t>(Rhind et al., 2006)</w:t>
      </w:r>
      <w:r w:rsidR="005F427C" w:rsidRPr="00735DDD">
        <w:fldChar w:fldCharType="end"/>
      </w:r>
      <w:r w:rsidR="005F427C">
        <w:t xml:space="preserve">. </w:t>
      </w:r>
    </w:p>
    <w:p w14:paraId="09CDE70A" w14:textId="6556741D" w:rsidR="0052730F" w:rsidRDefault="0052730F" w:rsidP="00A4141F">
      <w:pPr>
        <w:pStyle w:val="BodyJB"/>
        <w:ind w:firstLine="720"/>
      </w:pPr>
      <w:r w:rsidRPr="00735DDD">
        <w:t xml:space="preserve">At a local level grey dune is a highly heterogeneous habitat, characterized by fine scale variability in microclimate and soil abiotic factors, which are caused by micro-relief </w:t>
      </w:r>
      <w:r w:rsidRPr="00735DDD">
        <w:fldChar w:fldCharType="begin" w:fldLock="1"/>
      </w:r>
      <w:r w:rsidR="007C1C5F">
        <w:instrText>ADDIN CSL_CITATION { "citationItems" : [ { "id" : "ITEM-1", "itemData" : { "DOI" : "10.1652/1400-0350(2004)010[0033:EMAMOG]2.0.CO;2", "ISSN" : "1400-0350", "author" : [ { "dropping-particle" : "", "family" : "Provoost", "given" : "Sam", "non-dropping-particle" : "", "parse-names" : false, "suffix" : "" }, { "dropping-particle" : "", "family" : "Ampe", "given" : "Carole", "non-dropping-particle" : "", "parse-names" : false, "suffix" : "" }, { "dropping-particle" : "", "family" : "Bonte", "given" : "Dries", "non-dropping-particle" : "", "parse-names" : false, "suffix" : "" }, { "dropping-particle" : "", "family" : "Cosyns", "given" : "Eric", "non-dropping-particle" : "", "parse-names" : false, "suffix" : "" }, { "dropping-particle" : "", "family" : "Hoffmann", "given" : "Maurice", "non-dropping-particle" : "", "parse-names" : false, "suffix" : "" } ], "container-title" : "Journal of Coastal Conservation", "id" : "ITEM-1", "issue" : "1", "issued" : { "date-parts" : [ [ "2004" ] ] }, "page" : "33", "title" : "Ecology, management and monitoring of grey dunes in Flanders", "type" : "article-journal", "volume" : "10" }, "uris" : [ "http://www.mendeley.com/documents/?uuid=d03568bb-0261-4a13-aeab-7e97e49dc0ca" ] } ], "mendeley" : { "formattedCitation" : "(Provoost et al., 2004a)", "plainTextFormattedCitation" : "(Provoost et al., 2004a)", "previouslyFormattedCitation" : "(Provoost et al., 2004a)" }, "properties" : { "noteIndex" : 0 }, "schema" : "https://github.com/citation-style-language/schema/raw/master/csl-citation.json" }</w:instrText>
      </w:r>
      <w:r w:rsidRPr="00735DDD">
        <w:fldChar w:fldCharType="separate"/>
      </w:r>
      <w:r w:rsidR="00134C22" w:rsidRPr="007C2FF9">
        <w:rPr>
          <w:noProof/>
        </w:rPr>
        <w:t>(Provoost et al., 2004a)</w:t>
      </w:r>
      <w:r w:rsidRPr="00735DDD">
        <w:fldChar w:fldCharType="end"/>
      </w:r>
      <w:r w:rsidRPr="00735DDD">
        <w:t xml:space="preserve">. </w:t>
      </w:r>
      <w:r w:rsidR="00A4141F">
        <w:t>In</w:t>
      </w:r>
      <w:r w:rsidR="00A4141F" w:rsidRPr="00A4141F">
        <w:t xml:space="preserve"> most sites there will be differences in the plant communities on north and south facing slopes, some species being gener</w:t>
      </w:r>
      <w:r w:rsidR="00A4141F">
        <w:t>ally confined to specific zones</w:t>
      </w:r>
      <w:r w:rsidR="00A10B56">
        <w:t xml:space="preserve"> </w:t>
      </w:r>
      <w:r w:rsidR="00A10B56">
        <w:fldChar w:fldCharType="begin" w:fldLock="1"/>
      </w:r>
      <w:r w:rsidR="00822810">
        <w:instrText>ADDIN CSL_CITATION { "citationItems" : [ { "id" : "ITEM-1", "itemData" : { "ISBN" : "9789279083198", "author" : [ { "dropping-particle" : "", "family" : "Houston", "given" : "J", "non-dropping-particle" : "", "parse-names" : false, "suffix" : "" } ], "container-title" : "European Commission", "id" : "ITEM-1", "issued" : { "date-parts" : [ [ "2008" ] ] }, "title" : "Management of Natura 2000 habitats. 2130* Fixed coastal dunes with herbaceous vegetation (\u201cgrey dunes\u201d)", "type" : "article-journal" }, "uris" : [ "http://www.mendeley.com/documents/?uuid=e112889b-0256-494f-98a6-ae163c9c11db" ] } ], "mendeley" : { "formattedCitation" : "(Houston, 2008)", "plainTextFormattedCitation" : "(Houston, 2008)", "previouslyFormattedCitation" : "(Houston, 2008)" }, "properties" : { "noteIndex" : 0 }, "schema" : "https://github.com/citation-style-language/schema/raw/master/csl-citation.json" }</w:instrText>
      </w:r>
      <w:r w:rsidR="00A10B56">
        <w:fldChar w:fldCharType="separate"/>
      </w:r>
      <w:r w:rsidR="00A10B56" w:rsidRPr="00A10B56">
        <w:rPr>
          <w:noProof/>
        </w:rPr>
        <w:t>(Houston, 2008)</w:t>
      </w:r>
      <w:r w:rsidR="00A10B56">
        <w:fldChar w:fldCharType="end"/>
      </w:r>
      <w:r w:rsidR="00A4141F">
        <w:t xml:space="preserve">. </w:t>
      </w:r>
      <w:r w:rsidRPr="00735DDD">
        <w:t xml:space="preserve">Two groups of ecologically related annual species have been described in grey dune habitats, these groups differ in their distribution within the habitat based on their response to topography </w:t>
      </w:r>
      <w:r w:rsidRPr="00735DDD">
        <w:fldChar w:fldCharType="begin" w:fldLock="1"/>
      </w:r>
      <w:r w:rsidR="007C2FF9">
        <w:instrText>ADDIN CSL_CITATION { "citationItems" : [ { "id" : "ITEM-1", "itemData" : { "ISBN" : "0022-0477", "author" : [ { "dropping-particle" : "", "family" : "Pemadasa", "given" : "M A", "non-dropping-particle" : "", "parse-names" : false, "suffix" : "" }, { "dropping-particle" : "", "family" : "Greigsmi.P", "given" : "", "non-dropping-particle" : "", "parse-names" : false, "suffix" : "" }, { "dropping-particle" : "", "family" : "Lovell", "given" : "P H", "non-dropping-particle" : "", "parse-names" : false, "suffix" : "" } ], "container-title" : "Journal of Ecology", "id" : "ITEM-1", "issue" : "2", "issued" : { "date-parts" : [ [ "1974" ] ] }, "language" : "English", "page" : "379-402", "title" : "Quantitative Description of Distribution of Annuals in Dune System at Aberffraw, Anglesey", "type" : "article-journal", "volume" : "62" }, "uris" : [ "http://www.mendeley.com/documents/?uuid=86c18da3-5010-4c77-916d-0a6ffa991406" ] } ], "mendeley" : { "formattedCitation" : "(Pemadasa et al., 1974)", "plainTextFormattedCitation" : "(Pemadasa et al., 1974)", "previouslyFormattedCitation" : "(Pemadasa et al., 1974)" }, "properties" : { "noteIndex" : 0 }, "schema" : "https://github.com/citation-style-language/schema/raw/master/csl-citation.json" }</w:instrText>
      </w:r>
      <w:r w:rsidRPr="00735DDD">
        <w:fldChar w:fldCharType="separate"/>
      </w:r>
      <w:r w:rsidRPr="006B3180">
        <w:rPr>
          <w:noProof/>
        </w:rPr>
        <w:t>(Pemadasa et al., 1974)</w:t>
      </w:r>
      <w:r w:rsidRPr="00735DDD">
        <w:fldChar w:fldCharType="end"/>
      </w:r>
      <w:r w:rsidRPr="00735DDD">
        <w:t xml:space="preserve">. As such the phenology of many dune annuals is closely tied to abiotic factors, with high temperatures and low soil water potentials controlling germination of winter annual species in this habitat </w:t>
      </w:r>
      <w:r w:rsidRPr="00735DDD">
        <w:fldChar w:fldCharType="begin" w:fldLock="1"/>
      </w:r>
      <w:r w:rsidR="007C2FF9">
        <w:instrText>ADDIN CSL_CITATION { "citationItems" : [ { "id" : "ITEM-1", "itemData" : { "author" : [ { "dropping-particle" : "", "family" : "Watkinson", "given" : "AR", "non-dropping-particle" : "", "parse-names" : false, "suffix" : "" }, { "dropping-particle" : "", "family" : "Davy", "given" : "AJ", "non-dropping-particle" : "", "parse-names" : false, "suffix" : "" } ], "container-title" : "Vegetatio", "id" : "ITEM-1", "issued" : { "date-parts" : [ [ "1985" ] ] }, "page" : "487-497", "title" : "Population biology of salt marsh and sand dune annuals", "type" : "article-journal", "volume" : "62" }, "uris" : [ "http://www.mendeley.com/documents/?uuid=2285530e-fae3-4e0f-85d6-805e36bd6588" ] } ], "mendeley" : { "formattedCitation" : "(Watkinson and Davy, 1985)", "plainTextFormattedCitation" : "(Watkinson and Davy, 1985)", "previouslyFormattedCitation" : "(Watkinson and Davy, 1985)" }, "properties" : { "noteIndex" : 0 }, "schema" : "https://github.com/citation-style-language/schema/raw/master/csl-citation.json" }</w:instrText>
      </w:r>
      <w:r w:rsidRPr="00735DDD">
        <w:fldChar w:fldCharType="separate"/>
      </w:r>
      <w:r w:rsidRPr="006B3180">
        <w:rPr>
          <w:noProof/>
        </w:rPr>
        <w:t>(Watkinson and Davy, 1985)</w:t>
      </w:r>
      <w:r w:rsidRPr="00735DDD">
        <w:fldChar w:fldCharType="end"/>
      </w:r>
      <w:r w:rsidRPr="00735DDD">
        <w:t xml:space="preserve">. Biotic factors are also inherently important in this community as grey dunes are classified as having relatively intense rabbit grazing </w:t>
      </w:r>
      <w:r w:rsidRPr="00735DDD">
        <w:fldChar w:fldCharType="begin" w:fldLock="1"/>
      </w:r>
      <w:r w:rsidR="007C2FF9">
        <w:instrText>ADDIN CSL_CITATION { "citationItems" : [ { "id" : "ITEM-1", "itemData" : { "DOI" : "10.3318/BIOE.2006.106.3.301", "ISBN" : "0791-7945", "ISSN" : "07917945", "abstract" : "We have completed a review of lichen-rich grey dune vegetation. All of the quadrat data for the National Vegetation Classification (NVC) grey dune community described as Carex arenaria \u2013 Cornicularia aculeata (SD11) collected during the Sand Dune Survey of Great Britain has been reanalysed using Pseudo-quadrat Analysis. This is based on a recent mathematical development showing that it is possible to generate artificial quadrats (\u2018pseudo-random quadrats\u2019) from the phytosociological tables provided in the NVC manuals. These are mathematical approximations of the original NVC quadrat datasets and can be used to compare the NVC with newly acquired quadrat data using a standard ordination technique\u2014Detrended Correspondence Analysis (DCA). The field quadrats can be placed into this ordination space as passive samples, and their distance from the artificial NVC quadrats used as a measure of community membership. As was expected this has shown that there is a degree of inter- and intra-site variation among grey dunes, with some stands having strong affinities with various heathland communities, and others having more in common with certain lichen\u2013rich grasslands. An ecological interpretation of grey dune vegetation is provided together with some details on how British grey dunes compare with those of continental Europe.Nomenclature follows Stace (1997) for vascular plants, Smith (2004) for bryophytes and Purvis et al . (1992) for lichens.", "author" : [ { "dropping-particle" : "", "family" : "Rhind", "given" : "Peter", "non-dropping-particle" : "", "parse-names" : false, "suffix" : "" }, { "dropping-particle" : "", "family" : "Stevens", "given" : "David", "non-dropping-particle" : "", "parse-names" : false, "suffix" : "" }, { "dropping-particle" : "", "family" : "Sanderson", "given" : "Roy", "non-dropping-particle" : "", "parse-names" : false, "suffix" : "" } ], "container-title" : "Biology and Environment", "id" : "ITEM-1", "issued" : { "date-parts" : [ [ "2006" ] ] }, "page" : "301-310", "title" : "A review and floristic analysis of lichen-rich grey dune vegetation in Britain", "type" : "article-journal", "volume" : "106" }, "uris" : [ "http://www.mendeley.com/documents/?uuid=add91895-a6da-4970-a75a-8e7cf2d0c613" ] } ], "mendeley" : { "formattedCitation" : "(Rhind et al., 2006)", "plainTextFormattedCitation" : "(Rhind et al., 2006)", "previouslyFormattedCitation" : "(Rhind et al., 2006)" }, "properties" : { "noteIndex" : 0 }, "schema" : "https://github.com/citation-style-language/schema/raw/master/csl-citation.json" }</w:instrText>
      </w:r>
      <w:r w:rsidRPr="00735DDD">
        <w:fldChar w:fldCharType="separate"/>
      </w:r>
      <w:r w:rsidRPr="006B3180">
        <w:rPr>
          <w:noProof/>
        </w:rPr>
        <w:t>(Rhind et al., 2006)</w:t>
      </w:r>
      <w:r w:rsidRPr="00735DDD">
        <w:fldChar w:fldCharType="end"/>
      </w:r>
      <w:r w:rsidRPr="00735DDD">
        <w:t xml:space="preserve">, causing the abundance of annual species is negatively correlated with the total cover of perennial cover </w:t>
      </w:r>
      <w:r w:rsidRPr="00735DDD">
        <w:fldChar w:fldCharType="begin" w:fldLock="1"/>
      </w:r>
      <w:r w:rsidR="007C2FF9">
        <w:instrText>ADDIN CSL_CITATION { "citationItems" : [ { "id" : "ITEM-1", "itemData" : { "ISBN" : "0022-0477", "author" : [ { "dropping-particle" : "", "family" : "Pemadasa", "given" : "M A", "non-dropping-particle" : "", "parse-names" : false, "suffix" : "" }, { "dropping-particle" : "", "family" : "Greigsmi.P", "given" : "", "non-dropping-particle" : "", "parse-names" : false, "suffix" : "" }, { "dropping-particle" : "", "family" : "Lovell", "given" : "P H", "non-dropping-particle" : "", "parse-names" : false, "suffix" : "" } ], "container-title" : "Journal of Ecology", "id" : "ITEM-1", "issue" : "2", "issued" : { "date-parts" : [ [ "1974" ] ] }, "language" : "English", "page" : "379-402", "title" : "Quantitative Description of Distribution of Annuals in Dune System at Aberffraw, Anglesey", "type" : "article-journal", "volume" : "62" }, "uris" : [ "http://www.mendeley.com/documents/?uuid=86c18da3-5010-4c77-916d-0a6ffa991406" ] } ], "mendeley" : { "formattedCitation" : "(Pemadasa et al., 1974)", "plainTextFormattedCitation" : "(Pemadasa et al., 1974)", "previouslyFormattedCitation" : "(Pemadasa et al., 1974)" }, "properties" : { "noteIndex" : 0 }, "schema" : "https://github.com/citation-style-language/schema/raw/master/csl-citation.json" }</w:instrText>
      </w:r>
      <w:r w:rsidRPr="00735DDD">
        <w:fldChar w:fldCharType="separate"/>
      </w:r>
      <w:r w:rsidRPr="006B3180">
        <w:rPr>
          <w:noProof/>
        </w:rPr>
        <w:t>(Pemadasa et al., 1974)</w:t>
      </w:r>
      <w:r w:rsidRPr="00735DDD">
        <w:fldChar w:fldCharType="end"/>
      </w:r>
      <w:r w:rsidRPr="00735DDD">
        <w:t xml:space="preserve">. </w:t>
      </w:r>
    </w:p>
    <w:p w14:paraId="2B5BCC87" w14:textId="580F594C" w:rsidR="00822810" w:rsidRPr="00735DDD" w:rsidRDefault="00822810" w:rsidP="00A4141F">
      <w:pPr>
        <w:pStyle w:val="BodyJB"/>
        <w:ind w:firstLine="720"/>
      </w:pPr>
      <w:r>
        <w:t>The main threats facing this habitat include; d</w:t>
      </w:r>
      <w:r w:rsidRPr="00822810">
        <w:t>ecreased grazing pressure and loss of traditional grazing management</w:t>
      </w:r>
      <w:r>
        <w:t xml:space="preserve"> (causes l</w:t>
      </w:r>
      <w:r w:rsidRPr="00822810">
        <w:t>oss of heterogeneity</w:t>
      </w:r>
      <w:r>
        <w:t xml:space="preserve"> at local and landscape level, l</w:t>
      </w:r>
      <w:r w:rsidRPr="00822810">
        <w:t>oss of species diversity</w:t>
      </w:r>
      <w:r>
        <w:t xml:space="preserve">); nitrogen deposition (causes </w:t>
      </w:r>
      <w:r w:rsidRPr="00822810">
        <w:t>expansi</w:t>
      </w:r>
      <w:r>
        <w:t>on of common grassland species into the habitat and moss encroachment); coastal erosion (causes habitat fragmentation and direct loss), human activities (in the form of land usage, tree plantations, urbanisation)</w:t>
      </w:r>
      <w:r>
        <w:fldChar w:fldCharType="begin" w:fldLock="1"/>
      </w:r>
      <w:r w:rsidR="0020366C">
        <w:instrText>ADDIN CSL_CITATION { "citationItems" : [ { "id" : "ITEM-1", "itemData" : { "ISBN" : "9789279083198", "author" : [ { "dropping-particle" : "", "family" : "Houston", "given" : "J", "non-dropping-particle" : "", "parse-names" : false, "suffix" : "" } ], "container-title" : "European Commission", "id" : "ITEM-1", "issued" : { "date-parts" : [ [ "2008" ] ] }, "title" : "Management of Natura 2000 habitats. 2130* Fixed coastal dunes with herbaceous vegetation (\u201cgrey dunes\u201d)", "type" : "article-journal" }, "uris" : [ "http://www.mendeley.com/documents/?uuid=e112889b-0256-494f-98a6-ae163c9c11db" ] } ], "mendeley" : { "formattedCitation" : "(Houston, 2008)", "plainTextFormattedCitation" : "(Houston, 2008)", "previouslyFormattedCitation" : "(Houston, 2008)" }, "properties" : { "noteIndex" : 0 }, "schema" : "https://github.com/citation-style-language/schema/raw/master/csl-citation.json" }</w:instrText>
      </w:r>
      <w:r>
        <w:fldChar w:fldCharType="separate"/>
      </w:r>
      <w:r w:rsidRPr="00822810">
        <w:rPr>
          <w:noProof/>
        </w:rPr>
        <w:t>(Houston, 2008)</w:t>
      </w:r>
      <w:r>
        <w:fldChar w:fldCharType="end"/>
      </w:r>
      <w:r>
        <w:t xml:space="preserve">. </w:t>
      </w:r>
    </w:p>
    <w:p w14:paraId="0003845F" w14:textId="77777777" w:rsidR="0052730F" w:rsidRPr="00735DDD" w:rsidRDefault="0052730F" w:rsidP="00A4141F">
      <w:pPr>
        <w:pStyle w:val="BodyJB"/>
      </w:pPr>
    </w:p>
    <w:p w14:paraId="21F9EB1C" w14:textId="77777777" w:rsidR="0052730F" w:rsidRPr="0076678F" w:rsidRDefault="0052730F" w:rsidP="0052730F">
      <w:pPr>
        <w:pStyle w:val="BodyJB"/>
      </w:pPr>
    </w:p>
    <w:p w14:paraId="0BBD464D" w14:textId="77777777" w:rsidR="0052730F" w:rsidRDefault="0052730F" w:rsidP="0052730F">
      <w:pPr>
        <w:spacing w:line="360" w:lineRule="auto"/>
        <w:rPr>
          <w:rFonts w:ascii="Times" w:hAnsi="Times"/>
        </w:rPr>
      </w:pPr>
      <w:r>
        <w:rPr>
          <w:rFonts w:ascii="Times" w:hAnsi="Times"/>
          <w:noProof/>
          <w:lang w:val="en-US" w:eastAsia="en-US"/>
        </w:rPr>
        <w:drawing>
          <wp:inline distT="0" distB="0" distL="0" distR="0" wp14:anchorId="10B20193" wp14:editId="17F31A21">
            <wp:extent cx="5210283" cy="549109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 Map.png"/>
                    <pic:cNvPicPr/>
                  </pic:nvPicPr>
                  <pic:blipFill>
                    <a:blip r:embed="rId9">
                      <a:extLst>
                        <a:ext uri="{28A0092B-C50C-407E-A947-70E740481C1C}">
                          <a14:useLocalDpi xmlns:a14="http://schemas.microsoft.com/office/drawing/2010/main" val="0"/>
                        </a:ext>
                      </a:extLst>
                    </a:blip>
                    <a:stretch>
                      <a:fillRect/>
                    </a:stretch>
                  </pic:blipFill>
                  <pic:spPr>
                    <a:xfrm>
                      <a:off x="0" y="0"/>
                      <a:ext cx="5210283" cy="5491091"/>
                    </a:xfrm>
                    <a:prstGeom prst="rect">
                      <a:avLst/>
                    </a:prstGeom>
                  </pic:spPr>
                </pic:pic>
              </a:graphicData>
            </a:graphic>
          </wp:inline>
        </w:drawing>
      </w:r>
    </w:p>
    <w:p w14:paraId="773EB0F4" w14:textId="77777777" w:rsidR="0052730F" w:rsidRPr="0076678F" w:rsidRDefault="0052730F" w:rsidP="0052730F">
      <w:pPr>
        <w:pStyle w:val="BodyJB"/>
      </w:pPr>
      <w:r w:rsidRPr="0076678F">
        <w:t xml:space="preserve">Fig </w:t>
      </w:r>
      <w:r>
        <w:t>2</w:t>
      </w:r>
      <w:r w:rsidRPr="0076678F">
        <w:t xml:space="preserve">.1. Diagram indicating the location of field sites. </w:t>
      </w:r>
    </w:p>
    <w:p w14:paraId="3B1772F2" w14:textId="77777777" w:rsidR="0052730F" w:rsidRPr="0076678F" w:rsidRDefault="0052730F" w:rsidP="0052730F">
      <w:pPr>
        <w:pStyle w:val="BodyJB"/>
      </w:pPr>
    </w:p>
    <w:p w14:paraId="0DA1782C" w14:textId="77777777" w:rsidR="0052730F" w:rsidRDefault="0052730F" w:rsidP="0052730F">
      <w:pPr>
        <w:pStyle w:val="BodyJB"/>
      </w:pPr>
    </w:p>
    <w:p w14:paraId="068BE3B0" w14:textId="77777777" w:rsidR="0052730F" w:rsidRPr="0076678F" w:rsidRDefault="0052730F" w:rsidP="0052730F">
      <w:pPr>
        <w:pStyle w:val="BodyJB"/>
      </w:pPr>
    </w:p>
    <w:p w14:paraId="3FAA9727" w14:textId="77777777" w:rsidR="0052730F" w:rsidRPr="0076678F" w:rsidRDefault="0052730F" w:rsidP="0052730F">
      <w:pPr>
        <w:pStyle w:val="BodyJB"/>
      </w:pPr>
    </w:p>
    <w:p w14:paraId="0E758033" w14:textId="77777777" w:rsidR="0052730F" w:rsidRDefault="0052730F" w:rsidP="0052730F">
      <w:pPr>
        <w:pStyle w:val="BodyJB"/>
        <w:rPr>
          <w:b/>
        </w:rPr>
      </w:pPr>
    </w:p>
    <w:p w14:paraId="4CC3CD83" w14:textId="77777777" w:rsidR="0052730F" w:rsidRDefault="0052730F" w:rsidP="0052730F">
      <w:pPr>
        <w:pStyle w:val="BodyJB"/>
        <w:rPr>
          <w:b/>
        </w:rPr>
      </w:pPr>
    </w:p>
    <w:p w14:paraId="0EB00225" w14:textId="77777777" w:rsidR="0052730F" w:rsidRDefault="0052730F" w:rsidP="0052730F">
      <w:pPr>
        <w:pStyle w:val="BodyJB"/>
        <w:rPr>
          <w:b/>
        </w:rPr>
      </w:pPr>
    </w:p>
    <w:p w14:paraId="114EF9F8" w14:textId="77777777" w:rsidR="0052730F" w:rsidRDefault="0052730F" w:rsidP="0052730F">
      <w:pPr>
        <w:pStyle w:val="BodyJB"/>
        <w:rPr>
          <w:b/>
        </w:rPr>
      </w:pPr>
    </w:p>
    <w:p w14:paraId="1DD85F3C" w14:textId="77777777" w:rsidR="0052730F" w:rsidRPr="0076678F" w:rsidRDefault="0052730F" w:rsidP="0052730F">
      <w:pPr>
        <w:pStyle w:val="BodyJB"/>
      </w:pPr>
    </w:p>
    <w:p w14:paraId="10CA46DC" w14:textId="77777777" w:rsidR="0052730F" w:rsidRDefault="0052730F" w:rsidP="0052730F">
      <w:pPr>
        <w:pStyle w:val="BodyJB"/>
        <w:rPr>
          <w:b/>
        </w:rPr>
        <w:sectPr w:rsidR="0052730F" w:rsidSect="00A91AC0">
          <w:footerReference w:type="even" r:id="rId10"/>
          <w:footerReference w:type="default" r:id="rId11"/>
          <w:pgSz w:w="12240" w:h="15840"/>
          <w:pgMar w:top="1440" w:right="1134" w:bottom="1440" w:left="2268" w:header="709" w:footer="851" w:gutter="0"/>
          <w:pgNumType w:start="1"/>
          <w:cols w:space="708"/>
          <w:titlePg/>
        </w:sectPr>
      </w:pPr>
    </w:p>
    <w:p w14:paraId="3B0D1308" w14:textId="22C0711B" w:rsidR="0052730F" w:rsidRDefault="0052730F" w:rsidP="00BA147D">
      <w:pPr>
        <w:pStyle w:val="BodyJB"/>
        <w:spacing w:line="240" w:lineRule="auto"/>
        <w:jc w:val="both"/>
      </w:pPr>
      <w:r w:rsidRPr="00D87A8E">
        <w:rPr>
          <w:b/>
        </w:rPr>
        <w:t>Table 2.1</w:t>
      </w:r>
      <w:r w:rsidRPr="0076678F">
        <w:t>. Location of field sites studied with a summary of climate, topography and grazing intensity. Mean annual rainfall and temperature values are given for the study period 20</w:t>
      </w:r>
      <w:r>
        <w:t>08</w:t>
      </w:r>
      <w:r w:rsidRPr="0076678F">
        <w:t>-2011. Grazing intensity represents counts of rabbit fecal pellets per m</w:t>
      </w:r>
      <w:r w:rsidRPr="0076678F">
        <w:rPr>
          <w:vertAlign w:val="superscript"/>
        </w:rPr>
        <w:t>2</w:t>
      </w:r>
      <w:r w:rsidRPr="0076678F">
        <w:t>. Mean values (± SD) for slope, moss &amp; lichen cover and depth, and grazing intensities are based on m</w:t>
      </w:r>
      <w:r w:rsidRPr="0076678F">
        <w:rPr>
          <w:position w:val="10"/>
          <w:szCs w:val="12"/>
        </w:rPr>
        <w:t xml:space="preserve">2 </w:t>
      </w:r>
      <w:r w:rsidRPr="0076678F">
        <w:t>quadrat surveys (</w:t>
      </w:r>
      <w:r w:rsidRPr="0076678F">
        <w:rPr>
          <w:i/>
          <w:iCs/>
        </w:rPr>
        <w:t>n=145-302</w:t>
      </w:r>
      <w:r w:rsidRPr="0076678F">
        <w:t xml:space="preserve">; Ooi </w:t>
      </w:r>
      <w:r w:rsidRPr="0076678F">
        <w:rPr>
          <w:i/>
          <w:iCs/>
        </w:rPr>
        <w:t>et al</w:t>
      </w:r>
      <w:r w:rsidRPr="0076678F">
        <w:t>. unpublished data)</w:t>
      </w:r>
    </w:p>
    <w:p w14:paraId="0583EC37" w14:textId="77777777" w:rsidR="009D171B" w:rsidRDefault="009D171B" w:rsidP="009D171B">
      <w:pPr>
        <w:pStyle w:val="BodyJB"/>
        <w:spacing w:line="240" w:lineRule="auto"/>
      </w:pPr>
    </w:p>
    <w:p w14:paraId="7F9FDAB7" w14:textId="1CA40168" w:rsidR="0052730F" w:rsidRPr="0076678F" w:rsidRDefault="009D171B" w:rsidP="00EE4641">
      <w:pPr>
        <w:pStyle w:val="BodyJB"/>
        <w:ind w:left="720"/>
      </w:pPr>
      <w:r w:rsidRPr="009D171B">
        <w:rPr>
          <w:noProof/>
          <w:lang w:val="en-US" w:eastAsia="en-US"/>
        </w:rPr>
        <w:drawing>
          <wp:inline distT="0" distB="0" distL="0" distR="0" wp14:anchorId="5AD6AAD4" wp14:editId="540FA9D4">
            <wp:extent cx="7681298" cy="4597400"/>
            <wp:effectExtent l="0" t="0" r="0" b="0"/>
            <wp:docPr id="6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81882" cy="4597749"/>
                    </a:xfrm>
                    <a:prstGeom prst="rect">
                      <a:avLst/>
                    </a:prstGeom>
                    <a:noFill/>
                    <a:ln>
                      <a:noFill/>
                    </a:ln>
                  </pic:spPr>
                </pic:pic>
              </a:graphicData>
            </a:graphic>
          </wp:inline>
        </w:drawing>
      </w:r>
    </w:p>
    <w:p w14:paraId="3296A341" w14:textId="523A2B82" w:rsidR="0052730F" w:rsidRDefault="0052730F" w:rsidP="0052730F">
      <w:pPr>
        <w:pStyle w:val="BodyJB"/>
        <w:rPr>
          <w:b/>
        </w:rPr>
        <w:sectPr w:rsidR="0052730F" w:rsidSect="00EE4641">
          <w:footerReference w:type="default" r:id="rId13"/>
          <w:pgSz w:w="16840" w:h="11900" w:orient="landscape"/>
          <w:pgMar w:top="2268" w:right="1440" w:bottom="1134" w:left="1440" w:header="709" w:footer="851" w:gutter="0"/>
          <w:cols w:space="708"/>
          <w:docGrid w:linePitch="360"/>
        </w:sectPr>
      </w:pPr>
      <w:bookmarkStart w:id="25" w:name="_Toc250775667"/>
    </w:p>
    <w:p w14:paraId="5801C95B" w14:textId="77777777" w:rsidR="0052730F" w:rsidRPr="00D87A8E" w:rsidRDefault="0052730F" w:rsidP="00DC7B26">
      <w:pPr>
        <w:pStyle w:val="subheadingMINOR"/>
      </w:pPr>
      <w:bookmarkStart w:id="26" w:name="_Toc291410045"/>
      <w:r w:rsidRPr="00D87A8E">
        <w:t>Species</w:t>
      </w:r>
      <w:bookmarkEnd w:id="25"/>
      <w:bookmarkEnd w:id="26"/>
      <w:r w:rsidRPr="00D87A8E">
        <w:t xml:space="preserve"> </w:t>
      </w:r>
    </w:p>
    <w:p w14:paraId="30D79614" w14:textId="0C4FACA4" w:rsidR="0052730F" w:rsidRPr="00880916" w:rsidRDefault="0052730F" w:rsidP="00880916">
      <w:pPr>
        <w:spacing w:line="360" w:lineRule="auto"/>
        <w:ind w:firstLine="720"/>
        <w:divId w:val="854265239"/>
        <w:rPr>
          <w:rFonts w:ascii="Times" w:hAnsi="Times"/>
        </w:rPr>
      </w:pPr>
      <w:r w:rsidRPr="00880916">
        <w:rPr>
          <w:rFonts w:ascii="Times" w:hAnsi="Times"/>
        </w:rPr>
        <w:t>Grey dunes provide habitat for a wide variety of winter annuals</w:t>
      </w:r>
      <w:r w:rsidR="00CB098B" w:rsidRPr="00880916">
        <w:rPr>
          <w:rFonts w:ascii="Times" w:hAnsi="Times"/>
        </w:rPr>
        <w:t xml:space="preserve"> that</w:t>
      </w:r>
      <w:r w:rsidRPr="00880916">
        <w:rPr>
          <w:rFonts w:ascii="Times" w:hAnsi="Times"/>
        </w:rPr>
        <w:t xml:space="preserve"> germinate in autumn and flower and seed in the spring, avoiding period of drought and utilizing periods of lower temperature. These annuals </w:t>
      </w:r>
      <w:r w:rsidR="00D149E6" w:rsidRPr="00880916">
        <w:rPr>
          <w:rFonts w:ascii="Times" w:hAnsi="Times"/>
        </w:rPr>
        <w:t>show sensitivity to environmental variation (climate and soil nutrient content) at both the individual and population level</w:t>
      </w:r>
      <w:r w:rsidR="00CB098B" w:rsidRPr="00880916">
        <w:rPr>
          <w:rFonts w:ascii="Times" w:hAnsi="Times"/>
        </w:rPr>
        <w:t xml:space="preserve"> </w:t>
      </w:r>
      <w:r w:rsidR="0020366C">
        <w:rPr>
          <w:rFonts w:ascii="Times" w:hAnsi="Times"/>
        </w:rPr>
        <w:fldChar w:fldCharType="begin" w:fldLock="1"/>
      </w:r>
      <w:r w:rsidR="00D5411A">
        <w:rPr>
          <w:rFonts w:ascii="Times" w:hAnsi="Times"/>
        </w:rPr>
        <w:instrText>ADDIN CSL_CITATION { "citationItems" : [ { "id" : "ITEM-1", "itemData" : { "author" : [ { "dropping-particle" : "", "family" : "Pemadasa", "given" : "MA", "non-dropping-particle" : "", "parse-names" : false, "suffix" : "" }, { "dropping-particle" : "", "family" : "Lovell", "given" : "PH", "non-dropping-particle" : "", "parse-names" : false, "suffix" : "" } ], "container-title" : "The Journal of Ecology", "id" : "ITEM-1", "issue" : "3", "issued" : { "date-parts" : [ [ "1974" ] ] }, "page" : "869-880", "title" : "Factors Controlling the Flowering Time of Some Dune Annuals", "type" : "article-journal", "volume" : "62" }, "uris" : [ "http://www.mendeley.com/documents/?uuid=ad17c335-e597-4aff-8e9d-548bd3da0672" ] }, { "id" : "ITEM-2", "itemData" : { "ISBN" : "0022-0477", "author" : [ { "dropping-particle" : "", "family" : "Pemadasa", "given" : "M A", "non-dropping-particle" : "", "parse-names" : false, "suffix" : "" }, { "dropping-particle" : "", "family" : "Lovell", "given" : "P H", "non-dropping-particle" : "", "parse-names" : false, "suffix" : "" } ], "container-title" : "Journal of Ecology", "id" : "ITEM-2", "issue" : "2", "issued" : { "date-parts" : [ [ "1974" ] ] }, "language" : "English", "page" : "647-657", "title" : "Mineral Nutrition of Some Dune Annuals", "type" : "article-journal", "volume" : "62" }, "uris" : [ "http://www.mendeley.com/documents/?uuid=2417e8a2-a82d-4a3c-a679-582283250abf" ] }, { "id" : "ITEM-3", "itemData" : { "DOI" : "10.1046/j.1365-2745.2002.00692.x", "ISBN" : "0022-0477", "ISSN" : "00220477", "PMID" : "174", "abstract" : "* 1 We present a critical review of the application of metapopulation theory to the regional dynamics of plants. We consider whether there is evidence that regional populations of plants show a metapopulation structure. We then review the alternatives to the metapopulation regional population structure for plants. * 2 Although metapopulation theory primarily deals with regional dynamics, it is, however, also commonly applied to patch dynamics within local populations (\u2018metapatch\u2019 systems). These apparently analogous systems are very different: systems of patchy local populations do not exhibit the dissociation of processes operating at different spatial scales that is characteristic of metapopulations. * 3 The parameters of classical metapopulation studies, such as colonization, re-colonization and extinction, may be hard to measure for many plant populations, in particular for populations with long-lived seedbanks. * 4 The assumption of metapopulation theory that suitable habitat occurs as discrete patches within a matrix of unsuitable habitat is not always true, as regional populations of some species may exist on largely uninterrupted swathes of suitable habitat. Alternatively, suitable patches may be hard or impossible to define a priori. * 5 Using detailed case studies from the literature we outline a possible classification of the spatial dynamics of plants at both regional and local scales. * 6 At the regional scale we define: metapopulations, in the classic sense, where regional persistence is governed by the processes of patch colonization, extinction and recolonization; regional ensembles, systems of essentially unconnected local populations persisting in an ill-defined mosaic of suitable and unsuitable habitat; and spatially extended populations, essentially a single extended population occupying large tracts of suitable habitat, but whose regional dynamics are essentially a simple extension of local dynamics. * 7 Although a range of forms of local spatial dynamics exist, these are qualitatively different from the forms of population structure at the regional level.", "author" : [ { "dropping-particle" : "", "family" : "Freckleton", "given" : "R. P.", "non-dropping-particle" : "", "parse-names" : false, "suffix" : "" }, { "dropping-particle" : "", "family" : "Watkinson", "given" : "a. R.", "non-dropping-particle" : "", "parse-names" : false, "suffix" : "" } ], "container-title" : "Journal of Ecology", "id" : "ITEM-3", "issue" : "Hanski 1999", "issued" : { "date-parts" : [ [ "2002" ] ] }, "page" : "419-434", "title" : "Large-scale spatial dynamics of plants: Metapopulations, regional ensembles and patchy populations", "type" : "article-journal", "volume" : "90" }, "uris" : [ "http://www.mendeley.com/documents/?uuid=2795b1c0-6ea9-4784-be68-eb47afa3dd2b" ] } ], "mendeley" : { "formattedCitation" : "(Pemadasa and Lovell, 1974a; Pemadasa and Lovell, 1974c; Freckleton and Watkinson, 2002)", "plainTextFormattedCitation" : "(Pemadasa and Lovell, 1974a; Pemadasa and Lovell, 1974c; Freckleton and Watkinson, 2002)", "previouslyFormattedCitation" : "(Pemadasa and Lovell, 1974a; Pemadasa and Lovell, 1974c; Freckleton and Watkinson, 2002)" }, "properties" : { "noteIndex" : 0 }, "schema" : "https://github.com/citation-style-language/schema/raw/master/csl-citation.json" }</w:instrText>
      </w:r>
      <w:r w:rsidR="0020366C">
        <w:rPr>
          <w:rFonts w:ascii="Times" w:hAnsi="Times"/>
        </w:rPr>
        <w:fldChar w:fldCharType="separate"/>
      </w:r>
      <w:r w:rsidR="0020366C" w:rsidRPr="0020366C">
        <w:rPr>
          <w:rFonts w:ascii="Times" w:hAnsi="Times"/>
          <w:noProof/>
        </w:rPr>
        <w:t>(Pemadasa and Lovell, 1974a; Pemadasa and Lovell, 1974c; Freckleton and Watkinson, 2002)</w:t>
      </w:r>
      <w:r w:rsidR="0020366C">
        <w:rPr>
          <w:rFonts w:ascii="Times" w:hAnsi="Times"/>
        </w:rPr>
        <w:fldChar w:fldCharType="end"/>
      </w:r>
    </w:p>
    <w:p w14:paraId="59A5524F" w14:textId="0DA3E008" w:rsidR="0052730F" w:rsidRPr="00D5411A" w:rsidRDefault="0052730F" w:rsidP="00DC7B26">
      <w:pPr>
        <w:pStyle w:val="BodyJB"/>
        <w:ind w:firstLine="720"/>
        <w:rPr>
          <w:szCs w:val="22"/>
        </w:rPr>
      </w:pPr>
      <w:r w:rsidRPr="0076678F">
        <w:t xml:space="preserve">The dune annuals </w:t>
      </w:r>
      <w:r w:rsidRPr="0076678F">
        <w:rPr>
          <w:i/>
          <w:iCs/>
          <w:szCs w:val="22"/>
        </w:rPr>
        <w:t xml:space="preserve">Arenaria serpyllifolia </w:t>
      </w:r>
      <w:r w:rsidRPr="0076678F">
        <w:rPr>
          <w:szCs w:val="22"/>
        </w:rPr>
        <w:t xml:space="preserve">(L.), </w:t>
      </w:r>
      <w:r w:rsidRPr="0076678F">
        <w:rPr>
          <w:i/>
          <w:iCs/>
          <w:szCs w:val="22"/>
        </w:rPr>
        <w:t xml:space="preserve">Cerastium diffusum </w:t>
      </w:r>
      <w:r w:rsidRPr="0076678F">
        <w:rPr>
          <w:szCs w:val="22"/>
        </w:rPr>
        <w:t>(L.)</w:t>
      </w:r>
      <w:r w:rsidRPr="0076678F">
        <w:rPr>
          <w:i/>
          <w:iCs/>
          <w:szCs w:val="22"/>
        </w:rPr>
        <w:t xml:space="preserve">, Erodium cicutarium </w:t>
      </w:r>
      <w:r w:rsidRPr="0076678F">
        <w:rPr>
          <w:szCs w:val="22"/>
        </w:rPr>
        <w:t xml:space="preserve">(L.), </w:t>
      </w:r>
      <w:r w:rsidRPr="0076678F">
        <w:rPr>
          <w:i/>
          <w:iCs/>
          <w:szCs w:val="22"/>
        </w:rPr>
        <w:t xml:space="preserve">Phleum arenarium </w:t>
      </w:r>
      <w:r w:rsidRPr="0076678F">
        <w:rPr>
          <w:szCs w:val="22"/>
        </w:rPr>
        <w:t xml:space="preserve">(L.), </w:t>
      </w:r>
      <w:r w:rsidRPr="00D5411A">
        <w:rPr>
          <w:i/>
          <w:iCs/>
          <w:szCs w:val="22"/>
        </w:rPr>
        <w:t xml:space="preserve">Senecio vulgaris </w:t>
      </w:r>
      <w:r w:rsidRPr="00D5411A">
        <w:rPr>
          <w:szCs w:val="22"/>
        </w:rPr>
        <w:t>(L.)</w:t>
      </w:r>
      <w:r w:rsidRPr="00D5411A">
        <w:rPr>
          <w:i/>
          <w:iCs/>
          <w:szCs w:val="22"/>
        </w:rPr>
        <w:t xml:space="preserve">, Veronica arvensis </w:t>
      </w:r>
      <w:r w:rsidRPr="00D5411A">
        <w:rPr>
          <w:szCs w:val="22"/>
        </w:rPr>
        <w:t xml:space="preserve">(L.) occur at different sites along the </w:t>
      </w:r>
      <w:r w:rsidR="00547CF5" w:rsidRPr="00D5411A">
        <w:rPr>
          <w:szCs w:val="22"/>
        </w:rPr>
        <w:t xml:space="preserve">study </w:t>
      </w:r>
      <w:r w:rsidRPr="00D5411A">
        <w:rPr>
          <w:szCs w:val="22"/>
        </w:rPr>
        <w:t>transect and were the species studied for this thesis.</w:t>
      </w:r>
    </w:p>
    <w:p w14:paraId="365380C2" w14:textId="67A8B83B" w:rsidR="0052730F" w:rsidRPr="00C14C53" w:rsidRDefault="0052730F" w:rsidP="00D5411A">
      <w:pPr>
        <w:pStyle w:val="BodyJB"/>
        <w:ind w:firstLine="720"/>
        <w:rPr>
          <w:szCs w:val="22"/>
        </w:rPr>
      </w:pPr>
      <w:r w:rsidRPr="0076678F">
        <w:rPr>
          <w:i/>
          <w:iCs/>
          <w:szCs w:val="22"/>
        </w:rPr>
        <w:t>Arenaria serpyllifolia</w:t>
      </w:r>
      <w:r w:rsidRPr="0076678F">
        <w:rPr>
          <w:iCs/>
          <w:szCs w:val="22"/>
        </w:rPr>
        <w:t xml:space="preserve"> (</w:t>
      </w:r>
      <w:r>
        <w:rPr>
          <w:iCs/>
          <w:szCs w:val="22"/>
        </w:rPr>
        <w:t>Fig. 2</w:t>
      </w:r>
      <w:r w:rsidRPr="0076678F">
        <w:rPr>
          <w:iCs/>
          <w:szCs w:val="22"/>
        </w:rPr>
        <w:t>.2) and</w:t>
      </w:r>
      <w:r w:rsidRPr="0076678F">
        <w:rPr>
          <w:i/>
          <w:iCs/>
          <w:szCs w:val="22"/>
        </w:rPr>
        <w:t xml:space="preserve"> Cerastium diffusum</w:t>
      </w:r>
      <w:r w:rsidRPr="0076678F">
        <w:rPr>
          <w:iCs/>
          <w:szCs w:val="22"/>
        </w:rPr>
        <w:t xml:space="preserve"> (Fig</w:t>
      </w:r>
      <w:r>
        <w:rPr>
          <w:iCs/>
          <w:szCs w:val="22"/>
        </w:rPr>
        <w:t>.</w:t>
      </w:r>
      <w:r w:rsidRPr="0076678F">
        <w:rPr>
          <w:iCs/>
          <w:szCs w:val="22"/>
        </w:rPr>
        <w:t xml:space="preserve"> </w:t>
      </w:r>
      <w:r>
        <w:rPr>
          <w:iCs/>
          <w:szCs w:val="22"/>
        </w:rPr>
        <w:t>2</w:t>
      </w:r>
      <w:r w:rsidRPr="0076678F">
        <w:rPr>
          <w:iCs/>
          <w:szCs w:val="22"/>
        </w:rPr>
        <w:t>.3)</w:t>
      </w:r>
      <w:r w:rsidRPr="0076678F">
        <w:rPr>
          <w:i/>
          <w:iCs/>
          <w:szCs w:val="22"/>
        </w:rPr>
        <w:t xml:space="preserve">, </w:t>
      </w:r>
      <w:r w:rsidRPr="0076678F">
        <w:rPr>
          <w:iCs/>
          <w:szCs w:val="22"/>
        </w:rPr>
        <w:t xml:space="preserve">both belong to the Caryophyllaceae family, typical characteristics both of these species share include white flowers, undivided and opposite leaves and capsule-type fruit that contain many seeds. The leaves of </w:t>
      </w:r>
      <w:r w:rsidRPr="0076678F">
        <w:rPr>
          <w:i/>
          <w:iCs/>
          <w:szCs w:val="22"/>
        </w:rPr>
        <w:t>Erodium cicutarium</w:t>
      </w:r>
      <w:r w:rsidRPr="0076678F">
        <w:rPr>
          <w:iCs/>
          <w:szCs w:val="22"/>
        </w:rPr>
        <w:t xml:space="preserve"> (Fig</w:t>
      </w:r>
      <w:r>
        <w:rPr>
          <w:iCs/>
          <w:szCs w:val="22"/>
        </w:rPr>
        <w:t>.</w:t>
      </w:r>
      <w:r w:rsidRPr="0076678F">
        <w:rPr>
          <w:iCs/>
          <w:szCs w:val="22"/>
        </w:rPr>
        <w:t xml:space="preserve"> </w:t>
      </w:r>
      <w:r>
        <w:rPr>
          <w:iCs/>
          <w:szCs w:val="22"/>
        </w:rPr>
        <w:t>2</w:t>
      </w:r>
      <w:r w:rsidRPr="0076678F">
        <w:rPr>
          <w:iCs/>
          <w:szCs w:val="22"/>
        </w:rPr>
        <w:t xml:space="preserve">.4) </w:t>
      </w:r>
      <w:r w:rsidRPr="0076678F">
        <w:rPr>
          <w:szCs w:val="22"/>
        </w:rPr>
        <w:t xml:space="preserve">form a flat basal rosette with pinnately cleft leaflets, and while usually annual is occasionally biennial. As well as having particularly large rooting depth (~16cm) </w:t>
      </w:r>
      <w:r w:rsidRPr="0076678F">
        <w:rPr>
          <w:szCs w:val="22"/>
        </w:rPr>
        <w:fldChar w:fldCharType="begin" w:fldLock="1"/>
      </w:r>
      <w:r w:rsidR="007C2FF9">
        <w:rPr>
          <w:szCs w:val="22"/>
        </w:rPr>
        <w:instrText>ADDIN CSL_CITATION { "citationItems" : [ { "id" : "ITEM-1", "itemData" : { "author" : [ { "dropping-particle" : "", "family" : "Salisbury", "given" : "E", "non-dropping-particle" : "", "parse-names" : false, "suffix" : "" } ], "container-title" : "Downs and Dunes: Their plant life and its environment", "id" : "ITEM-1", "issued" : { "date-parts" : [ [ "1952" ] ] }, "page" : "196-205", "title" : "The root systems of dune plants", "type" : "chapter" }, "uris" : [ "http://www.mendeley.com/documents/?uuid=03d09234-c798-4440-9797-d2fcd4990877" ] } ], "mendeley" : { "formattedCitation" : "(Salisbury, 1952)", "plainTextFormattedCitation" : "(Salisbury, 1952)", "previouslyFormattedCitation" : "(Salisbury, 1952)" }, "properties" : { "noteIndex" : 0 }, "schema" : "https://github.com/citation-style-language/schema/raw/master/csl-citation.json" }</w:instrText>
      </w:r>
      <w:r w:rsidRPr="0076678F">
        <w:rPr>
          <w:szCs w:val="22"/>
        </w:rPr>
        <w:fldChar w:fldCharType="separate"/>
      </w:r>
      <w:r w:rsidRPr="006B3180">
        <w:rPr>
          <w:noProof/>
          <w:szCs w:val="22"/>
        </w:rPr>
        <w:t>(Salisbury, 1952)</w:t>
      </w:r>
      <w:r w:rsidRPr="0076678F">
        <w:rPr>
          <w:szCs w:val="22"/>
        </w:rPr>
        <w:fldChar w:fldCharType="end"/>
      </w:r>
      <w:r w:rsidRPr="0076678F">
        <w:rPr>
          <w:szCs w:val="22"/>
        </w:rPr>
        <w:t xml:space="preserve">, </w:t>
      </w:r>
      <w:r w:rsidRPr="0076678F">
        <w:rPr>
          <w:i/>
          <w:szCs w:val="22"/>
        </w:rPr>
        <w:t>Erodium</w:t>
      </w:r>
      <w:r w:rsidRPr="0076678F">
        <w:rPr>
          <w:szCs w:val="22"/>
        </w:rPr>
        <w:t xml:space="preserve"> has large seeds relative to other dune species (2.3mg, forty times larger than </w:t>
      </w:r>
      <w:r w:rsidRPr="0076678F">
        <w:rPr>
          <w:i/>
          <w:iCs/>
          <w:szCs w:val="22"/>
        </w:rPr>
        <w:t>Arenaria serpyllifolia</w:t>
      </w:r>
      <w:r w:rsidRPr="0076678F">
        <w:rPr>
          <w:iCs/>
          <w:szCs w:val="22"/>
        </w:rPr>
        <w:t>)</w:t>
      </w:r>
      <w:r w:rsidRPr="0076678F">
        <w:rPr>
          <w:iCs/>
          <w:szCs w:val="22"/>
        </w:rPr>
        <w:fldChar w:fldCharType="begin" w:fldLock="1"/>
      </w:r>
      <w:r w:rsidR="007C2FF9">
        <w:rPr>
          <w:iCs/>
          <w:szCs w:val="22"/>
        </w:rPr>
        <w:instrText>ADDIN CSL_CITATION { "citationItems" : [ { "id" : "ITEM-1", "itemData" : { "author" : [ { "dropping-particle" : "", "family" : "Rees", "given" : "M", "non-dropping-particle" : "", "parse-names" : false, "suffix" : "" } ], "container-title" : "Journal of Ecology", "id" : "ITEM-1", "issue" : "5", "issued" : { "date-parts" : [ [ "1995" ] ] }, "page" : "857-863", "title" : "Community Structure in Sand Dune Annuals : Is Seed Weight a Key Quantity ?", "type" : "article-journal", "volume" : "83" }, "uris" : [ "http://www.mendeley.com/documents/?uuid=ecdefb0b-be58-4a6a-bd0c-800011737ba9" ] } ], "mendeley" : { "formattedCitation" : "(Rees, 1995)", "plainTextFormattedCitation" : "(Rees, 1995)", "previouslyFormattedCitation" : "(Rees, 1995)" }, "properties" : { "noteIndex" : 0 }, "schema" : "https://github.com/citation-style-language/schema/raw/master/csl-citation.json" }</w:instrText>
      </w:r>
      <w:r w:rsidRPr="0076678F">
        <w:rPr>
          <w:iCs/>
          <w:szCs w:val="22"/>
        </w:rPr>
        <w:fldChar w:fldCharType="separate"/>
      </w:r>
      <w:r w:rsidRPr="006B3180">
        <w:rPr>
          <w:iCs/>
          <w:noProof/>
          <w:szCs w:val="22"/>
        </w:rPr>
        <w:t>(Rees, 1995)</w:t>
      </w:r>
      <w:r w:rsidRPr="0076678F">
        <w:rPr>
          <w:iCs/>
          <w:szCs w:val="22"/>
        </w:rPr>
        <w:fldChar w:fldCharType="end"/>
      </w:r>
      <w:r w:rsidRPr="0076678F">
        <w:rPr>
          <w:iCs/>
          <w:szCs w:val="22"/>
        </w:rPr>
        <w:t xml:space="preserve">. </w:t>
      </w:r>
      <w:r w:rsidRPr="0076678F">
        <w:rPr>
          <w:i/>
          <w:iCs/>
          <w:szCs w:val="22"/>
        </w:rPr>
        <w:t>Phleum arenarium</w:t>
      </w:r>
      <w:r w:rsidRPr="0076678F">
        <w:rPr>
          <w:iCs/>
          <w:szCs w:val="22"/>
        </w:rPr>
        <w:t xml:space="preserve"> (Fig</w:t>
      </w:r>
      <w:r>
        <w:rPr>
          <w:iCs/>
          <w:szCs w:val="22"/>
        </w:rPr>
        <w:t>. 2</w:t>
      </w:r>
      <w:r w:rsidRPr="0076678F">
        <w:rPr>
          <w:iCs/>
          <w:szCs w:val="22"/>
        </w:rPr>
        <w:t>.5)</w:t>
      </w:r>
      <w:r w:rsidRPr="0076678F">
        <w:rPr>
          <w:i/>
          <w:iCs/>
          <w:szCs w:val="22"/>
        </w:rPr>
        <w:t xml:space="preserve"> </w:t>
      </w:r>
      <w:r w:rsidRPr="0076678F">
        <w:rPr>
          <w:iCs/>
          <w:szCs w:val="22"/>
        </w:rPr>
        <w:t xml:space="preserve">is the only grass included in this study. This species is known to show phenotypic plasticity in a number of traits including height, number of tillers and number of spikelets per inflorescence </w:t>
      </w:r>
      <w:r w:rsidRPr="0076678F">
        <w:rPr>
          <w:iCs/>
          <w:szCs w:val="22"/>
        </w:rPr>
        <w:fldChar w:fldCharType="begin" w:fldLock="1"/>
      </w:r>
      <w:r w:rsidR="007C2FF9">
        <w:rPr>
          <w:iCs/>
          <w:szCs w:val="22"/>
        </w:rPr>
        <w:instrText>ADDIN CSL_CITATION { "citationItems" : [ { "id" : "ITEM-1", "itemData" : { "author" : [ { "dropping-particle" : "", "family" : "Ernst", "given" : "WHO", "non-dropping-particle" : "", "parse-names" : false, "suffix" : "" }, { "dropping-particle" : "", "family" : "Malloch", "given" : "AJC", "non-dropping-particle" : "", "parse-names" : false, "suffix" : "" } ], "container-title" : "Journal of Ecology", "id" : "ITEM-1", "issue" : "2", "issued" : { "date-parts" : [ [ "1994" ] ] }, "page" : "403-413", "title" : "Phleum arenaria L.", "type" : "article-journal", "volume" : "82" }, "uris" : [ "http://www.mendeley.com/documents/?uuid=9bc0703e-515e-48f2-a640-2e04dc2b520a" ] } ], "mendeley" : { "formattedCitation" : "(Ernst and Malloch, 1994)", "plainTextFormattedCitation" : "(Ernst and Malloch, 1994)", "previouslyFormattedCitation" : "(Ernst and Malloch, 1994)" }, "properties" : { "noteIndex" : 0 }, "schema" : "https://github.com/citation-style-language/schema/raw/master/csl-citation.json" }</w:instrText>
      </w:r>
      <w:r w:rsidRPr="0076678F">
        <w:rPr>
          <w:iCs/>
          <w:szCs w:val="22"/>
        </w:rPr>
        <w:fldChar w:fldCharType="separate"/>
      </w:r>
      <w:r w:rsidRPr="006B3180">
        <w:rPr>
          <w:iCs/>
          <w:noProof/>
          <w:szCs w:val="22"/>
        </w:rPr>
        <w:t>(Ernst and Malloch, 1994)</w:t>
      </w:r>
      <w:r w:rsidRPr="0076678F">
        <w:rPr>
          <w:iCs/>
          <w:szCs w:val="22"/>
        </w:rPr>
        <w:fldChar w:fldCharType="end"/>
      </w:r>
      <w:r w:rsidRPr="0076678F">
        <w:rPr>
          <w:iCs/>
          <w:szCs w:val="22"/>
        </w:rPr>
        <w:t xml:space="preserve">. In the dune habitat this species is selectively grazed by rabbits which stimulates the formation of new tillers </w:t>
      </w:r>
      <w:r w:rsidRPr="0076678F">
        <w:rPr>
          <w:iCs/>
          <w:szCs w:val="22"/>
        </w:rPr>
        <w:fldChar w:fldCharType="begin" w:fldLock="1"/>
      </w:r>
      <w:r w:rsidR="007C2FF9">
        <w:rPr>
          <w:iCs/>
          <w:szCs w:val="22"/>
        </w:rPr>
        <w:instrText>ADDIN CSL_CITATION { "citationItems" : [ { "id" : "ITEM-1", "itemData" : { "author" : [ { "dropping-particle" : "", "family" : "Ernst", "given" : "WHO", "non-dropping-particle" : "", "parse-names" : false, "suffix" : "" }, { "dropping-particle" : "", "family" : "Malloch", "given" : "AJC", "non-dropping-particle" : "", "parse-names" : false, "suffix" : "" } ], "container-title" : "Journal of Ecology", "id" : "ITEM-1", "issue" : "2", "issued" : { "date-parts" : [ [ "1994" ] ] }, "page" : "403-413", "title" : "Phleum arenaria L.", "type" : "article-journal", "volume" : "82" }, "uris" : [ "http://www.mendeley.com/documents/?uuid=9bc0703e-515e-48f2-a640-2e04dc2b520a" ] } ], "mendeley" : { "formattedCitation" : "(Ernst and Malloch, 1994)", "plainTextFormattedCitation" : "(Ernst and Malloch, 1994)", "previouslyFormattedCitation" : "(Ernst and Malloch, 1994)" }, "properties" : { "noteIndex" : 0 }, "schema" : "https://github.com/citation-style-language/schema/raw/master/csl-citation.json" }</w:instrText>
      </w:r>
      <w:r w:rsidRPr="0076678F">
        <w:rPr>
          <w:iCs/>
          <w:szCs w:val="22"/>
        </w:rPr>
        <w:fldChar w:fldCharType="separate"/>
      </w:r>
      <w:r w:rsidRPr="006B3180">
        <w:rPr>
          <w:iCs/>
          <w:noProof/>
          <w:szCs w:val="22"/>
        </w:rPr>
        <w:t>(Ernst and Malloch, 1994)</w:t>
      </w:r>
      <w:r w:rsidRPr="0076678F">
        <w:rPr>
          <w:iCs/>
          <w:szCs w:val="22"/>
        </w:rPr>
        <w:fldChar w:fldCharType="end"/>
      </w:r>
      <w:r w:rsidRPr="0076678F">
        <w:rPr>
          <w:iCs/>
          <w:szCs w:val="22"/>
        </w:rPr>
        <w:t xml:space="preserve"> studies have also shown that </w:t>
      </w:r>
      <w:r w:rsidR="00065F92">
        <w:rPr>
          <w:i/>
          <w:iCs/>
          <w:szCs w:val="22"/>
        </w:rPr>
        <w:t>P. arenarium</w:t>
      </w:r>
      <w:r w:rsidRPr="0076678F">
        <w:rPr>
          <w:iCs/>
          <w:szCs w:val="22"/>
        </w:rPr>
        <w:t xml:space="preserve"> is highly competitive relative to other annual species </w:t>
      </w:r>
      <w:r w:rsidRPr="0076678F">
        <w:rPr>
          <w:iCs/>
          <w:szCs w:val="22"/>
        </w:rPr>
        <w:fldChar w:fldCharType="begin" w:fldLock="1"/>
      </w:r>
      <w:r w:rsidR="007C2FF9">
        <w:rPr>
          <w:iCs/>
          <w:szCs w:val="22"/>
        </w:rPr>
        <w:instrText>ADDIN CSL_CITATION { "citationItems" : [ { "id" : "ITEM-1", "itemData" : { "ISBN" : "0022-0477", "author" : [ { "dropping-particle" : "", "family" : "Mack", "given" : "R N", "non-dropping-particle" : "", "parse-names" : false, "suffix" : "" }, { "dropping-particle" : "", "family" : "Harper", "given" : "J L", "non-dropping-particle" : "", "parse-names" : false, "suffix" : "" } ], "container-title" : "Journal of Ecology", "id" : "ITEM-1", "issue" : "2", "issued" : { "date-parts" : [ [ "1977" ] ] }, "language" : "English", "page" : "345-363", "title" : "Interference in Dune Annuals - Spatial Pattern and Neighborhood Effects", "type" : "article-journal", "volume" : "65" }, "uris" : [ "http://www.mendeley.com/documents/?uuid=dee9b78a-f0a5-4c2d-926b-16f9f30d9323" ] } ], "mendeley" : { "formattedCitation" : "(Mack and Harper, 1977)", "plainTextFormattedCitation" : "(Mack and Harper, 1977)", "previouslyFormattedCitation" : "(Mack and Harper, 1977)" }, "properties" : { "noteIndex" : 0 }, "schema" : "https://github.com/citation-style-language/schema/raw/master/csl-citation.json" }</w:instrText>
      </w:r>
      <w:r w:rsidRPr="0076678F">
        <w:rPr>
          <w:iCs/>
          <w:szCs w:val="22"/>
        </w:rPr>
        <w:fldChar w:fldCharType="separate"/>
      </w:r>
      <w:r w:rsidRPr="006B3180">
        <w:rPr>
          <w:iCs/>
          <w:noProof/>
          <w:szCs w:val="22"/>
        </w:rPr>
        <w:t>(Mack and Harper, 1977)</w:t>
      </w:r>
      <w:r w:rsidRPr="0076678F">
        <w:rPr>
          <w:iCs/>
          <w:szCs w:val="22"/>
        </w:rPr>
        <w:fldChar w:fldCharType="end"/>
      </w:r>
      <w:r w:rsidRPr="0076678F">
        <w:rPr>
          <w:iCs/>
          <w:szCs w:val="22"/>
        </w:rPr>
        <w:t xml:space="preserve">. While forming part of the dune annual community </w:t>
      </w:r>
      <w:r w:rsidRPr="0076678F">
        <w:rPr>
          <w:i/>
          <w:iCs/>
          <w:szCs w:val="22"/>
        </w:rPr>
        <w:t xml:space="preserve">Senecio vulgaris </w:t>
      </w:r>
      <w:r w:rsidRPr="0076678F">
        <w:rPr>
          <w:iCs/>
          <w:szCs w:val="22"/>
        </w:rPr>
        <w:t>(Fig</w:t>
      </w:r>
      <w:r>
        <w:rPr>
          <w:iCs/>
          <w:szCs w:val="22"/>
        </w:rPr>
        <w:t>.</w:t>
      </w:r>
      <w:r w:rsidRPr="0076678F">
        <w:rPr>
          <w:iCs/>
          <w:szCs w:val="22"/>
        </w:rPr>
        <w:t xml:space="preserve"> </w:t>
      </w:r>
      <w:r>
        <w:rPr>
          <w:iCs/>
          <w:szCs w:val="22"/>
        </w:rPr>
        <w:t>2</w:t>
      </w:r>
      <w:r w:rsidRPr="0076678F">
        <w:rPr>
          <w:iCs/>
          <w:szCs w:val="22"/>
        </w:rPr>
        <w:t>.6)</w:t>
      </w:r>
      <w:r w:rsidRPr="0076678F">
        <w:rPr>
          <w:i/>
          <w:iCs/>
          <w:szCs w:val="22"/>
        </w:rPr>
        <w:t xml:space="preserve"> </w:t>
      </w:r>
      <w:r w:rsidRPr="0076678F">
        <w:rPr>
          <w:iCs/>
          <w:szCs w:val="22"/>
        </w:rPr>
        <w:t xml:space="preserve">is also a </w:t>
      </w:r>
      <w:r w:rsidRPr="00C14C53">
        <w:rPr>
          <w:iCs/>
          <w:szCs w:val="22"/>
        </w:rPr>
        <w:t xml:space="preserve">ubiquitous weed found in a variety of habitats across Europe, North and South America, Africa and Asia </w:t>
      </w:r>
      <w:r w:rsidRPr="00C14C53">
        <w:rPr>
          <w:iCs/>
          <w:szCs w:val="22"/>
        </w:rPr>
        <w:fldChar w:fldCharType="begin" w:fldLock="1"/>
      </w:r>
      <w:r w:rsidR="007C2FF9">
        <w:rPr>
          <w:iCs/>
          <w:szCs w:val="22"/>
        </w:rPr>
        <w:instrText>ADDIN CSL_CITATION { "citationItems" : [ { "id" : "ITEM-1", "itemData" : { "DOI" : "10.4141/P01-098", "ISBN" : "0008-4220", "ISSN" : "0008-4220", "abstract" : "Artemisia vulgaris L. (mugwort) is an introduced rhizomatous perennial found primarily along roadsides, in waste areas, and in non-containerized nursery crops in eastern regions of Canada and the United States. Artemisia vulgaris is rapidly spread- ing throughout the Northern Hemisphere, and is currently found in nine Canadian provinces, as well as half of the states in the United States. Historically, A. vulgaris has been used as an herbal remedy and for flavouring beer, but recently has been identified as a primary pest of nurseries and urban landscapes, largely because of its ability to propagate easily from small rhizome frag- ments, and because of ineffective control strategies. The recent expansion of the nursery/landscape sector has accelerated the spread of A. vulgaris into turfgrass and landscape settings throughout the Northern Hemisphere, but especially westward towards the Pacific Coast. With few effective strategies for control, this aggressive weed has rapidly colonized new areas, often forming dense monospecific stands. Not surprisingly, species diversity of native flora in these habitats has declined following A. vulgaris colonization. The mechanisms of interference (e.g., allelopathy and competition) and current strategies for the control of A. vulgaris are discussed. Artemisia vulgaris L. (armoise) est une vivace rhizomateuse non indig\u00e8ne qui affectionne le bord des routes, les ter- rains vagues et les p\u00e9pini\u00e8res de pleine terre dans l\u2019est du Canada et des \u00c9tats-Unis. L\u2019armoise \u00e9tend rapidement son aire dans l\u2019h\u00e9misph\u00e8re nord et on la retrouve pr\u00e9sentement dans neuf provinces canadiennes et la moiti\u00e9 des \u00c9tats am\u00e9ricains. Au fil de l\u2019his- toire, l\u2019armoise a \u00e9t\u00e9 utilis\u00e9e pour ses vertus m\u00e9dicinales et pour aromatiser la bi\u00e8re, mais ces derniers temps, on s\u2019est rendu compte qu\u2019elle figure parmi les principales adventices dans les p\u00e9pini\u00e8res et les am\u00e9nagements paysagers urbains, surtout parce qu\u2019elle se reproduit rapidement, \u00e0 partir de fragments de rhizome et parce qu\u2019il n\u2019existe pas de m\u00e9thode de lutte efficace. La r\u00e9cente expan- sion de l\u2019industrie des p\u00e9pini\u00e8res et de l\u2019am\u00e9nagement paysager a acc\u00e9l\u00e9r\u00e9 la propagation de l\u2019armoise dans les terrains gazonn\u00e9s et am\u00e9nag\u00e9s de l\u2019h\u00e9misph\u00e8re nord, en particulier dans l\u2019Ouest, \u00e0 mesure qu\u2019on se rapproche du Pacifique. En l\u2019absence de moyens de lutte efficaces, cette adventice agressive colonise vite de nouveaux habitats, engendrant souvent des peuplements tr\u00e8s denses d\u2019une seule esp\u00e8ce. On ser\u2026", "author" : [ { "dropping-particle" : "", "family" : "Barney", "given" : "J N", "non-dropping-particle" : "", "parse-names" : false, "suffix" : "" }, { "dropping-particle" : "", "family" : "Ditommaso", "given" : "a", "non-dropping-particle" : "", "parse-names" : false, "suffix" : "" } ], "container-title" : "Canadian Journal of Plant Science", "id" : "ITEM-1", "issued" : { "date-parts" : [ [ "2003" ] ] }, "page" : "205-215", "title" : "The biology of Canadian weeds . 118 . Artemisia vulgaris L .", "type" : "article-journal", "volume" : "83" }, "uris" : [ "http://www.mendeley.com/documents/?uuid=ede62201-6ca1-46b2-b86a-03c6d9fe0a0f" ] } ], "mendeley" : { "formattedCitation" : "(Barney and Ditommaso, 2003)", "plainTextFormattedCitation" : "(Barney and Ditommaso, 2003)", "previouslyFormattedCitation" : "(Barney and Ditommaso, 2003)" }, "properties" : { "noteIndex" : 0 }, "schema" : "https://github.com/citation-style-language/schema/raw/master/csl-citation.json" }</w:instrText>
      </w:r>
      <w:r w:rsidRPr="00C14C53">
        <w:rPr>
          <w:iCs/>
          <w:szCs w:val="22"/>
        </w:rPr>
        <w:fldChar w:fldCharType="separate"/>
      </w:r>
      <w:r w:rsidRPr="006B3180">
        <w:rPr>
          <w:iCs/>
          <w:noProof/>
          <w:szCs w:val="22"/>
        </w:rPr>
        <w:t>(Barney and Ditommaso, 2003)</w:t>
      </w:r>
      <w:r w:rsidRPr="00C14C53">
        <w:rPr>
          <w:iCs/>
          <w:szCs w:val="22"/>
        </w:rPr>
        <w:fldChar w:fldCharType="end"/>
      </w:r>
      <w:r w:rsidRPr="00C14C53">
        <w:rPr>
          <w:iCs/>
          <w:szCs w:val="22"/>
        </w:rPr>
        <w:t xml:space="preserve">. Abiotic factors such as temperature and soil nutrient availability are known to impact seed dormancy in this species via maternal environmental effects </w:t>
      </w:r>
      <w:r w:rsidRPr="00C14C53">
        <w:rPr>
          <w:iCs/>
          <w:szCs w:val="22"/>
        </w:rPr>
        <w:fldChar w:fldCharType="begin" w:fldLock="1"/>
      </w:r>
      <w:r w:rsidR="007C2FF9">
        <w:rPr>
          <w:iCs/>
          <w:szCs w:val="22"/>
        </w:rPr>
        <w:instrText>ADDIN CSL_CITATION { "citationItems" : [ { "id" : "ITEM-1", "itemData" : { "DOI" : "10.1614/WS-D-09-00006.1", "ISSN" : "0043-1745", "author" : [ { "dropping-particle" : "", "family" : "Figueroa", "given" : "Rodrigo", "non-dropping-particle" : "", "parse-names" : false, "suffix" : "" }, { "dropping-particle" : "", "family" : "Herms", "given" : "Daniel a.", "non-dropping-particle" : "", "parse-names" : false, "suffix" : "" }, { "dropping-particle" : "", "family" : "Cardina", "given" : "John", "non-dropping-particle" : "", "parse-names" : false, "suffix" : "" }, { "dropping-particle" : "", "family" : "Doohan", "given" : "Doug", "non-dropping-particle" : "", "parse-names" : false, "suffix" : "" } ], "container-title" : "Weed Science", "id" : "ITEM-1", "issue" : "2", "issued" : { "date-parts" : [ [ "2010", "4" ] ] }, "page" : "160-166", "title" : "Maternal Environment Effects on Common Groundsel (Senecio vulgaris) Seed Dormancy", "type" : "article-journal", "volume" : "58" }, "uris" : [ "http://www.mendeley.com/documents/?uuid=90d2dfe6-c910-4fd5-b4fc-ffdb15efb419" ] }, { "id" : "ITEM-2", "itemData" : { "ISBN" : "0002-9122", "author" : [ { "dropping-particle" : "", "family" : "Aarssen", "given" : "L W", "non-dropping-particle" : "", "parse-names" : false, "suffix" : "" }, { "dropping-particle" : "", "family" : "Burton", "given" : "S M", "non-dropping-particle" : "", "parse-names" : false, "suffix" : "" } ], "container-title" : "American Journal of Botany", "id" : "ITEM-2", "issue" : "9", "issued" : { "date-parts" : [ [ "1990" ] ] }, "language" : "English", "page" : "1231-1240", "title" : "Maternal Effects at 4 Levels in Senecio-Vulgaris (Asteraceae) Grown on a Soil Nutrient Gradient", "type" : "article-journal", "volume" : "77" }, "uris" : [ "http://www.mendeley.com/documents/?uuid=8f5c1916-1682-4eaf-a675-c35203206110" ] } ], "mendeley" : { "formattedCitation" : "(Aarssen and Burton, 1990; Figueroa et al., 2010)", "plainTextFormattedCitation" : "(Aarssen and Burton, 1990; Figueroa et al., 2010)", "previouslyFormattedCitation" : "(Aarssen and Burton, 1990; Figueroa et al., 2010)" }, "properties" : { "noteIndex" : 0 }, "schema" : "https://github.com/citation-style-language/schema/raw/master/csl-citation.json" }</w:instrText>
      </w:r>
      <w:r w:rsidRPr="00C14C53">
        <w:rPr>
          <w:iCs/>
          <w:szCs w:val="22"/>
        </w:rPr>
        <w:fldChar w:fldCharType="separate"/>
      </w:r>
      <w:r w:rsidRPr="006B3180">
        <w:rPr>
          <w:iCs/>
          <w:noProof/>
          <w:szCs w:val="22"/>
        </w:rPr>
        <w:t>(Aarssen and Burton, 1990; Figueroa et al., 2010)</w:t>
      </w:r>
      <w:r w:rsidRPr="00C14C53">
        <w:rPr>
          <w:iCs/>
          <w:szCs w:val="22"/>
        </w:rPr>
        <w:fldChar w:fldCharType="end"/>
      </w:r>
      <w:r w:rsidRPr="00C14C53">
        <w:rPr>
          <w:iCs/>
          <w:szCs w:val="22"/>
        </w:rPr>
        <w:t xml:space="preserve">. Veronica arvensis is an upright clumping annual belonging to the </w:t>
      </w:r>
      <w:r w:rsidRPr="00C14C53">
        <w:rPr>
          <w:rFonts w:cs="Arial"/>
          <w:szCs w:val="26"/>
        </w:rPr>
        <w:t>Scrophulariaceae family</w:t>
      </w:r>
      <w:r w:rsidRPr="00C14C53">
        <w:rPr>
          <w:iCs/>
          <w:szCs w:val="22"/>
        </w:rPr>
        <w:t xml:space="preserve">  (Fig</w:t>
      </w:r>
      <w:r>
        <w:rPr>
          <w:iCs/>
          <w:szCs w:val="22"/>
        </w:rPr>
        <w:t>.</w:t>
      </w:r>
      <w:r w:rsidRPr="00C14C53">
        <w:rPr>
          <w:iCs/>
          <w:szCs w:val="22"/>
        </w:rPr>
        <w:t xml:space="preserve"> </w:t>
      </w:r>
      <w:r>
        <w:rPr>
          <w:iCs/>
          <w:szCs w:val="22"/>
        </w:rPr>
        <w:t>2</w:t>
      </w:r>
      <w:r w:rsidRPr="00C14C53">
        <w:rPr>
          <w:iCs/>
          <w:szCs w:val="22"/>
        </w:rPr>
        <w:t>.7)</w:t>
      </w:r>
    </w:p>
    <w:p w14:paraId="3C7F6712" w14:textId="77777777" w:rsidR="0052730F" w:rsidRPr="0076678F" w:rsidRDefault="0052730F" w:rsidP="0052730F">
      <w:pPr>
        <w:pStyle w:val="BodyJB"/>
      </w:pPr>
    </w:p>
    <w:p w14:paraId="7EA1FA26" w14:textId="77777777" w:rsidR="0052730F" w:rsidRDefault="0052730F" w:rsidP="0052730F">
      <w:pPr>
        <w:pStyle w:val="BodyJB"/>
      </w:pPr>
    </w:p>
    <w:p w14:paraId="0C429742" w14:textId="77777777" w:rsidR="00D5411A" w:rsidRDefault="00D5411A" w:rsidP="0052730F">
      <w:pPr>
        <w:pStyle w:val="BodyJB"/>
      </w:pPr>
    </w:p>
    <w:p w14:paraId="3D2EB310" w14:textId="77777777" w:rsidR="0052730F" w:rsidRPr="0076678F" w:rsidRDefault="0052730F" w:rsidP="0052730F">
      <w:pPr>
        <w:pStyle w:val="NormalWeb"/>
        <w:spacing w:before="2" w:after="2" w:line="360" w:lineRule="auto"/>
        <w:ind w:firstLine="720"/>
        <w:jc w:val="center"/>
        <w:rPr>
          <w:sz w:val="24"/>
        </w:rPr>
      </w:pPr>
      <w:r w:rsidRPr="0076678F">
        <w:rPr>
          <w:noProof/>
          <w:sz w:val="24"/>
          <w:lang w:val="en-US" w:eastAsia="en-US"/>
        </w:rPr>
        <w:drawing>
          <wp:inline distT="0" distB="0" distL="0" distR="0" wp14:anchorId="55F8E114" wp14:editId="372AB86F">
            <wp:extent cx="2379980" cy="3646488"/>
            <wp:effectExtent l="0" t="0" r="7620" b="11430"/>
            <wp:docPr id="2" nam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reply@shef.ac.uk_20130722_180354.pdf"/>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380743" cy="3647658"/>
                    </a:xfrm>
                    <a:prstGeom prst="rect">
                      <a:avLst/>
                    </a:prstGeom>
                  </pic:spPr>
                </pic:pic>
              </a:graphicData>
            </a:graphic>
          </wp:inline>
        </w:drawing>
      </w:r>
    </w:p>
    <w:p w14:paraId="43984FDE" w14:textId="09CD2B00" w:rsidR="0052730F" w:rsidRDefault="0052730F" w:rsidP="0052730F">
      <w:pPr>
        <w:pStyle w:val="BodyJB"/>
        <w:spacing w:line="240" w:lineRule="auto"/>
      </w:pPr>
      <w:r>
        <w:t>Figure 2</w:t>
      </w:r>
      <w:r w:rsidRPr="0076678F">
        <w:t xml:space="preserve">.2. Drawing of </w:t>
      </w:r>
      <w:r w:rsidRPr="0076678F">
        <w:rPr>
          <w:i/>
          <w:iCs/>
        </w:rPr>
        <w:t xml:space="preserve">Arenaria serpyllifolia </w:t>
      </w:r>
      <w:r w:rsidRPr="0076678F">
        <w:t xml:space="preserve">(L.). A, plant; B, bract; C, flower; D, petal; E, stamen; F, capsule; G, seed </w:t>
      </w:r>
      <w:r w:rsidRPr="0076678F">
        <w:fldChar w:fldCharType="begin" w:fldLock="1"/>
      </w:r>
      <w:r w:rsidR="007C2FF9">
        <w:instrText>ADDIN CSL_CITATION { "citationItems" : [ { "id" : "ITEM-1", "itemData" : { "author" : [ { "dropping-particle" : "", "family" : "Butcher", "given" : "R.W", "non-dropping-particle" : "", "parse-names" : false, "suffix" : "" } ], "id" : "ITEM-1", "issued" : { "date-parts" : [ [ "1961" ] ] }, "title" : "A New Illustrated British Flora", "type" : "book" }, "uris" : [ "http://www.mendeley.com/documents/?uuid=557c5778-9bef-4eee-92a4-c930e316fb05" ] } ], "mendeley" : { "formattedCitation" : "(Butcher, 1961)", "plainTextFormattedCitation" : "(Butcher, 1961)", "previouslyFormattedCitation" : "(Butcher, 1961)" }, "properties" : { "noteIndex" : 0 }, "schema" : "https://github.com/citation-style-language/schema/raw/master/csl-citation.json" }</w:instrText>
      </w:r>
      <w:r w:rsidRPr="0076678F">
        <w:fldChar w:fldCharType="separate"/>
      </w:r>
      <w:r w:rsidRPr="006B3180">
        <w:rPr>
          <w:noProof/>
        </w:rPr>
        <w:t>(Butcher, 1961)</w:t>
      </w:r>
      <w:r w:rsidRPr="0076678F">
        <w:fldChar w:fldCharType="end"/>
      </w:r>
      <w:r w:rsidRPr="0076678F">
        <w:t xml:space="preserve">. </w:t>
      </w:r>
    </w:p>
    <w:p w14:paraId="5FFE45BF" w14:textId="77777777" w:rsidR="00D5411A" w:rsidRPr="0076678F" w:rsidRDefault="00D5411A" w:rsidP="0052730F">
      <w:pPr>
        <w:pStyle w:val="BodyJB"/>
        <w:spacing w:line="240" w:lineRule="auto"/>
      </w:pPr>
    </w:p>
    <w:p w14:paraId="453CD66F" w14:textId="77777777" w:rsidR="0052730F" w:rsidRPr="0076678F" w:rsidRDefault="0052730F" w:rsidP="0052730F">
      <w:pPr>
        <w:pStyle w:val="NormalWeb"/>
        <w:spacing w:before="2" w:after="2"/>
        <w:ind w:firstLine="720"/>
        <w:jc w:val="center"/>
        <w:rPr>
          <w:sz w:val="24"/>
        </w:rPr>
      </w:pPr>
    </w:p>
    <w:p w14:paraId="49FB318C" w14:textId="77777777" w:rsidR="0052730F" w:rsidRPr="0076678F" w:rsidRDefault="0052730F" w:rsidP="0052730F">
      <w:pPr>
        <w:pStyle w:val="NormalWeb"/>
        <w:spacing w:before="2" w:after="2" w:line="360" w:lineRule="auto"/>
        <w:ind w:firstLine="720"/>
        <w:jc w:val="center"/>
        <w:rPr>
          <w:sz w:val="24"/>
        </w:rPr>
      </w:pPr>
      <w:r w:rsidRPr="0076678F">
        <w:rPr>
          <w:noProof/>
          <w:sz w:val="24"/>
          <w:lang w:val="en-US" w:eastAsia="en-US"/>
        </w:rPr>
        <w:drawing>
          <wp:inline distT="0" distB="0" distL="0" distR="0" wp14:anchorId="66DC237F" wp14:editId="46805864">
            <wp:extent cx="2363047" cy="3308268"/>
            <wp:effectExtent l="0" t="0" r="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srcRect/>
                    <a:stretch>
                      <a:fillRect/>
                    </a:stretch>
                  </pic:blipFill>
                  <pic:spPr bwMode="auto">
                    <a:xfrm>
                      <a:off x="0" y="0"/>
                      <a:ext cx="2363497" cy="3308898"/>
                    </a:xfrm>
                    <a:prstGeom prst="rect">
                      <a:avLst/>
                    </a:prstGeom>
                    <a:noFill/>
                    <a:ln w="9525">
                      <a:noFill/>
                      <a:miter lim="800000"/>
                      <a:headEnd/>
                      <a:tailEnd/>
                    </a:ln>
                  </pic:spPr>
                </pic:pic>
              </a:graphicData>
            </a:graphic>
          </wp:inline>
        </w:drawing>
      </w:r>
    </w:p>
    <w:p w14:paraId="44A89DCD" w14:textId="79D93278" w:rsidR="0052730F" w:rsidRPr="0076678F" w:rsidRDefault="0052730F" w:rsidP="0052730F">
      <w:pPr>
        <w:pStyle w:val="BodyJB"/>
        <w:spacing w:line="240" w:lineRule="auto"/>
      </w:pPr>
      <w:r w:rsidRPr="0076678F">
        <w:t>Fig</w:t>
      </w:r>
      <w:r>
        <w:t>ure 2</w:t>
      </w:r>
      <w:r w:rsidRPr="0076678F">
        <w:t xml:space="preserve">.3. Drawing of </w:t>
      </w:r>
      <w:r w:rsidRPr="0076678F">
        <w:rPr>
          <w:i/>
          <w:iCs/>
        </w:rPr>
        <w:t xml:space="preserve">Cerastium diffusum </w:t>
      </w:r>
      <w:r w:rsidRPr="0076678F">
        <w:t xml:space="preserve">(L.). A, bract; B, sepal; C, petal; D, pistil; E, capsule; F, seed. </w:t>
      </w:r>
      <w:r w:rsidRPr="0076678F">
        <w:fldChar w:fldCharType="begin" w:fldLock="1"/>
      </w:r>
      <w:r w:rsidR="007C2FF9">
        <w:instrText>ADDIN CSL_CITATION { "citationItems" : [ { "id" : "ITEM-1", "itemData" : { "author" : [ { "dropping-particle" : "", "family" : "Butcher", "given" : "R.W", "non-dropping-particle" : "", "parse-names" : false, "suffix" : "" } ], "id" : "ITEM-1", "issued" : { "date-parts" : [ [ "1961" ] ] }, "title" : "A New Illustrated British Flora", "type" : "book" }, "uris" : [ "http://www.mendeley.com/documents/?uuid=557c5778-9bef-4eee-92a4-c930e316fb05" ] } ], "mendeley" : { "formattedCitation" : "(Butcher, 1961)", "plainTextFormattedCitation" : "(Butcher, 1961)", "previouslyFormattedCitation" : "(Butcher, 1961)" }, "properties" : { "noteIndex" : 0 }, "schema" : "https://github.com/citation-style-language/schema/raw/master/csl-citation.json" }</w:instrText>
      </w:r>
      <w:r w:rsidRPr="0076678F">
        <w:fldChar w:fldCharType="separate"/>
      </w:r>
      <w:r w:rsidRPr="006B3180">
        <w:rPr>
          <w:noProof/>
        </w:rPr>
        <w:t>(Butcher, 1961)</w:t>
      </w:r>
      <w:r w:rsidRPr="0076678F">
        <w:fldChar w:fldCharType="end"/>
      </w:r>
    </w:p>
    <w:p w14:paraId="13BAA86D" w14:textId="77777777" w:rsidR="0052730F" w:rsidRPr="0076678F" w:rsidRDefault="0052730F" w:rsidP="0052730F">
      <w:pPr>
        <w:pStyle w:val="NormalWeb"/>
        <w:spacing w:before="2" w:after="2" w:line="360" w:lineRule="auto"/>
        <w:ind w:firstLine="720"/>
        <w:jc w:val="center"/>
        <w:rPr>
          <w:sz w:val="24"/>
        </w:rPr>
      </w:pPr>
      <w:r w:rsidRPr="0076678F">
        <w:rPr>
          <w:noProof/>
          <w:sz w:val="24"/>
          <w:lang w:val="en-US" w:eastAsia="en-US"/>
        </w:rPr>
        <w:drawing>
          <wp:inline distT="0" distB="0" distL="0" distR="0" wp14:anchorId="1A95D58F" wp14:editId="51304197">
            <wp:extent cx="2820247" cy="3421898"/>
            <wp:effectExtent l="0" t="0" r="0" b="762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rcRect/>
                    <a:stretch>
                      <a:fillRect/>
                    </a:stretch>
                  </pic:blipFill>
                  <pic:spPr bwMode="auto">
                    <a:xfrm>
                      <a:off x="0" y="0"/>
                      <a:ext cx="2821575" cy="3423509"/>
                    </a:xfrm>
                    <a:prstGeom prst="rect">
                      <a:avLst/>
                    </a:prstGeom>
                    <a:noFill/>
                    <a:ln w="9525">
                      <a:noFill/>
                      <a:miter lim="800000"/>
                      <a:headEnd/>
                      <a:tailEnd/>
                    </a:ln>
                  </pic:spPr>
                </pic:pic>
              </a:graphicData>
            </a:graphic>
          </wp:inline>
        </w:drawing>
      </w:r>
    </w:p>
    <w:p w14:paraId="7ADC2719" w14:textId="30EC5ABC" w:rsidR="0052730F" w:rsidRPr="0076678F" w:rsidRDefault="0052730F" w:rsidP="0052730F">
      <w:pPr>
        <w:pStyle w:val="BodyJB"/>
        <w:spacing w:line="240" w:lineRule="auto"/>
      </w:pPr>
      <w:r>
        <w:t>Figure 2</w:t>
      </w:r>
      <w:r w:rsidRPr="0076678F">
        <w:t xml:space="preserve">.4. Drawing of </w:t>
      </w:r>
      <w:r w:rsidRPr="0076678F">
        <w:rPr>
          <w:i/>
          <w:iCs/>
        </w:rPr>
        <w:t xml:space="preserve">Erodium cicutarium </w:t>
      </w:r>
      <w:r w:rsidRPr="0076678F">
        <w:t xml:space="preserve">(L.). A, calyx; B, petals; C, stamen; D, staminodes; E, fruit; F, seed (ventral and lateral views). </w:t>
      </w:r>
      <w:r w:rsidRPr="0076678F">
        <w:fldChar w:fldCharType="begin" w:fldLock="1"/>
      </w:r>
      <w:r w:rsidR="007C2FF9">
        <w:instrText>ADDIN CSL_CITATION { "citationItems" : [ { "id" : "ITEM-1", "itemData" : { "author" : [ { "dropping-particle" : "", "family" : "Butcher", "given" : "R.W", "non-dropping-particle" : "", "parse-names" : false, "suffix" : "" } ], "id" : "ITEM-1", "issued" : { "date-parts" : [ [ "1961" ] ] }, "title" : "A New Illustrated British Flora", "type" : "book" }, "uris" : [ "http://www.mendeley.com/documents/?uuid=557c5778-9bef-4eee-92a4-c930e316fb05" ] } ], "mendeley" : { "formattedCitation" : "(Butcher, 1961)", "plainTextFormattedCitation" : "(Butcher, 1961)", "previouslyFormattedCitation" : "(Butcher, 1961)" }, "properties" : { "noteIndex" : 0 }, "schema" : "https://github.com/citation-style-language/schema/raw/master/csl-citation.json" }</w:instrText>
      </w:r>
      <w:r w:rsidRPr="0076678F">
        <w:fldChar w:fldCharType="separate"/>
      </w:r>
      <w:r w:rsidRPr="006B3180">
        <w:rPr>
          <w:noProof/>
        </w:rPr>
        <w:t>(Butcher, 1961)</w:t>
      </w:r>
      <w:r w:rsidRPr="0076678F">
        <w:fldChar w:fldCharType="end"/>
      </w:r>
    </w:p>
    <w:p w14:paraId="6AD4F18D" w14:textId="77777777" w:rsidR="0052730F" w:rsidRPr="0076678F" w:rsidRDefault="0052730F" w:rsidP="0052730F">
      <w:pPr>
        <w:pStyle w:val="NormalWeb"/>
        <w:spacing w:before="2" w:after="2" w:line="360" w:lineRule="auto"/>
        <w:ind w:firstLine="720"/>
        <w:jc w:val="center"/>
        <w:rPr>
          <w:sz w:val="24"/>
        </w:rPr>
      </w:pPr>
    </w:p>
    <w:p w14:paraId="064397A7" w14:textId="77777777" w:rsidR="0052730F" w:rsidRPr="0076678F" w:rsidRDefault="0052730F" w:rsidP="0052730F">
      <w:pPr>
        <w:pStyle w:val="NormalWeb"/>
        <w:spacing w:before="2" w:after="2" w:line="360" w:lineRule="auto"/>
        <w:ind w:firstLine="720"/>
        <w:jc w:val="center"/>
        <w:rPr>
          <w:sz w:val="24"/>
        </w:rPr>
      </w:pPr>
      <w:r w:rsidRPr="0076678F">
        <w:rPr>
          <w:noProof/>
          <w:sz w:val="24"/>
          <w:lang w:val="en-US" w:eastAsia="en-US"/>
        </w:rPr>
        <w:drawing>
          <wp:inline distT="0" distB="0" distL="0" distR="0" wp14:anchorId="722B8BCC" wp14:editId="067B7390">
            <wp:extent cx="2998034" cy="3429000"/>
            <wp:effectExtent l="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srcRect t="3000" b="2500"/>
                    <a:stretch>
                      <a:fillRect/>
                    </a:stretch>
                  </pic:blipFill>
                  <pic:spPr bwMode="auto">
                    <a:xfrm>
                      <a:off x="0" y="0"/>
                      <a:ext cx="2998676" cy="3429734"/>
                    </a:xfrm>
                    <a:prstGeom prst="rect">
                      <a:avLst/>
                    </a:prstGeom>
                    <a:noFill/>
                    <a:ln w="9525">
                      <a:noFill/>
                      <a:miter lim="800000"/>
                      <a:headEnd/>
                      <a:tailEnd/>
                    </a:ln>
                  </pic:spPr>
                </pic:pic>
              </a:graphicData>
            </a:graphic>
          </wp:inline>
        </w:drawing>
      </w:r>
    </w:p>
    <w:p w14:paraId="6A1D84A8" w14:textId="7E0E763C" w:rsidR="0052730F" w:rsidRPr="0076678F" w:rsidRDefault="0052730F" w:rsidP="0052730F">
      <w:pPr>
        <w:pStyle w:val="BodyJB"/>
        <w:spacing w:line="240" w:lineRule="auto"/>
      </w:pPr>
      <w:r>
        <w:t>Figure 2</w:t>
      </w:r>
      <w:r w:rsidRPr="0076678F">
        <w:t xml:space="preserve">.5. Drawing of </w:t>
      </w:r>
      <w:r w:rsidRPr="0076678F">
        <w:rPr>
          <w:i/>
          <w:iCs/>
        </w:rPr>
        <w:t xml:space="preserve">Phleum arenarium </w:t>
      </w:r>
      <w:r w:rsidRPr="0076678F">
        <w:t xml:space="preserve">(L.). A, spikelet; B, lemma; C, palea; D, flower; E, ligule; F, seed. </w:t>
      </w:r>
      <w:r w:rsidRPr="0076678F">
        <w:fldChar w:fldCharType="begin" w:fldLock="1"/>
      </w:r>
      <w:r w:rsidR="007C2FF9">
        <w:instrText>ADDIN CSL_CITATION { "citationItems" : [ { "id" : "ITEM-1", "itemData" : { "author" : [ { "dropping-particle" : "", "family" : "Butcher", "given" : "R.W", "non-dropping-particle" : "", "parse-names" : false, "suffix" : "" } ], "id" : "ITEM-1", "issued" : { "date-parts" : [ [ "1961" ] ] }, "title" : "A New Illustrated British Flora", "type" : "book" }, "uris" : [ "http://www.mendeley.com/documents/?uuid=557c5778-9bef-4eee-92a4-c930e316fb05" ] } ], "mendeley" : { "formattedCitation" : "(Butcher, 1961)", "plainTextFormattedCitation" : "(Butcher, 1961)", "previouslyFormattedCitation" : "(Butcher, 1961)" }, "properties" : { "noteIndex" : 0 }, "schema" : "https://github.com/citation-style-language/schema/raw/master/csl-citation.json" }</w:instrText>
      </w:r>
      <w:r w:rsidRPr="0076678F">
        <w:fldChar w:fldCharType="separate"/>
      </w:r>
      <w:r w:rsidRPr="006B3180">
        <w:rPr>
          <w:noProof/>
        </w:rPr>
        <w:t>(Butcher, 1961)</w:t>
      </w:r>
      <w:r w:rsidRPr="0076678F">
        <w:fldChar w:fldCharType="end"/>
      </w:r>
    </w:p>
    <w:p w14:paraId="09771A92" w14:textId="77777777" w:rsidR="0052730F" w:rsidRPr="0076678F" w:rsidRDefault="0052730F" w:rsidP="0052730F">
      <w:pPr>
        <w:pStyle w:val="NormalWeb"/>
        <w:spacing w:before="2" w:after="2" w:line="360" w:lineRule="auto"/>
        <w:ind w:firstLine="720"/>
        <w:jc w:val="center"/>
        <w:rPr>
          <w:sz w:val="24"/>
        </w:rPr>
      </w:pPr>
      <w:r w:rsidRPr="0076678F">
        <w:rPr>
          <w:noProof/>
          <w:sz w:val="24"/>
          <w:lang w:val="en-US" w:eastAsia="en-US"/>
        </w:rPr>
        <w:drawing>
          <wp:inline distT="0" distB="0" distL="0" distR="0" wp14:anchorId="714DFD00" wp14:editId="7ACB3006">
            <wp:extent cx="2183021" cy="3270114"/>
            <wp:effectExtent l="0" t="0" r="1905" b="6985"/>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a:stretch>
                      <a:fillRect/>
                    </a:stretch>
                  </pic:blipFill>
                  <pic:spPr bwMode="auto">
                    <a:xfrm>
                      <a:off x="0" y="0"/>
                      <a:ext cx="2184926" cy="3272968"/>
                    </a:xfrm>
                    <a:prstGeom prst="rect">
                      <a:avLst/>
                    </a:prstGeom>
                    <a:noFill/>
                    <a:ln w="9525">
                      <a:noFill/>
                      <a:miter lim="800000"/>
                      <a:headEnd/>
                      <a:tailEnd/>
                    </a:ln>
                  </pic:spPr>
                </pic:pic>
              </a:graphicData>
            </a:graphic>
          </wp:inline>
        </w:drawing>
      </w:r>
    </w:p>
    <w:p w14:paraId="3942F7FB" w14:textId="4D1911DC" w:rsidR="0052730F" w:rsidRPr="0076678F" w:rsidRDefault="0052730F" w:rsidP="0052730F">
      <w:pPr>
        <w:pStyle w:val="BodyJB"/>
        <w:spacing w:line="240" w:lineRule="auto"/>
      </w:pPr>
      <w:r>
        <w:t>Figure 2</w:t>
      </w:r>
      <w:r w:rsidRPr="0076678F">
        <w:t xml:space="preserve">.6. Drawing of </w:t>
      </w:r>
      <w:r w:rsidRPr="0076678F">
        <w:rPr>
          <w:i/>
          <w:iCs/>
        </w:rPr>
        <w:t xml:space="preserve">Senecio vulgaris </w:t>
      </w:r>
      <w:r w:rsidRPr="0076678F">
        <w:t xml:space="preserve">(L.). A, flower-head; B, floret; C, phyllaries; D, achene. </w:t>
      </w:r>
      <w:r w:rsidRPr="0076678F">
        <w:fldChar w:fldCharType="begin" w:fldLock="1"/>
      </w:r>
      <w:r w:rsidR="007C2FF9">
        <w:instrText>ADDIN CSL_CITATION { "citationItems" : [ { "id" : "ITEM-1", "itemData" : { "author" : [ { "dropping-particle" : "", "family" : "Butcher", "given" : "R.W", "non-dropping-particle" : "", "parse-names" : false, "suffix" : "" } ], "id" : "ITEM-1", "issued" : { "date-parts" : [ [ "1961" ] ] }, "title" : "A New Illustrated British Flora", "type" : "book" }, "uris" : [ "http://www.mendeley.com/documents/?uuid=557c5778-9bef-4eee-92a4-c930e316fb05" ] } ], "mendeley" : { "formattedCitation" : "(Butcher, 1961)", "plainTextFormattedCitation" : "(Butcher, 1961)", "previouslyFormattedCitation" : "(Butcher, 1961)" }, "properties" : { "noteIndex" : 0 }, "schema" : "https://github.com/citation-style-language/schema/raw/master/csl-citation.json" }</w:instrText>
      </w:r>
      <w:r w:rsidRPr="0076678F">
        <w:fldChar w:fldCharType="separate"/>
      </w:r>
      <w:r w:rsidRPr="006B3180">
        <w:rPr>
          <w:noProof/>
        </w:rPr>
        <w:t>(Butcher, 1961)</w:t>
      </w:r>
      <w:r w:rsidRPr="0076678F">
        <w:fldChar w:fldCharType="end"/>
      </w:r>
    </w:p>
    <w:p w14:paraId="593020B7" w14:textId="77777777" w:rsidR="0052730F" w:rsidRDefault="0052730F" w:rsidP="0052730F">
      <w:pPr>
        <w:pStyle w:val="NormalWeb"/>
        <w:spacing w:before="2" w:after="2"/>
        <w:ind w:firstLine="720"/>
        <w:jc w:val="center"/>
        <w:rPr>
          <w:sz w:val="24"/>
        </w:rPr>
      </w:pPr>
    </w:p>
    <w:p w14:paraId="23D4A1CA" w14:textId="77777777" w:rsidR="00D5411A" w:rsidRPr="0076678F" w:rsidRDefault="00D5411A" w:rsidP="0052730F">
      <w:pPr>
        <w:pStyle w:val="NormalWeb"/>
        <w:spacing w:before="2" w:after="2"/>
        <w:ind w:firstLine="720"/>
        <w:jc w:val="center"/>
        <w:rPr>
          <w:sz w:val="24"/>
        </w:rPr>
      </w:pPr>
    </w:p>
    <w:p w14:paraId="2663DFBA" w14:textId="77777777" w:rsidR="0052730F" w:rsidRPr="0076678F" w:rsidRDefault="0052730F" w:rsidP="0052730F">
      <w:pPr>
        <w:pStyle w:val="NormalWeb"/>
        <w:spacing w:before="2" w:after="2" w:line="360" w:lineRule="auto"/>
        <w:ind w:firstLine="720"/>
        <w:jc w:val="center"/>
        <w:rPr>
          <w:sz w:val="24"/>
        </w:rPr>
      </w:pPr>
      <w:r w:rsidRPr="0076678F">
        <w:rPr>
          <w:noProof/>
          <w:sz w:val="24"/>
          <w:lang w:val="en-US" w:eastAsia="en-US"/>
        </w:rPr>
        <w:drawing>
          <wp:inline distT="0" distB="0" distL="0" distR="0" wp14:anchorId="273A3F70" wp14:editId="11C3E92A">
            <wp:extent cx="3336713" cy="3388166"/>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t="1852" b="4630"/>
                    <a:stretch>
                      <a:fillRect/>
                    </a:stretch>
                  </pic:blipFill>
                  <pic:spPr bwMode="auto">
                    <a:xfrm>
                      <a:off x="0" y="0"/>
                      <a:ext cx="3337423" cy="3388887"/>
                    </a:xfrm>
                    <a:prstGeom prst="rect">
                      <a:avLst/>
                    </a:prstGeom>
                    <a:noFill/>
                    <a:ln w="9525">
                      <a:noFill/>
                      <a:miter lim="800000"/>
                      <a:headEnd/>
                      <a:tailEnd/>
                    </a:ln>
                  </pic:spPr>
                </pic:pic>
              </a:graphicData>
            </a:graphic>
          </wp:inline>
        </w:drawing>
      </w:r>
    </w:p>
    <w:p w14:paraId="608AB4D7" w14:textId="1A4F998F" w:rsidR="0052730F" w:rsidRPr="0076678F" w:rsidRDefault="0052730F" w:rsidP="0052730F">
      <w:pPr>
        <w:pStyle w:val="BodyJB"/>
        <w:spacing w:line="240" w:lineRule="auto"/>
      </w:pPr>
      <w:r>
        <w:t>Figure 2</w:t>
      </w:r>
      <w:r w:rsidRPr="0076678F">
        <w:t xml:space="preserve">.7. Drawing of </w:t>
      </w:r>
      <w:r w:rsidRPr="0076678F">
        <w:rPr>
          <w:i/>
          <w:iCs/>
        </w:rPr>
        <w:t xml:space="preserve">Veronica arvensis </w:t>
      </w:r>
      <w:r w:rsidRPr="0076678F">
        <w:t>(L.). A, calyx; B, flower; C, capsule; D, seed (ventral and lateral views)</w:t>
      </w:r>
      <w:r w:rsidRPr="0076678F">
        <w:fldChar w:fldCharType="begin" w:fldLock="1"/>
      </w:r>
      <w:r w:rsidR="007C2FF9">
        <w:instrText>ADDIN CSL_CITATION { "citationItems" : [ { "id" : "ITEM-1", "itemData" : { "author" : [ { "dropping-particle" : "", "family" : "Butcher", "given" : "R.W", "non-dropping-particle" : "", "parse-names" : false, "suffix" : "" } ], "id" : "ITEM-1", "issued" : { "date-parts" : [ [ "1961" ] ] }, "title" : "A New Illustrated British Flora", "type" : "book" }, "uris" : [ "http://www.mendeley.com/documents/?uuid=557c5778-9bef-4eee-92a4-c930e316fb05" ] } ], "mendeley" : { "formattedCitation" : "(Butcher, 1961)", "plainTextFormattedCitation" : "(Butcher, 1961)", "previouslyFormattedCitation" : "(Butcher, 1961)" }, "properties" : { "noteIndex" : 0 }, "schema" : "https://github.com/citation-style-language/schema/raw/master/csl-citation.json" }</w:instrText>
      </w:r>
      <w:r w:rsidRPr="0076678F">
        <w:fldChar w:fldCharType="separate"/>
      </w:r>
      <w:r w:rsidRPr="006B3180">
        <w:rPr>
          <w:noProof/>
        </w:rPr>
        <w:t>(Butcher, 1961)</w:t>
      </w:r>
      <w:r w:rsidRPr="0076678F">
        <w:fldChar w:fldCharType="end"/>
      </w:r>
    </w:p>
    <w:p w14:paraId="444886E1" w14:textId="77777777" w:rsidR="0052730F" w:rsidRPr="0076678F" w:rsidRDefault="0052730F" w:rsidP="0052730F">
      <w:pPr>
        <w:pStyle w:val="BodyJB"/>
      </w:pPr>
    </w:p>
    <w:p w14:paraId="6D258279" w14:textId="77777777" w:rsidR="0052730F" w:rsidRDefault="0052730F" w:rsidP="0052730F">
      <w:pPr>
        <w:pStyle w:val="SubheadingJB"/>
      </w:pPr>
      <w:bookmarkStart w:id="27" w:name="_Toc291410046"/>
      <w:bookmarkStart w:id="28" w:name="_Toc250775668"/>
      <w:r>
        <w:t>2.2.2- Details of Controlled Growth Experiment</w:t>
      </w:r>
      <w:bookmarkEnd w:id="27"/>
    </w:p>
    <w:p w14:paraId="530B60A7" w14:textId="77777777" w:rsidR="0052730F" w:rsidRPr="002308C8" w:rsidRDefault="0052730F" w:rsidP="0052730F">
      <w:pPr>
        <w:pStyle w:val="BodyJB"/>
      </w:pPr>
      <w:r w:rsidRPr="003A3E2D">
        <w:t xml:space="preserve">Chapters </w:t>
      </w:r>
      <w:r>
        <w:t xml:space="preserve">3,4, and 5 use data from plants grown in one experiment under controlled </w:t>
      </w:r>
      <w:r w:rsidRPr="002308C8">
        <w:t>environmental conditions. Details generic to all three chapters are listed below</w:t>
      </w:r>
    </w:p>
    <w:p w14:paraId="7687DAE1" w14:textId="77777777" w:rsidR="0052730F" w:rsidRPr="002308C8" w:rsidRDefault="0052730F" w:rsidP="0052730F">
      <w:pPr>
        <w:pStyle w:val="BodyJB"/>
      </w:pPr>
    </w:p>
    <w:p w14:paraId="54E4DF60" w14:textId="77777777" w:rsidR="0052730F" w:rsidRPr="00D87A8E" w:rsidRDefault="0052730F" w:rsidP="00DC7B26">
      <w:pPr>
        <w:pStyle w:val="subheadingMINOR"/>
      </w:pPr>
      <w:bookmarkStart w:id="29" w:name="_Toc291410047"/>
      <w:r w:rsidRPr="00D87A8E">
        <w:t>Study Species</w:t>
      </w:r>
      <w:bookmarkEnd w:id="29"/>
    </w:p>
    <w:p w14:paraId="6B5A469B" w14:textId="77777777" w:rsidR="0052730F" w:rsidRPr="002308C8" w:rsidRDefault="0052730F" w:rsidP="00DC7B26">
      <w:pPr>
        <w:pStyle w:val="BodyJB"/>
        <w:ind w:firstLine="720"/>
      </w:pPr>
      <w:r w:rsidRPr="002308C8">
        <w:t xml:space="preserve">Five species of winter annual were used in this experiment, </w:t>
      </w:r>
      <w:r w:rsidRPr="002308C8">
        <w:rPr>
          <w:i/>
        </w:rPr>
        <w:t>Arenaria serpyllifolia, Cerastium diffusum, Phleum arenarium, Senecio vulgaris and Veronica arevensis</w:t>
      </w:r>
      <w:r w:rsidRPr="002308C8">
        <w:t>. Two generations of each species were grown concurrently during this experiment. F1 generation seed were collected from study sites along the Atlantic coast of Europe in the spring of 2009 from a pool of at least 20 mothers. These seed were grown in experimental conditions detailed below for one generation, seed collected from these plants constituted the F2 generation.</w:t>
      </w:r>
    </w:p>
    <w:p w14:paraId="01539542" w14:textId="77777777" w:rsidR="0052730F" w:rsidRDefault="0052730F" w:rsidP="0052730F">
      <w:pPr>
        <w:pStyle w:val="BodyJB"/>
      </w:pPr>
    </w:p>
    <w:p w14:paraId="7E91BCA5" w14:textId="69392E41" w:rsidR="0052730F" w:rsidRPr="00CB2834" w:rsidRDefault="0052730F" w:rsidP="00DC7B26">
      <w:pPr>
        <w:pStyle w:val="BodyJB"/>
        <w:ind w:firstLine="720"/>
      </w:pPr>
      <w:r>
        <w:t>A phylogenetic tree (Fig. 2.8.) was created to assess the known relationships between the study species using the online phylogenetic query tool Phylomatic (http://www.phylodiversity.net/phylomatic)</w:t>
      </w:r>
      <w:r>
        <w:fldChar w:fldCharType="begin" w:fldLock="1"/>
      </w:r>
      <w:r w:rsidR="007C2FF9">
        <w:instrText>ADDIN CSL_CITATION { "citationItems" : [ { "id" : "ITEM-1", "itemData" : { "DOI" : "10.1111/j.1471-8286.2004.00829.x", "ISBN" : "9252293655", "ISSN" : "1471-8278", "author" : [ { "dropping-particle" : "", "family" : "Webb", "given" : "Campbell O.", "non-dropping-particle" : "", "parse-names" : false, "suffix" : "" }, { "dropping-particle" : "", "family" : "Donoghue", "given" : "Michael J.", "non-dropping-particle" : "", "parse-names" : false, "suffix" : "" } ], "container-title" : "Molecular Ecology Notes", "id" : "ITEM-1", "issue" : "1", "issued" : { "date-parts" : [ [ "2005", "3" ] ] }, "page" : "181-183", "title" : "Phylomatic: tree assembly for applied phylogenetics", "type" : "article-journal", "volume" : "5" }, "uris" : [ "http://www.mendeley.com/documents/?uuid=94539e1f-eb51-4040-951a-b8ad87c20a93", "http://www.mendeley.com/documents/?uuid=80d89484-a8e8-47de-bd72-4215f72c85f1" ] } ], "mendeley" : { "formattedCitation" : "(Webb and Donoghue, 2005)", "plainTextFormattedCitation" : "(Webb and Donoghue, 2005)", "previouslyFormattedCitation" : "(Webb and Donoghue, 2005)" }, "properties" : { "noteIndex" : 0 }, "schema" : "https://github.com/citation-style-language/schema/raw/master/csl-citation.json" }</w:instrText>
      </w:r>
      <w:r>
        <w:fldChar w:fldCharType="separate"/>
      </w:r>
      <w:r w:rsidR="00134C22" w:rsidRPr="00134C22">
        <w:rPr>
          <w:noProof/>
        </w:rPr>
        <w:t>(Webb and Donoghue, 2005)</w:t>
      </w:r>
      <w:r>
        <w:fldChar w:fldCharType="end"/>
      </w:r>
      <w:r>
        <w:t xml:space="preserve">. A list of taxa with family and genus information was uploaded and matched against the most resolved taxa position on an internal ‘megatree’.  This reference megatree for seed plants was based on the Angiosperm Phylogeny Group (APG) base tree at APweb (http://www.mobot.org/MOBOT/research/APweb/), </w:t>
      </w:r>
      <w:r>
        <w:fldChar w:fldCharType="begin" w:fldLock="1"/>
      </w:r>
      <w:r w:rsidR="007C2FF9">
        <w:instrText>ADDIN CSL_CITATION { "citationItems" : [ { "id" : "ITEM-1", "itemData" : { "author" : [ { "dropping-particle" : "", "family" : "Stevens P F", "given" : "", "non-dropping-particle" : "", "parse-names" : false, "suffix" : "" } ], "id" : "ITEM-1", "issued" : { "date-parts" : [ [ "2011" ] ] }, "title" : "Angiosperm Phylogeny Website", "type" : "webpage" }, "uris" : [ "http://www.mendeley.com/documents/?uuid=61073f61-aa50-4d28-b770-4ec67543415e", "http://www.mendeley.com/documents/?uuid=aabd35a3-4dd3-489d-afcf-83273e27b99b" ] } ], "mendeley" : { "formattedCitation" : "(Stevens P F, 2011)", "plainTextFormattedCitation" : "(Stevens P F, 2011)", "previouslyFormattedCitation" : "(Stevens P F, 2011)" }, "properties" : { "noteIndex" : 0 }, "schema" : "https://github.com/citation-style-language/schema/raw/master/csl-citation.json" }</w:instrText>
      </w:r>
      <w:r>
        <w:fldChar w:fldCharType="separate"/>
      </w:r>
      <w:r w:rsidRPr="009F5D5E">
        <w:rPr>
          <w:noProof/>
        </w:rPr>
        <w:t>(Stevens P F, 2011)</w:t>
      </w:r>
      <w:r>
        <w:fldChar w:fldCharType="end"/>
      </w:r>
      <w:r>
        <w:t xml:space="preserve">. </w:t>
      </w:r>
      <w:r>
        <w:rPr>
          <w:rFonts w:cs="Times"/>
        </w:rPr>
        <w:t>The output was a newick tree raitaining the relationship of APGIII families, without branch length. Subsequently the cut-down version of the megatree was uploaded into the online tool Phylocom 4.2 (http://phylodiversity.net/phylocom/)</w:t>
      </w:r>
      <w:r>
        <w:rPr>
          <w:rFonts w:cs="Times"/>
        </w:rPr>
        <w:fldChar w:fldCharType="begin" w:fldLock="1"/>
      </w:r>
      <w:r w:rsidR="007C2FF9">
        <w:rPr>
          <w:rFonts w:cs="Times"/>
        </w:rPr>
        <w:instrText>ADDIN CSL_CITATION { "citationItems" : [ { "id" : "ITEM-1", "itemData" : { "DOI" : "10.1093/bioinformatics/btn358", "ISSN" : "1367-4811", "PMID" : "18678590", "abstract" : "MOTIVATION: The increasing availability of phylogenetic and trait data for communities of co-occurring species has created a need for software that integrates ecological and evolutionary analyses. Capabilities: Phylocom calculates numerous metrics of phylogenetic community structure and trait similarity within communities. Hypothesis testing is implemented using several null models. Within the same framework, it measures phylogenetic signal and correlated evolution for species traits. A range of utility functions allow community and phylogenetic data manipulation, tree and trait generation, and integration into scientific workflows.\n\nAVAILABILITY: Open source at: http://phylodiversity.net/phylocom/.", "author" : [ { "dropping-particle" : "", "family" : "Webb", "given" : "Campbell O", "non-dropping-particle" : "", "parse-names" : false, "suffix" : "" }, { "dropping-particle" : "", "family" : "Ackerly", "given" : "David D", "non-dropping-particle" : "", "parse-names" : false, "suffix" : "" }, { "dropping-particle" : "", "family" : "Kembel", "given" : "Steven W", "non-dropping-particle" : "", "parse-names" : false, "suffix" : "" } ], "container-title" : "Bioinformatics (Oxford, England)", "id" : "ITEM-1", "issue" : "18", "issued" : { "date-parts" : [ [ "2008", "9" ] ] }, "page" : "2098-100", "title" : "Phylocom: software for the analysis of phylogenetic community structure and trait evolution.", "type" : "article-journal", "volume" : "24" }, "uris" : [ "http://www.mendeley.com/documents/?uuid=0899c118-3ad1-4b0e-b43f-a69303dfa55f", "http://www.mendeley.com/documents/?uuid=cf1c48c6-a536-47fd-8416-92d38de76249" ] } ], "mendeley" : { "formattedCitation" : "(Webb et al., 2008)", "plainTextFormattedCitation" : "(Webb et al., 2008)", "previouslyFormattedCitation" : "(Webb et al., 2008)" }, "properties" : { "noteIndex" : 0 }, "schema" : "https://github.com/citation-style-language/schema/raw/master/csl-citation.json" }</w:instrText>
      </w:r>
      <w:r>
        <w:rPr>
          <w:rFonts w:cs="Times"/>
        </w:rPr>
        <w:fldChar w:fldCharType="separate"/>
      </w:r>
      <w:r w:rsidRPr="008A6B71">
        <w:rPr>
          <w:rFonts w:cs="Times"/>
          <w:noProof/>
        </w:rPr>
        <w:t xml:space="preserve">(Webb </w:t>
      </w:r>
      <w:r w:rsidRPr="008A6B71">
        <w:rPr>
          <w:rFonts w:cs="Times"/>
          <w:i/>
          <w:noProof/>
        </w:rPr>
        <w:t>et al.</w:t>
      </w:r>
      <w:r w:rsidRPr="008A6B71">
        <w:rPr>
          <w:rFonts w:cs="Times"/>
          <w:noProof/>
        </w:rPr>
        <w:t>, 2008)</w:t>
      </w:r>
      <w:r>
        <w:rPr>
          <w:rFonts w:cs="Times"/>
        </w:rPr>
        <w:fldChar w:fldCharType="end"/>
      </w:r>
      <w:r>
        <w:rPr>
          <w:rFonts w:cs="Times"/>
        </w:rPr>
        <w:t xml:space="preserve">. This tool uses the Bladj algorithm to calibrate the internal nodes of phylogenetic trees based on ages, resulting in branch lengths that correspond to the evolutionary divergence time. Output was finally plotted using R software. </w:t>
      </w:r>
    </w:p>
    <w:p w14:paraId="37FF0492" w14:textId="77777777" w:rsidR="0052730F" w:rsidRDefault="0052730F" w:rsidP="0052730F">
      <w:pPr>
        <w:pStyle w:val="BodyJB"/>
      </w:pPr>
    </w:p>
    <w:p w14:paraId="64A9F261" w14:textId="77777777" w:rsidR="00095BDC" w:rsidRDefault="00095BDC" w:rsidP="0052730F">
      <w:pPr>
        <w:spacing w:line="360" w:lineRule="auto"/>
        <w:ind w:left="720"/>
        <w:rPr>
          <w:rFonts w:ascii="Times" w:hAnsi="Times"/>
        </w:rPr>
      </w:pPr>
    </w:p>
    <w:p w14:paraId="66C46A86" w14:textId="77777777" w:rsidR="00095BDC" w:rsidRDefault="00095BDC" w:rsidP="0052730F">
      <w:pPr>
        <w:spacing w:line="360" w:lineRule="auto"/>
        <w:ind w:left="720"/>
        <w:rPr>
          <w:rFonts w:ascii="Times" w:hAnsi="Times"/>
        </w:rPr>
      </w:pPr>
    </w:p>
    <w:p w14:paraId="16B01E36" w14:textId="77777777" w:rsidR="00095BDC" w:rsidRDefault="00095BDC" w:rsidP="0052730F">
      <w:pPr>
        <w:spacing w:line="360" w:lineRule="auto"/>
        <w:ind w:left="720"/>
        <w:rPr>
          <w:rFonts w:ascii="Times" w:hAnsi="Times"/>
        </w:rPr>
      </w:pPr>
    </w:p>
    <w:p w14:paraId="7D83CAF1" w14:textId="77777777" w:rsidR="00095BDC" w:rsidRDefault="00095BDC" w:rsidP="0052730F">
      <w:pPr>
        <w:spacing w:line="360" w:lineRule="auto"/>
        <w:ind w:left="720"/>
        <w:rPr>
          <w:rFonts w:ascii="Times" w:hAnsi="Times"/>
        </w:rPr>
      </w:pPr>
    </w:p>
    <w:p w14:paraId="440D6AC6" w14:textId="77777777" w:rsidR="00095BDC" w:rsidRDefault="00095BDC" w:rsidP="0052730F">
      <w:pPr>
        <w:spacing w:line="360" w:lineRule="auto"/>
        <w:ind w:left="720"/>
        <w:rPr>
          <w:rFonts w:ascii="Times" w:hAnsi="Times"/>
        </w:rPr>
      </w:pPr>
    </w:p>
    <w:p w14:paraId="51C60512" w14:textId="77777777" w:rsidR="00095BDC" w:rsidRDefault="00095BDC" w:rsidP="0052730F">
      <w:pPr>
        <w:spacing w:line="360" w:lineRule="auto"/>
        <w:ind w:left="720"/>
        <w:rPr>
          <w:rFonts w:ascii="Times" w:hAnsi="Times"/>
        </w:rPr>
      </w:pPr>
    </w:p>
    <w:p w14:paraId="34BD66E5" w14:textId="77777777" w:rsidR="00095BDC" w:rsidRDefault="00095BDC" w:rsidP="0052730F">
      <w:pPr>
        <w:spacing w:line="360" w:lineRule="auto"/>
        <w:ind w:left="720"/>
        <w:rPr>
          <w:rFonts w:ascii="Times" w:hAnsi="Times"/>
        </w:rPr>
      </w:pPr>
    </w:p>
    <w:p w14:paraId="1837771D" w14:textId="77777777" w:rsidR="00095BDC" w:rsidRDefault="00095BDC" w:rsidP="0052730F">
      <w:pPr>
        <w:spacing w:line="360" w:lineRule="auto"/>
        <w:ind w:left="720"/>
        <w:rPr>
          <w:rFonts w:ascii="Times" w:hAnsi="Times"/>
        </w:rPr>
      </w:pPr>
    </w:p>
    <w:p w14:paraId="4D5F395E" w14:textId="46CD48ED" w:rsidR="0052730F" w:rsidRDefault="0052730F" w:rsidP="0052730F">
      <w:pPr>
        <w:spacing w:line="360" w:lineRule="auto"/>
        <w:ind w:left="720"/>
        <w:rPr>
          <w:rFonts w:ascii="Times" w:hAnsi="Times"/>
        </w:rPr>
      </w:pPr>
    </w:p>
    <w:p w14:paraId="5928AD4E" w14:textId="4C73997E" w:rsidR="0052730F" w:rsidRDefault="00095BDC" w:rsidP="00095BDC">
      <w:pPr>
        <w:spacing w:line="360" w:lineRule="auto"/>
        <w:jc w:val="center"/>
        <w:rPr>
          <w:rFonts w:ascii="Times" w:hAnsi="Times"/>
        </w:rPr>
      </w:pPr>
      <w:r w:rsidRPr="00095BDC">
        <w:rPr>
          <w:rFonts w:ascii="Times" w:hAnsi="Times"/>
          <w:noProof/>
          <w:lang w:val="en-US" w:eastAsia="en-US"/>
        </w:rPr>
        <w:drawing>
          <wp:inline distT="0" distB="0" distL="0" distR="0" wp14:anchorId="09D4581C" wp14:editId="3244DBC7">
            <wp:extent cx="4340860" cy="3298671"/>
            <wp:effectExtent l="0" t="0" r="254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LO ON OWN.png"/>
                    <pic:cNvPicPr/>
                  </pic:nvPicPr>
                  <pic:blipFill rotWithShape="1">
                    <a:blip r:embed="rId20">
                      <a:extLst>
                        <a:ext uri="{28A0092B-C50C-407E-A947-70E740481C1C}">
                          <a14:useLocalDpi xmlns:a14="http://schemas.microsoft.com/office/drawing/2010/main" val="0"/>
                        </a:ext>
                      </a:extLst>
                    </a:blip>
                    <a:srcRect l="9178"/>
                    <a:stretch/>
                  </pic:blipFill>
                  <pic:spPr bwMode="auto">
                    <a:xfrm>
                      <a:off x="0" y="0"/>
                      <a:ext cx="4340860" cy="3298671"/>
                    </a:xfrm>
                    <a:prstGeom prst="rect">
                      <a:avLst/>
                    </a:prstGeom>
                    <a:ln>
                      <a:noFill/>
                    </a:ln>
                    <a:extLst>
                      <a:ext uri="{53640926-AAD7-44d8-BBD7-CCE9431645EC}">
                        <a14:shadowObscured xmlns:a14="http://schemas.microsoft.com/office/drawing/2010/main"/>
                      </a:ext>
                    </a:extLst>
                  </pic:spPr>
                </pic:pic>
              </a:graphicData>
            </a:graphic>
          </wp:inline>
        </w:drawing>
      </w:r>
    </w:p>
    <w:p w14:paraId="088D613B" w14:textId="77777777" w:rsidR="0052730F" w:rsidRDefault="0052730F" w:rsidP="0052730F">
      <w:pPr>
        <w:pStyle w:val="BodyJB"/>
        <w:spacing w:line="240" w:lineRule="auto"/>
      </w:pPr>
      <w:r>
        <w:t>Fig. 2.8. Phylogenetic summary of species, branch lengths correspond to the evolutionary divergence time.</w:t>
      </w:r>
    </w:p>
    <w:p w14:paraId="32D7CA62" w14:textId="77777777" w:rsidR="0052730F" w:rsidRDefault="0052730F" w:rsidP="0052730F">
      <w:pPr>
        <w:pStyle w:val="BodyJB"/>
      </w:pPr>
    </w:p>
    <w:p w14:paraId="1B7BE30D" w14:textId="77777777" w:rsidR="0052730F" w:rsidRDefault="0052730F" w:rsidP="0052730F">
      <w:pPr>
        <w:pStyle w:val="BodyJB"/>
      </w:pPr>
    </w:p>
    <w:p w14:paraId="7AC22E34" w14:textId="77777777" w:rsidR="0052730F" w:rsidRDefault="0052730F" w:rsidP="0052730F">
      <w:pPr>
        <w:pStyle w:val="BodyJB"/>
      </w:pPr>
    </w:p>
    <w:p w14:paraId="5A078CA8" w14:textId="77777777" w:rsidR="0052730F" w:rsidRDefault="0052730F" w:rsidP="0052730F">
      <w:pPr>
        <w:pStyle w:val="BodyJB"/>
      </w:pPr>
    </w:p>
    <w:p w14:paraId="6EABE80A" w14:textId="77777777" w:rsidR="0052730F" w:rsidRDefault="0052730F" w:rsidP="0052730F">
      <w:pPr>
        <w:pStyle w:val="BodyJB"/>
      </w:pPr>
    </w:p>
    <w:p w14:paraId="53F1ADC2" w14:textId="77777777" w:rsidR="0052730F" w:rsidRDefault="0052730F" w:rsidP="0052730F">
      <w:pPr>
        <w:pStyle w:val="BodyJB"/>
      </w:pPr>
    </w:p>
    <w:p w14:paraId="79A3DB7E" w14:textId="77777777" w:rsidR="0052730F" w:rsidRDefault="0052730F" w:rsidP="0052730F">
      <w:pPr>
        <w:pStyle w:val="BodyJB"/>
      </w:pPr>
    </w:p>
    <w:p w14:paraId="1E285FD2" w14:textId="77777777" w:rsidR="0052730F" w:rsidRDefault="0052730F" w:rsidP="0052730F">
      <w:pPr>
        <w:pStyle w:val="BodyJB"/>
      </w:pPr>
    </w:p>
    <w:p w14:paraId="0DF0B643" w14:textId="77777777" w:rsidR="0052730F" w:rsidRDefault="0052730F" w:rsidP="0052730F">
      <w:pPr>
        <w:pStyle w:val="BodyJB"/>
      </w:pPr>
    </w:p>
    <w:p w14:paraId="668CD9F1" w14:textId="77777777" w:rsidR="0052730F" w:rsidRDefault="0052730F" w:rsidP="0052730F">
      <w:pPr>
        <w:pStyle w:val="BodyJB"/>
      </w:pPr>
    </w:p>
    <w:p w14:paraId="4491D5D5" w14:textId="77777777" w:rsidR="0052730F" w:rsidRDefault="0052730F" w:rsidP="0052730F">
      <w:pPr>
        <w:pStyle w:val="BodyJB"/>
      </w:pPr>
    </w:p>
    <w:p w14:paraId="29C519B5" w14:textId="77777777" w:rsidR="0052730F" w:rsidRDefault="0052730F" w:rsidP="0052730F">
      <w:pPr>
        <w:pStyle w:val="BodyJB"/>
      </w:pPr>
    </w:p>
    <w:p w14:paraId="5AAFD31A" w14:textId="77777777" w:rsidR="0052730F" w:rsidRPr="00D87A8E" w:rsidRDefault="0052730F" w:rsidP="00DC7B26">
      <w:pPr>
        <w:pStyle w:val="subheadingMINOR"/>
      </w:pPr>
      <w:bookmarkStart w:id="30" w:name="_Toc291410048"/>
      <w:r w:rsidRPr="00D87A8E">
        <w:t>Experimental Design</w:t>
      </w:r>
      <w:bookmarkEnd w:id="30"/>
    </w:p>
    <w:p w14:paraId="264268D5" w14:textId="77777777" w:rsidR="0052730F" w:rsidRDefault="0052730F" w:rsidP="00DC7B26">
      <w:pPr>
        <w:pStyle w:val="BodyJB"/>
        <w:ind w:firstLine="720"/>
      </w:pPr>
      <w:r w:rsidRPr="002308C8">
        <w:t>Assessing</w:t>
      </w:r>
      <w:r>
        <w:t xml:space="preserve"> phenotypic</w:t>
      </w:r>
      <w:r w:rsidRPr="002308C8">
        <w:t xml:space="preserve"> metabolic variability of multiple populations grown under common environmental conditions will indicate whether each species convey interspecific metabolic variation. Removing variation in environmental conditions will indicate that differences in metabolic traits are genetically controlled, potentially inferring adaptation to local conditions of the home population. </w:t>
      </w:r>
    </w:p>
    <w:p w14:paraId="5CBC8BCB" w14:textId="77777777" w:rsidR="0052730F" w:rsidRDefault="0052730F" w:rsidP="00DC7B26">
      <w:pPr>
        <w:pStyle w:val="BodyJB"/>
        <w:ind w:firstLine="720"/>
      </w:pPr>
      <w:r w:rsidRPr="002308C8">
        <w:t xml:space="preserve">In this experiment </w:t>
      </w:r>
      <w:r w:rsidRPr="002308C8">
        <w:rPr>
          <w:i/>
        </w:rPr>
        <w:t xml:space="preserve">Arenaria serpyllifolia, Cerastium diffusum, Phleum arenarium, Senecio vulgaris and Veronica arvensis </w:t>
      </w:r>
      <w:r w:rsidRPr="002308C8">
        <w:t>plants from populations in Spain, France and Great Britain were grown in the following conditions. 25 seeds per species x population were sown in Levington M3 compost/sand/vermiculite mixture (2:1:1) within 6 x 6 x 10 cm pots. Three replicate pots per species x population were placed in trays in a controlled-environment growth cabinet. Cabinet conditions were 15°C/10°C temperature cycle, 8/16hour light cycle. Substrate was kept constantly damp by watering from the base of the pot. No additional nutrients were added to the substrate or water. At 5 weeks, when seeds had fully expanded cotyledons, seedlings per species x population replication were thinned to 12 individuals per pot and distributed evenly within a pot.</w:t>
      </w:r>
      <w:r w:rsidRPr="002B6213">
        <w:t xml:space="preserve">  </w:t>
      </w:r>
    </w:p>
    <w:p w14:paraId="484BD179" w14:textId="67F6386C" w:rsidR="0052730F" w:rsidRPr="002B6213" w:rsidRDefault="0052730F" w:rsidP="00DC7B26">
      <w:pPr>
        <w:pStyle w:val="BodyJB"/>
        <w:ind w:firstLine="720"/>
      </w:pPr>
      <w:r>
        <w:t>T</w:t>
      </w:r>
      <w:r w:rsidRPr="00191AD2">
        <w:t xml:space="preserve">wo generations of plants were grown: F1 generation plants were grown from seed taken from field populations and F2 generation plants were grown from seed taken from populations grown under common environmental conditions. Acetate barriers were placed around each pot to ensure that pollen did not transfer between populations. Upon pollen production each pot of the grass </w:t>
      </w:r>
      <w:r w:rsidR="00065F92">
        <w:t>P. arenarium</w:t>
      </w:r>
      <w:r w:rsidRPr="00191AD2">
        <w:t xml:space="preserve"> was covered with a clear bag to prevent pollen dispersal.</w:t>
      </w:r>
    </w:p>
    <w:p w14:paraId="3AADC9D8" w14:textId="77777777" w:rsidR="0052730F" w:rsidRPr="003A3E2D" w:rsidRDefault="0052730F" w:rsidP="0052730F">
      <w:pPr>
        <w:pStyle w:val="BodyJB"/>
      </w:pPr>
    </w:p>
    <w:bookmarkEnd w:id="28"/>
    <w:p w14:paraId="38252568" w14:textId="77777777" w:rsidR="0052730F" w:rsidRDefault="0052730F" w:rsidP="0052730F">
      <w:pPr>
        <w:pStyle w:val="BodyJB"/>
      </w:pPr>
    </w:p>
    <w:p w14:paraId="0418DAA1" w14:textId="77777777" w:rsidR="0052730F" w:rsidRPr="0010705B" w:rsidRDefault="0052730F" w:rsidP="0052730F">
      <w:pPr>
        <w:pStyle w:val="SubheadingJB"/>
      </w:pPr>
      <w:bookmarkStart w:id="31" w:name="_Toc291410049"/>
      <w:r w:rsidRPr="0010705B">
        <w:t>2.2.3- Metabolomic Analysis Methods</w:t>
      </w:r>
      <w:bookmarkEnd w:id="31"/>
    </w:p>
    <w:p w14:paraId="48880FC8" w14:textId="77777777" w:rsidR="0052730F" w:rsidRPr="0010705B" w:rsidRDefault="0052730F" w:rsidP="00DC7B26">
      <w:pPr>
        <w:pStyle w:val="subheadingMINOR"/>
      </w:pPr>
      <w:bookmarkStart w:id="32" w:name="_Toc291410050"/>
      <w:r w:rsidRPr="0010705B">
        <w:t>2.2.3.1- Metabolite Sample Harvesting</w:t>
      </w:r>
      <w:bookmarkEnd w:id="32"/>
    </w:p>
    <w:p w14:paraId="26D23576" w14:textId="77777777" w:rsidR="0052730F" w:rsidRPr="008B0265" w:rsidRDefault="0052730F" w:rsidP="008B0265">
      <w:pPr>
        <w:pStyle w:val="BodyJB"/>
        <w:rPr>
          <w:u w:val="single"/>
        </w:rPr>
      </w:pPr>
      <w:r w:rsidRPr="008B0265">
        <w:rPr>
          <w:u w:val="single"/>
        </w:rPr>
        <w:t>Controlled Environment Studies (Chapter 4 and 5)</w:t>
      </w:r>
    </w:p>
    <w:p w14:paraId="6959C67B" w14:textId="77777777" w:rsidR="0052730F" w:rsidRPr="007D648A" w:rsidRDefault="0052730F" w:rsidP="0052730F">
      <w:pPr>
        <w:pStyle w:val="BodyJB"/>
      </w:pPr>
      <w:r w:rsidRPr="007D648A">
        <w:t xml:space="preserve">Leaf tissues were sampled at the same life history stage, typically one week after the initiation of flowering in an individual plant. In the grass </w:t>
      </w:r>
      <w:r w:rsidRPr="007D648A">
        <w:rPr>
          <w:i/>
        </w:rPr>
        <w:t>Phleum arenarium</w:t>
      </w:r>
      <w:r w:rsidRPr="007D648A">
        <w:t xml:space="preserve">, leaf tissues were sampled one week after the first presence of a bud, and in </w:t>
      </w:r>
      <w:r w:rsidRPr="007D648A">
        <w:rPr>
          <w:i/>
        </w:rPr>
        <w:t>Arenaria serpyllifolia</w:t>
      </w:r>
      <w:r w:rsidRPr="007D648A">
        <w:t xml:space="preserve"> sampling took place four weeks after time to 50% germination. At least three individuals per pot were sampled, a minimum of 9 plants per population per species. Harvesting was conducted during two hours around the middle of the photoperiod. </w:t>
      </w:r>
    </w:p>
    <w:p w14:paraId="34205BFD" w14:textId="77777777" w:rsidR="0052730F" w:rsidRPr="007D648A" w:rsidRDefault="0052730F" w:rsidP="0052730F">
      <w:pPr>
        <w:pStyle w:val="BodyJB"/>
      </w:pPr>
      <w:r w:rsidRPr="007D648A">
        <w:t xml:space="preserve">Typically, tissue samples consisted of one leaf of an individual plant. Within each species the choice of sample leaf was standardised by harvesting an average aged leaf, usually from the third node where possible.  For the small leaved species </w:t>
      </w:r>
      <w:r w:rsidRPr="007D648A">
        <w:rPr>
          <w:i/>
        </w:rPr>
        <w:t>Arenaria serpyllifolia</w:t>
      </w:r>
      <w:r w:rsidRPr="007D648A">
        <w:t xml:space="preserve">, leaves from a leaf pair were harvested. </w:t>
      </w:r>
    </w:p>
    <w:p w14:paraId="5875C3B0" w14:textId="77777777" w:rsidR="0052730F" w:rsidRPr="007D648A" w:rsidRDefault="0052730F" w:rsidP="0052730F">
      <w:pPr>
        <w:pStyle w:val="BodyJB"/>
      </w:pPr>
    </w:p>
    <w:p w14:paraId="38E11B6B" w14:textId="77777777" w:rsidR="0052730F" w:rsidRPr="008B0265" w:rsidRDefault="0052730F" w:rsidP="0052730F">
      <w:pPr>
        <w:pStyle w:val="BodyJB"/>
        <w:rPr>
          <w:u w:val="single"/>
        </w:rPr>
      </w:pPr>
      <w:r w:rsidRPr="008B0265">
        <w:rPr>
          <w:u w:val="single"/>
        </w:rPr>
        <w:t>Field Study (Chapter 6)</w:t>
      </w:r>
    </w:p>
    <w:p w14:paraId="2EE5A19A" w14:textId="77777777" w:rsidR="0052730F" w:rsidRDefault="0052730F" w:rsidP="0052730F">
      <w:pPr>
        <w:pStyle w:val="BodyJB"/>
      </w:pPr>
      <w:r w:rsidRPr="007D648A">
        <w:t>Harvesting was conducted</w:t>
      </w:r>
      <w:r w:rsidRPr="00DF079E">
        <w:t xml:space="preserve"> during two hours around midday. Tissue samples consisted of one leaf of an individual plant taken from the third node where possible.  </w:t>
      </w:r>
    </w:p>
    <w:p w14:paraId="3A756098" w14:textId="77777777" w:rsidR="0052730F" w:rsidRDefault="0052730F" w:rsidP="0052730F">
      <w:pPr>
        <w:pStyle w:val="BodyJB"/>
        <w:rPr>
          <w:b/>
        </w:rPr>
      </w:pPr>
    </w:p>
    <w:p w14:paraId="44078448" w14:textId="77777777" w:rsidR="0052730F" w:rsidRPr="008B0265" w:rsidRDefault="0052730F" w:rsidP="008B0265">
      <w:pPr>
        <w:pStyle w:val="BodyJB"/>
        <w:rPr>
          <w:b/>
          <w:highlight w:val="cyan"/>
        </w:rPr>
      </w:pPr>
      <w:r w:rsidRPr="008B0265">
        <w:rPr>
          <w:b/>
        </w:rPr>
        <w:t>Metabolite Quenching</w:t>
      </w:r>
    </w:p>
    <w:p w14:paraId="6F6A888F" w14:textId="77777777" w:rsidR="0052730F" w:rsidRPr="007D648A" w:rsidRDefault="0052730F" w:rsidP="0052730F">
      <w:pPr>
        <w:pStyle w:val="BodyJB"/>
        <w:rPr>
          <w:rFonts w:eastAsia="Helvetica"/>
        </w:rPr>
      </w:pPr>
      <w:r w:rsidRPr="007D648A">
        <w:t xml:space="preserve">The length of the sample leaf was measured, then the excised from the plant using metal forceps and quickly placed in a 1.5 mL screw cap plastic micro centrifuge tube. Immediately, 0.5 mL of boiling 80 % methanol </w:t>
      </w:r>
      <w:r w:rsidRPr="007D648A">
        <w:rPr>
          <w:rFonts w:eastAsia="Helvetica"/>
        </w:rPr>
        <w:t xml:space="preserve">(~75 </w:t>
      </w:r>
      <w:r w:rsidRPr="007D648A">
        <w:rPr>
          <w:rFonts w:eastAsia="Helvetica"/>
        </w:rPr>
        <w:sym w:font="Symbol" w:char="F0B0"/>
      </w:r>
      <w:r w:rsidRPr="007D648A">
        <w:rPr>
          <w:rFonts w:eastAsia="Helvetica"/>
        </w:rPr>
        <w:t xml:space="preserve">C) was added to the tube in order to quench metabolism. Tubes were then placed in a water bath (created by boiling a pan of water on a camping stove) for three minutes to ensure methanol reached boiling point. </w:t>
      </w:r>
    </w:p>
    <w:p w14:paraId="6505BDF3" w14:textId="77777777" w:rsidR="0052730F" w:rsidRPr="007D648A" w:rsidRDefault="0052730F" w:rsidP="0052730F">
      <w:pPr>
        <w:pStyle w:val="BodyJB"/>
        <w:rPr>
          <w:rFonts w:eastAsia="Helvetica"/>
        </w:rPr>
      </w:pPr>
      <w:r w:rsidRPr="007D648A">
        <w:rPr>
          <w:rFonts w:eastAsia="Helvetica"/>
        </w:rPr>
        <w:t xml:space="preserve">In the controlled environmental studies, tubes were then placed in a micro centrifuge box and stored in a freezer (-80 </w:t>
      </w:r>
      <w:r w:rsidRPr="007D648A">
        <w:rPr>
          <w:rFonts w:eastAsia="Helvetica"/>
        </w:rPr>
        <w:sym w:font="Symbol" w:char="F0B0"/>
      </w:r>
      <w:r w:rsidRPr="007D648A">
        <w:rPr>
          <w:rFonts w:eastAsia="Helvetica"/>
        </w:rPr>
        <w:t>C).</w:t>
      </w:r>
    </w:p>
    <w:p w14:paraId="2854F19D" w14:textId="77777777" w:rsidR="0052730F" w:rsidRPr="002B6213" w:rsidRDefault="0052730F" w:rsidP="0052730F">
      <w:pPr>
        <w:pStyle w:val="BodyJB"/>
        <w:rPr>
          <w:rFonts w:eastAsia="Helvetica"/>
        </w:rPr>
      </w:pPr>
      <w:r w:rsidRPr="007D648A">
        <w:rPr>
          <w:rFonts w:eastAsia="Helvetica"/>
        </w:rPr>
        <w:t>In the field study</w:t>
      </w:r>
      <w:r>
        <w:rPr>
          <w:rFonts w:eastAsia="Helvetica"/>
        </w:rPr>
        <w:t>, t</w:t>
      </w:r>
      <w:r w:rsidRPr="00DF079E">
        <w:rPr>
          <w:rFonts w:eastAsia="Helvetica"/>
        </w:rPr>
        <w:t xml:space="preserve">ubes were then places in a micro centrifuge box and kept cool in a freezer (-20 </w:t>
      </w:r>
      <w:r w:rsidRPr="00DF079E">
        <w:rPr>
          <w:rFonts w:eastAsia="Helvetica"/>
        </w:rPr>
        <w:sym w:font="Symbol" w:char="F0B0"/>
      </w:r>
      <w:r w:rsidRPr="00DF079E">
        <w:rPr>
          <w:rFonts w:eastAsia="Helvetica"/>
        </w:rPr>
        <w:t xml:space="preserve">C).  Samples were </w:t>
      </w:r>
      <w:r>
        <w:rPr>
          <w:rFonts w:eastAsia="Helvetica"/>
        </w:rPr>
        <w:t xml:space="preserve">sealed and </w:t>
      </w:r>
      <w:r w:rsidRPr="00DF079E">
        <w:rPr>
          <w:rFonts w:eastAsia="Helvetica"/>
        </w:rPr>
        <w:t xml:space="preserve">secured before shipment by courier to the laboratory in Sheffield where the samples were placed in a freezer (-80 </w:t>
      </w:r>
      <w:r w:rsidRPr="00DF079E">
        <w:rPr>
          <w:rFonts w:eastAsia="Helvetica"/>
        </w:rPr>
        <w:sym w:font="Symbol" w:char="F0B0"/>
      </w:r>
      <w:r w:rsidRPr="00DF079E">
        <w:rPr>
          <w:rFonts w:eastAsia="Helvetica"/>
        </w:rPr>
        <w:t>C).</w:t>
      </w:r>
    </w:p>
    <w:p w14:paraId="5DC5E1CF" w14:textId="77777777" w:rsidR="0052730F" w:rsidRPr="002308C8" w:rsidRDefault="0052730F" w:rsidP="0052730F">
      <w:pPr>
        <w:pStyle w:val="BodyJB"/>
      </w:pPr>
      <w:bookmarkStart w:id="33" w:name="_Toc250775669"/>
    </w:p>
    <w:p w14:paraId="0B74B0DF" w14:textId="77777777" w:rsidR="0052730F" w:rsidRPr="006E791A" w:rsidRDefault="0052730F" w:rsidP="00DC7B26">
      <w:pPr>
        <w:pStyle w:val="subheadingMINOR"/>
      </w:pPr>
      <w:bookmarkStart w:id="34" w:name="_Toc291410051"/>
      <w:r w:rsidRPr="006E791A">
        <w:t>2.2.3.2- Metabolite Extraction</w:t>
      </w:r>
      <w:bookmarkEnd w:id="33"/>
      <w:bookmarkEnd w:id="34"/>
    </w:p>
    <w:p w14:paraId="16B2195B" w14:textId="191C2E29" w:rsidR="0052730F" w:rsidRPr="0076678F" w:rsidRDefault="0052730F" w:rsidP="0052730F">
      <w:pPr>
        <w:pStyle w:val="BodyJB"/>
        <w:rPr>
          <w:rFonts w:eastAsia="Helvetica"/>
        </w:rPr>
      </w:pPr>
      <w:r w:rsidRPr="0076678F">
        <w:t xml:space="preserve">Metabolites were extracted using a bi-phasic solvent system adapted from </w:t>
      </w:r>
      <w:r w:rsidRPr="0076678F">
        <w:fldChar w:fldCharType="begin" w:fldLock="1"/>
      </w:r>
      <w:r w:rsidR="007C2FF9">
        <w:instrText>ADDIN CSL_CITATION { "citationItems" : [ { "id" : "ITEM-1", "itemData" : { "ISBN" : "0014-5793", "author" : [ { "dropping-particle" : "", "family" : "Stitt", "given" : "M", "non-dropping-particle" : "", "parse-names" : false, "suffix" : "" }, { "dropping-particle" : "", "family" : "Mieskes", "given" : "G", "non-dropping-particle" : "", "parse-names" : false, "suffix" : "" }, { "dropping-particle" : "", "family" : "Soling", "given" : "H D", "non-dropping-particle" : "", "parse-names" : false, "suffix" : "" }, { "dropping-particle" : "", "family" : "Heldt", "given" : "H W", "non-dropping-particle" : "", "parse-names" : false, "suffix" : "" } ], "container-title" : "Febs Letters", "id" : "ITEM-1", "issue" : "2", "issued" : { "date-parts" : [ [ "1982" ] ] }, "language" : "English", "page" : "217-222", "title" : "On a Possible Role of Fructose 2,6-Bisphosphate in Regulating Photosynthetic Metabolism in Leaves", "type" : "article-journal", "volume" : "145" }, "uris" : [ "http://www.mendeley.com/documents/?uuid=be064bd0-3d4a-4b8f-83b0-abd040ecb151" ] } ], "mendeley" : { "formattedCitation" : "(Stitt et al., 1982)", "manualFormatting" : "Stitt, Mieskes, Soling, &amp; Heldt, 1982", "plainTextFormattedCitation" : "(Stitt et al., 1982)", "previouslyFormattedCitation" : "(Stitt et al., 1982)" }, "properties" : { "noteIndex" : 0 }, "schema" : "https://github.com/citation-style-language/schema/raw/master/csl-citation.json" }</w:instrText>
      </w:r>
      <w:r w:rsidRPr="0076678F">
        <w:fldChar w:fldCharType="separate"/>
      </w:r>
      <w:r w:rsidRPr="009355DB">
        <w:rPr>
          <w:noProof/>
        </w:rPr>
        <w:t>Stitt, Mieskes, Soling, &amp; Heldt, 1982</w:t>
      </w:r>
      <w:r w:rsidRPr="0076678F">
        <w:fldChar w:fldCharType="end"/>
      </w:r>
      <w:r w:rsidRPr="0076678F">
        <w:fldChar w:fldCharType="begin"/>
      </w:r>
      <w:r w:rsidRPr="0076678F">
        <w:instrText xml:space="preserve"> ADDIN EN.CITE &lt;EndNote&gt;&lt;Cite&gt;&lt;Author&gt;Stitt&lt;/Author&gt;&lt;Year&gt;1982&lt;/Year&gt;&lt;RecNum&gt;213&lt;/RecNum&gt;&lt;record&gt;&lt;rec-number&gt;213&lt;/rec-number&gt;&lt;foreign-keys&gt;&lt;key app="EN" db-id="sz92v02d1ft5tme5zvp5fewwtatstptt55zf"&gt;213&lt;/key&gt;&lt;/foreign-keys&gt;&lt;ref-type name="Journal Article"&gt;17&lt;/ref-type&gt;&lt;contributors&gt;&lt;authors&gt;&lt;author&gt;Stitt, M.&lt;/author&gt;&lt;author&gt;Mieskes, G.&lt;/author&gt;&lt;author&gt;Soling, H. D.&lt;/author&gt;&lt;author&gt;Heldt, H. W.&lt;/author&gt;&lt;/authors&gt;&lt;/contributors&gt;&lt;auth-address&gt;Stitt, M&amp;#xD;Univ Gottingen,Lehrstuhl Biochem Pflanze,D-3400 Gottingen,Fed Rep Ger&amp;#xD;Univ Gottingen,Lehrstuhl Biochem Pflanze,D-3400 Gottingen,Fed Rep Ger&amp;#xD;Univ Gottingen,Klin Biochem Abt,D-3400 Gottingen,Fed Rep Ger&lt;/auth-address&gt;&lt;titles&gt;&lt;title&gt;On a Possible Role of Fructose 2,6-Bisphosphate in Regulating Photosynthetic Metabolism in Leaves&lt;/title&gt;&lt;secondary-title&gt;Febs Letters&lt;/secondary-title&gt;&lt;alt-title&gt;Febs Lett&lt;/alt-title&gt;&lt;/titles&gt;&lt;pages&gt;217-222&lt;/pages&gt;&lt;volume&gt;145&lt;/volume&gt;&lt;number&gt;2&lt;/number&gt;&lt;dates&gt;&lt;year&gt;1982&lt;/year&gt;&lt;/dates&gt;&lt;isbn&gt;0014-5793&lt;/isbn&gt;&lt;accession-num&gt;ISI:A1982PH10200012&lt;/accession-num&gt;&lt;urls&gt;&lt;related-urls&gt;&lt;url&gt;&amp;lt;Go to ISI&amp;gt;://A1982PH10200012&lt;/url&gt;&lt;/related-urls&gt;&lt;/urls&gt;&lt;language&gt;English&lt;/language&gt;&lt;/record&gt;&lt;/Cite&gt;&lt;/EndNote&gt;</w:instrText>
      </w:r>
      <w:r w:rsidRPr="0076678F">
        <w:fldChar w:fldCharType="end"/>
      </w:r>
      <w:r w:rsidRPr="0076678F">
        <w:t xml:space="preserve">. </w:t>
      </w:r>
      <w:r w:rsidRPr="0076678F">
        <w:rPr>
          <w:rFonts w:eastAsia="Helvetica"/>
        </w:rPr>
        <w:t xml:space="preserve">First, the 0.5 mL of methanol used in the sampling protocol was removed and placed into a 2 mL plastic eppendorf tube. Leaf tissue samples were left intact and not ground (See Supplementary Information). 300 </w:t>
      </w:r>
      <w:r w:rsidRPr="0076678F">
        <w:rPr>
          <w:rFonts w:eastAsia="Helvetica"/>
        </w:rPr>
        <w:sym w:font="Symbol" w:char="F06D"/>
      </w:r>
      <w:r w:rsidRPr="0076678F">
        <w:rPr>
          <w:rFonts w:eastAsia="Helvetica"/>
        </w:rPr>
        <w:t xml:space="preserve">L of cold extraction solvent (Methanol: Water: Chloroform, 2.5:1:1) was added to the sample, tubes were vortexed and left on ice for 30 minutes with occasional shaking. This supernatant was then removed and added to the previous supernatant for the respective sample. This was repeated once more and then again using 600 </w:t>
      </w:r>
      <w:r w:rsidRPr="0076678F">
        <w:rPr>
          <w:rFonts w:eastAsia="Helvetica"/>
        </w:rPr>
        <w:sym w:font="Symbol" w:char="F06D"/>
      </w:r>
      <w:r w:rsidRPr="0076678F">
        <w:rPr>
          <w:rFonts w:eastAsia="Helvetica"/>
        </w:rPr>
        <w:t xml:space="preserve">L chloroform as the extraction solvent. 130 </w:t>
      </w:r>
      <w:r w:rsidRPr="0076678F">
        <w:rPr>
          <w:rFonts w:eastAsia="Helvetica"/>
        </w:rPr>
        <w:sym w:font="Symbol" w:char="F06D"/>
      </w:r>
      <w:r w:rsidRPr="0076678F">
        <w:rPr>
          <w:rFonts w:eastAsia="Helvetica"/>
        </w:rPr>
        <w:t>L of cold distilled water was then added to the supernatant tube, tubes were then centrifuged for 3 minutes at 13,000 rpm to separate the polar and nonpolar phases. Phases were removed into separate pre-labelled and chilled eppendorfs and stored at -80</w:t>
      </w:r>
      <w:r w:rsidRPr="0076678F">
        <w:rPr>
          <w:rFonts w:eastAsia="Helvetica"/>
        </w:rPr>
        <w:sym w:font="Symbol" w:char="F0B0"/>
      </w:r>
      <w:r w:rsidRPr="0076678F">
        <w:rPr>
          <w:rFonts w:eastAsia="Helvetica"/>
        </w:rPr>
        <w:t xml:space="preserve">C. Sample tubes containing the remaining leaf tissue were placed in an oven at 50 </w:t>
      </w:r>
      <w:r w:rsidRPr="0076678F">
        <w:rPr>
          <w:rFonts w:eastAsia="Helvetica"/>
        </w:rPr>
        <w:sym w:font="Symbol" w:char="F0B0"/>
      </w:r>
      <w:r w:rsidRPr="0076678F">
        <w:rPr>
          <w:rFonts w:eastAsia="Helvetica"/>
        </w:rPr>
        <w:t>C for 3 hours until tissue was dry. The tissue was then weighed to determine dry weight. This dry weight data was then used to calculate dilutions for each sample in order to standardise the concentration of extracts across all samples.</w:t>
      </w:r>
    </w:p>
    <w:p w14:paraId="49837054" w14:textId="77777777" w:rsidR="0052730F" w:rsidRPr="0076678F" w:rsidRDefault="0052730F" w:rsidP="0052730F">
      <w:pPr>
        <w:pStyle w:val="BodyJB"/>
      </w:pPr>
    </w:p>
    <w:p w14:paraId="5279302A" w14:textId="77777777" w:rsidR="0052730F" w:rsidRPr="006E791A" w:rsidRDefault="0052730F" w:rsidP="00DC7B26">
      <w:pPr>
        <w:pStyle w:val="subheadingMINOR"/>
      </w:pPr>
      <w:bookmarkStart w:id="35" w:name="_Toc250775670"/>
      <w:bookmarkStart w:id="36" w:name="_Toc291410052"/>
      <w:r w:rsidRPr="006E791A">
        <w:t>2.2.3.3- Mass Spectrometry Analysis</w:t>
      </w:r>
      <w:bookmarkEnd w:id="35"/>
      <w:bookmarkEnd w:id="36"/>
      <w:r w:rsidRPr="006E791A">
        <w:t xml:space="preserve"> </w:t>
      </w:r>
    </w:p>
    <w:p w14:paraId="0E399972" w14:textId="77777777" w:rsidR="0052730F" w:rsidRPr="0076678F" w:rsidRDefault="0052730F" w:rsidP="0052730F">
      <w:pPr>
        <w:pStyle w:val="BodyJB"/>
      </w:pPr>
      <w:r w:rsidRPr="0076678F">
        <w:tab/>
        <w:t xml:space="preserve">In the majority of experiments the aqueous methanol extract was analysed using Direct Injection Mass Spectrometry. This methanol extraction contains mainly polar metabolites, namely carbohydrates, amino acids and phenolics. Typical parameters for </w:t>
      </w:r>
      <w:r>
        <w:t xml:space="preserve"> mass spectrometer</w:t>
      </w:r>
      <w:r w:rsidRPr="0076678F">
        <w:t xml:space="preserve"> used are listed below, alterations to this are noted with the relevant chapter. </w:t>
      </w:r>
      <w:r w:rsidRPr="0076678F">
        <w:tab/>
      </w:r>
    </w:p>
    <w:p w14:paraId="52C06A41" w14:textId="77777777" w:rsidR="0052730F" w:rsidRDefault="0052730F" w:rsidP="0052730F">
      <w:pPr>
        <w:pStyle w:val="BodyJB"/>
        <w:rPr>
          <w:rFonts w:cs="Cambria"/>
        </w:rPr>
      </w:pPr>
    </w:p>
    <w:p w14:paraId="43E83734" w14:textId="77777777" w:rsidR="00DC7B26" w:rsidRDefault="0052730F" w:rsidP="0052730F">
      <w:pPr>
        <w:pStyle w:val="BodyJB"/>
      </w:pPr>
      <w:bookmarkStart w:id="37" w:name="_Toc250770574"/>
      <w:bookmarkStart w:id="38" w:name="_Toc250771173"/>
      <w:bookmarkStart w:id="39" w:name="_Toc250771453"/>
      <w:bookmarkStart w:id="40" w:name="_Toc250772112"/>
      <w:bookmarkStart w:id="41" w:name="_Toc250775671"/>
      <w:r w:rsidRPr="0076678F">
        <w:t>Electrospray ionisation- Time of flight- Mass spectrometry</w:t>
      </w:r>
      <w:r>
        <w:t xml:space="preserve"> (</w:t>
      </w:r>
      <w:r w:rsidRPr="0076678F">
        <w:rPr>
          <w:b/>
        </w:rPr>
        <w:t>ESI-Qq-TOF-MS</w:t>
      </w:r>
      <w:r>
        <w:rPr>
          <w:b/>
        </w:rPr>
        <w:t>)</w:t>
      </w:r>
      <w:r w:rsidRPr="0076678F">
        <w:rPr>
          <w:b/>
        </w:rPr>
        <w:t xml:space="preserve"> </w:t>
      </w:r>
      <w:r>
        <w:t>QSTAR</w:t>
      </w:r>
      <w:bookmarkStart w:id="42" w:name="_Toc250770575"/>
      <w:bookmarkStart w:id="43" w:name="_Toc250771174"/>
      <w:bookmarkStart w:id="44" w:name="_Toc250771454"/>
      <w:bookmarkStart w:id="45" w:name="_Toc250772113"/>
      <w:bookmarkStart w:id="46" w:name="_Toc250775672"/>
      <w:bookmarkEnd w:id="37"/>
      <w:bookmarkEnd w:id="38"/>
      <w:bookmarkEnd w:id="39"/>
      <w:bookmarkEnd w:id="40"/>
      <w:bookmarkEnd w:id="41"/>
      <w:r w:rsidR="00DC7B26">
        <w:t>.</w:t>
      </w:r>
    </w:p>
    <w:p w14:paraId="68ADD8D9" w14:textId="3E9A8E32" w:rsidR="0052730F" w:rsidRPr="0076678F" w:rsidRDefault="0052730F" w:rsidP="0052730F">
      <w:pPr>
        <w:pStyle w:val="BodyJB"/>
      </w:pPr>
      <w:r w:rsidRPr="0076678F">
        <w:t>The aqueous methanol phase was directly infused into a Hybrid Quadrupole-TOF LC/MS/MS Mass Spectrometer (Applied Biosystems Sciex Instruments) via a HP1090 Hewlett Packard HPLC autosampler. The HP1090 injected 25</w:t>
      </w:r>
      <w:r w:rsidRPr="0076678F">
        <w:sym w:font="Symbol" w:char="F06D"/>
      </w:r>
      <w:r w:rsidRPr="0076678F">
        <w:t>L of sample at a rate of 0.02mL/min. Scan parameters were set to run for the duration of the injection, positive TOF MS scan type, with Multi Channel Analysis (MCA) settings, mass range 50-1000. Unless otherwise state samples were run in triplicate to allow for instrument error.</w:t>
      </w:r>
      <w:bookmarkEnd w:id="42"/>
      <w:bookmarkEnd w:id="43"/>
      <w:bookmarkEnd w:id="44"/>
      <w:bookmarkEnd w:id="45"/>
      <w:bookmarkEnd w:id="46"/>
      <w:r w:rsidRPr="0076678F">
        <w:t xml:space="preserve"> </w:t>
      </w:r>
    </w:p>
    <w:p w14:paraId="7064E282" w14:textId="77777777" w:rsidR="0052730F" w:rsidRDefault="0052730F" w:rsidP="0052730F">
      <w:pPr>
        <w:pStyle w:val="BodyJB"/>
        <w:rPr>
          <w:rFonts w:cs="Cambria"/>
        </w:rPr>
      </w:pPr>
    </w:p>
    <w:p w14:paraId="695281B8" w14:textId="77777777" w:rsidR="0052730F" w:rsidRPr="006E791A" w:rsidRDefault="0052730F" w:rsidP="00DC7B26">
      <w:pPr>
        <w:pStyle w:val="subheadingMINOR"/>
      </w:pPr>
      <w:bookmarkStart w:id="47" w:name="_Toc250775673"/>
      <w:bookmarkStart w:id="48" w:name="_Toc291410053"/>
      <w:r w:rsidRPr="006E791A">
        <w:t>2.2.3.4- Metabolomic Data Analysis</w:t>
      </w:r>
      <w:bookmarkEnd w:id="47"/>
      <w:bookmarkEnd w:id="48"/>
    </w:p>
    <w:p w14:paraId="1D4770A6" w14:textId="77777777" w:rsidR="0052730F" w:rsidRPr="002C6149" w:rsidRDefault="0052730F" w:rsidP="0052730F">
      <w:pPr>
        <w:pStyle w:val="BodyJB"/>
      </w:pPr>
      <w:r w:rsidRPr="002C6149">
        <w:t>Binning</w:t>
      </w:r>
    </w:p>
    <w:p w14:paraId="58B94CFF" w14:textId="1D2347FC" w:rsidR="0052730F" w:rsidRPr="0076678F" w:rsidRDefault="0052730F" w:rsidP="0052730F">
      <w:pPr>
        <w:pStyle w:val="BodyJB"/>
      </w:pPr>
      <w:r w:rsidRPr="0076678F">
        <w:tab/>
        <w:t xml:space="preserve">Peak data from the mass spectrometer was binned at 0.2 Da using in house excel macro as described in </w:t>
      </w:r>
      <w:r w:rsidRPr="0076678F">
        <w:fldChar w:fldCharType="begin" w:fldLock="1"/>
      </w:r>
      <w:r w:rsidR="007C2FF9">
        <w:instrText>ADDIN CSL_CITATION { "citationItems" : [ { "id" : "ITEM-1", "itemData" : { "DOI" : "10.1093/jxb/eri070", "ISSN" : "0022-0957", "PMID" : "15596481", "abstract" : "Naturally occurring variation in wild species can be used to increase the genetic diversity of cultivated crops and improve agronomic value. Populations of introgression lines carrying wild species alleles afford an opportunity to identify traits associated with the introgressed regions, and facilitate characterization of the biochemistry and genetics underlying these phenotypes. Understanding plant metabolic pathways and the interactions between genes, phenotype, and environment is fundamental to functional genomics. Successful analysis of the complex network of plant metabolism requires analytical methods able to record information on as many metabolites as possible. Metabolite profiling is used to provide a snapshot of the metabolome in samples which differ in a known factor such as genetic background. Differences between the metabolite profiles can identify those metabolites/metabolic pathways affected by the introgression and allow genetic maps for metabolic alterations to be established. A Time-of-Flight Mass Spectrometry method is presented, with associated data reduction, used for profiling aqueous metabolites fom tomato. Analysis of ripe fruits of two tomato species, Lycopersicon esculentum and L. pennellii, showed differences in the amounts of many metabolites, including organic acids and sugars. Six introgression lines, L. pennellii introgressions within L. esculentum, were also examined and showed that Principal Component Analysis can reveal subtle differences in metabolism of the introgressed lines when compared to their parents.", "author" : [ { "dropping-particle" : "", "family" : "Overy", "given" : "S a", "non-dropping-particle" : "", "parse-names" : false, "suffix" : "" }, { "dropping-particle" : "", "family" : "Walker", "given" : "H J", "non-dropping-particle" : "", "parse-names" : false, "suffix" : "" }, { "dropping-particle" : "", "family" : "Malone", "given" : "S", "non-dropping-particle" : "", "parse-names" : false, "suffix" : "" }, { "dropping-particle" : "", "family" : "Howard", "given" : "T P", "non-dropping-particle" : "", "parse-names" : false, "suffix" : "" }, { "dropping-particle" : "", "family" : "Baxter", "given" : "C J", "non-dropping-particle" : "", "parse-names" : false, "suffix" : "" }, { "dropping-particle" : "", "family" : "Sweetlove", "given" : "L J", "non-dropping-particle" : "", "parse-names" : false, "suffix" : "" }, { "dropping-particle" : "", "family" : "Hill", "given" : "S a", "non-dropping-particle" : "", "parse-names" : false, "suffix" : "" }, { "dropping-particle" : "", "family" : "Quick", "given" : "W P", "non-dropping-particle" : "", "parse-names" : false, "suffix" : "" } ], "container-title" : "Journal of experimental botany", "id" : "ITEM-1", "issue" : "410", "issued" : { "date-parts" : [ [ "2005", "1" ] ] }, "page" : "287-96", "title" : "Application of metabolite profiling to the identification of traits in a population of tomato introgression lines.", "type" : "article-journal", "volume" : "56" }, "uris" : [ "http://www.mendeley.com/documents/?uuid=ba1a7f7c-c0c3-4901-b179-2b34da46987b" ] } ], "mendeley" : { "formattedCitation" : "(Overy et al., 2005)", "plainTextFormattedCitation" : "(Overy et al., 2005)", "previouslyFormattedCitation" : "(Overy et al., 2005)" }, "properties" : { "noteIndex" : 0 }, "schema" : "https://github.com/citation-style-language/schema/raw/master/csl-citation.json" }</w:instrText>
      </w:r>
      <w:r w:rsidRPr="0076678F">
        <w:fldChar w:fldCharType="separate"/>
      </w:r>
      <w:r w:rsidRPr="006B3180">
        <w:rPr>
          <w:noProof/>
        </w:rPr>
        <w:t>(Overy et al., 2005)</w:t>
      </w:r>
      <w:r w:rsidRPr="0076678F">
        <w:fldChar w:fldCharType="end"/>
      </w:r>
      <w:r w:rsidRPr="0076678F">
        <w:t>.  Running the samples in triplicate, and combining the three spectra to select masses present in all technical replicates reduced background noise. Masses were selected if the variance between the three replicates fell within the accepted range based on the following equations: positive ionisation mode, y &lt;0.00003x + 0.0022; negative ionisation mode, y &lt;0.00003x + 0.0044, where y is the standard deviation of the three replicate masses and x is the mean of the three masses. Following this step the mean mass across the three analytical replicate is calculated.</w:t>
      </w:r>
    </w:p>
    <w:p w14:paraId="57CBB16B" w14:textId="77777777" w:rsidR="0052730F" w:rsidRPr="0076678F" w:rsidRDefault="0052730F" w:rsidP="0052730F">
      <w:pPr>
        <w:pStyle w:val="BodyJB"/>
      </w:pPr>
    </w:p>
    <w:p w14:paraId="3C624D75" w14:textId="77777777" w:rsidR="0052730F" w:rsidRPr="002C6149" w:rsidRDefault="0052730F" w:rsidP="0052730F">
      <w:pPr>
        <w:pStyle w:val="BodyJB"/>
      </w:pPr>
      <w:r w:rsidRPr="002C6149">
        <w:t>Principal Component Analysis (PCA)</w:t>
      </w:r>
    </w:p>
    <w:p w14:paraId="22425773" w14:textId="31449982" w:rsidR="0052730F" w:rsidRPr="007D648A" w:rsidRDefault="0052730F" w:rsidP="00DC7B26">
      <w:pPr>
        <w:pStyle w:val="BodyJB"/>
        <w:ind w:firstLine="720"/>
      </w:pPr>
      <w:r w:rsidRPr="0076678F">
        <w:t>In this thesis percent Total Ion Count (% TIC) data for each bin of each sample was analysed by Principal Component Analysis using Simca-P (Version 12, Umetrics, Sweden) software. % TIC data normalises data to allow comparison between samples. Data were pareto scaled within Simca-P to reduce the potentially biasing influence of larger spectral masses. The parameters of the model were assessed to determine whether the principal components (PC) created we</w:t>
      </w:r>
      <w:r>
        <w:t>re informative and meaningful. R</w:t>
      </w:r>
      <w:r w:rsidRPr="0076678F">
        <w:t xml:space="preserve">2 values representing how well the data fit the model, Simca-P also runs cross validation tests when creating a model and deems a PC to be significant if the inclusion of that PC in the model reduces predictive error in the cross validation step </w:t>
      </w:r>
      <w:r w:rsidRPr="0076678F">
        <w:fldChar w:fldCharType="begin" w:fldLock="1"/>
      </w:r>
      <w:r w:rsidR="007C2FF9">
        <w:instrText>ADDIN CSL_CITATION { "citationItems" : [ { "id" : "ITEM-1", "itemData" : { "DOI" : "10.1104/pp.109.150524", "author" : [ { "dropping-particle" : "", "family" : "Scott", "given" : "IM", "non-dropping-particle" : "", "parse-names" : false, "suffix" : "" }, { "dropping-particle" : "", "family" : "Vermeer", "given" : "CP", "non-dropping-particle" : "", "parse-names" : false, "suffix" : "" }, { "dropping-particle" : "", "family" : "Liakata", "given" : "Maria", "non-dropping-particle" : "", "parse-names" : false, "suffix" : "" } ], "container-title" : "Plant \u2026", "id" : "ITEM-1", "issue" : "August", "issued" : { "date-parts" : [ [ "2010" ] ] }, "page" : "1506-1520", "title" : "Enhancement of Plant Metabolite Fingerprinting by Machine Learning", "type" : "article-journal", "volume" : "153" }, "uris" : [ "http://www.mendeley.com/documents/?uuid=092e5cd1-ca9b-4f21-a581-c4e9c04f167b" ] } ], "mendeley" : { "formattedCitation" : "(Scott et al., 2010)", "plainTextFormattedCitation" : "(Scott et al., 2010)", "previouslyFormattedCitation" : "(Scott et al., 2010)" }, "properties" : { "noteIndex" : 0 }, "schema" : "https://github.com/citation-style-language/schema/raw/master/csl-citation.json" }</w:instrText>
      </w:r>
      <w:r w:rsidRPr="0076678F">
        <w:fldChar w:fldCharType="separate"/>
      </w:r>
      <w:r w:rsidRPr="006B3180">
        <w:rPr>
          <w:noProof/>
        </w:rPr>
        <w:t>(Scott et al., 2010)</w:t>
      </w:r>
      <w:r w:rsidRPr="0076678F">
        <w:fldChar w:fldCharType="end"/>
      </w:r>
      <w:r w:rsidRPr="0076678F">
        <w:t xml:space="preserve">. PCs that did not meet these requirements were considered these to represent noise in the data. Score plots were created to visualise sample difference along significant components. Loadings plots were analysed to identify the masses most responsible for causing the </w:t>
      </w:r>
      <w:r w:rsidRPr="007D648A">
        <w:t>differences seen in the score plots.</w:t>
      </w:r>
    </w:p>
    <w:p w14:paraId="6621975D" w14:textId="77777777" w:rsidR="0052730F" w:rsidRPr="002B6213" w:rsidRDefault="0052730F" w:rsidP="0052730F">
      <w:pPr>
        <w:pStyle w:val="BodyJB"/>
      </w:pPr>
      <w:r w:rsidRPr="007D648A">
        <w:t xml:space="preserve"> </w:t>
      </w:r>
      <w:r w:rsidRPr="007D648A">
        <w:tab/>
        <w:t>‘Contribution of scores’ plots were created to visualise how masses varied along particular components. The contribution plot displays the differences (in scaled units) between masses of a chosen species and the masses of the other species, weighted according to the principal component (or combination of components) that was associated with separating the chosen species samples.</w:t>
      </w:r>
      <w:r w:rsidRPr="002B6213">
        <w:t xml:space="preserve"> </w:t>
      </w:r>
    </w:p>
    <w:p w14:paraId="31B8BAA7" w14:textId="77777777" w:rsidR="0052730F" w:rsidRDefault="0052730F" w:rsidP="0052730F">
      <w:pPr>
        <w:pStyle w:val="BodyJB"/>
      </w:pPr>
    </w:p>
    <w:p w14:paraId="16DD79C7" w14:textId="77777777" w:rsidR="0052730F" w:rsidRPr="007A675B" w:rsidRDefault="0052730F" w:rsidP="0052730F">
      <w:pPr>
        <w:pStyle w:val="BodyJB"/>
      </w:pPr>
      <w:r w:rsidRPr="007A675B">
        <w:t>OPLS</w:t>
      </w:r>
      <w:r>
        <w:t>-DA</w:t>
      </w:r>
      <w:r w:rsidRPr="007A675B">
        <w:t xml:space="preserve"> analysis</w:t>
      </w:r>
    </w:p>
    <w:p w14:paraId="49958A5B" w14:textId="77777777" w:rsidR="0052730F" w:rsidRDefault="0052730F" w:rsidP="0052730F">
      <w:pPr>
        <w:pStyle w:val="BodyJB"/>
      </w:pPr>
      <w:r>
        <w:tab/>
        <w:t xml:space="preserve">This analysis was applied to aid selection of </w:t>
      </w:r>
      <w:r w:rsidRPr="00010CA5">
        <w:t>metabolite biomarkers, and was most useful in comparisons between two groups of samples. Average ion count data for each mass bin was pareto scaled and normalised against the total number of counts detected for that bin across all samples analysed. Model parameters</w:t>
      </w:r>
      <w:r>
        <w:t xml:space="preserve"> R2X and Q2 were checked to determine the quality of the model. R2X(cum) referred to the fit of the model, how much of the metabolic variation could be explained by the modelled predictive component. Q2(cum) explained the goodness of the prediction of the model. High values for these parameters indicate a strong separation of samples between the experimental variable. Scores relating to metabolic variation correlating with experimental variable were visualised using S-plots to extract putative biomarkers. S-plots combine modelled covariance and modelled correlation of the OPLS-DA model in the form of a scatter plot. P[1]-axis describes the magnitude of each metabolic feature while p(corr)[1] represents the reliability of each feature. Metabolic features with high magnitude and high reliability (bottom left and top right of plot) represent ideal biomarkers as these parameters imply a smaller risk of spurious correlations between metabolite feature and environmental variable.  </w:t>
      </w:r>
    </w:p>
    <w:p w14:paraId="08E98E58" w14:textId="77777777" w:rsidR="0052730F" w:rsidRDefault="0052730F" w:rsidP="0052730F">
      <w:pPr>
        <w:pStyle w:val="BodyJB"/>
      </w:pPr>
    </w:p>
    <w:p w14:paraId="03066BD0" w14:textId="77777777" w:rsidR="0052730F" w:rsidRPr="002C6149" w:rsidRDefault="0052730F" w:rsidP="0052730F">
      <w:pPr>
        <w:pStyle w:val="BodyJB"/>
      </w:pPr>
      <w:r>
        <w:t>Univariate</w:t>
      </w:r>
      <w:r w:rsidRPr="002C6149">
        <w:t xml:space="preserve"> Analysis</w:t>
      </w:r>
    </w:p>
    <w:p w14:paraId="2862B3A0" w14:textId="63F17ADF" w:rsidR="0052730F" w:rsidRPr="007834FF" w:rsidRDefault="0052730F" w:rsidP="00DC7B26">
      <w:pPr>
        <w:pStyle w:val="BodyJB"/>
        <w:ind w:firstLine="720"/>
      </w:pPr>
      <w:r w:rsidRPr="0076678F">
        <w:t>The above</w:t>
      </w:r>
      <w:r>
        <w:t>,</w:t>
      </w:r>
      <w:r w:rsidRPr="0076678F">
        <w:t xml:space="preserve"> unsupervised </w:t>
      </w:r>
      <w:r w:rsidRPr="007834FF">
        <w:t xml:space="preserve">techniques provide a qualitative assessment of the data, in order to determine the statistical significance of the metabolic differences between samples, analysis of variance (ANOVA) was used. This was applied to determine the statistical differences in metabolite concentration between different experimental variables in order to identify metabolite biomarkers. ANOVA relates the concentration of the metabolite bin (the dependent variable) with independent experimental variables. In this thesis independent variables were species, populations, generations, field site grown </w:t>
      </w:r>
      <w:r w:rsidRPr="007834FF">
        <w:fldChar w:fldCharType="begin" w:fldLock="1"/>
      </w:r>
      <w:r w:rsidR="007C2FF9">
        <w:instrText>ADDIN CSL_CITATION { "citationItems" : [ { "id" : "ITEM-1", "itemData" : { "DOI" : "10.1002/pca.1181", "ISSN" : "1099-1565", "PMID" : "19904732", "abstract" : "Plant metabolomics experiments yield large amounts of data, too much to be interpretable by eye. Multivariate data analyses are therefore essential to extract and visualise the information of interest.", "author" : [ { "dropping-particle" : "", "family" : "Jansen", "given" : "Jeroen J", "non-dropping-particle" : "", "parse-names" : false, "suffix" : "" }, { "dropping-particle" : "", "family" : "Smit", "given" : "Suzanne", "non-dropping-particle" : "", "parse-names" : false, "suffix" : "" }, { "dropping-particle" : "", "family" : "Hoefsloot", "given" : "Huub C J", "non-dropping-particle" : "", "parse-names" : false, "suffix" : "" }, { "dropping-particle" : "", "family" : "Smilde", "given" : "Age K", "non-dropping-particle" : "", "parse-names" : false, "suffix" : "" } ], "container-title" : "Phytochemical analysis : PCA", "id" : "ITEM-1", "issue" : "1", "issued" : { "date-parts" : [ [ "2010" ] ] }, "page" : "48-60", "title" : "The photographer and the greenhouse: how to analyse plant metabolomics data.", "type" : "article-journal", "volume" : "21" }, "uris" : [ "http://www.mendeley.com/documents/?uuid=427e0296-9825-4fe3-88ab-00223909169b" ] } ], "mendeley" : { "formattedCitation" : "(Jansen et al., 2010)", "plainTextFormattedCitation" : "(Jansen et al., 2010)", "previouslyFormattedCitation" : "(Jansen et al., 2010)" }, "properties" : { "noteIndex" : 0 }, "schema" : "https://github.com/citation-style-language/schema/raw/master/csl-citation.json" }</w:instrText>
      </w:r>
      <w:r w:rsidRPr="007834FF">
        <w:fldChar w:fldCharType="separate"/>
      </w:r>
      <w:r w:rsidRPr="007834FF">
        <w:rPr>
          <w:noProof/>
        </w:rPr>
        <w:t>(Jansen et al., 2010)</w:t>
      </w:r>
      <w:r w:rsidRPr="007834FF">
        <w:fldChar w:fldCharType="end"/>
      </w:r>
      <w:r w:rsidRPr="007834FF">
        <w:t xml:space="preserve">. </w:t>
      </w:r>
    </w:p>
    <w:p w14:paraId="6D91C948" w14:textId="77777777" w:rsidR="0052730F" w:rsidRDefault="0052730F" w:rsidP="0052730F">
      <w:pPr>
        <w:pStyle w:val="BodyJB"/>
      </w:pPr>
      <w:r w:rsidRPr="007834FF">
        <w:t xml:space="preserve">Average ion count data for each mass bin was pareto scaled and normalised against the total number of counts detected for that bin across </w:t>
      </w:r>
      <w:r w:rsidRPr="0089667E">
        <w:t>all samples analysed. False Detection Rate corrections of p-values were determined alongside ANOVA raw p-value. An FDR p-value below 0.05 was considered statistically significant. Because</w:t>
      </w:r>
      <w:r>
        <w:t xml:space="preserve"> of a tendancy for these corrections to loose true positive results, mass bins with an FDR p-value over 0.05 were sometimes considered for further biomarker analysis. </w:t>
      </w:r>
      <w:r w:rsidRPr="0076678F">
        <w:t xml:space="preserve">Mass bin values were ordered according to the size of the p-value, masses with the smallest p-values were regarded as being most affected by the relevant factor. </w:t>
      </w:r>
    </w:p>
    <w:p w14:paraId="0CE3BCEE" w14:textId="77777777" w:rsidR="0052730F" w:rsidRDefault="0052730F" w:rsidP="0052730F">
      <w:pPr>
        <w:pStyle w:val="BodyJB"/>
      </w:pPr>
    </w:p>
    <w:p w14:paraId="4A4DF8DE" w14:textId="77777777" w:rsidR="00DC7B26" w:rsidRDefault="00DC7B26" w:rsidP="0052730F">
      <w:pPr>
        <w:pStyle w:val="BodyJB"/>
      </w:pPr>
    </w:p>
    <w:p w14:paraId="435C22CE" w14:textId="77777777" w:rsidR="00DC7B26" w:rsidRDefault="00DC7B26" w:rsidP="0052730F">
      <w:pPr>
        <w:pStyle w:val="BodyJB"/>
      </w:pPr>
    </w:p>
    <w:p w14:paraId="17D3ADFC" w14:textId="77777777" w:rsidR="0052730F" w:rsidRDefault="0052730F" w:rsidP="0052730F">
      <w:pPr>
        <w:pStyle w:val="BodyJB"/>
      </w:pPr>
    </w:p>
    <w:p w14:paraId="766F5133" w14:textId="77777777" w:rsidR="003358FB" w:rsidRDefault="003358FB" w:rsidP="0052730F">
      <w:pPr>
        <w:pStyle w:val="BodyJB"/>
      </w:pPr>
    </w:p>
    <w:p w14:paraId="278AF988" w14:textId="77777777" w:rsidR="003358FB" w:rsidRDefault="003358FB" w:rsidP="0052730F">
      <w:pPr>
        <w:pStyle w:val="BodyJB"/>
      </w:pPr>
    </w:p>
    <w:p w14:paraId="2EC666E1" w14:textId="77777777" w:rsidR="0052730F" w:rsidRPr="002C6149" w:rsidRDefault="0052730F" w:rsidP="0052730F">
      <w:pPr>
        <w:pStyle w:val="BodyJB"/>
      </w:pPr>
      <w:r w:rsidRPr="002C6149">
        <w:t>Putative Identification</w:t>
      </w:r>
    </w:p>
    <w:p w14:paraId="0C658069" w14:textId="77777777" w:rsidR="0052730F" w:rsidRPr="009A3C5C" w:rsidRDefault="0052730F" w:rsidP="00DC7B26">
      <w:pPr>
        <w:pStyle w:val="BodyJB"/>
        <w:ind w:firstLine="720"/>
      </w:pPr>
      <w:r w:rsidRPr="009A3C5C">
        <w:t xml:space="preserve">Putative identifications were based upon the average of the accurate masses detected within a bin of interest, across the species that bin corresponds to. When variance, measured as standard deviation, was greater than 0.05, the list of accurate masses was consulted to determine whether the bin contained two peaks. In cases such as this, the accurate masses were split into groups and the average of each calculated. Putative identifications based on these averages of accurate masses detected were assigned compound names from KEGG compound (Kyoto </w:t>
      </w:r>
      <w:r w:rsidRPr="009A3C5C">
        <w:rPr>
          <w:szCs w:val="16"/>
        </w:rPr>
        <w:t>Encyclopedia of Genes and Genomes; http://www.genome.jp/kegg/) using</w:t>
      </w:r>
      <w:r w:rsidRPr="009A3C5C">
        <w:t xml:space="preserve"> in-house software (excel macro) and an online database MZedDB (http://maltese.dbs.aber.ac.uk:8888/hrmet/index.html) produced by the Aberystwyth University High Resolution Mass Spectrometry Laboratory. Compounds were considered a match based upon the similarity between accurate masses and there previous detection within plant samples.</w:t>
      </w:r>
    </w:p>
    <w:p w14:paraId="2CFBF83D" w14:textId="77777777" w:rsidR="0052730F" w:rsidRDefault="0052730F" w:rsidP="0052730F">
      <w:pPr>
        <w:pStyle w:val="BodyJB"/>
      </w:pPr>
    </w:p>
    <w:p w14:paraId="596F098F" w14:textId="77777777" w:rsidR="0052730F" w:rsidRDefault="0052730F" w:rsidP="0052730F">
      <w:pPr>
        <w:pStyle w:val="BodyJB"/>
      </w:pPr>
      <w:r w:rsidRPr="0006595C">
        <w:t>Metabolite Mapping</w:t>
      </w:r>
    </w:p>
    <w:p w14:paraId="13CEA525" w14:textId="77777777" w:rsidR="0052730F" w:rsidRPr="007D648A" w:rsidRDefault="0052730F" w:rsidP="0052730F">
      <w:pPr>
        <w:pStyle w:val="BodyJB"/>
      </w:pPr>
      <w:r w:rsidRPr="007D648A">
        <w:t xml:space="preserve">1) </w:t>
      </w:r>
      <w:r>
        <w:t>MetaboAnalyst</w:t>
      </w:r>
    </w:p>
    <w:p w14:paraId="79A22905" w14:textId="4D3E7229" w:rsidR="0052730F" w:rsidRDefault="0052730F" w:rsidP="00DC7B26">
      <w:pPr>
        <w:pStyle w:val="BodyJB"/>
        <w:ind w:firstLine="720"/>
      </w:pPr>
      <w:r w:rsidRPr="002B6213">
        <w:t>Further to the ontology analysis putative identifications wer</w:t>
      </w:r>
      <w:r>
        <w:t xml:space="preserve">e analysed using MetaboAnalyst </w:t>
      </w:r>
      <w:r w:rsidRPr="0076678F">
        <w:t>(www.metaboanalyst.ca)</w:t>
      </w:r>
      <w:r w:rsidRPr="0076678F">
        <w:fldChar w:fldCharType="begin" w:fldLock="1"/>
      </w:r>
      <w:r w:rsidR="007C2FF9">
        <w:instrText>ADDIN CSL_CITATION { "citationItems" : [ { "id" : "ITEM-1", "itemData" : { "author" : [ { "dropping-particle" : "", "family" : "Xia", "given" : "J", "non-dropping-particle" : "", "parse-names" : false, "suffix" : "" }, { "dropping-particle" : "", "family" : "Wishart", "given" : "DS", "non-dropping-particle" : "", "parse-names" : false, "suffix" : "" } ], "container-title" : "Nature Protocols", "id" : "ITEM-1", "issued" : { "date-parts" : [ [ "2011" ] ] }, "title" : "Web-based inference of biological patterns, functions and pathways from metabolomic data using MetaboAnalyst", "type" : "article-journal" }, "uris" : [ "http://www.mendeley.com/documents/?uuid=cd184c6a-f8a9-49d4-90d2-8c7733008662" ] } ], "mendeley" : { "formattedCitation" : "(Xia and Wishart, 2011)", "plainTextFormattedCitation" : "(Xia and Wishart, 2011)", "previouslyFormattedCitation" : "(Xia and Wishart, 2011)" }, "properties" : { "noteIndex" : 0 }, "schema" : "https://github.com/citation-style-language/schema/raw/master/csl-citation.json" }</w:instrText>
      </w:r>
      <w:r w:rsidRPr="0076678F">
        <w:fldChar w:fldCharType="separate"/>
      </w:r>
      <w:r w:rsidRPr="006B3180">
        <w:rPr>
          <w:noProof/>
        </w:rPr>
        <w:t>(Xia and Wishart, 2011)</w:t>
      </w:r>
      <w:r w:rsidRPr="0076678F">
        <w:fldChar w:fldCharType="end"/>
      </w:r>
      <w:r w:rsidRPr="002B6213">
        <w:t xml:space="preserve"> functional interpretation tools</w:t>
      </w:r>
      <w:r>
        <w:t>,</w:t>
      </w:r>
      <w:r w:rsidRPr="002B6213">
        <w:t xml:space="preserve"> to detect potential key pathways that were up-regulated or down-regulated in different sample classes. Metabolic pathway analysis on MetaboAnalyst facilitates the understanding of complex relationships between metabolites studied by combining visualization maps and more quantitative statistical analysis such as multiple ANOVAs. The metabolic pathways used in MetaboAnalyst were obtained from the KEGG database and presented as networks of chemical compounds with metabolites as nodes and reactions as edges </w:t>
      </w:r>
      <w:r w:rsidRPr="002B6213">
        <w:fldChar w:fldCharType="begin" w:fldLock="1"/>
      </w:r>
      <w:r w:rsidR="007C2FF9">
        <w:instrText>ADDIN CSL_CITATION { "citationItems" : [ { "id" : "ITEM-1", "itemData" : { "author" : [ { "dropping-particle" : "", "family" : "Xia", "given" : "J", "non-dropping-particle" : "", "parse-names" : false, "suffix" : "" }, { "dropping-particle" : "", "family" : "Wishart", "given" : "DS", "non-dropping-particle" : "", "parse-names" : false, "suffix" : "" } ], "container-title" : "Nature Protocols", "id" : "ITEM-1", "issued" : { "date-parts" : [ [ "2011" ] ] }, "title" : "Web-based inference of biological patterns, functions and pathways from metabolomic data using MetaboAnalyst", "type" : "article-journal" }, "uris" : [ "http://www.mendeley.com/documents/?uuid=cd184c6a-f8a9-49d4-90d2-8c7733008662" ] } ], "mendeley" : { "formattedCitation" : "(Xia and Wishart, 2011)", "plainTextFormattedCitation" : "(Xia and Wishart, 2011)", "previouslyFormattedCitation" : "(Xia and Wishart, 2011)" }, "properties" : { "noteIndex" : 0 }, "schema" : "https://github.com/citation-style-language/schema/raw/master/csl-citation.json" }</w:instrText>
      </w:r>
      <w:r w:rsidRPr="002B6213">
        <w:fldChar w:fldCharType="separate"/>
      </w:r>
      <w:r w:rsidRPr="006B3180">
        <w:rPr>
          <w:noProof/>
        </w:rPr>
        <w:t>(Xia and Wishart, 2011)</w:t>
      </w:r>
      <w:r w:rsidRPr="002B6213">
        <w:fldChar w:fldCharType="end"/>
      </w:r>
      <w:r w:rsidRPr="002B6213">
        <w:t xml:space="preserve">. The importance of metabolites within these networks is displayed and calculated by a centrality measure. </w:t>
      </w:r>
    </w:p>
    <w:p w14:paraId="5D0CA7F1" w14:textId="77777777" w:rsidR="0052730F" w:rsidRPr="002B6213" w:rsidRDefault="0052730F" w:rsidP="0052730F">
      <w:pPr>
        <w:pStyle w:val="BodyJB"/>
      </w:pPr>
    </w:p>
    <w:p w14:paraId="49939D98" w14:textId="77777777" w:rsidR="0052730F" w:rsidRPr="00EF5950" w:rsidRDefault="0052730F" w:rsidP="0052730F">
      <w:pPr>
        <w:pStyle w:val="BodyJB"/>
      </w:pPr>
      <w:r>
        <w:t xml:space="preserve">2) PlantCyc - </w:t>
      </w:r>
      <w:r w:rsidRPr="00EF5950">
        <w:t>OMICS viewer</w:t>
      </w:r>
      <w:r>
        <w:tab/>
      </w:r>
    </w:p>
    <w:p w14:paraId="3F11B047" w14:textId="6DBED748" w:rsidR="0052730F" w:rsidRDefault="0052730F" w:rsidP="0052730F">
      <w:pPr>
        <w:pStyle w:val="BodyJB"/>
      </w:pPr>
      <w:r w:rsidRPr="00525185">
        <w:tab/>
      </w:r>
      <w:r>
        <w:t>Another online portal used for visualising key differences in the global metabolome was PlantCyc (www.plantcyc.org)</w:t>
      </w:r>
      <w:r>
        <w:fldChar w:fldCharType="begin" w:fldLock="1"/>
      </w:r>
      <w:r w:rsidR="007C2FF9">
        <w:instrText>ADDIN CSL_CITATION { "citationItems" : [ { "id" : "ITEM-1", "itemData" : { "DOI" : "10.1104/pp.110.157396", "ISSN" : "1532-2548", "PMID" : "20522724", "abstract" : "Metabolic networks reconstructed from sequenced genomes or transcriptomes can help visualize and analyze large-scale experimental data, predict metabolic phenotypes, discover enzymes, engineer metabolic pathways, and study metabolic pathway evolution. We developed a general approach for reconstructing metabolic pathway complements of plant genomes. Two new reference databases were created and added to the core of the infrastructure: a comprehensive, all-plant reference pathway database, PlantCyc, and a reference enzyme sequence database, RESD, for annotating metabolic functions of protein sequences. PlantCyc (version 3.0) includes 714 metabolic pathways and 2,619 reactions from over 300 species. RESD (version 1.0) contains 14,187 literature-supported enzyme sequences from across all kingdoms. We used RESD, PlantCyc, and MetaCyc (an all-species reference metabolic pathway database), in conjunction with the pathway prediction software Pathway Tools, to reconstruct a metabolic pathway database, PoplarCyc, from the recently sequenced genome of Populus trichocarpa. PoplarCyc (version 1.0) contains 321 pathways with 1,807 assigned enzymes. Comparing PoplarCyc (version 1.0) with AraCyc (version 6.0, Arabidopsis [Arabidopsis thaliana]) showed comparable numbers of pathways distributed across all domains of metabolism in both databases, except for a higher number of AraCyc pathways in secondary metabolism and a 1.5-fold increase in carbohydrate metabolic enzymes in PoplarCyc. Here, we introduce these new resources and demonstrate the feasibility of using them to identify candidate enzymes for specific pathways and to analyze metabolite profiling data through concrete examples. These resources can be searched by text or BLAST, browsed, and downloaded from our project Web site (http://plantcyc.org).", "author" : [ { "dropping-particle" : "", "family" : "Zhang", "given" : "Peifen", "non-dropping-particle" : "", "parse-names" : false, "suffix" : "" }, { "dropping-particle" : "", "family" : "Dreher", "given" : "Kate", "non-dropping-particle" : "", "parse-names" : false, "suffix" : "" }, { "dropping-particle" : "", "family" : "Karthikeyan", "given" : "a", "non-dropping-particle" : "", "parse-names" : false, "suffix" : "" }, { "dropping-particle" : "", "family" : "Chi", "given" : "Anjo", "non-dropping-particle" : "", "parse-names" : false, "suffix" : "" }, { "dropping-particle" : "", "family" : "Pujar", "given" : "Anuradha", "non-dropping-particle" : "", "parse-names" : false, "suffix" : "" }, { "dropping-particle" : "", "family" : "Caspi", "given" : "Ron", "non-dropping-particle" : "", "parse-names" : false, "suffix" : "" }, { "dropping-particle" : "", "family" : "Karp", "given" : "Peter", "non-dropping-particle" : "", "parse-names" : false, "suffix" : "" }, { "dropping-particle" : "", "family" : "Kirkup", "given" : "Vanessa", "non-dropping-particle" : "", "parse-names" : false, "suffix" : "" }, { "dropping-particle" : "", "family" : "Latendresse", "given" : "Mario", "non-dropping-particle" : "", "parse-names" : false, "suffix" : "" }, { "dropping-particle" : "", "family" : "Lee", "given" : "Cynthia", "non-dropping-particle" : "", "parse-names" : false, "suffix" : "" }, { "dropping-particle" : "", "family" : "Mueller", "given" : "Lukas a", "non-dropping-particle" : "", "parse-names" : false, "suffix" : "" }, { "dropping-particle" : "", "family" : "Muller", "given" : "Robert", "non-dropping-particle" : "", "parse-names" : false, "suffix" : "" }, { "dropping-particle" : "", "family" : "Rhee", "given" : "Seung Yon", "non-dropping-particle" : "", "parse-names" : false, "suffix" : "" } ], "container-title" : "Plant physiology", "id" : "ITEM-1", "issue" : "4", "issued" : { "date-parts" : [ [ "2010", "8" ] ] }, "page" : "1479-91", "title" : "Creation of a genome-wide metabolic pathway database for Populus trichocarpa using a new approach for reconstruction and curation of metabolic pathways for plants.", "type" : "article-journal", "volume" : "153" }, "uris" : [ "http://www.mendeley.com/documents/?uuid=a274a2e0-cfba-4c21-b145-43344336df96" ] } ], "mendeley" : { "formattedCitation" : "(Zhang et al., 2010)", "plainTextFormattedCitation" : "(Zhang et al., 2010)", "previouslyFormattedCitation" : "(Zhang et al., 2010)" }, "properties" : { "noteIndex" : 0 }, "schema" : "https://github.com/citation-style-language/schema/raw/master/csl-citation.json" }</w:instrText>
      </w:r>
      <w:r>
        <w:fldChar w:fldCharType="separate"/>
      </w:r>
      <w:r w:rsidRPr="00284F0A">
        <w:rPr>
          <w:noProof/>
        </w:rPr>
        <w:t>(Zhang et al., 2010)</w:t>
      </w:r>
      <w:r>
        <w:fldChar w:fldCharType="end"/>
      </w:r>
      <w:r>
        <w:t xml:space="preserve">. This portal provides a cellular overview of Arabidopsis thaliana, onto which metabolomic expression data can be overlaid. Uploaded data contained a list of detected compound names and fold change concentration data, calculated from the concentrations of detected mass bins averaged across the compared group. Because this analysis only allows a paired comparison it was only utilised in studies that this type of comparison was appropriate for (Chapter 6). </w:t>
      </w:r>
    </w:p>
    <w:p w14:paraId="24A46864" w14:textId="77777777" w:rsidR="0052730F" w:rsidRDefault="0052730F" w:rsidP="0052730F">
      <w:pPr>
        <w:pStyle w:val="BodyJB"/>
      </w:pPr>
    </w:p>
    <w:p w14:paraId="52457A93" w14:textId="77777777" w:rsidR="0052730F" w:rsidRDefault="0052730F" w:rsidP="0052730F">
      <w:pPr>
        <w:pStyle w:val="BodyJB"/>
      </w:pPr>
    </w:p>
    <w:p w14:paraId="4E7C46B9" w14:textId="77777777" w:rsidR="0052730F" w:rsidRPr="00605AA1" w:rsidRDefault="0052730F" w:rsidP="00DC7B26">
      <w:pPr>
        <w:pStyle w:val="BodyJB"/>
        <w:ind w:firstLine="720"/>
      </w:pPr>
      <w:r w:rsidRPr="00DC7B26">
        <w:t>To achieve the thesis objective of putatively identifying compounds that show expression variation based on the particular study questions, the implementation</w:t>
      </w:r>
      <w:r>
        <w:t xml:space="preserve"> of specific statistical and mapping tools varied between chapters. Analysis of the initial PCA model provided information, on model fit and predictive power and visualised the relative strength of variation between the overall metabolism of different plant samples. This information was used to choose further analyses that would provide lists of metabolic features that differed based on the specific samples. No strict rules were applied across all of the studies regarding the required statistical strength of the relationship between the metabolic feature and the known experimental variable. This subjective approach was taken to allow the reporting of all metabolomic variation (both major and minor) that may be relevant to the study question and otherwise overlooked.  </w:t>
      </w:r>
    </w:p>
    <w:p w14:paraId="4CC9ED03" w14:textId="77777777" w:rsidR="003358FB" w:rsidRDefault="003358FB">
      <w:pPr>
        <w:rPr>
          <w:rFonts w:ascii="Times" w:hAnsi="Times"/>
          <w:b/>
          <w:sz w:val="36"/>
        </w:rPr>
      </w:pPr>
      <w:r>
        <w:br w:type="page"/>
      </w:r>
    </w:p>
    <w:p w14:paraId="683ED0C0" w14:textId="19938E61" w:rsidR="0052730F" w:rsidRPr="00191AD2" w:rsidRDefault="0052730F" w:rsidP="0052730F">
      <w:pPr>
        <w:pStyle w:val="HeadingJB"/>
      </w:pPr>
      <w:bookmarkStart w:id="49" w:name="_Toc291410054"/>
      <w:r w:rsidRPr="00191AD2">
        <w:t xml:space="preserve">Chapter </w:t>
      </w:r>
      <w:r>
        <w:t>3- Population Differentiation in Phenotypic Traits</w:t>
      </w:r>
      <w:bookmarkEnd w:id="49"/>
    </w:p>
    <w:p w14:paraId="4CDB3BBA" w14:textId="77777777" w:rsidR="0052730F" w:rsidRPr="00191AD2" w:rsidRDefault="0052730F" w:rsidP="0052730F">
      <w:pPr>
        <w:pStyle w:val="BodyJB"/>
      </w:pPr>
    </w:p>
    <w:p w14:paraId="118F3094" w14:textId="77777777" w:rsidR="0052730F" w:rsidRPr="00191AD2" w:rsidRDefault="0052730F" w:rsidP="0052730F">
      <w:pPr>
        <w:pStyle w:val="SubheadingJB"/>
      </w:pPr>
      <w:bookmarkStart w:id="50" w:name="_Toc291410055"/>
      <w:r>
        <w:t>3</w:t>
      </w:r>
      <w:r w:rsidRPr="00191AD2">
        <w:t>.1 Introduction</w:t>
      </w:r>
      <w:bookmarkEnd w:id="50"/>
    </w:p>
    <w:p w14:paraId="3D4767B8" w14:textId="77777777" w:rsidR="0052730F" w:rsidRDefault="0052730F" w:rsidP="0052730F">
      <w:pPr>
        <w:spacing w:line="360" w:lineRule="auto"/>
        <w:ind w:firstLine="720"/>
        <w:rPr>
          <w:rFonts w:ascii="Times" w:hAnsi="Times"/>
        </w:rPr>
      </w:pPr>
    </w:p>
    <w:p w14:paraId="7762E265" w14:textId="596AC405" w:rsidR="0052730F" w:rsidRPr="00E9130F" w:rsidRDefault="0052730F" w:rsidP="00DC7B26">
      <w:pPr>
        <w:pStyle w:val="BodyJB"/>
        <w:ind w:firstLine="720"/>
      </w:pPr>
      <w:r w:rsidRPr="00E9130F">
        <w:t xml:space="preserve">As highlighted in Chapter 1, human activities are leading to changes in climatic conditions </w:t>
      </w:r>
      <w:r w:rsidRPr="00E9130F">
        <w:fldChar w:fldCharType="begin" w:fldLock="1"/>
      </w:r>
      <w:r w:rsidR="007C2FF9">
        <w:instrText>ADDIN CSL_CITATION { "citationItems" : [ { "id" : "ITEM-1", "itemData" : { "ISBN" : "9780521880091", "author" : [ { "dropping-particle" : "", "family" : "IPCC", "given" : "", "non-dropping-particle" : "", "parse-names" : false, "suffix" : "" } ], "container-title" : "Cpntribution of Working Group I to the Fouryj Report of the Intergovernmental Panel on Climate Change", "editor" : [ { "dropping-particle" : "", "family" : "Solomon", "given" : "S.", "non-dropping-particle" : "", "parse-names" : false, "suffix" : "" }, { "dropping-particle" : "", "family" : "Qin", "given" : "D.", "non-dropping-particle" : "", "parse-names" : false, "suffix" : "" }, { "dropping-particle" : "", "family" : "Manning", "given" : "M.", "non-dropping-particle" : "", "parse-names" : false, "suffix" : "" }, { "dropping-particle" : "", "family" : "Chen", "given" : "Z.", "non-dropping-particle" : "", "parse-names" : false, "suffix" : "" }, { "dropping-particle" : "", "family" : "Marquis", "given" : "M.", "non-dropping-particle" : "", "parse-names" : false, "suffix" : "" }, { "dropping-particle" : "", "family" : "Averyt", "given" : "K.B.", "non-dropping-particle" : "", "parse-names" : false, "suffix" : "" }, { "dropping-particle" : "", "family" : "Tignor", "given" : "M.", "non-dropping-particle" : "", "parse-names" : false, "suffix" : "" }, { "dropping-particle" : "", "family" : "Miller", "given" : "H.L.", "non-dropping-particle" : "", "parse-names" : false, "suffix" : "" } ], "id" : "ITEM-1", "issued" : { "date-parts" : [ [ "2007" ] ] }, "publisher" : "Cambridge University Press", "title" : "Climate change 2007: The physical science basis", "type" : "chapter" }, "uris" : [ "http://www.mendeley.com/documents/?uuid=56a8ceff-64dd-4809-ab42-80097505e6ba" ] } ], "mendeley" : { "formattedCitation" : "(IPCC, 2007)", "plainTextFormattedCitation" : "(IPCC, 2007)", "previouslyFormattedCitation" : "(IPCC, 2007)" }, "properties" : { "noteIndex" : 0 }, "schema" : "https://github.com/citation-style-language/schema/raw/master/csl-citation.json" }</w:instrText>
      </w:r>
      <w:r w:rsidRPr="00E9130F">
        <w:fldChar w:fldCharType="separate"/>
      </w:r>
      <w:r w:rsidRPr="00EB70D5">
        <w:rPr>
          <w:noProof/>
        </w:rPr>
        <w:t>(IPCC, 2007)</w:t>
      </w:r>
      <w:r w:rsidRPr="00E9130F">
        <w:fldChar w:fldCharType="end"/>
      </w:r>
      <w:r w:rsidRPr="00E9130F">
        <w:t>. There is evidence to suggest that plant populations have significantly changed in their phenolog</w:t>
      </w:r>
      <w:r>
        <w:t>ical traits</w:t>
      </w:r>
      <w:r w:rsidRPr="00E9130F">
        <w:t xml:space="preserve">, and/ or their distributions, in response to environmental change </w:t>
      </w:r>
      <w:r w:rsidRPr="00E9130F">
        <w:fldChar w:fldCharType="begin" w:fldLock="1"/>
      </w:r>
      <w:r w:rsidR="007C2FF9">
        <w:instrText>ADDIN CSL_CITATION { "citationItems" : [ { "id" : "ITEM-1", "itemData" : { "DOI" : "10.1038/nature01286", "ISSN" : "0028-0836", "PMID" : "12511946", "abstract" : "Causal attribution of recent biological trends to climate change is complicated because non-climatic influences dominate local, short-term biological changes. Any underlying signal from climate change is likely to be revealed by analyses that seek systematic trends across diverse species and geographic regions; however, debates within the Intergovernmental Panel on Climate Change (IPCC) reveal several definitions of a 'systematic trend'. Here, we explore these differences, apply diverse analyses to more than 1,700 species, and show that recent biological trends match climate change predictions. Global meta-analyses documented significant range shifts averaging 6.1 km per decade towards the poles (or metres per decade upward), and significant mean advancement of spring events by 2.3 days per decade. We define a diagnostic fingerprint of temporal and spatial 'sign-switching' responses uniquely predicted by twentieth century climate trends. Among appropriate long-term/large-scale/multi-species data sets, this diagnostic fingerprint was found for 279 species. This suite of analyses generates 'very high confidence' (as laid down by the IPCC) that climate change is already affecting living systems.", "author" : [ { "dropping-particle" : "", "family" : "Parmesan", "given" : "Camille", "non-dropping-particle" : "", "parse-names" : false, "suffix" : "" }, { "dropping-particle" : "", "family" : "Yohe", "given" : "Gary", "non-dropping-particle" : "", "parse-names" : false, "suffix" : "" } ], "container-title" : "Nature", "id" : "ITEM-1", "issue" : "6918", "issued" : { "date-parts" : [ [ "2003", "1", "2" ] ] }, "page" : "37-42", "title" : "A globally coherent fingerprint of climate change impacts across natural systems.", "type" : "article-journal", "volume" : "421" }, "uris" : [ "http://www.mendeley.com/documents/?uuid=bf450f21-65c8-44ce-a617-f007a4289679" ] } ], "mendeley" : { "formattedCitation" : "(Parmesan and Yohe, 2003)", "plainTextFormattedCitation" : "(Parmesan and Yohe, 2003)", "previouslyFormattedCitation" : "(Parmesan and Yohe, 2003)" }, "properties" : { "noteIndex" : 0 }, "schema" : "https://github.com/citation-style-language/schema/raw/master/csl-citation.json" }</w:instrText>
      </w:r>
      <w:r w:rsidRPr="00E9130F">
        <w:fldChar w:fldCharType="separate"/>
      </w:r>
      <w:r w:rsidR="00134C22" w:rsidRPr="00134C22">
        <w:rPr>
          <w:noProof/>
        </w:rPr>
        <w:t>(Parmesan and Yohe, 2003)</w:t>
      </w:r>
      <w:r w:rsidRPr="00E9130F">
        <w:fldChar w:fldCharType="end"/>
      </w:r>
      <w:r w:rsidRPr="00E9130F">
        <w:t xml:space="preserve">. However, many species lack long-distance dispersal and consequently migration rates may not be able to keep up with the predicted rapid rate of current environmental change </w:t>
      </w:r>
      <w:r w:rsidRPr="00E9130F">
        <w:fldChar w:fldCharType="begin" w:fldLock="1"/>
      </w:r>
      <w:r w:rsidR="007C2FF9">
        <w:instrText>ADDIN CSL_CITATION { "citationItems" : [ { "id" : "ITEM-1", "itemData" : { "DOI" : "10.1126/science.292.5517.673", "ISSN" : "0036-8075", "PMID" : "11326089", "abstract" : "Tree taxa shifted latitude or elevation range in response to changes in Quaternary climate. Because many modern trees display adaptive differentiation in relation to latitude or elevation, it is likely that ancient trees were also so differentiated, with environmental sensitivities of populations throughout the range evolving in conjunction with migrations. Rapid climate changes challenge this process by imposing stronger selection and by distancing populations from environments to which they are adapted. The unprecedented rates of climate changes anticipated to occur in the future, coupled with land use changes that impede gene flow, can be expected to disrupt the interplay of adaptation and migration, likely affecting productivity and threatening the persistence of many species.", "author" : [ { "dropping-particle" : "", "family" : "Davis", "given" : "M B", "non-dropping-particle" : "", "parse-names" : false, "suffix" : "" }, { "dropping-particle" : "", "family" : "Shaw", "given" : "R G", "non-dropping-particle" : "", "parse-names" : false, "suffix" : "" } ], "container-title" : "Science (New York, N.Y.)", "id" : "ITEM-1", "issue" : "5517", "issued" : { "date-parts" : [ [ "2001", "4", "27" ] ] }, "page" : "673-9", "title" : "Range shifts and adaptive responses to Quaternary climate change.", "type" : "article-journal", "volume" : "292" }, "uris" : [ "http://www.mendeley.com/documents/?uuid=ce3c5619-c8ea-46db-a86e-91420fdfc06e", "http://www.mendeley.com/documents/?uuid=73e4e9d0-1c78-46b1-9aaf-0751505e9d7d" ] } ], "mendeley" : { "formattedCitation" : "(Davis and Shaw, 2001)", "plainTextFormattedCitation" : "(Davis and Shaw, 2001)", "previouslyFormattedCitation" : "(Davis and Shaw, 2001)" }, "properties" : { "noteIndex" : 0 }, "schema" : "https://github.com/citation-style-language/schema/raw/master/csl-citation.json" }</w:instrText>
      </w:r>
      <w:r w:rsidRPr="00E9130F">
        <w:fldChar w:fldCharType="separate"/>
      </w:r>
      <w:r w:rsidR="00134C22" w:rsidRPr="00134C22">
        <w:rPr>
          <w:noProof/>
        </w:rPr>
        <w:t>(Davis and Shaw, 2001)</w:t>
      </w:r>
      <w:r w:rsidRPr="00E9130F">
        <w:fldChar w:fldCharType="end"/>
      </w:r>
      <w:r w:rsidRPr="00E9130F">
        <w:t xml:space="preserve">. The role of responses other than dispersal and migration must therefore be considered when predicting the consequences of changing environmental conditions </w:t>
      </w:r>
      <w:r>
        <w:t xml:space="preserve">for plant populations </w:t>
      </w:r>
      <w:r w:rsidRPr="00E9130F">
        <w:fldChar w:fldCharType="begin" w:fldLock="1"/>
      </w:r>
      <w:r w:rsidR="007C2FF9">
        <w:instrText>ADDIN CSL_CITATION { "citationItems" : [ { "id" : "ITEM-1", "itemData" : { "DOI" : "10.1111/j.1461-0248.2005.00796.x", "ISSN" : "1461-023X", "author" : [ { "dropping-particle" : "", "family" : "Jump", "given" : "Alistair S.", "non-dropping-particle" : "", "parse-names" : false, "suffix" : "" }, { "dropping-particle" : "", "family" : "Penuelas", "given" : "Josep", "non-dropping-particle" : "", "parse-names" : false, "suffix" : "" } ], "container-title" : "Ecology Letters", "id" : "ITEM-1", "issue" : "9", "issued" : { "date-parts" : [ [ "2005", "9" ] ] }, "page" : "1010-1020", "title" : "Running to stand still: adaptation and the response of plants to rapid climate change", "type" : "article-journal", "volume" : "8" }, "uris" : [ "http://www.mendeley.com/documents/?uuid=c6437cb0-5734-4fda-a3e3-cf5d1b4b788b" ] } ], "mendeley" : { "formattedCitation" : "(Jump and Penuelas, 2005)", "plainTextFormattedCitation" : "(Jump and Penuelas, 2005)", "previouslyFormattedCitation" : "(Jump and Penuelas, 2005)" }, "properties" : { "noteIndex" : 0 }, "schema" : "https://github.com/citation-style-language/schema/raw/master/csl-citation.json" }</w:instrText>
      </w:r>
      <w:r w:rsidRPr="00E9130F">
        <w:fldChar w:fldCharType="separate"/>
      </w:r>
      <w:r w:rsidR="00134C22" w:rsidRPr="00134C22">
        <w:rPr>
          <w:noProof/>
        </w:rPr>
        <w:t>(Jump and Penuelas, 2005)</w:t>
      </w:r>
      <w:r w:rsidRPr="00E9130F">
        <w:fldChar w:fldCharType="end"/>
      </w:r>
      <w:r w:rsidRPr="00E9130F">
        <w:t xml:space="preserve">. Predicting population and species persistence in future environments requires knowledge of both current levels of adaptation and future adaptive potential </w:t>
      </w:r>
      <w:r w:rsidRPr="00E9130F">
        <w:fldChar w:fldCharType="begin" w:fldLock="1"/>
      </w:r>
      <w:r w:rsidR="007C2FF9">
        <w:instrText>ADDIN CSL_CITATION { "citationItems" : [ { "id" : "ITEM-1", "itemData" : { "author" : [ { "dropping-particle" : "", "family" : "Davis", "given" : "MB", "non-dropping-particle" : "", "parse-names" : false, "suffix" : "" }, { "dropping-particle" : "", "family" : "Shaw", "given" : "RG", "non-dropping-particle" : "", "parse-names" : false, "suffix" : "" }, { "dropping-particle" : "", "family" : "Etterson", "given" : "JR", "non-dropping-particle" : "", "parse-names" : false, "suffix" : "" } ], "container-title" : "Ecology", "id" : "ITEM-1", "issue" : "7", "issued" : { "date-parts" : [ [ "2005" ] ] }, "page" : "1704-1714", "title" : "Evolutionary responses to changing climate", "type" : "article-journal", "volume" : "86" }, "uris" : [ "http://www.mendeley.com/documents/?uuid=82d95050-f926-4a0c-a1f9-d4892789f3f2" ] }, { "id" : "ITEM-2", "itemData" : { "DOI" : "10.1111/j.1469-8137.2012.04230.x", "ISSN" : "1469-8137", "PMID" : "22816320", "abstract" : "Evolution proceeds unceasingly in all biological populations. It is clear that climate-driven evolution has molded plants in deep time and within extant populations. However, it is less certain whether adaptive evolution can proceed sufficiently rapidly to maintain the fitness and demographic stability of populations subjected to exceptionally rapid contemporary climate change. Here, we consider this question, drawing on current evidence on the rate of plant range shifts and the potential for an adaptive evolutionary response. We emphasize advances in understanding based on theoretical studies that model interacting evolutionary processes, and we provide an overview of quantitative genetic approaches that can parameterize these models to provide more meaningful predictions of the dynamic interplay between genetics, demography and evolution. We outline further research that can clarify both the adaptive potential of plant populations as climate continues to change and the role played by ongoing adaptation in their persistence.", "author" : [ { "dropping-particle" : "", "family" : "Shaw", "given" : "Ruth G", "non-dropping-particle" : "", "parse-names" : false, "suffix" : "" }, { "dropping-particle" : "", "family" : "Etterson", "given" : "Julie R", "non-dropping-particle" : "", "parse-names" : false, "suffix" : "" } ], "container-title" : "The New phytologist", "id" : "ITEM-2", "issue" : "4", "issued" : { "date-parts" : [ [ "2012", "9" ] ] }, "page" : "752-65", "title" : "Rapid climate change and the rate of adaptation: insight from experimental quantitative genetics.", "type" : "article-journal", "volume" : "195" }, "uris" : [ "http://www.mendeley.com/documents/?uuid=3f3a5802-61bf-445e-a966-c1f68dfb1d54" ] }, { "id" : "ITEM-3", "itemData" : { "DOI" : "10.1111/j.1461-0248.2005.00796.x", "ISSN" : "1461-023X", "author" : [ { "dropping-particle" : "", "family" : "Jump", "given" : "Alistair S.", "non-dropping-particle" : "", "parse-names" : false, "suffix" : "" }, { "dropping-particle" : "", "family" : "Penuelas", "given" : "Josep", "non-dropping-particle" : "", "parse-names" : false, "suffix" : "" } ], "container-title" : "Ecology Letters", "id" : "ITEM-3", "issue" : "9", "issued" : { "date-parts" : [ [ "2005", "9" ] ] }, "page" : "1010-1020", "title" : "Running to stand still: adaptation and the response of plants to rapid climate change", "type" : "article-journal", "volume" : "8" }, "uris" : [ "http://www.mendeley.com/documents/?uuid=c6437cb0-5734-4fda-a3e3-cf5d1b4b788b" ] }, { "id" : "ITEM-4", "itemData" : { "DOI" : "10.1111/j.1523-1739.2010.01552.x", "ISSN" : "1523-1739", "PMID" : "20646016", "abstract" : "Climate change affects individual organisms by altering development, physiology, behavior, and fitness, and populations by altering genetic and phenotypic composition, vital rates, and dynamics. We sought to clarify how selection, phenotypic plasticity, and demography are linked in the context of climate change. On the basis of theory and results of recent empirical studies of plants and animals, we believe the ecological and evolutionary issues relevant to population persistence as climate changes are the rate, type, magnitude, and spatial pattern of climate-induced abiotic and biotic change; generation time and life history of the organism; extent and type of phenotypic plasticity; amount and distribution of adaptive genetic variation across space and time; dispersal potential; and size and connectivity of subpopulations. An understanding of limits to plasticity and evolutionary potential across traits, populations, and species and feedbacks between adaptive and demographic responses is lacking. Integrated knowledge of coupled ecological and evolutionary mechanisms will increase understanding of the resilience and probabilities of persistence of populations and species.", "author" : [ { "dropping-particle" : "", "family" : "Reed", "given" : "Thomas E", "non-dropping-particle" : "", "parse-names" : false, "suffix" : "" }, { "dropping-particle" : "", "family" : "Schindler", "given" : "Daniel E", "non-dropping-particle" : "", "parse-names" : false, "suffix" : "" }, { "dropping-particle" : "", "family" : "Waples", "given" : "Robin S", "non-dropping-particle" : "", "parse-names" : false, "suffix" : "" } ], "container-title" : "Conservation biology : the journal of the Society for Conservation Biology", "id" : "ITEM-4", "issue" : "1", "issued" : { "date-parts" : [ [ "2011", "2" ] ] }, "page" : "56-63", "title" : "Interacting effects of phenotypic plasticity and evolution on population persistence in a changing climate.", "type" : "article-journal", "volume" : "25" }, "uris" : [ "http://www.mendeley.com/documents/?uuid=8f8b826e-986f-4cee-a917-b85cd75f4593" ] } ], "mendeley" : { "formattedCitation" : "(Davis et al., 2005; Jump and Penuelas, 2005; Reed et al., 2011; Shaw and Etterson, 2012)", "plainTextFormattedCitation" : "(Davis et al., 2005; Jump and Penuelas, 2005; Reed et al., 2011; Shaw and Etterson, 2012)", "previouslyFormattedCitation" : "(Davis et al., 2005; Jump and Penuelas, 2005; Reed et al., 2011; Shaw and Etterson, 2012)" }, "properties" : { "noteIndex" : 0 }, "schema" : "https://github.com/citation-style-language/schema/raw/master/csl-citation.json" }</w:instrText>
      </w:r>
      <w:r w:rsidRPr="00E9130F">
        <w:fldChar w:fldCharType="separate"/>
      </w:r>
      <w:r w:rsidR="00134C22" w:rsidRPr="00134C22">
        <w:rPr>
          <w:noProof/>
        </w:rPr>
        <w:t>(Davis et al., 2005; Jump and Penuelas, 2005; Reed et al., 2011; Shaw and Etterson, 2012)</w:t>
      </w:r>
      <w:r w:rsidRPr="00E9130F">
        <w:fldChar w:fldCharType="end"/>
      </w:r>
      <w:r w:rsidRPr="00E9130F">
        <w:t>.</w:t>
      </w:r>
    </w:p>
    <w:p w14:paraId="279433C1" w14:textId="6CB114D2" w:rsidR="0052730F" w:rsidRDefault="0052730F" w:rsidP="0052730F">
      <w:pPr>
        <w:pStyle w:val="BodyJB"/>
      </w:pPr>
      <w:r w:rsidRPr="00E9130F">
        <w:t xml:space="preserve">The role of evolutionary adaptive responses in predicting effects of future climatic changes may have previously been underestimated </w:t>
      </w:r>
      <w:r w:rsidRPr="00E9130F">
        <w:fldChar w:fldCharType="begin" w:fldLock="1"/>
      </w:r>
      <w:r w:rsidR="007C2FF9">
        <w:instrText>ADDIN CSL_CITATION { "citationItems" : [ { "id" : "ITEM-1", "itemData" : { "DOI" : "10.1111/j.1461-0248.2006.00928.x", "ISSN" : "1461-0248", "PMID" : "16796576", "abstract" : "Patterns of ecotypic variation constitute some of the few 'rules' known to modern biology. Here, we examine several well-known ecogeographical rules, especially those pertaining to body size in contemporary, historical and fossil taxa. We review the evidence showing that rules of geographical variation in response to variation in the local environment can also apply to morphological changes through time in response to climate change. These rules hold at various time scales, ranging from contemporary to geological time scales. Patterns of body size variation in response to climate change at the individual species level may also be detected at the community level. The patterns underlying ecotypic variation are complex and highly context-dependent, reducing the 'predictive-power' of ecogeographical rules. This is especially true when considering the increasing impact of human activities on the environment. Nonetheless, ecogeographical rules may help interpret the likely influences of anthropogenic climate change on ecosystems. Global climate change has already influenced the body size of several contemporary species, and will likely have an even greater impact on animal communities in the future. For this reason, we highlight and emphasise the importance of museum specimens and the continued need for documenting the earth's biological diversity.", "author" : [ { "dropping-particle" : "", "family" : "Millien", "given" : "Virginie", "non-dropping-particle" : "", "parse-names" : false, "suffix" : "" }, { "dropping-particle" : "", "family" : "Kathleen Lyons", "given" : "S", "non-dropping-particle" : "", "parse-names" : false, "suffix" : "" }, { "dropping-particle" : "", "family" : "Olson", "given" : "Link", "non-dropping-particle" : "", "parse-names" : false, "suffix" : "" }, { "dropping-particle" : "", "family" : "Smith", "given" : "Felisa a", "non-dropping-particle" : "", "parse-names" : false, "suffix" : "" }, { "dropping-particle" : "", "family" : "Wilson", "given" : "Anthony B", "non-dropping-particle" : "", "parse-names" : false, "suffix" : "" }, { "dropping-particle" : "", "family" : "Yom-Tov", "given" : "Yoram", "non-dropping-particle" : "", "parse-names" : false, "suffix" : "" } ], "container-title" : "Ecology letters", "id" : "ITEM-1", "issue" : "7", "issued" : { "date-parts" : [ [ "2006", "7" ] ] }, "page" : "853-69", "title" : "Ecotypic variation in the context of global climate change: revisiting the rules.", "type" : "article-journal", "volume" : "9" }, "uris" : [ "http://www.mendeley.com/documents/?uuid=191c50fe-d633-493f-a38f-989904b369fd" ] }, { "id" : "ITEM-2", "itemData" : { "DOI" : "10.1111/j.1469-8137.2010.03603.x", "ISSN" : "1469-8137", "PMID" : "21210818", "abstract" : "\u2022 A key question in ecological genetics is to what extent do plants adapt to changes in climatic conditions, such as drought, through plasticity or evolution. \u2022 To address this question, seeds of 140 maternal families of Brassica rapa were generated from collections made before (1997) and after (2004) a natural drought. These seeds were planted in the glasshouse and grown under low-water and high-water conditions. \u2022 Post-drought lines flowered earlier than pre-drought lines, showing an evolutionary shift to earlier flowering. There was significant genetic variation and genotype by environment (G\u2003\u00d7\u2003E) interactions in flowering time, indicating genetic variation in plasticity in this trait. Plants that flowered earlier had fewer leaf nodes and lower instantaneous (A/g) and integrated (\u03b4(13) C) water use efficiency than late-flowering plants. \u2022 These results suggest that B.\u2003rapa plants escape drought through early flowering rather than avoid drought through increased water use efficiency. The mechanism of this response appears to be high transpiration and inefficient water use, leading to rapid development. These findings demonstrate a trade-off between drought avoidance and escape, and indicate that, in this system, where drought acts to shorten the growing season, selection for drought escape through earlier flowering is more important than phenotypic plasticity.", "author" : [ { "dropping-particle" : "", "family" : "Franks", "given" : "Steven J", "non-dropping-particle" : "", "parse-names" : false, "suffix" : "" } ], "container-title" : "The New phytologist", "id" : "ITEM-2", "issued" : { "date-parts" : [ [ "2011", "1", "6" ] ] }, "title" : "Plasticity and evolution in drought avoidance and escape in the annual plant Brassica rapa.", "type" : "article-journal" }, "uris" : [ "http://www.mendeley.com/documents/?uuid=dcb9dbfa-ebb7-4f4b-a8ba-6fb824da0cf2" ] }, { "id" : "ITEM-3", "itemData" : { "DOI" : "10.1098/rspb.2012.1051", "ISSN" : "1471-2954", "PMID" : "22787021", "abstract" : "Anthropogenic climate change has already altered the timing of major life-history transitions, such as the initiation of reproduction. Both phenotypic plasticity and adaptive evolution can underlie rapid phenological shifts in response to climate change, but their relative contributions are poorly understood. Here, we combine a continuous 38 year field survey with quantitative genetic field experiments to assess adaptation in the context of climate change. We focused on Boechera stricta (Brassicaeae), a mustard native to the US Rocky Mountains. Flowering phenology advanced significantly from 1973 to 2011, and was strongly associated with warmer temperatures and earlier snowmelt dates. Strong directional selection favoured earlier flowering in contemporary environments (2010-2011). Climate change could drive this directional selection, and promote even earlier flowering as temperatures continue to increase. Our quantitative genetic analyses predict a response to selection of 0.2 to 0.5 days acceleration in flowering per generation, which could account for more than 20 per cent of the phenological change observed in the long-term dataset. However, the strength of directional selection and the predicted evolutionary response are likely much greater now than even 30 years ago because of rapidly changing climatic conditions. We predict that adaptation will likely be necessary for long-term in situ persistence in the context of climate change.", "author" : [ { "dropping-particle" : "", "family" : "Anderson", "given" : "Jill T", "non-dropping-particle" : "", "parse-names" : false, "suffix" : "" }, { "dropping-particle" : "", "family" : "Inouye", "given" : "David W", "non-dropping-particle" : "", "parse-names" : false, "suffix" : "" }, { "dropping-particle" : "", "family" : "McKinney", "given" : "Amy M", "non-dropping-particle" : "", "parse-names" : false, "suffix" : "" }, { "dropping-particle" : "", "family" : "Colautti", "given" : "Robert I", "non-dropping-particle" : "", "parse-names" : false, "suffix" : "" }, { "dropping-particle" : "", "family" : "Mitchell-Olds", "given" : "Tom", "non-dropping-particle" : "", "parse-names" : false, "suffix" : "" } ], "container-title" : "Proceedings. Biological sciences / The Royal Society", "id" : "ITEM-3", "issue" : "1743", "issued" : { "date-parts" : [ [ "2012", "9", "22" ] ] }, "page" : "3843-52", "title" : "Phenotypic plasticity and adaptive evolution contribute to advancing flowering phenology in response to climate change", "type" : "article-journal", "volume" : "279" }, "uris" : [ "http://www.mendeley.com/documents/?uuid=e519dd00-cea1-46f0-868d-2577eb5c27cc" ] } ], "mendeley" : { "formattedCitation" : "(Millien et al., 2006; Franks, 2011; Anderson et al., 2012)", "plainTextFormattedCitation" : "(Millien et al., 2006; Franks, 2011; Anderson et al., 2012)", "previouslyFormattedCitation" : "(Millien et al., 2006; Franks, 2011; Anderson et al., 2012)" }, "properties" : { "noteIndex" : 0 }, "schema" : "https://github.com/citation-style-language/schema/raw/master/csl-citation.json" }</w:instrText>
      </w:r>
      <w:r w:rsidRPr="00E9130F">
        <w:fldChar w:fldCharType="separate"/>
      </w:r>
      <w:r w:rsidRPr="00512143">
        <w:rPr>
          <w:noProof/>
        </w:rPr>
        <w:t xml:space="preserve">(Millien </w:t>
      </w:r>
      <w:r w:rsidRPr="00512143">
        <w:rPr>
          <w:i/>
          <w:noProof/>
        </w:rPr>
        <w:t>et al.</w:t>
      </w:r>
      <w:r w:rsidRPr="00512143">
        <w:rPr>
          <w:noProof/>
        </w:rPr>
        <w:t xml:space="preserve">, 2006; Franks, 2011; Anderson </w:t>
      </w:r>
      <w:r w:rsidRPr="00512143">
        <w:rPr>
          <w:i/>
          <w:noProof/>
        </w:rPr>
        <w:t>et al.</w:t>
      </w:r>
      <w:r w:rsidRPr="00512143">
        <w:rPr>
          <w:noProof/>
        </w:rPr>
        <w:t>, 2012)</w:t>
      </w:r>
      <w:r w:rsidRPr="00E9130F">
        <w:fldChar w:fldCharType="end"/>
      </w:r>
      <w:r w:rsidRPr="00E9130F">
        <w:t xml:space="preserve"> There is clear evidence that current climate exerts strong selection pressures resulting in population differentiation and local adaptation </w:t>
      </w:r>
      <w:r w:rsidRPr="00E9130F">
        <w:fldChar w:fldCharType="begin" w:fldLock="1"/>
      </w:r>
      <w:r w:rsidR="007C2FF9">
        <w:instrText>ADDIN CSL_CITATION { "citationItems" : [ { "id" : "ITEM-1", "itemData" : { "author" : [ { "dropping-particle" : "", "family" : "Production", "given" : "Biomass", "non-dropping-particle" : "", "parse-names" : false, "suffix" : "" }, { "dropping-particle" : "", "family" : "Patterns", "given" : "Reproductive", "non-dropping-particle" : "", "parse-names" : false, "suffix" : "" }, { "dropping-particle" : "Del", "family" : "Pozo", "given" : "a", "non-dropping-particle" : "", "parse-names" : false, "suffix" : "" }, { "dropping-particle" : "", "family" : "Ovalle", "given" : "C", "non-dropping-particle" : "", "parse-names" : false, "suffix" : "" }, { "dropping-particle" : "", "family" : "Aronson", "given" : "J", "non-dropping-particle" : "", "parse-names" : false, "suffix" : "" }, { "dropping-particle" : "", "family" : "Avenda\u00f1o", "given" : "J", "non-dropping-particle" : "", "parse-names" : false, "suffix" : "" }, { "dropping-particle" : "", "family" : "Ecology", "given" : "Source Plant", "non-dropping-particle" : "", "parse-names" : false, "suffix" : "" }, { "dropping-particle" : "", "family" : "Apr", "given" : "No", "non-dropping-particle" : "", "parse-names" : false, "suffix" : "" } ], "container-title" : "Production", "id" : "ITEM-1", "issue" : "Rihan 1988", "issued" : { "date-parts" : [ [ "2010" ] ] }, "page" : "119-130", "title" : "Ecotypic Differentiation in Medicago polymorpha L . along an Environmental Gradient in Stable URL : http://www.jstor.org/stable/20051217 Ecotypic in Medicago in central biomass reproductive", "type" : "article-journal", "volume" : "159" }, "uris" : [ "http://www.mendeley.com/documents/?uuid=10e29ee0-9a0b-478f-88b2-bfeff075eba6" ] }, { "id" : "ITEM-2", "itemData" : { "DOI" : "10.1111/j.1365-2435.2008.01497.x", "ISBN" : "0269-8463", "abstract" : "1. Local adaptation is a major factor shaping a species' range. Studies on adaptation to local abiotic conditions are numerous, but adaptation to neighbour conditions has been almost neglected, and these two have rarely been separated experimentally. We hypothesized that adaptation to abiotic stress (e.g. fast development, drought resistance) dominates at the stressful end of the gradient, while adaptation to competition ( e. g. large plant size) is more common at the benign end of the distribution range. 2. We conducted a reciprocal sowing experiment coupled with a removal experiment in the field for two winter annual grass species Bromus fasciculatus C. Presl. and Brachypodium distachyon (L.) Beauv. from Mediterranean and arid populations in Jordan. The two species were also grown under standard conditions for evaluating whether traits indicative of competitive ability and tolerance to stress are more common for either of the ecotypes. 3. Adaptation to abiotic stress could not be tested because our experiment was performed in a favourable year where water was not limiting in either of the sites. Competition was intense in both sites for the two populations of each species but competitive exclusion was observed only in the Mediterranean site. Mediterranean populations produced consistently more biomass and exhibited later onset of flowering than arid populations, both in the field and under standard conditions. 4. Mediterranean populations also showed better competitive response ability however stress tolerance was no different to that of arid populations. 5. This study indicates that competition and length of the growing season are major selective constraints at the two extremes of the ecological range along aridity gradients. We suggest that drought stress increases in importance during dry years and studies on local adaptation along climatic gradients may help predict the effect of global change on future species' distributions.", "author" : [ { "dropping-particle" : "", "family" : "Liancourt", "given" : "P", "non-dropping-particle" : "", "parse-names" : false, "suffix" : "" }, { "dropping-particle" : "", "family" : "Tielborger", "given" : "K", "non-dropping-particle" : "", "parse-names" : false, "suffix" : "" } ], "container-title" : "Functional Ecology", "id" : "ITEM-2", "issue" : "2", "issued" : { "date-parts" : [ [ "2009" ] ] }, "language" : "English", "page" : "397-404", "title" : "Competition and a short growing season lead to ecotypic differentiation at the two extremes of the ecological range", "type" : "article-journal", "volume" : "23" }, "uris" : [ "http://www.mendeley.com/documents/?uuid=44229119-257d-4e9a-9923-a6cb780d1028" ] } ], "mendeley" : { "formattedCitation" : "(Liancourt and Tielborger, 2009; Production et al., 2010)", "plainTextFormattedCitation" : "(Liancourt and Tielborger, 2009; Production et al., 2010)", "previouslyFormattedCitation" : "(Liancourt and Tielborger, 2009; Production et al., 2010)" }, "properties" : { "noteIndex" : 0 }, "schema" : "https://github.com/citation-style-language/schema/raw/master/csl-citation.json" }</w:instrText>
      </w:r>
      <w:r w:rsidRPr="00E9130F">
        <w:fldChar w:fldCharType="separate"/>
      </w:r>
      <w:r w:rsidR="00134C22" w:rsidRPr="00134C22">
        <w:rPr>
          <w:noProof/>
        </w:rPr>
        <w:t>(Liancourt and Tielborger, 2009; Production et al., 2010)</w:t>
      </w:r>
      <w:r w:rsidRPr="00E9130F">
        <w:fldChar w:fldCharType="end"/>
      </w:r>
      <w:r w:rsidRPr="00E9130F">
        <w:t xml:space="preserve">. Since plants are immobile organisms, many populations face generations of selection under specific local environmental conditions. This selection may result in genetic differentiation between populations of widespread species subjected to different environmental conditions </w:t>
      </w:r>
      <w:r w:rsidRPr="00E9130F">
        <w:fldChar w:fldCharType="begin" w:fldLock="1"/>
      </w:r>
      <w:r w:rsidR="007C2FF9">
        <w:instrText>ADDIN CSL_CITATION { "citationItems" : [ { "id" : "ITEM-1", "itemData" : { "DOI" : "10.1111/j.1469-8137.2011.03799.x", "ISSN" : "1469-8137", "PMID" : "21729087", "abstract" : "\u2022 Both genetic drift and natural selection result in genetic/phenotypic differentiation over space. I analyzed the role of local adaptation in the genetic differentiation of populations of the annual grass Hordeum spontaneum sampled along an aridity gradient. \u2022 The study included the introduction of plants having desert vs nondesert origin into natural (desert) environment, analysis of population differentiation in allozymes and random amplified polymorphic DNA (RAPD) markers vs phenotypic traits (Q(ST) -F(ST) comparison), and planting interpopulation hybrids under simulated desert conditions in a glasshouse. \u2022 The results of the home advantage test, Q(ST) -F(ST) comparison and crossbreeding were consistent with local adaptation; that is, that differentiation of the desert plants from plants of nondesert origin in phenotypic traits was adaptive, giving them home advantage. Each method used provided additional, otherwise unavailable, information, meaning that they should be viewed as complementary rather than alternative approaches. \u2022 Gene flow from adjacent populations (i.e. populations experiencing the desert environment) via seeds (but not pollen) had a positive effect on fitness by enhancing natural selection and counteracting drift. At the same time, the effect of genes from the species distributional core (nondesert plants) by either seed or pollen had a negative fitness effect despite its enriching effect on neutral diversity. The pattern of outbreeding depression observed in interpopulation hybrids (F(1) ) and their segregating progeny (F(2) ) was inconsistent with underdominance, but indicated the presence of additive, dominance and epistatic effects.", "author" : [ { "dropping-particle" : "", "family" : "Volis", "given" : "S", "non-dropping-particle" : "", "parse-names" : false, "suffix" : "" } ], "container-title" : "The New phytologist", "id" : "ITEM-1", "issue" : "1", "issued" : { "date-parts" : [ [ "2011", "10" ] ] }, "page" : "237-48", "title" : "Adaptive genetic differentiation in a predominantly self-pollinating species analyzed by transplanting into natural environment, crossbreeding and Q(ST)-F(ST) test.", "type" : "article-journal", "volume" : "192" }, "uris" : [ "http://www.mendeley.com/documents/?uuid=38f0bbe6-c127-41b2-9a31-f7f25cef5818" ] }, { "id" : "ITEM-2", "itemData" : { "DOI" : "Doi 10.1111/J.1469-8137.2007.02282.X", "ISBN" : "0028-646X", "abstract" : "Plant populations growing at the margin of their range may exhibit traits that indicate genetic differentiation and adaptation to their local abiotic environment. Here, it was investigated whether geographically separated marginal populations of Arabidopsis lyrata ssp. petraea have distinct metabolic phenotypes within the plant foliage. Seeds of A. petraea were obtained from populations along a latitudinal gradient (49-64 degrees N), namely Germany, Wales, Sweden and Iceland and grown in a controlled cabinet environment. Targeted metabolic profiles and fingerprints were obtained at the same initial developmental stage. The free amino acid compositions were population specific, with fold differences in arginine, aspartic acid, asparagines, glycine, phenylalanine, alanine, threonine, histidine, serine and gamma-aminobutyric acid (GABA) concentrations. Sucrose, mannose and fructose concentrations were also different between populations but polyhydric alcohol concentrations were not. Principal component analysis (PCA) of metabolite fingerprints revealed metabolic phenotypes for each population. It is suggested that glucosinolates were responsible for discriminating populations within the PCA. Metabolite fingerprinting and profiling has proved to be sufficiently sensitive to identify metabolic differences between plant populations. These findings show that there is significant natural variation in metabolism among populations of A. petraea.", "author" : [ { "dropping-particle" : "", "family" : "Davey", "given" : "M P", "non-dropping-particle" : "", "parse-names" : false, "suffix" : "" }, { "dropping-particle" : "", "family" : "Burrell", "given" : "M M", "non-dropping-particle" : "", "parse-names" : false, "suffix" : "" }, { "dropping-particle" : "", "family" : "Woodward", "given" : "F I", "non-dropping-particle" : "", "parse-names" : false, "suffix" : "" }, { "dropping-particle" : "", "family" : "Quick", "given" : "W P", "non-dropping-particle" : "", "parse-names" : false, "suffix" : "" } ], "container-title" : "New Phytologist", "id" : "ITEM-2", "issue" : "2", "issued" : { "date-parts" : [ [ "2008" ] ] }, "language" : "English", "page" : "380-388", "title" : "Population-specific metabolic phenotypes of Arabidopsis lyrata ssp petraea", "type" : "article-journal", "volume" : "177" }, "uris" : [ "http://www.mendeley.com/documents/?uuid=92e9c872-fc98-42f1-9f3f-c38db9993c16" ] }, { "id" : "ITEM-3", "itemData" : { "DOI" : "10.1111/j.0030-1299.2008.16939.x", "ISSN" : "00301299", "author" : [ { "dropping-particle" : "", "family" : "Becker", "given" : "Ute", "non-dropping-particle" : "", "parse-names" : false, "suffix" : "" }, { "dropping-particle" : "", "family" : "Dostal", "given" : "Petr", "non-dropping-particle" : "", "parse-names" : false, "suffix" : "" }, { "dropping-particle" : "", "family" : "Jorritsma-Wienk", "given" : "Linda D.", "non-dropping-particle" : "", "parse-names" : false, "suffix" : "" }, { "dropping-particle" : "", "family" : "Matthies", "given" : "Diethart", "non-dropping-particle" : "", "parse-names" : false, "suffix" : "" } ], "container-title" : "Oikos", "id" : "ITEM-3", "issue" : "12", "issued" : { "date-parts" : [ [ "2008", "12" ] ] }, "page" : "1865-1873", "title" : "The spatial scale of adaptive population differentiation in a wide-spread, well-dispersed plant species", "type" : "article-journal", "volume" : "117" }, "uris" : [ "http://www.mendeley.com/documents/?uuid=b0696bc5-d6a0-4e0e-b07c-5322dbc656f2" ] } ], "mendeley" : { "formattedCitation" : "(Becker et al., 2008; Davey et al., 2008a; Volis, 2011)", "plainTextFormattedCitation" : "(Becker et al., 2008; Davey et al., 2008a; Volis, 2011)", "previouslyFormattedCitation" : "(Becker et al., 2008; Davey et al., 2008a; Volis, 2011)" }, "properties" : { "noteIndex" : 0 }, "schema" : "https://github.com/citation-style-language/schema/raw/master/csl-citation.json" }</w:instrText>
      </w:r>
      <w:r w:rsidRPr="00E9130F">
        <w:fldChar w:fldCharType="separate"/>
      </w:r>
      <w:r w:rsidR="00134C22" w:rsidRPr="00134C22">
        <w:rPr>
          <w:noProof/>
        </w:rPr>
        <w:t>(Becker et al., 2008; Davey et al., 2008a; Volis, 2011)</w:t>
      </w:r>
      <w:r w:rsidRPr="00E9130F">
        <w:fldChar w:fldCharType="end"/>
      </w:r>
      <w:r w:rsidRPr="00191AD2">
        <w:t xml:space="preserve"> resulting in local adaptation </w:t>
      </w:r>
      <w:r w:rsidRPr="00191AD2">
        <w:fldChar w:fldCharType="begin" w:fldLock="1"/>
      </w:r>
      <w:r w:rsidR="007C2FF9">
        <w:instrText>ADDIN CSL_CITATION { "citationItems" : [ { "id" : "ITEM-1", "itemData" : { "DOI" : "10.1111/j.1461-0248.2004.00684.x", "ISSN" : "1461-023X", "author" : [ { "dropping-particle" : "", "family" : "Kawecki", "given" : "Tadeusz J.", "non-dropping-particle" : "", "parse-names" : false, "suffix" : "" }, { "dropping-particle" : "", "family" : "Ebert", "given" : "Dieter", "non-dropping-particle" : "", "parse-names" : false, "suffix" : "" } ], "container-title" : "Ecology Letters", "id" : "ITEM-1", "issue" : "12", "issued" : { "date-parts" : [ [ "2004", "12" ] ] }, "page" : "1225-1241", "title" : "Conceptual issues in local adaptation", "type" : "article-journal", "volume" : "7" }, "uris" : [ "http://www.mendeley.com/documents/?uuid=0766f154-88f4-44a6-8123-4f9a05208f11" ] } ], "mendeley" : { "formattedCitation" : "(Kawecki and Ebert, 2004)", "plainTextFormattedCitation" : "(Kawecki and Ebert, 2004)", "previouslyFormattedCitation" : "(Kawecki and Ebert, 2004)" }, "properties" : { "noteIndex" : 0 }, "schema" : "https://github.com/citation-style-language/schema/raw/master/csl-citation.json" }</w:instrText>
      </w:r>
      <w:r w:rsidRPr="00191AD2">
        <w:fldChar w:fldCharType="separate"/>
      </w:r>
      <w:r w:rsidR="00134C22" w:rsidRPr="00134C22">
        <w:rPr>
          <w:noProof/>
        </w:rPr>
        <w:t>(Kawecki and Ebert, 2004)</w:t>
      </w:r>
      <w:r w:rsidRPr="00191AD2">
        <w:fldChar w:fldCharType="end"/>
      </w:r>
      <w:r w:rsidRPr="00191AD2">
        <w:t xml:space="preserve">.   </w:t>
      </w:r>
    </w:p>
    <w:p w14:paraId="7B923EB6" w14:textId="210F8045" w:rsidR="0052730F" w:rsidRPr="00191AD2" w:rsidRDefault="0052730F" w:rsidP="00DC7B26">
      <w:pPr>
        <w:pStyle w:val="BodyJB"/>
        <w:ind w:firstLine="720"/>
      </w:pPr>
      <w:r w:rsidRPr="00191AD2">
        <w:t xml:space="preserve">There are a number of factors that can affect the magnitude of local adaptation </w:t>
      </w:r>
      <w:r w:rsidRPr="00191AD2">
        <w:fldChar w:fldCharType="begin" w:fldLock="1"/>
      </w:r>
      <w:r w:rsidR="007C2FF9">
        <w:instrText>ADDIN CSL_CITATION { "citationItems" : [ { "id" : "ITEM-1", "itemData" : { "DOI" : "10.1086/597611", "ISBN" : "0003-0147", "abstract" : "The long history of reciprocal transplant studies testing the hypothesis of local adaptation has shown that populations are often adapted to their local environments. Yet many studies have not demonstrated local adaptation, suggesting that sometimes native populations are no better adapted than are genotypes from foreign environments. Local adaptation may also lead to trade-offs, in which adaptation to one environment comes at a cost of adaptation to another environment. I conducted a survey of published studies of local adaptation to quantify its frequency and magnitude and the costs associated with local adaptation. I also quantified the relationship between local adaptation and environmental differences and the relationship between local adaptation and phenotypic divergence. The overall frequency of local adaptation was 0.71, and the magnitude of the native population advantage in relative fitness was 45%. Divergence between home site environments was positively associated with the magnitude of local adaptation, but phenotypic divergence was not. I found a small negative correlation between a population's relative fitness in its native environment and its fitness in a foreign environment, indicating weak trade-offs associated with local adaptation. These results suggest that populations are often locally adapted but stochastic processes such as genetic drift may limit the efficacy of divergent selection.", "author" : [ { "dropping-particle" : "", "family" : "Hereford", "given" : "J", "non-dropping-particle" : "", "parse-names" : false, "suffix" : "" } ], "container-title" : "American Naturalist", "id" : "ITEM-1", "issue" : "5", "issued" : { "date-parts" : [ [ "2009" ] ] }, "language" : "English", "page" : "579-588", "title" : "A Quantitative Survey of Local Adaptation and Fitness Trade-Offs", "type" : "article-journal", "volume" : "173" }, "uris" : [ "http://www.mendeley.com/documents/?uuid=6c53f457-7ba5-4a4b-a41e-69ba01ccd32e" ] } ], "mendeley" : { "formattedCitation" : "(Hereford, 2009)", "plainTextFormattedCitation" : "(Hereford, 2009)", "previouslyFormattedCitation" : "(Hereford, 2009)" }, "properties" : { "noteIndex" : 0 }, "schema" : "https://github.com/citation-style-language/schema/raw/master/csl-citation.json" }</w:instrText>
      </w:r>
      <w:r w:rsidRPr="00191AD2">
        <w:fldChar w:fldCharType="separate"/>
      </w:r>
      <w:r w:rsidRPr="00EB70D5">
        <w:rPr>
          <w:noProof/>
        </w:rPr>
        <w:t>(Hereford, 2009)</w:t>
      </w:r>
      <w:r w:rsidRPr="00191AD2">
        <w:fldChar w:fldCharType="end"/>
      </w:r>
      <w:r w:rsidRPr="00191AD2">
        <w:t>. Local adaptation is dependent on the amount of gene flow between populations (low dispersal will promote local adaptation)</w:t>
      </w:r>
      <w:r w:rsidRPr="00191AD2">
        <w:fldChar w:fldCharType="begin" w:fldLock="1"/>
      </w:r>
      <w:r w:rsidR="007C2FF9">
        <w:instrText>ADDIN CSL_CITATION { "citationItems" : [ { "id" : "ITEM-1", "itemData" : { "DOI" : "10.1016/S0169-5347(02)02497-7", "ISBN" : "0169-5347", "ISSN" : "01695347", "PMID" : "4224", "abstract" : "In general, individuals who survive to reproduce have genotypes that work relatively well under local conditions. Migrating or dispersing offspring elsewhere is likely to decrease an individual's or its offspring's fitness, not to mention the intrinsic costs and risks of dispersal. Gene flow into a population can counteract gene frequency changes because of selection, imposing a limit on local adaptation. In addition, the migrant flow tends to be higher from densely populated to sparsely populated areas. Thus, although the potential for adaptation might be greatest in poor and sparsely populated environments, gene flow will counteract selection more strongly in such populations. Recent papers, both theoretical and empirical, have clarified the important role of migration in evolution, affecting spatial patterns, species ranges and adaptation to the environment; in particular, by emphasizing the crucial interaction between evolutionary and demographic processes.", "author" : [ { "dropping-particle" : "", "family" : "Lenormand", "given" : "Thomas", "non-dropping-particle" : "", "parse-names" : false, "suffix" : "" } ], "container-title" : "Trends in Ecology and Evolution", "id" : "ITEM-1", "issue" : "4", "issued" : { "date-parts" : [ [ "2002" ] ] }, "page" : "183-189", "title" : "Gene flow and the limits to natural selection", "type" : "article-journal", "volume" : "17" }, "uris" : [ "http://www.mendeley.com/documents/?uuid=2d5b5866-7fac-4178-a738-d4c84699bebc", "http://www.mendeley.com/documents/?uuid=21f1135b-ee2f-442a-9649-91fc76dd4f49" ] } ], "mendeley" : { "formattedCitation" : "(Lenormand, 2002)", "plainTextFormattedCitation" : "(Lenormand, 2002)", "previouslyFormattedCitation" : "(Lenormand, 2002)" }, "properties" : { "noteIndex" : 0 }, "schema" : "https://github.com/citation-style-language/schema/raw/master/csl-citation.json" }</w:instrText>
      </w:r>
      <w:r w:rsidRPr="00191AD2">
        <w:fldChar w:fldCharType="separate"/>
      </w:r>
      <w:r w:rsidRPr="00EB70D5">
        <w:rPr>
          <w:noProof/>
        </w:rPr>
        <w:t>(Lenormand, 2002)</w:t>
      </w:r>
      <w:r w:rsidRPr="00191AD2">
        <w:fldChar w:fldCharType="end"/>
      </w:r>
      <w:r w:rsidRPr="00191AD2">
        <w:t>, as well as the amount of genetic variation within a population (low genetic variation due to genetic drift can limit adaptation because it is harder for advantageous alleles to reach high frequency</w:t>
      </w:r>
      <w:r>
        <w:t>)</w:t>
      </w:r>
      <w:r>
        <w:fldChar w:fldCharType="begin" w:fldLock="1"/>
      </w:r>
      <w:r w:rsidR="007C2FF9">
        <w:instrText>ADDIN CSL_CITATION { "citationItems" : [ { "id" : "ITEM-1", "itemData" : { "DOI" : "10.1146/annurev.ecolsys.27.1.237", "ISSN" : "0066-4162", "author" : [ { "dropping-particle" : "", "family" : "Linhart", "given" : "Yan B.", "non-dropping-particle" : "", "parse-names" : false, "suffix" : "" }, { "dropping-particle" : "", "family" : "Grant", "given" : "Michael C.", "non-dropping-particle" : "", "parse-names" : false, "suffix" : "" } ], "container-title" : "Annual Review of Ecology and Systematics", "id" : "ITEM-1", "issue" : "1", "issued" : { "date-parts" : [ [ "1996", "11" ] ] }, "page" : "237-277", "title" : "Evolutionary Significance of Local Genetic Differentiation in Plants", "type" : "article-journal", "volume" : "27" }, "uris" : [ "http://www.mendeley.com/documents/?uuid=0f382d46-3829-45fc-b60c-a2435be233f2" ] } ], "mendeley" : { "formattedCitation" : "(Linhart and Grant, 1996a)", "plainTextFormattedCitation" : "(Linhart and Grant, 1996a)", "previouslyFormattedCitation" : "(Linhart and Grant, 1996a)" }, "properties" : { "noteIndex" : 0 }, "schema" : "https://github.com/citation-style-language/schema/raw/master/csl-citation.json" }</w:instrText>
      </w:r>
      <w:r>
        <w:fldChar w:fldCharType="separate"/>
      </w:r>
      <w:r w:rsidR="00134C22" w:rsidRPr="00134C22">
        <w:rPr>
          <w:noProof/>
        </w:rPr>
        <w:t>(Linhart and Grant, 1996a)</w:t>
      </w:r>
      <w:r>
        <w:fldChar w:fldCharType="end"/>
      </w:r>
      <w:r>
        <w:t xml:space="preserve">. </w:t>
      </w:r>
      <w:r w:rsidRPr="00191AD2">
        <w:t xml:space="preserve">Local adaptation has been reported in response to environmental variation at both small and broad spatial scales </w:t>
      </w:r>
      <w:r w:rsidRPr="00191AD2">
        <w:fldChar w:fldCharType="begin" w:fldLock="1"/>
      </w:r>
      <w:r w:rsidR="007C2FF9">
        <w:instrText>ADDIN CSL_CITATION { "citationItems" : [ { "id" : "ITEM-1", "itemData" : { "DOI" : "Doi 10.1111/J.1469-8137.2007.02282.X", "ISBN" : "0028-646X", "abstract" : "Plant populations growing at the margin of their range may exhibit traits that indicate genetic differentiation and adaptation to their local abiotic environment. Here, it was investigated whether geographically separated marginal populations of Arabidopsis lyrata ssp. petraea have distinct metabolic phenotypes within the plant foliage. Seeds of A. petraea were obtained from populations along a latitudinal gradient (49-64 degrees N), namely Germany, Wales, Sweden and Iceland and grown in a controlled cabinet environment. Targeted metabolic profiles and fingerprints were obtained at the same initial developmental stage. The free amino acid compositions were population specific, with fold differences in arginine, aspartic acid, asparagines, glycine, phenylalanine, alanine, threonine, histidine, serine and gamma-aminobutyric acid (GABA) concentrations. Sucrose, mannose and fructose concentrations were also different between populations but polyhydric alcohol concentrations were not. Principal component analysis (PCA) of metabolite fingerprints revealed metabolic phenotypes for each population. It is suggested that glucosinolates were responsible for discriminating populations within the PCA. Metabolite fingerprinting and profiling has proved to be sufficiently sensitive to identify metabolic differences between plant populations. These findings show that there is significant natural variation in metabolism among populations of A. petraea.", "author" : [ { "dropping-particle" : "", "family" : "Davey", "given" : "M P", "non-dropping-particle" : "", "parse-names" : false, "suffix" : "" }, { "dropping-particle" : "", "family" : "Burrell", "given" : "M M", "non-dropping-particle" : "", "parse-names" : false, "suffix" : "" }, { "dropping-particle" : "", "family" : "Woodward", "given" : "F I", "non-dropping-particle" : "", "parse-names" : false, "suffix" : "" }, { "dropping-particle" : "", "family" : "Quick", "given" : "W P", "non-dropping-particle" : "", "parse-names" : false, "suffix" : "" } ], "container-title" : "New Phytologist", "id" : "ITEM-1", "issue" : "2", "issued" : { "date-parts" : [ [ "2008" ] ] }, "language" : "English", "page" : "380-388", "title" : "Population-specific metabolic phenotypes of Arabidopsis lyrata ssp petraea", "type" : "article-journal", "volume" : "177" }, "uris" : [ "http://www.mendeley.com/documents/?uuid=92e9c872-fc98-42f1-9f3f-c38db9993c16" ] }, { "id" : "ITEM-2", "itemData" : { "DOI" : "10.1111/j.1365-2745.2009.01612.x", "ISSN" : "00220477", "author" : [ { "dropping-particle" : "", "family" : "Jongejans", "given" : "Eelke", "non-dropping-particle" : "", "parse-names" : false, "suffix" : "" }, { "dropping-particle" : "", "family" : "Jorritsma-Wienk", "given" : "Linda D.", "non-dropping-particle" : "", "parse-names" : false, "suffix" : "" }, { "dropping-particle" : "", "family" : "Becker", "given" : "Ute", "non-dropping-particle" : "", "parse-names" : false, "suffix" : "" }, { "dropping-particle" : "", "family" : "Dost\u00e1l", "given" : "Petr", "non-dropping-particle" : "", "parse-names" : false, "suffix" : "" }, { "dropping-particle" : "", "family" : "Mild\u00e9n", "given" : "Mikael", "non-dropping-particle" : "", "parse-names" : false, "suffix" : "" }, { "dropping-particle" : "", "family" : "Kroon", "given" : "Hans", "non-dropping-particle" : "de", "parse-names" : false, "suffix" : "" } ], "container-title" : "Journal of Ecology", "id" : "ITEM-2", "issue" : "2", "issued" : { "date-parts" : [ [ "2010", "3" ] ] }, "page" : "279-289", "title" : "Region versus site variation in the population dynamics of three short-lived perennials", "type" : "article-journal", "volume" : "98" }, "uris" : [ "http://www.mendeley.com/documents/?uuid=d180f1eb-34f5-494a-83e1-00db851a0833" ] }, { "id" : "ITEM-3", "itemData" : { "DOI" : "10.1007/s00442-012-2349-1", "ISSN" : "1432-1939", "PMID" : "22707035", "abstract" : "The ability of plant species to colonize new habitats and persist in changing environments depends on their ability to respond plastically to environmental variation and on the presence of genetic variation, thus allowing adaptation to new conditions. For invasive species in particular, the relationship between phenotypic trait expression, demography, and the quantitative genetic variation that is available to respond to selection are likely to be important determinants of the successful establishment and persistence of populations. However, the magnitude and sources of individual demographic variation in exotic plant populations remain poorly understood. How important is plasticity versus adaptability in populations of invasive species? Among environmental factors, is temperature, soil nutrients, or competition most influential, and at what scales and life stages do they affect the plants? To investigate these questions we planted seeds of the exotic annual plant Erodium brachycarpum into typical pasture habitat in a spatially nested design. Seeds were drawn from 30 inbred lines to enable quantification of genetic effects. Despite a positive population growth rate, a few plants (0.1 %) produced &gt;50 % of the seeds, suggesting a low effective population size. Emergence and early growth varied by genotype, but as in previous studies on native plants, environmental effects greatly exceeded genetic effects, and survival was unrelated to genotype. Environmental influences shifted from microscale soil compaction and litter depth at emergence through to larger-scale soil nutrient gradients during growth and to competition during later survival and seed production. Temperature had no effect. Most demographic rates were positively correlated, but emergence was negatively correlated with other rates.", "author" : [ { "dropping-particle" : "", "family" : "Latimer", "given" : "Andrew M", "non-dropping-particle" : "", "parse-names" : false, "suffix" : "" }, { "dropping-particle" : "", "family" : "Jacobs", "given" : "Brooke S", "non-dropping-particle" : "", "parse-names" : false, "suffix" : "" } ], "container-title" : "Oecologia", "id" : "ITEM-3", "issue" : "3", "issued" : { "date-parts" : [ [ "2012", "11" ] ] }, "page" : "659-67", "title" : "Quantifying how fine-grained environmental heterogeneity and genetic variation affect demography in an annual plant population.", "type" : "article-journal", "volume" : "170" }, "uris" : [ "http://www.mendeley.com/documents/?uuid=ac9cf4b8-f378-4f9a-ac1f-884b08cf8762" ] }, { "id" : "ITEM-4", "itemData" : { "DOI" : "Doi 10.1007/S00442-006-0534-9", "ISBN" : "0029-8549", "abstract" : "Spatial variation in environmental conditions can lead to local adaptation of plant populations, particularly if gene flow among populations is low. Many studies have investigated adaptation to contrasting environmental conditions, but little is known about the spatial scale of adaptive evolution. We studied population differentiation and local adaptation at two spatial scales in the monocarpic grassland perennial Carlina vulgaris. We reciprocally transplanted seedlings among five European regions (northwestern Czech Republic, central Germany, Luxembourg, southern Sweden and northwestern Switzerland) and among populations of different sizes within three of the regions. We recorded survival, growth and reproduction over three growing periods. At the regional scale, several performance traits and the individual fitness of C. vulgaris were highest if the plants were grown in their home region and they decreased with increasing transplant distance. The effects are likely due to climatic differences that increased with the geographical distance between regions. At the local scale, there were significant interactions between the effects of the population of origin and the transplant site, but these were not due to an enhanced performance of plants at their home site and they were not related to the geographical or environmental distance between the site of origin and the transplant site. The size of the population of origin did not influence the strength of local adaptation. The results of our study suggest that C. vulgaris consists of regionally adapted genotypes, and that distance is a good predictor of the extent of adaptive differentiation at large scales ( &gt; 200 km) but not at small scales. We conclude that patterns of local adaptation should be taken into account for the efficient preservation of genetic resources, when assessing the status of a plant species and during conservation planning.", "author" : [ { "dropping-particle" : "", "family" : "Becker", "given" : "U", "non-dropping-particle" : "", "parse-names" : false, "suffix" : "" }, { "dropping-particle" : "", "family" : "Colling", "given" : "G", "non-dropping-particle" : "", "parse-names" : false, "suffix" : "" }, { "dropping-particle" : "", "family" : "Dostal", "given" : "P", "non-dropping-particle" : "", "parse-names" : false, "suffix" : "" }, { "dropping-particle" : "", "family" : "Jakobsson", "given" : "A", "non-dropping-particle" : "", "parse-names" : false, "suffix" : "" }, { "dropping-particle" : "", "family" : "Matthies", "given" : "D", "non-dropping-particle" : "", "parse-names" : false, "suffix" : "" } ], "container-title" : "Oecologia", "id" : "ITEM-4", "issue" : "3", "issued" : { "date-parts" : [ [ "2006" ] ] }, "language" : "English", "page" : "506-518", "title" : "Local adaptation in the monocarpic perennial Carlina vulgaris at different spatial scales across Europe", "type" : "article-journal", "volume" : "150" }, "uris" : [ "http://www.mendeley.com/documents/?uuid=2d75a7ee-580e-414b-a1c6-78270f8162e9" ] } ], "mendeley" : { "formattedCitation" : "(Becker et al., 2006; Davey et al., 2008a; Jongejans et al., 2010; Latimer and Jacobs, 2012)", "plainTextFormattedCitation" : "(Becker et al., 2006; Davey et al., 2008a; Jongejans et al., 2010; Latimer and Jacobs, 2012)", "previouslyFormattedCitation" : "(Becker et al., 2006; Davey et al., 2008a; Jongejans et al., 2010; Latimer and Jacobs, 2012)" }, "properties" : { "noteIndex" : 0 }, "schema" : "https://github.com/citation-style-language/schema/raw/master/csl-citation.json" }</w:instrText>
      </w:r>
      <w:r w:rsidRPr="00191AD2">
        <w:fldChar w:fldCharType="separate"/>
      </w:r>
      <w:r w:rsidR="00134C22" w:rsidRPr="00134C22">
        <w:rPr>
          <w:noProof/>
        </w:rPr>
        <w:t>(Becker et al., 2006; Davey et al., 2008a; Jongejans et al., 2010; Latimer and Jacobs, 2012)</w:t>
      </w:r>
      <w:r w:rsidRPr="00191AD2">
        <w:fldChar w:fldCharType="end"/>
      </w:r>
      <w:r w:rsidRPr="00191AD2">
        <w:t xml:space="preserve">. This is typically a reflection of the scale of environmental heterogeneity, both within and between populations </w:t>
      </w:r>
      <w:r w:rsidRPr="00191AD2">
        <w:fldChar w:fldCharType="begin" w:fldLock="1"/>
      </w:r>
      <w:r w:rsidR="007C2FF9">
        <w:instrText>ADDIN CSL_CITATION { "citationItems" : [ { "id" : "ITEM-1", "itemData" : { "DOI" : "10.1086/660281", "ISBN" : "0003-0147", "abstract" : "Adaptive phenotypic plasticity and adaptive genetic differentiation enable plant lineages to maximize their fitness in response to environmental heterogeneity. The spatial scale of environmental variation relative to the average dispersal distance of a species determines whether selection will favor plasticity, local adaptation, or an intermediate strategy. Habitats where the spatial scale of environmental variation is less than the dispersal distance of a species are fine grained and should favor the expression of adaptive plasticity, while coarse-grained habitats, where environmental variation occurs on spatial scales greater than dispersal, should favor adaptive genetic differentiation. However, there is relatively little information available characterizing the link between the spatial scale of environmental variation and patterns of selection on plasticity measured in the field. I examined patterns of spatial environmental variation within a serpentine mosaic grassland and selection on an annual plant (Erodium cicutarium) within that landscape. Results indicate that serpentine soil patches are a significantly finer-grained habitat than non-serpentine patches. Additionally, selection generally favored increased plasticity on serpentine soils and diminished plasticity on non-serpentine soils. This is the first empirical example of differential selection for phenotypic plasticity in the field as a result of strong differences in the grain of environmental heterogeneity within habitats.", "author" : [ { "dropping-particle" : "", "family" : "Baythavong", "given" : "B S", "non-dropping-particle" : "", "parse-names" : false, "suffix" : "" } ], "container-title" : "American Naturalist", "id" : "ITEM-1", "issue" : "1", "issued" : { "date-parts" : [ [ "2011" ] ] }, "language" : "English", "page" : "75-87", "title" : "Linking the Spatial Scale of Environmental Variation and the Evolution of Phenotypic Plasticity: Selection Favors Adaptive Plasticity in Fine-Grained Environments", "type" : "article-journal", "volume" : "178" }, "uris" : [ "http://www.mendeley.com/documents/?uuid=dd5efceb-4d7b-432d-8931-2ee2b97c0645" ] }, { "id" : "ITEM-2", "itemData" : { "ISSN" : "0014-3820", "PMID" : "11005286", "abstract" : "Studies of many plants species have demonstrated adaptive genetic differentiation to local environmental conditions. Typically these studies are conducted to evaluate adaptation to contrasting environments. As a consequence, although local adaptation has been frequently demonstrated, we have little information as to the spatial scale of adaptive evolution. We evaluated adaptive differentiation between populations of the annual legume Chamaecrista fasciculata using a replicated common-garden design. Study sites were established in three field locations that are home to native populations of C. fasciculata. Each location was planted for two years with seed from the population native to the study site (home population) and populations located six distances (0.1-2000 km) from each site (transplanted populations). Seeds were planted into the study sites with minimum disturbance to determine the scale of local adaptation, as measured by a home-site fitness advantage, for five fitness components: germination, survival, vegetative biomass, fruit production, and the number of fruit produced per seed planted (an estimate of cumulative fitness). For all characters there was little evidence for local adaptation, except at the furthest spatial scales. Patterns of adaptive differentiation were fairly consistent in two of the three sites, but varied between years. Little genetic variation was expressed at the third site. These results, combined with previous estimates of limited gene flow, suggest that metapopulation processes and temporal environmental variation act together to reduce local adaptation, except over long distances.", "author" : [ { "dropping-particle" : "", "family" : "Galloway", "given" : "L F", "non-dropping-particle" : "", "parse-names" : false, "suffix" : "" }, { "dropping-particle" : "", "family" : "Fenster", "given" : "C B", "non-dropping-particle" : "", "parse-names" : false, "suffix" : "" } ], "container-title" : "Evolution; international journal of organic evolution", "id" : "ITEM-2", "issue" : "4", "issued" : { "date-parts" : [ [ "2000", "8" ] ] }, "page" : "1173-81", "title" : "Population differentiation in an annual legume: local adaptation.", "type" : "article-journal", "volume" : "54" }, "uris" : [ "http://www.mendeley.com/documents/?uuid=66719885-feca-49a8-b1e9-c5550493fbb8" ] } ], "mendeley" : { "formattedCitation" : "(Galloway and Fenster, 2000; Baythavong, 2011)", "plainTextFormattedCitation" : "(Galloway and Fenster, 2000; Baythavong, 2011)", "previouslyFormattedCitation" : "(Galloway and Fenster, 2000; Baythavong, 2011)" }, "properties" : { "noteIndex" : 0 }, "schema" : "https://github.com/citation-style-language/schema/raw/master/csl-citation.json" }</w:instrText>
      </w:r>
      <w:r w:rsidRPr="00191AD2">
        <w:fldChar w:fldCharType="separate"/>
      </w:r>
      <w:r w:rsidR="00134C22" w:rsidRPr="00134C22">
        <w:rPr>
          <w:noProof/>
        </w:rPr>
        <w:t>(Galloway and Fenster, 2000; Baythavong, 2011)</w:t>
      </w:r>
      <w:r w:rsidRPr="00191AD2">
        <w:fldChar w:fldCharType="end"/>
      </w:r>
      <w:r w:rsidRPr="00191AD2">
        <w:t xml:space="preserve">. </w:t>
      </w:r>
    </w:p>
    <w:p w14:paraId="347CD6E3" w14:textId="723DBF50" w:rsidR="0052730F" w:rsidRPr="00191AD2" w:rsidRDefault="0052730F" w:rsidP="00DC7B26">
      <w:pPr>
        <w:pStyle w:val="BodyJB"/>
        <w:ind w:firstLine="720"/>
      </w:pPr>
      <w:r w:rsidRPr="00191AD2">
        <w:t xml:space="preserve">Population genetic differentiation in response to differing environmental conditions has been detected in a variety of different traits including, metabolic </w:t>
      </w:r>
      <w:r w:rsidRPr="00191AD2">
        <w:fldChar w:fldCharType="begin" w:fldLock="1"/>
      </w:r>
      <w:r w:rsidR="007C2FF9">
        <w:instrText>ADDIN CSL_CITATION { "citationItems" : [ { "id" : "ITEM-1", "itemData" : { "DOI" : "Doi 10.1111/J.1469-8137.2007.02046.X", "ISBN" : "0028-646X", "abstract" : "The primary objective of this study was to assess metabolomics for its capacity to discern biological variation among 10 full-sib families of a Douglas-fir tree breeding population, replicated on two sites. The differential accumulation of small metabolites in developing xylem was examined through metabolite profiles (139 metabolites common to 181 individual trees) generated by gas chromatography mass spectrometry and a series of statistical analyses that incorporated family, site, and tree growth and quantitative phenotypic wood traits (wood density, microfibril angle, wood chemistry and fiber morphology). Multivariate discriminant, canonical discriminant and factor analyses and broad-sense heritabilities revealed that metabolic and phenotypic traits alike were strongly related to site, while similar associations relating to genetic (family) structure were weak in comparison. Canonical correlation analysis subsequently identified correlations between specific phenotypic traits (i.e. tree growth, fibre morphology and wood chemistry) and metabolic traits (i.e. carbohydrate and lignin biosynthetic metabolites), demonstrating a coherent relationship between genetics, metabolism, environmental and phenotypic expression in wood-forming tissue. The association between cambial metabolites and tree phenotype, as revealed by metabolite profiling, demonstrates the value of metabolomics for systems biology approaches to understanding tree growth and secondary cell wall biosynthesis in plants.", "author" : [ { "dropping-particle" : "", "family" : "Robinson", "given" : "A R", "non-dropping-particle" : "", "parse-names" : false, "suffix" : "" }, { "dropping-particle" : "", "family" : "Ukrainetz", "given" : "N K", "non-dropping-particle" : "", "parse-names" : false, "suffix" : "" }, { "dropping-particle" : "", "family" : "Kang", "given" : "K Y", "non-dropping-particle" : "", "parse-names" : false, "suffix" : "" }, { "dropping-particle" : "", "family" : "Mansfield", "given" : "S D", "non-dropping-particle" : "", "parse-names" : false, "suffix" : "" } ], "container-title" : "New Phytologist", "id" : "ITEM-1", "issue" : "4", "issued" : { "date-parts" : [ [ "2007" ] ] }, "language" : "English", "page" : "762-773", "title" : "Metabolite profiling of Douglas-fir (Pseudotsuga menziesii) field trials reveals strong environmental and weak genetic variation", "type" : "article-journal", "volume" : "174" }, "uris" : [ "http://www.mendeley.com/documents/?uuid=e8074d79-c2c5-49d7-b8e9-e316cc60d164" ] }, { "id" : "ITEM-2", "itemData" : { "DOI" : "10.1007/s11306-008-0127-1", "ISSN" : "1573-3882", "author" : [ { "dropping-particle" : "", "family" : "Davey", "given" : "Matthew P.", "non-dropping-particle" : "", "parse-names" : false, "suffix" : "" }, { "dropping-particle" : "", "family" : "Ian Woodward", "given" : "F.", "non-dropping-particle" : "", "parse-names" : false, "suffix" : "" }, { "dropping-particle" : "", "family" : "Paul Quick", "given" : "W.", "non-dropping-particle" : "", "parse-names" : false, "suffix" : "" } ], "container-title" : "Metabolomics", "id" : "ITEM-2", "issue" : "1", "issued" : { "date-parts" : [ [ "2008", "9", "2" ] ] }, "page" : "138-149", "title" : "Intraspecfic variation in cold-temperature metabolic phenotypes of Arabidopsis lyrata ssp. petraea", "type" : "article-journal", "volume" : "5" }, "uris" : [ "http://www.mendeley.com/documents/?uuid=23390ae3-b215-454d-88b9-0139808db8df" ] } ], "mendeley" : { "formattedCitation" : "(Robinson et al., 2007b; Davey et al., 2008b)", "plainTextFormattedCitation" : "(Robinson et al., 2007b; Davey et al., 2008b)", "previouslyFormattedCitation" : "(Robinson et al., 2007b; Davey et al., 2008b)" }, "properties" : { "noteIndex" : 0 }, "schema" : "https://github.com/citation-style-language/schema/raw/master/csl-citation.json" }</w:instrText>
      </w:r>
      <w:r w:rsidRPr="00191AD2">
        <w:fldChar w:fldCharType="separate"/>
      </w:r>
      <w:r w:rsidR="00134C22" w:rsidRPr="00134C22">
        <w:rPr>
          <w:noProof/>
        </w:rPr>
        <w:t>(Robinson et al., 2007b; Davey et al., 2008b)</w:t>
      </w:r>
      <w:r w:rsidRPr="00191AD2">
        <w:fldChar w:fldCharType="end"/>
      </w:r>
      <w:r w:rsidRPr="00191AD2">
        <w:t xml:space="preserve"> and growth </w:t>
      </w:r>
      <w:r w:rsidRPr="00191AD2">
        <w:fldChar w:fldCharType="begin" w:fldLock="1"/>
      </w:r>
      <w:r w:rsidR="007C2FF9">
        <w:instrText>ADDIN CSL_CITATION { "citationItems" : [ { "id" : "ITEM-1", "itemData" : { "author" : [ { "dropping-particle" : "", "family" : "Shaver", "given" : "GR", "non-dropping-particle" : "", "parse-names" : false, "suffix" : "" }, { "dropping-particle" : "", "family" : "Iii", "given" : "FS Chapin", "non-dropping-particle" : "", "parse-names" : false, "suffix" : "" }, { "dropping-particle" : "", "family" : "Billings", "given" : "WD", "non-dropping-particle" : "", "parse-names" : false, "suffix" : "" } ], "container-title" : "The Journal of Ecology", "id" : "ITEM-1", "issue" : "3", "issued" : { "date-parts" : [ [ "1979" ] ] }, "page" : "1025-1045", "title" : "Ecotypic differentiation in Carex aquatilis on ice-wedge polygons in the Alaskan coastal tundra", "type" : "article-journal", "volume" : "67" }, "uris" : [ "http://www.mendeley.com/documents/?uuid=08212218-ead5-4cdb-847e-64731b25b4c5" ] } ], "mendeley" : { "formattedCitation" : "(Shaver et al., 1979)", "plainTextFormattedCitation" : "(Shaver et al., 1979)", "previouslyFormattedCitation" : "(Shaver et al., 1979)" }, "properties" : { "noteIndex" : 0 }, "schema" : "https://github.com/citation-style-language/schema/raw/master/csl-citation.json" }</w:instrText>
      </w:r>
      <w:r w:rsidRPr="00191AD2">
        <w:fldChar w:fldCharType="separate"/>
      </w:r>
      <w:r w:rsidRPr="00512143">
        <w:rPr>
          <w:noProof/>
        </w:rPr>
        <w:t xml:space="preserve">(Shaver </w:t>
      </w:r>
      <w:r w:rsidRPr="00512143">
        <w:rPr>
          <w:i/>
          <w:noProof/>
        </w:rPr>
        <w:t>et al.</w:t>
      </w:r>
      <w:r w:rsidRPr="00512143">
        <w:rPr>
          <w:noProof/>
        </w:rPr>
        <w:t>, 1979)</w:t>
      </w:r>
      <w:r w:rsidRPr="00191AD2">
        <w:fldChar w:fldCharType="end"/>
      </w:r>
      <w:r w:rsidRPr="00191AD2">
        <w:t xml:space="preserve">. Plants use environmental cues to </w:t>
      </w:r>
      <w:r>
        <w:t>initiate flowering</w:t>
      </w:r>
      <w:r w:rsidRPr="00191AD2">
        <w:t xml:space="preserve">, and since this trait is a key determinant of fitness, selection is expected to be strong </w:t>
      </w:r>
      <w:r w:rsidRPr="00191AD2">
        <w:fldChar w:fldCharType="begin" w:fldLock="1"/>
      </w:r>
      <w:r w:rsidR="007C2FF9">
        <w:instrText>ADDIN CSL_CITATION { "citationItems" : [ { "id" : "ITEM-1", "itemData" : { "DOI" : "10.1086/598492", "ISSN" : "1537-5323", "PMID" : "19335224", "abstract" : "The timing of reproduction influences how organisms interact with the environment and can have important fitness effects. In plants, the evolution of flowering phenology is often interpreted as the response to selection from mutualists, although antagonistic interactions may also be important. We examined direct and indirect phenotypic selection on the start of flowering via mutualistic and antagonistic interactions in the perennial herb Lathyrus vernus over 7 years. Flowering start influenced seed set, predispersal seed predation, and risk of grazing. These effects were in opposed directions and partly influenced different components of fitness. Combining information about effects on fitness components with information about links between fitness components and average lifetime fitness, in terms of population growth rate, showed that earlier flowering was associated with higher lifetime fitness in all years. These relationships were, however, mediated largely by variation in flower number, and direct selection on first flowering date was more variable among years. We conclude that long-term studies correcting for indirect selection and environmental covariance are needed to understand selection on reproductive phenology and that demographic approaches are necessary to assess selection mediated by several agents and influencing several components of fitness.", "author" : [ { "dropping-particle" : "", "family" : "Ehrl\u00e9n", "given" : "Johan", "non-dropping-particle" : "", "parse-names" : false, "suffix" : "" }, { "dropping-particle" : "", "family" : "M\u00fcnzbergov\u00e1", "given" : "Zuzana", "non-dropping-particle" : "", "parse-names" : false, "suffix" : "" } ], "container-title" : "The American naturalist", "id" : "ITEM-1", "issue" : "6", "issued" : { "date-parts" : [ [ "2009", "6" ] ] }, "page" : "819-30", "title" : "Timing of flowering: opposed selection on different fitness components and trait covariation.", "type" : "article-journal", "volume" : "173" }, "uris" : [ "http://www.mendeley.com/documents/?uuid=a194907f-83a3-438d-9182-aaa737f8886e", "http://www.mendeley.com/documents/?uuid=5151679d-9e0e-42b5-ab8e-b84e819f829c" ] }, { "id" : "ITEM-2", "itemData" : { "ISSN" : "0014-3820", "PMID" : "10937187", "abstract" : "Considerable debate has accompanied efforts to integrate the selective impacts of environmental stresses into models of life-history evolution. This study was designed to determine if different environmental stresses have consistent phenotypic effects on life-history characters and whether selection under different stresses leads to consistent evolutionary responses. We created lineages of a wild mustard (Sinapis arvensis) that were selected for three generations under five stress regimes (high boron, high salt, low light, low water, or low nutrients) or under near-optimal conditions (control). Full-sibling families from the six selection histories were divided among the same six experimental treatments. In that test generation, lifetime plant fecundity and six phenotypic traits were measured for each plant. Throughout this greenhouse study, plants were grown individually and stresses were applied from the early seedling stage through senescence. Although all stresses consistently reduced lifetime fecundity and most size- and growth-related traits, different stresses had contrasting effects on flowering time. On average, stress delayed flowering compared to favorable conditions, although plants experiencing low nutrient stress flowered earliest and those experiencing low light flowered latest. Contrary to expectations of Grime's triangle model of life-history evolution, this ruderal species does not respond phenotypically to poor environments by flowering earlier. Most stresses enhanced the evolutionary potential of the study population. Compared with near-optimal conditions, stresses tended to increase the opportunity for selection as well as phenotypic variance, although both of these quantities were reduced in some stresses. Rather than favoring traits characteristic of stress tolerance, such as slow growth and delayed reproduction, phenotypic selection favored stress-avoidance traits: earlier flowering in all five stress regimes and faster seedling height growth in three stresses. Phenotypic correlations reinforced direct selection on these traits under stress, leading to predicted phenotypic change under stress, but no significant selection in the control environment. As a result of these factors, selection under stress resulted in an evolutionary shift toward earlier flowering. Environmental stresses may drive populations of ruderal plant species like S. arvensis toward a stress-avoidance strategy, rather than toward stress tolerance. Further stud\u2026", "author" : [ { "dropping-particle" : "", "family" : "Stanton", "given" : "M L", "non-dropping-particle" : "", "parse-names" : false, "suffix" : "" }, { "dropping-particle" : "", "family" : "Roy", "given" : "B a", "non-dropping-particle" : "", "parse-names" : false, "suffix" : "" }, { "dropping-particle" : "", "family" : "Thiede", "given" : "D a", "non-dropping-particle" : "", "parse-names" : false, "suffix" : "" } ], "container-title" : "Evolution; international journal of organic evolution", "id" : "ITEM-2", "issue" : "1", "issued" : { "date-parts" : [ [ "2000", "2" ] ] }, "page" : "93-111", "title" : "Evolution in stressful environments. I. Phenotypic variability, phenotypic selection, and response to selection in five distinct environmental stresses.", "type" : "article-journal", "volume" : "54" }, "uris" : [ "http://www.mendeley.com/documents/?uuid=c585082c-ba57-4663-ba6a-76e569d2ce6f" ] } ], "mendeley" : { "formattedCitation" : "(Stanton et al., 2000; Ehrl\u00e9n and M\u00fcnzbergov\u00e1, 2009a)", "plainTextFormattedCitation" : "(Stanton et al., 2000; Ehrl\u00e9n and M\u00fcnzbergov\u00e1, 2009a)", "previouslyFormattedCitation" : "(Stanton et al., 2000; Ehrl\u00e9n and M\u00fcnzbergov\u00e1, 2009a)" }, "properties" : { "noteIndex" : 0 }, "schema" : "https://github.com/citation-style-language/schema/raw/master/csl-citation.json" }</w:instrText>
      </w:r>
      <w:r w:rsidRPr="00191AD2">
        <w:fldChar w:fldCharType="separate"/>
      </w:r>
      <w:r w:rsidR="00134C22" w:rsidRPr="00134C22">
        <w:rPr>
          <w:noProof/>
        </w:rPr>
        <w:t>(Stanton et al., 2000; Ehrlén and Münzbergová, 2009a)</w:t>
      </w:r>
      <w:r w:rsidRPr="00191AD2">
        <w:fldChar w:fldCharType="end"/>
      </w:r>
      <w:r w:rsidRPr="00191AD2">
        <w:t xml:space="preserve">. The environmental cues such as photoperiod and temperature vary across spatial scales particularly in association with latitude, it is therefore expected that widely distributed species will show genetic differentiation in flowering time </w:t>
      </w:r>
      <w:r w:rsidRPr="00191AD2">
        <w:fldChar w:fldCharType="begin" w:fldLock="1"/>
      </w:r>
      <w:r w:rsidR="007C2FF9">
        <w:instrText>ADDIN CSL_CITATION { "citationItems" : [ { "id" : "ITEM-1", "itemData" : { "ISSN" : "0014-3820", "PMID" : "15446427", "abstract" : "Only model organisms live in a world of endless summer. Fitness at temperate latitudes reflects the ability of organisms in nature to exploit the favorable season, to mitigate the effects of the unfavorable season, and to make the timely switch from one life style to the other. Herein, we define fitness as Ry, the year-long cohort replacement rate across all four seasons, of the mosquito, Wyeomyia smithii, reared in its natural microhabitat in processor-controlled environment rooms. First, we exposed cohorts of W. smithii, from southern, midlatitude, and northern populations (30-50 degrees N) to southern and northern thermal years during which we factored out evolved differences in photoperiodic response. We found clear evidence of evolved differences in heat and cold tolerance among populations. Relative cold tolerance of northern populations became apparent when populations were stressed to the brink of extinction; relative heat tolerance of southern populations became apparent when the adverse effects of heat could accumulate over several generations. Second, we exposed southern, midlatitude, and northern populations to natural, midlatitude day lengths in a thermally benign midlatitude thermal year. We found that evolved differences in photoperiodic response (1) prevented the timely entry of southern populations into diapause resulting in a 74% decline in fitness, and (2) forced northern populations to endure a warm-season diapause resulting in an 88% decline in fitness. We argue that reciprocal transplants across latitudes in nature always confound the effects of the thermal and photic environment on fitness. Yet, to our knowledge, no one has previously held the thermal year constant while varying the photic year. This distinction is crucial in evaluating the potential impact of climate change. Because global warming in the Northern Hemisphere is proceeding faster at northern than at southern latitudes and because this change represents an amelioration of the thermal environment and a concomitant increase in the duration of the growing season, we conclude that there should be more rapid evolution of photoperiodic response than of thermal tolerance as a consequence of global warming among northern, temperate ectotherms.", "author" : [ { "dropping-particle" : "", "family" : "Bradshaw", "given" : "William E", "non-dropping-particle" : "", "parse-names" : false, "suffix" : "" }, { "dropping-particle" : "", "family" : "Zani", "given" : "Peter a", "non-dropping-particle" : "", "parse-names" : false, "suffix" : "" }, { "dropping-particle" : "", "family" : "Holzapfel", "given" : "Christina M", "non-dropping-particle" : "", "parse-names" : false, "suffix" : "" } ], "container-title" : "Evolution; international journal of organic evolution", "id" : "ITEM-1", "issue" : "8", "issued" : { "date-parts" : [ [ "2004", "8" ] ] }, "page" : "1748-62", "title" : "Adaptation to temperate climates.", "type" : "article-journal", "volume" : "58" }, "uris" : [ "http://www.mendeley.com/documents/?uuid=cd565bfe-61c5-4329-bf31-a2c887dca65f", "http://www.mendeley.com/documents/?uuid=9841d34b-cdfb-4d53-a580-76082a7c8cd0" ] }, { "id" : "ITEM-2", "itemData" : { "DOI" : "10.1111/j.1365-2745.2010.01744.x", "ISSN" : "00220477", "author" : [ { "dropping-particle" : "", "family" : "Haggerty", "given" : "Brian P.", "non-dropping-particle" : "", "parse-names" : false, "suffix" : "" }, { "dropping-particle" : "", "family" : "Galloway", "given" : "Laura F.", "non-dropping-particle" : "", "parse-names" : false, "suffix" : "" } ], "container-title" : "Journal of Ecology", "id" : "ITEM-2", "issue" : "1", "issued" : { "date-parts" : [ [ "2011", "1", "7" ] ] }, "page" : "242-253", "title" : "Response of individual components of reproductive phenology to growing season length in a monocarpic herb", "type" : "article-journal", "volume" : "99" }, "uris" : [ "http://www.mendeley.com/documents/?uuid=bf108fd1-7110-4445-b5c4-4b9b5f63f80f" ] } ], "mendeley" : { "formattedCitation" : "(Bradshaw et al., 2004; Haggerty and Galloway, 2011)", "plainTextFormattedCitation" : "(Bradshaw et al., 2004; Haggerty and Galloway, 2011)", "previouslyFormattedCitation" : "(Bradshaw et al., 2004; Haggerty and Galloway, 2011)" }, "properties" : { "noteIndex" : 0 }, "schema" : "https://github.com/citation-style-language/schema/raw/master/csl-citation.json" }</w:instrText>
      </w:r>
      <w:r w:rsidRPr="00191AD2">
        <w:fldChar w:fldCharType="separate"/>
      </w:r>
      <w:r w:rsidR="00134C22" w:rsidRPr="00134C22">
        <w:rPr>
          <w:noProof/>
        </w:rPr>
        <w:t>(Bradshaw et al., 2004; Haggerty and Galloway, 2011)</w:t>
      </w:r>
      <w:r w:rsidRPr="00191AD2">
        <w:fldChar w:fldCharType="end"/>
      </w:r>
      <w:r w:rsidRPr="00191AD2">
        <w:t xml:space="preserve">. Indeed, there are a number of studies that report population differentiation in flowering time is genetically determined </w:t>
      </w:r>
      <w:r>
        <w:fldChar w:fldCharType="begin" w:fldLock="1"/>
      </w:r>
      <w:r w:rsidR="007C2FF9">
        <w:instrText>ADDIN CSL_CITATION { "citationItems" : [ { "id" : "ITEM-1", "itemData" : { "DOI" : "10.1086/497648", "ISBN" : "1058-5893&lt;p&gt;", "ISSN" : "1058-5893", "author" : [ { "dropping-particle" : "", "family" : "Franke", "given" : "Denise M.", "non-dropping-particle" : "", "parse-names" : false, "suffix" : "" }, { "dropping-particle" : "", "family" : "Ellis", "given" : "Allan G.", "non-dropping-particle" : "", "parse-names" : false, "suffix" : "" }, { "dropping-particle" : "", "family" : "Dharjwa", "given" : "Manisha", "non-dropping-particle" : "", "parse-names" : false, "suffix" : "" }, { "dropping-particle" : "", "family" : "Freshwater", "given" : "Melinda", "non-dropping-particle" : "", "parse-names" : false, "suffix" : "" }, { "dropping-particle" : "", "family" : "Fujikawa", "given" : "Miki", "non-dropping-particle" : "", "parse-names" : false, "suffix" : "" }, { "dropping-particle" : "", "family" : "Padron", "given" : "Alejandra", "non-dropping-particle" : "", "parse-names" : false, "suffix" : "" }, { "dropping-particle" : "", "family" : "Weis", "given" : "Arthur E.", "non-dropping-particle" : "", "parse-names" : false, "suffix" : "" } ], "container-title" : "International Journal of Plant Sciences", "id" : "ITEM-1", "issue" : "1", "issued" : { "date-parts" : [ [ "2006" ] ] }, "page" : "83-92", "title" : "in Southern California: Population\u2010Level Variation in the Field and the Greenhouse", "type" : "article-journal", "volume" : "167" }, "uris" : [ "http://www.mendeley.com/documents/?uuid=430d5138-833e-4b3b-9009-d2c38e93df9b" ] }, { "id" : "ITEM-2", "itemData" : { "DOI" : "10.1111/j.1558-5646.2010.01119.x", "ISSN" : "1558-5646", "PMID" : "20812972", "abstract" : "Selection for local adaptation results in genetic differentiation in ecologically important traits. In a perennial, outcrossing model plant Arabidopsis lyrata, several differentiated phenotypic traits contribute to local adaptation, as demonstrated by fitness advantage of the local population at each site in reciprocal transplant experiments. Here we compared fitness components, hierarchical total fitness and differentiation in putatively ecologically important traits of plants from two diverged parental populations from different continents in the native climate conditions of the populations in Norway and in North Carolina (NC, U.S.A.). Survival and number of fruits per inflorescence indicated local advantage at both sites and aster life-history models provided additional evidence for local adaptation also at the level of hierarchical total fitness. Populations were also differentiated in flowering start date and floral display. We also included reciprocal experimental F(1) and F(2) hybrids to examine the genetic basis of adaptation. Surprisingly, the F(2) hybrids showed heterosis at the study site in Norway, likely because of a combination of beneficial dominance effects from different traits. At the NC site, hybrid fitness was mostly intermediate relative to the parental populations. Local cytoplasmic origin was associated with higher fitness, indicating that cytoplasmic genomes also may contribute to the evolution of local adaptation.", "author" : [ { "dropping-particle" : "", "family" : "Leinonen", "given" : "P\u00e4ivi H", "non-dropping-particle" : "", "parse-names" : false, "suffix" : "" }, { "dropping-particle" : "", "family" : "Remington", "given" : "David L", "non-dropping-particle" : "", "parse-names" : false, "suffix" : "" }, { "dropping-particle" : "", "family" : "Savolainen", "given" : "Outi", "non-dropping-particle" : "", "parse-names" : false, "suffix" : "" } ], "container-title" : "Evolution; international journal of organic evolution", "id" : "ITEM-2", "issue" : "1", "issued" : { "date-parts" : [ [ "2011", "1" ] ] }, "page" : "90-107", "title" : "Local adaptation, phenotypic differentiation, and hybrid fitness in diverged natural populations of Arabidopsis lyrata.", "type" : "article-journal", "volume" : "65" }, "uris" : [ "http://www.mendeley.com/documents/?uuid=eaaedd17-759c-45c8-8445-069e3e437afb" ] }, { "id" : "ITEM-3", "itemData" : { "DOI" : "10.1046/j.1420-9101.2002.00457.x", "ISSN" : "1010061X", "author" : [ { "dropping-particle" : "", "family" : "Olsson", "given" : "K.", "non-dropping-particle" : "", "parse-names" : false, "suffix" : "" }, { "dropping-particle" : "", "family" : "Agren", "given" : "J.", "non-dropping-particle" : "", "parse-names" : false, "suffix" : "" } ], "container-title" : "Journal of Evolutionary Biology", "id" : "ITEM-3", "issue" : "6", "issued" : { "date-parts" : [ [ "2002", "10", "25" ] ] }, "page" : "983-996", "title" : "Latitudinal population differentiation in phenology, life history and flower morphology in the perennial herb Lythrum salicaria", "type" : "article-journal", "volume" : "15" }, "uris" : [ "http://www.mendeley.com/documents/?uuid=404e1889-7232-43c2-96c9-308df7be82f0" ] } ], "mendeley" : { "formattedCitation" : "(Olsson and Agren, 2002; Franke et al., 2006; Leinonen et al., 2011)", "plainTextFormattedCitation" : "(Olsson and Agren, 2002; Franke et al., 2006; Leinonen et al., 2011)", "previouslyFormattedCitation" : "(Olsson and Agren, 2002; Franke et al., 2006; Leinonen et al., 2011)" }, "properties" : { "noteIndex" : 0 }, "schema" : "https://github.com/citation-style-language/schema/raw/master/csl-citation.json" }</w:instrText>
      </w:r>
      <w:r>
        <w:fldChar w:fldCharType="separate"/>
      </w:r>
      <w:r w:rsidR="00134C22" w:rsidRPr="00134C22">
        <w:rPr>
          <w:noProof/>
        </w:rPr>
        <w:t>(Olsson and Agren, 2002; Franke et al., 2006; Leinonen et al., 2011)</w:t>
      </w:r>
      <w:r>
        <w:fldChar w:fldCharType="end"/>
      </w:r>
      <w:r w:rsidRPr="00191AD2">
        <w:t xml:space="preserve">. There is also a growing number of studies that report population differentially express particular genes that play roles in flowering time such as FRIGIDA (FRI) and the phytochrome gene PHYC </w:t>
      </w:r>
      <w:r w:rsidRPr="00191AD2">
        <w:fldChar w:fldCharType="begin" w:fldLock="1"/>
      </w:r>
      <w:r w:rsidR="007C2FF9">
        <w:instrText>ADDIN CSL_CITATION { "citationItems" : [ { "id" : "ITEM-1", "itemData" : { "DOI" : "10.1111/j.1558-5646.2008.00484.x", "ISSN" : "1558-5646", "PMID" : "18752603", "abstract" : "Using seasonal cues to time reproduction appropriately is crucial for many organisms. Plants in particular often use photoperiod to signal the time to transition to flowering. Because seasonality varies latitudinally, adaptation to local climate is expected to result in corresponding clines in photoperiod-related traits. By experimentally manipulating photoperiod cues and measuring the flowering responses and photoperiod plasticity of 138 Eurasian accessions of Arabidopsis thaliana, we detected strong longitudinal but not latitudinal clines in flowering responses. The presence of longitudinal clines suggests that critical photoperiod cues vary among populations occurring at similar latitudes. Haplotypes at PHYC, a locus hypothesized to play a role in adaptation to light cues, were also longitudinally differentiated. Controlling for neutral population structure revealed that PHYC haplotype influenced flowering time; however, the distribution of PHYC haplotypes occurred in the opposite direction to the phenotypic cline, suggesting that loci other than PHYC are responsible for the longitudinal pattern in photoperiod response. Our results provide previously missing empirical support for the importance of PHYC in mediating photoperiod sensitivity in natural populations of A. thaliana. However, they also suggest that other loci and epistatic interactions likely play a role in the determination of flowering time and that the environmental factors influencing photoperiod in plants vary longitudinally as well as latitudinally.", "author" : [ { "dropping-particle" : "", "family" : "Samis", "given" : "Karen E", "non-dropping-particle" : "", "parse-names" : false, "suffix" : "" }, { "dropping-particle" : "", "family" : "Heath", "given" : "Katy D", "non-dropping-particle" : "", "parse-names" : false, "suffix" : "" }, { "dropping-particle" : "", "family" : "Stinchcombe", "given" : "John R", "non-dropping-particle" : "", "parse-names" : false, "suffix" : "" } ], "container-title" : "Evolution; international journal of organic evolution", "id" : "ITEM-1", "issue" : "12", "issued" : { "date-parts" : [ [ "2008", "12" ] ] }, "page" : "2971-83", "title" : "Discordant longitudinal clines in flowering time and phytochrome C in Arabidopsis thaliana.", "type" : "article-journal", "volume" : "62" }, "uris" : [ "http://www.mendeley.com/documents/?uuid=9c11afdd-83d9-4a02-9366-41633b0e1d8b" ] }, { "id" : "ITEM-2", "itemData" : { "DOI" : "10.1073/pnas.0306401101", "ISSN" : "0027-8424", "PMID" : "15070783", "abstract" : "A latitudinal cline in flowering time in accessions of Arabidopsis thaliana has been widely predicted because the environmental cues that promote flowering vary systematically with latitude, but evidence for such clines has been lacking. Here, we report evidence of a significant latitudinal cline in flowering time among 70 Northern European and Mediterranean ecotypes when grown under ecologically realistic conditions in a common garden environment. The detected cline, however, is found only in ecotypes with alleles of the flowering time gene FRIGIDA (FRI) that lack major deletions that would disrupt protein function, whereas there is no relationship between flowering time and latitude of origin among accessions with FRI alleles containing such deletions. Analysis of climatological data suggests that late flowering in accessions with putatively functional FRI was associated with reduced January precipitation at the site of origin, consistent with previous reports of a positive genetic correlation between water use efficiency and flowering time in Arabidopsis, and the pleiotropic effects of FRI of increasing water use efficiency. In accessions collected from Southern latitudes, we detected that putatively functional FRI alleles were associated with accelerated flowering relative to accessions with nonfunctional FRI under the winter conditions of our experiment. These results suggest that the ecological function of the vernalization requirement conferred by FRI differs across latitudes. More generally, our results indicate that by combining ecological and molecular genetic data, it is possible to understand the forces acting on life history transitions at the level of specific loci.", "author" : [ { "dropping-particle" : "", "family" : "Stinchcombe", "given" : "John R", "non-dropping-particle" : "", "parse-names" : false, "suffix" : "" }, { "dropping-particle" : "", "family" : "Weinig", "given" : "Cynthia", "non-dropping-particle" : "", "parse-names" : false, "suffix" : "" }, { "dropping-particle" : "", "family" : "Ungerer", "given" : "Mark", "non-dropping-particle" : "", "parse-names" : false, "suffix" : "" }, { "dropping-particle" : "", "family" : "Olsen", "given" : "Kenneth M", "non-dropping-particle" : "", "parse-names" : false, "suffix" : "" }, { "dropping-particle" : "", "family" : "Mays", "given" : "Charlotte", "non-dropping-particle" : "", "parse-names" : false, "suffix" : "" }, { "dropping-particle" : "", "family" : "Halldorsdottir", "given" : "Solveig S", "non-dropping-particle" : "", "parse-names" : false, "suffix" : "" }, { "dropping-particle" : "", "family" : "Purugganan", "given" : "Michael D", "non-dropping-particle" : "", "parse-names" : false, "suffix" : "" }, { "dropping-particle" : "", "family" : "Schmitt", "given" : "Johanna", "non-dropping-particle" : "", "parse-names" : false, "suffix" : "" } ], "container-title" : "Proceedings of the National Academy of Sciences of the United States of America", "id" : "ITEM-2", "issue" : "13", "issued" : { "date-parts" : [ [ "2004", "3", "30" ] ] }, "page" : "4712-7", "title" : "A latitudinal cline in flowering time in Arabidopsis thaliana modulated by the flowering time gene FRIGIDA.", "type" : "article-journal", "volume" : "101" }, "uris" : [ "http://www.mendeley.com/documents/?uuid=fc42b8b1-396b-48e8-bb89-174dd76997a1" ] } ], "mendeley" : { "formattedCitation" : "(Stinchcombe et al., 2004; Samis et al., 2008)", "plainTextFormattedCitation" : "(Stinchcombe et al., 2004; Samis et al., 2008)", "previouslyFormattedCitation" : "(Stinchcombe et al., 2004; Samis et al., 2008)" }, "properties" : { "noteIndex" : 0 }, "schema" : "https://github.com/citation-style-language/schema/raw/master/csl-citation.json" }</w:instrText>
      </w:r>
      <w:r w:rsidRPr="00191AD2">
        <w:fldChar w:fldCharType="separate"/>
      </w:r>
      <w:r w:rsidRPr="00512143">
        <w:rPr>
          <w:noProof/>
        </w:rPr>
        <w:t xml:space="preserve">(Stinchcombe </w:t>
      </w:r>
      <w:r w:rsidRPr="00512143">
        <w:rPr>
          <w:i/>
          <w:noProof/>
        </w:rPr>
        <w:t>et al.</w:t>
      </w:r>
      <w:r w:rsidRPr="00512143">
        <w:rPr>
          <w:noProof/>
        </w:rPr>
        <w:t xml:space="preserve">, 2004; Samis </w:t>
      </w:r>
      <w:r w:rsidRPr="00512143">
        <w:rPr>
          <w:i/>
          <w:noProof/>
        </w:rPr>
        <w:t>et al.</w:t>
      </w:r>
      <w:r w:rsidRPr="00512143">
        <w:rPr>
          <w:noProof/>
        </w:rPr>
        <w:t>, 2008)</w:t>
      </w:r>
      <w:r w:rsidRPr="00191AD2">
        <w:fldChar w:fldCharType="end"/>
      </w:r>
      <w:r w:rsidRPr="00191AD2">
        <w:t xml:space="preserve">. There is evidence that temporal changes in climatic conditions can lead to the adaptive evolution of flowering time in just a few generations </w:t>
      </w:r>
      <w:r w:rsidRPr="00191AD2">
        <w:fldChar w:fldCharType="begin" w:fldLock="1"/>
      </w:r>
      <w:r w:rsidR="007C2FF9">
        <w:instrText>ADDIN CSL_CITATION { "citationItems" : [ { "id" : "ITEM-1", "itemData" : { "DOI" : "Doi 10.1073/Pnas.0608379104", "ISBN" : "0027-8424", "abstract" : "Ongoing climate change has affected the ecological dynamics of many species and is expected to impose natural selection on ecologically important traits. Droughts and other anticipated changes in precipitation may be particularly potent selective factors, especially in and regions. Here we demonstrate the evolutionary response of an annual plant, Brassica rapa, to a recent climate fluctuation resulting in a multiyear drought. Ancestral (predrought) genotypes were recovered from stored seed and raised under a set of common environments with descendant (postdrought) genotypes and with ancestor x descendant hybrids. As predicted, the abbreviated growing seasons caused by drought led to the evolution of earlier onset of flowering. Descendants bloomed earlier than ancestors, advancing first flowering by 1.9 days in one study population and 8.6 days in another. The intermediate flowering time of ancestor x descendant hybrids supports an additive genetic basis for divergence. Experiments confirmed that summer drought selected for early flowering, that flowering time was heritable, and that selection intensities in the field were more than sufficient to account for the observed evolutionary change. Natural selection for drought escape thus appears to have caused adaptive evolution in just a few generations. A systematic effort to collect and store propagules from suitable species would provide biologists with materials to detect and elucidate the genetic basis of further evolutionary shifts driven by climate change.", "author" : [ { "dropping-particle" : "", "family" : "Franks", "given" : "S J", "non-dropping-particle" : "", "parse-names" : false, "suffix" : "" }, { "dropping-particle" : "", "family" : "Sim", "given" : "S", "non-dropping-particle" : "", "parse-names" : false, "suffix" : "" }, { "dropping-particle" : "", "family" : "Weis", "given" : "A E", "non-dropping-particle" : "", "parse-names" : false, "suffix" : "" } ], "container-title" : "Proceedings of the National Academy of Sciences of the United States of America", "id" : "ITEM-1", "issue" : "4", "issued" : { "date-parts" : [ [ "2007" ] ] }, "language" : "English", "page" : "1278-1282", "title" : "Rapid evolution of flowering time by an annual plant in response to a climate fluctuation", "type" : "article-journal", "volume" : "104" }, "uris" : [ "http://www.mendeley.com/documents/?uuid=9a79f8de-dc74-47f3-81f7-dd8a49b6ebe8" ] } ], "mendeley" : { "formattedCitation" : "(Franks et al., 2007)", "plainTextFormattedCitation" : "(Franks et al., 2007)", "previouslyFormattedCitation" : "(Franks et al., 2007)" }, "properties" : { "noteIndex" : 0 }, "schema" : "https://github.com/citation-style-language/schema/raw/master/csl-citation.json" }</w:instrText>
      </w:r>
      <w:r w:rsidRPr="00191AD2">
        <w:fldChar w:fldCharType="separate"/>
      </w:r>
      <w:r w:rsidRPr="00512143">
        <w:rPr>
          <w:noProof/>
        </w:rPr>
        <w:t xml:space="preserve">(Franks </w:t>
      </w:r>
      <w:r w:rsidRPr="00512143">
        <w:rPr>
          <w:i/>
          <w:noProof/>
        </w:rPr>
        <w:t>et al.</w:t>
      </w:r>
      <w:r w:rsidRPr="00512143">
        <w:rPr>
          <w:noProof/>
        </w:rPr>
        <w:t>, 2007)</w:t>
      </w:r>
      <w:r w:rsidRPr="00191AD2">
        <w:fldChar w:fldCharType="end"/>
      </w:r>
      <w:r w:rsidRPr="00191AD2">
        <w:t xml:space="preserve">. </w:t>
      </w:r>
    </w:p>
    <w:p w14:paraId="344C853A" w14:textId="0B08BF86" w:rsidR="0052730F" w:rsidRPr="00191AD2" w:rsidRDefault="0052730F" w:rsidP="0052730F">
      <w:pPr>
        <w:pStyle w:val="BodyJB"/>
      </w:pPr>
      <w:r w:rsidRPr="00191AD2">
        <w:t>In addition to evolutionary responses, variability can lead to environmentally induced changes in the phenotype of a given individual, a response known as phenotypic plasticity</w:t>
      </w:r>
      <w:r>
        <w:t xml:space="preserve"> </w:t>
      </w:r>
      <w:r>
        <w:fldChar w:fldCharType="begin" w:fldLock="1"/>
      </w:r>
      <w:r w:rsidR="007C2FF9">
        <w:instrText>ADDIN CSL_CITATION { "citationItems" : [ { "id" : "ITEM-1", "itemData" : { "author" : [ { "dropping-particle" : "", "family" : "Bradshaw", "given" : "A. D.", "non-dropping-particle" : "", "parse-names" : false, "suffix" : "" } ], "container-title" : "Advances in Genetics", "id" : "ITEM-1", "issued" : { "date-parts" : [ [ "1965" ] ] }, "page" : "115-155", "title" : "Evolutionary significance of phenotypic plasticity in plants", "type" : "article-journal", "volume" : "13" }, "uris" : [ "http://www.mendeley.com/documents/?uuid=9f177905-37bd-410f-af44-ad52586c237b" ] } ], "mendeley" : { "formattedCitation" : "(Bradshaw, 1965)", "plainTextFormattedCitation" : "(Bradshaw, 1965)", "previouslyFormattedCitation" : "(Bradshaw, 1965)" }, "properties" : { "noteIndex" : 0 }, "schema" : "https://github.com/citation-style-language/schema/raw/master/csl-citation.json" }</w:instrText>
      </w:r>
      <w:r>
        <w:fldChar w:fldCharType="separate"/>
      </w:r>
      <w:r w:rsidRPr="00512143">
        <w:rPr>
          <w:noProof/>
        </w:rPr>
        <w:t>(Bradshaw, 1965)</w:t>
      </w:r>
      <w:r>
        <w:fldChar w:fldCharType="end"/>
      </w:r>
      <w:r w:rsidRPr="00191AD2">
        <w:t xml:space="preserve">. It is thought that this response can also buffer against long-term environmental variation associated with climate change </w:t>
      </w:r>
      <w:r w:rsidRPr="00191AD2">
        <w:fldChar w:fldCharType="begin" w:fldLock="1"/>
      </w:r>
      <w:r w:rsidR="007C2FF9">
        <w:instrText>ADDIN CSL_CITATION { "citationItems" : [ { "id" : "ITEM-1", "itemData" : { "DOI" : "10.1016/j.tplants.2010.09.008", "ISSN" : "1878-4372", "PMID" : "20970368", "abstract" : "Climate change is altering the availability of resources and the conditions that are crucial to plant performance. One way plants will respond to these changes is through environmentally induced shifts in phenotype (phenotypic plasticity). Understanding plastic responses is crucial for predicting and managing the effects of climate change on native species as well as crop plants. Here, we provide a toolbox with definitions of key theoretical elements and a synthesis of the current understanding of the molecular and genetic mechanisms underlying plasticity relevant to climate change. By bringing ecological, evolutionary, physiological and molecular perspectives together, we hope to provide clear directives for future research and stimulate cross-disciplinary dialogue on the relevance of phenotypic plasticity under climate change.", "author" : [ { "dropping-particle" : "", "family" : "Nicotra", "given" : "a B", "non-dropping-particle" : "", "parse-names" : false, "suffix" : "" }, { "dropping-particle" : "", "family" : "Atkin", "given" : "O K", "non-dropping-particle" : "", "parse-names" : false, "suffix" : "" }, { "dropping-particle" : "", "family" : "Bonser", "given" : "S P", "non-dropping-particle" : "", "parse-names" : false, "suffix" : "" }, { "dropping-particle" : "", "family" : "Davidson", "given" : "a M", "non-dropping-particle" : "", "parse-names" : false, "suffix" : "" }, { "dropping-particle" : "", "family" : "Finnegan", "given" : "E J", "non-dropping-particle" : "", "parse-names" : false, "suffix" : "" }, { "dropping-particle" : "", "family" : "Mathesius", "given" : "U", "non-dropping-particle" : "", "parse-names" : false, "suffix" : "" }, { "dropping-particle" : "", "family" : "Poot", "given" : "P", "non-dropping-particle" : "", "parse-names" : false, "suffix" : "" }, { "dropping-particle" : "", "family" : "Purugganan", "given" : "M D", "non-dropping-particle" : "", "parse-names" : false, "suffix" : "" }, { "dropping-particle" : "", "family" : "Richards", "given" : "C L", "non-dropping-particle" : "", "parse-names" : false, "suffix" : "" }, { "dropping-particle" : "", "family" : "Valladares", "given" : "F", "non-dropping-particle" : "", "parse-names" : false, "suffix" : "" }, { "dropping-particle" : "", "family" : "Kleunen", "given" : "M", "non-dropping-particle" : "van", "parse-names" : false, "suffix" : "" } ], "container-title" : "Trends in plant science", "id" : "ITEM-1", "issue" : "12", "issued" : { "date-parts" : [ [ "2010", "12" ] ] }, "page" : "684-92", "publisher" : "Elsevier Ltd", "title" : "Plant phenotypic plasticity in a changing climate.", "type" : "article-journal", "volume" : "15" }, "uris" : [ "http://www.mendeley.com/documents/?uuid=d4433a93-0257-43bd-84ac-ed7597addeb6" ] } ], "mendeley" : { "formattedCitation" : "(Nicotra et al., 2010)", "plainTextFormattedCitation" : "(Nicotra et al., 2010)", "previouslyFormattedCitation" : "(Nicotra et al., 2010)" }, "properties" : { "noteIndex" : 0 }, "schema" : "https://github.com/citation-style-language/schema/raw/master/csl-citation.json" }</w:instrText>
      </w:r>
      <w:r w:rsidRPr="00191AD2">
        <w:fldChar w:fldCharType="separate"/>
      </w:r>
      <w:r w:rsidRPr="00512143">
        <w:rPr>
          <w:noProof/>
        </w:rPr>
        <w:t xml:space="preserve">(Nicotra </w:t>
      </w:r>
      <w:r w:rsidRPr="00512143">
        <w:rPr>
          <w:i/>
          <w:noProof/>
        </w:rPr>
        <w:t>et al.</w:t>
      </w:r>
      <w:r w:rsidRPr="00512143">
        <w:rPr>
          <w:noProof/>
        </w:rPr>
        <w:t>, 2010)</w:t>
      </w:r>
      <w:r w:rsidRPr="00191AD2">
        <w:fldChar w:fldCharType="end"/>
      </w:r>
      <w:r w:rsidRPr="00191AD2">
        <w:t>.</w:t>
      </w:r>
    </w:p>
    <w:p w14:paraId="769FD5D6" w14:textId="48505E34" w:rsidR="0052730F" w:rsidRPr="00191AD2" w:rsidRDefault="0052730F" w:rsidP="00DC7B26">
      <w:pPr>
        <w:pStyle w:val="BodyJB"/>
        <w:ind w:firstLine="720"/>
        <w:divId w:val="1641571178"/>
      </w:pPr>
      <w:r w:rsidRPr="00191AD2">
        <w:t xml:space="preserve">The expression of plasticity is mediated at the molecular level </w:t>
      </w:r>
      <w:r w:rsidRPr="00191AD2">
        <w:fldChar w:fldCharType="begin" w:fldLock="1"/>
      </w:r>
      <w:r w:rsidR="007C2FF9">
        <w:instrText>ADDIN CSL_CITATION { "citationItems" : [ { "id" : "ITEM-1", "itemData" : { "abstract" : "We argue that phenotypic plasticity should be broadly construed to encompass a diversity of phenomena spanning several hierarchical levels of organization. Despite seemingly disparate outcomes among different groups of organisms (e.g., the opening/closing of stomata in leaves, adjustments of allocation to growth/reproduction, or the production of different castes in social insects), there are underlying shared processes that initiate these responses. At the most fundamental level, all plastic responses originate at the level of individual cells, which receive and process signals from their environment. The broad variations in physiology, morphology, behavior, etc., that can be produced by a single genotype, can be accounted for by processes regulating gene expression in response to environmental variation. Although evolution of adaptive plasticity may not be possible for some types of environmental signals, in many cases selection has molded responses to environmental variation that generate precise and repeatable patterns of gene expression. We highlight the example of responses of plants to variation in light quality and quantity, mediated via the phytochrome genes. Responses to changes in light at particular stages of plants\u2019 life cycles (e.g., seed germination, competition, reproduction) are controlled by different members of this gene family. The mechanistic details of the cell and molecular biology of phytochrome gene action (e.g., their effects on expression of other genes) is outlined. Plasticity of cells and organisms to internal and external environmental signals is pervasive, and represents not just an outcome of evolutionary processes, but also a potentially important molder of them. Phenotypes originally initiated via a plastic response, can be fixed through genetic assimilation as alternate regulatory pathways are shut off. Evolution of mechanisms of plasticity and canalization can both reduce genetic variation, as well as shield it. When the organism encounters novel environmental conditions, this shielded variation may be expressed, revealing hidden reaction norms that represent the raw material for subsequent evolution.", "author" : [ { "dropping-particle" : "", "family" : "Schlichting", "given" : "C D", "non-dropping-particle" : "", "parse-names" : false, "suffix" : "" }, { "dropping-particle" : "", "family" : "Smith", "given" : "H", "non-dropping-particle" : "", "parse-names" : false, "suffix" : "" } ], "container-title" : "Evolutionary Ecology", "id" : "ITEM-1", "issued" : { "date-parts" : [ [ "2002" ] ] }, "page" : "189\u2013211", "title" : "Phenotypic plasticity: linking molecular mechanisms with\\revolutionary outcomes", "type" : "article-journal", "volume" : "16" }, "uris" : [ "http://www.mendeley.com/documents/?uuid=4107bbee-9272-4924-8a46-384230e016fc" ] } ], "mendeley" : { "formattedCitation" : "(Schlichting and Smith, 2002)", "plainTextFormattedCitation" : "(Schlichting and Smith, 2002)", "previouslyFormattedCitation" : "(Schlichting and Smith, 2002)" }, "properties" : { "noteIndex" : 0 }, "schema" : "https://github.com/citation-style-language/schema/raw/master/csl-citation.json" }</w:instrText>
      </w:r>
      <w:r w:rsidRPr="00191AD2">
        <w:fldChar w:fldCharType="separate"/>
      </w:r>
      <w:r w:rsidR="00134C22" w:rsidRPr="00134C22">
        <w:rPr>
          <w:noProof/>
        </w:rPr>
        <w:t>(Schlichting and Smith, 2002)</w:t>
      </w:r>
      <w:r w:rsidRPr="00191AD2">
        <w:fldChar w:fldCharType="end"/>
      </w:r>
      <w:r w:rsidRPr="00191AD2">
        <w:t xml:space="preserve">. Abiotic cues such as temperature and light are sensed by environmental signalling pathways that control molecular developmental transformations </w:t>
      </w:r>
      <w:r w:rsidRPr="00191AD2">
        <w:fldChar w:fldCharType="begin" w:fldLock="1"/>
      </w:r>
      <w:r w:rsidR="007C2FF9">
        <w:instrText>ADDIN CSL_CITATION { "citationItems" : [ { "id" : "ITEM-1", "itemData" : { "DOI" : "10.1007/sll258-006-9207-3", "author" : [ { "dropping-particle" : "", "family" : "Avramov", "given" : "S", "non-dropping-particle" : "", "parse-names" : false, "suffix" : "" }, { "dropping-particle" : "", "family" : "Pemac", "given" : "D", "non-dropping-particle" : "", "parse-names" : false, "suffix" : "" }, { "dropping-particle" : "", "family" : "Tuci\u0107", "given" : "B", "non-dropping-particle" : "", "parse-names" : false, "suffix" : "" } ], "container-title" : "Plant Ecology", "id" : "ITEM-1", "issue" : "2", "issued" : { "date-parts" : [ [ "2007" ] ] }, "page" : "275-290", "title" : "Phenotypic plasticity in response to an irradiance gradient in Iris pumila: adaptive value and evolutionary constraints", "type" : "article-journal", "volume" : "190" }, "uris" : [ "http://www.mendeley.com/documents/?uuid=42403d05-6bde-46a2-b42a-d3ca010944a0" ] } ], "mendeley" : { "formattedCitation" : "(Avramov et al., 2007)", "plainTextFormattedCitation" : "(Avramov et al., 2007)", "previouslyFormattedCitation" : "(Avramov et al., 2007)" }, "properties" : { "noteIndex" : 0 }, "schema" : "https://github.com/citation-style-language/schema/raw/master/csl-citation.json" }</w:instrText>
      </w:r>
      <w:r w:rsidRPr="00191AD2">
        <w:fldChar w:fldCharType="separate"/>
      </w:r>
      <w:r w:rsidRPr="00512143">
        <w:rPr>
          <w:noProof/>
        </w:rPr>
        <w:t xml:space="preserve">(Avramov </w:t>
      </w:r>
      <w:r w:rsidRPr="00512143">
        <w:rPr>
          <w:i/>
          <w:noProof/>
        </w:rPr>
        <w:t>et al.</w:t>
      </w:r>
      <w:r w:rsidRPr="00512143">
        <w:rPr>
          <w:noProof/>
        </w:rPr>
        <w:t>, 2007)</w:t>
      </w:r>
      <w:r w:rsidRPr="00191AD2">
        <w:fldChar w:fldCharType="end"/>
      </w:r>
      <w:r w:rsidRPr="00191AD2">
        <w:t xml:space="preserve">. For example, AGB1 is a plasticity gene that regulates reproductive trait plasticity, mediated by G proteins, in response to environmental cues of drought stress </w:t>
      </w:r>
      <w:r w:rsidRPr="00191AD2">
        <w:fldChar w:fldCharType="begin" w:fldLock="1"/>
      </w:r>
      <w:r w:rsidR="007C2FF9">
        <w:instrText>ADDIN CSL_CITATION { "citationItems" : [ { "id" : "ITEM-1", "itemData" : { "DOI" : "10.1111/j.1469-8137.2009.03120.x", "ISSN" : "1469-8137", "PMID" : "20028470", "abstract" : "Phenotypic plasticity is the ability of one genotype to display different phenotypes under different environmental conditions. Although variation for phenotypic plasticity has been documented in numerous species, little is known about the genetic mechanisms underlying phenotypic plasticity. Given their widespread roles in hormonal and environmental signaling, we examined whether genes which encode heterotrimeric G proteins are plasticity genes. We grew multiple alleles of heterotrimeric G-protein mutants, together with wild-type Arabidopsis thaliana, under different watering regimes to determine the contributions of G-protein genes to phenotypic plasticity for a number of developmental and reproduction-related traits. G-protein mutations did not affect significantly the amount of phenotypic variation within an environment for any trait, but did affect significantly the amount of phenotypic plasticity for certain traits. AGB1, which encodes the beta subunit of the heterotrimeric G protein in Arabidopsis, is a plasticity gene and regulates reproductive trait plasticity in response to water availability, resulting in increased fitness (defined as seed production) under drought stress.", "author" : [ { "dropping-particle" : "", "family" : "Nilson", "given" : "Sarah E", "non-dropping-particle" : "", "parse-names" : false, "suffix" : "" }, { "dropping-particle" : "", "family" : "Assmann", "given" : "Sarah M", "non-dropping-particle" : "", "parse-names" : false, "suffix" : "" } ], "container-title" : "The New phytologist", "id" : "ITEM-1", "issue" : "3", "issued" : { "date-parts" : [ [ "2010", "2" ] ] }, "page" : "734-46", "title" : "Heterotrimeric G proteins regulate reproductive trait plasticity in response to water availability.", "type" : "article-journal", "volume" : "185" }, "uris" : [ "http://www.mendeley.com/documents/?uuid=fce90d2e-28a2-4181-ac55-950f7d7f2c9c" ] } ], "mendeley" : { "formattedCitation" : "(Nilson and Assmann, 2010)", "plainTextFormattedCitation" : "(Nilson and Assmann, 2010)", "previouslyFormattedCitation" : "(Nilson and Assmann, 2010)" }, "properties" : { "noteIndex" : 0 }, "schema" : "https://github.com/citation-style-language/schema/raw/master/csl-citation.json" }</w:instrText>
      </w:r>
      <w:r w:rsidRPr="00191AD2">
        <w:fldChar w:fldCharType="separate"/>
      </w:r>
      <w:r w:rsidR="00134C22" w:rsidRPr="00134C22">
        <w:rPr>
          <w:noProof/>
        </w:rPr>
        <w:t>(Nilson and Assmann, 2010)</w:t>
      </w:r>
      <w:r w:rsidRPr="00191AD2">
        <w:fldChar w:fldCharType="end"/>
      </w:r>
      <w:r w:rsidRPr="00191AD2">
        <w:t>.</w:t>
      </w:r>
    </w:p>
    <w:p w14:paraId="6CDB75CA" w14:textId="55D2D0D3" w:rsidR="0052730F" w:rsidRPr="00402F24" w:rsidRDefault="0052730F" w:rsidP="00DC7B26">
      <w:pPr>
        <w:pStyle w:val="BodyJB"/>
        <w:ind w:firstLine="720"/>
      </w:pPr>
      <w:r w:rsidRPr="00191AD2">
        <w:t xml:space="preserve">Plasticity can be observed at all levels of organization within a plant, from physiological and biochemical characteristics of photosynthesis, to anatomy and morphology, to whole organism growth </w:t>
      </w:r>
      <w:r w:rsidRPr="00191AD2">
        <w:fldChar w:fldCharType="begin" w:fldLock="1"/>
      </w:r>
      <w:r w:rsidR="007C2FF9">
        <w:instrText>ADDIN CSL_CITATION { "citationItems" : [ { "id" : "ITEM-1", "itemData" : { "DOI" : "10.1111/j.1365-2435.2012.01985.x", "ISSN" : "02698463", "author" : [ { "dropping-particle" : "", "family" : "Colinet", "given" : "Herv\u00e9", "non-dropping-particle" : "", "parse-names" : false, "suffix" : "" }, { "dropping-particle" : "", "family" : "Larvor", "given" : "Vanessa", "non-dropping-particle" : "", "parse-names" : false, "suffix" : "" }, { "dropping-particle" : "", "family" : "Laparie", "given" : "Mathieu", "non-dropping-particle" : "", "parse-names" : false, "suffix" : "" }, { "dropping-particle" : "", "family" : "Renault", "given" : "David", "non-dropping-particle" : "", "parse-names" : false, "suffix" : "" } ], "container-title" : "Functional Ecology", "id" : "ITEM-1", "issue" : "3", "issued" : { "date-parts" : [ [ "2012", "6", "27" ] ] }, "page" : "711-722", "title" : "Exploring the plastic response to cold acclimation through metabolomics", "type" : "article-journal", "volume" : "26" }, "uris" : [ "http://www.mendeley.com/documents/?uuid=4376e8e5-9fa9-4555-b4a3-ff5215c25510" ] } ], "mendeley" : { "formattedCitation" : "(Colinet et al., 2012)", "plainTextFormattedCitation" : "(Colinet et al., 2012)", "previouslyFormattedCitation" : "(Colinet et al., 2012)" }, "properties" : { "noteIndex" : 0 }, "schema" : "https://github.com/citation-style-language/schema/raw/master/csl-citation.json" }</w:instrText>
      </w:r>
      <w:r w:rsidRPr="00191AD2">
        <w:fldChar w:fldCharType="separate"/>
      </w:r>
      <w:r w:rsidRPr="00512143">
        <w:rPr>
          <w:noProof/>
        </w:rPr>
        <w:t xml:space="preserve">(Colinet </w:t>
      </w:r>
      <w:r w:rsidRPr="00512143">
        <w:rPr>
          <w:i/>
          <w:noProof/>
        </w:rPr>
        <w:t>et al.</w:t>
      </w:r>
      <w:r w:rsidRPr="00512143">
        <w:rPr>
          <w:noProof/>
        </w:rPr>
        <w:t>, 2012)</w:t>
      </w:r>
      <w:r w:rsidRPr="00191AD2">
        <w:fldChar w:fldCharType="end"/>
      </w:r>
      <w:r w:rsidR="00DC7B26">
        <w:t>.</w:t>
      </w:r>
      <w:r w:rsidRPr="00191AD2">
        <w:t xml:space="preserve"> Plasticity may be selectively advantageous if the environment is variable, when gene dispersal distances are smaller than the scale of environmental variation, and if environment cues are reliable </w:t>
      </w:r>
      <w:r w:rsidRPr="00191AD2">
        <w:fldChar w:fldCharType="begin" w:fldLock="1"/>
      </w:r>
      <w:r w:rsidR="007C2FF9">
        <w:instrText>ADDIN CSL_CITATION { "citationItems" : [ { "id" : "ITEM-1", "itemData" : { "author" : [ { "dropping-particle" : "", "family" : "Gianoli", "given" : "Ernesto", "non-dropping-particle" : "", "parse-names" : false, "suffix" : "" } ], "container-title" : "International Journal of Plant Sciences", "id" : "ITEM-1", "issue" : "5", "issued" : { "date-parts" : [ [ "2004" ] ] }, "page" : "825-832", "title" : "Plasticity of Traits and Correlations in Two Populations of Convolvulus arvensis ( Convolvulaceae ) Differing in Environmental Heterogeneity", "type" : "article-journal", "volume" : "165" }, "uris" : [ "http://www.mendeley.com/documents/?uuid=aa0e0975-e356-4f50-b3da-3123012ab7f7" ] } ], "mendeley" : { "formattedCitation" : "(Gianoli, 2004)", "plainTextFormattedCitation" : "(Gianoli, 2004)", "previouslyFormattedCitation" : "(Gianoli, 2004)" }, "properties" : { "noteIndex" : 0 }, "schema" : "https://github.com/citation-style-language/schema/raw/master/csl-citation.json" }</w:instrText>
      </w:r>
      <w:r w:rsidRPr="00191AD2">
        <w:fldChar w:fldCharType="separate"/>
      </w:r>
      <w:r w:rsidRPr="00EB70D5">
        <w:rPr>
          <w:noProof/>
        </w:rPr>
        <w:t>(Gianoli, 2004)</w:t>
      </w:r>
      <w:r w:rsidRPr="00191AD2">
        <w:fldChar w:fldCharType="end"/>
      </w:r>
      <w:r w:rsidRPr="00191AD2">
        <w:t xml:space="preserve">. There is evidence to suggest that global climate change should favour high levels of phenotypic plasticity in plants </w:t>
      </w:r>
      <w:r w:rsidRPr="00191AD2">
        <w:fldChar w:fldCharType="begin" w:fldLock="1"/>
      </w:r>
      <w:r w:rsidR="007C2FF9">
        <w:instrText>ADDIN CSL_CITATION { "citationItems" : [ { "id" : "ITEM-1", "itemData" : { "DOI" : "10.1146/annurev.ecolsys.37.091305.110100", "ISSN" : "1543-592X", "author" : [ { "dropping-particle" : "", "family" : "Parmesan", "given" : "Camille", "non-dropping-particle" : "", "parse-names" : false, "suffix" : "" } ], "container-title" : "Annual Review of Ecology, Evolution, and Systematics", "id" : "ITEM-1", "issue" : "1", "issued" : { "date-parts" : [ [ "2006", "12" ] ] }, "page" : "637-669", "title" : "Ecological and Evolutionary Responses to Recent Climate Change", "type" : "article-journal", "volume" : "37" }, "uris" : [ "http://www.mendeley.com/documents/?uuid=5ee53463-aeca-4d1f-9fa9-c4c6bae93f49" ] } ], "mendeley" : { "formattedCitation" : "(Parmesan, 2006)", "plainTextFormattedCitation" : "(Parmesan, 2006)", "previouslyFormattedCitation" : "(Parmesan, 2006)" }, "properties" : { "noteIndex" : 0 }, "schema" : "https://github.com/citation-style-language/schema/raw/master/csl-citation.json" }</w:instrText>
      </w:r>
      <w:r w:rsidRPr="00191AD2">
        <w:fldChar w:fldCharType="separate"/>
      </w:r>
      <w:r w:rsidRPr="00EB70D5">
        <w:rPr>
          <w:noProof/>
        </w:rPr>
        <w:t>(Parmesan, 2006)</w:t>
      </w:r>
      <w:r w:rsidRPr="00191AD2">
        <w:fldChar w:fldCharType="end"/>
      </w:r>
      <w:r w:rsidRPr="00191AD2">
        <w:t xml:space="preserve">. Despite its obvious advantages, a variety of costs associated with plasticity have been </w:t>
      </w:r>
      <w:r>
        <w:t xml:space="preserve">theorised; these range from maintenance costs which are the energetic costs relating to the sensory and regulatory pathways required to accurately assess current environmental conditions, to genetic costs associated with the linkage of </w:t>
      </w:r>
      <w:r w:rsidRPr="00402F24">
        <w:t xml:space="preserve">plasticity loci and loci that have negative impacts on fitness </w:t>
      </w:r>
      <w:r w:rsidRPr="00402F24">
        <w:fldChar w:fldCharType="begin" w:fldLock="1"/>
      </w:r>
      <w:r w:rsidR="007C2FF9">
        <w:instrText>ADDIN CSL_CITATION { "citationItems" : [ { "id" : "ITEM-1", "itemData" : { "ISSN" : "0169-5347", "PMID" : "21238209", "abstract" : "The costs and limits of phenotypic plasticity are thought to have important ecological and evolutionary consequences, yet they are not as well understood as the benefits of plasticity. At least nine ideas exist regarding how plasticity may be costly or limited, but these have rarely been discussed together. The most commonly discussed cost is that of maintaining the sensory and regulatory machinery needed for plasticity, which may require energy and material expenses. A frequently considered limit to the benefit of plasticity is that the environmental cues guiding plastic development can be unreliable. Such costs and limits have recently been included in theoretical models and, perhaps more importantly, relevant empirical studies now have emerged. Despite the current interest in costs and limits of plasticity, several lines of reasoning suggest that they might be difficult to demonstrate.", "author" : [ { "dropping-particle" : "", "family" : "Dewitt", "given" : "T J", "non-dropping-particle" : "", "parse-names" : false, "suffix" : "" }, { "dropping-particle" : "", "family" : "Sih", "given" : "a", "non-dropping-particle" : "", "parse-names" : false, "suffix" : "" }, { "dropping-particle" : "", "family" : "Wilson", "given" : "D S", "non-dropping-particle" : "", "parse-names" : false, "suffix" : "" } ], "container-title" : "Trends in ecology &amp; evolution", "id" : "ITEM-1", "issue" : "2", "issued" : { "date-parts" : [ [ "1998", "2", "1" ] ] }, "page" : "77-81", "title" : "Costs and limits of phenotypic plasticity.", "type" : "article-journal", "volume" : "13" }, "uris" : [ "http://www.mendeley.com/documents/?uuid=d6cfc63e-3c43-4e2c-983e-40a853d298ea" ] }, { "id" : "ITEM-2", "itemData" : { "DOI" : "10.1098/rspb.2009.1355", "ISSN" : "1471-2954", "PMID" : "19846457", "abstract" : "When the optimal phenotype differs among environments, adaptive phenotypic plasticity can evolve unless constraints impede such evolution. Costs and limits of plasticity have been proposed as important constraints on the evolution of plasticity, yet confusion exists over their distinction. We attempt to clarify these concepts by reviewing their categorization and measurement, highlighting how costs and limits are defined in different currencies (and may describe the same phenomenon). Conclusions from studies that measure the costs of plasticity have been equivocal, but we caution that these conclusions may be premature owing to a potentially common correlation between environment-specific trait values and the magnitude of trait plasticities (i.e. multi-collinearity) that results in imprecise and/or biased estimates of the costs. Meanwhile, our understanding of the limits of plasticity, and how they may be underlain by the costs of plasticity, is still in its infancy. Based on our re-evaluation of these constraints, we discuss areas for future research.", "author" : [ { "dropping-particle" : "", "family" : "Auld", "given" : "Josh R", "non-dropping-particle" : "", "parse-names" : false, "suffix" : "" }, { "dropping-particle" : "", "family" : "Agrawal", "given" : "Anurag a", "non-dropping-particle" : "", "parse-names" : false, "suffix" : "" }, { "dropping-particle" : "", "family" : "Relyea", "given" : "Rick a", "non-dropping-particle" : "", "parse-names" : false, "suffix" : "" } ], "container-title" : "Proceedings. Biological sciences / The Royal Society", "id" : "ITEM-2", "issue" : "1681", "issued" : { "date-parts" : [ [ "2010", "2", "22" ] ] }, "page" : "503-11", "title" : "Re-evaluating the costs and limits of adaptive phenotypic plasticity.", "type" : "article-journal", "volume" : "277" }, "uris" : [ "http://www.mendeley.com/documents/?uuid=4678bf8f-6e33-4779-a55d-9a3aa6133e14" ] }, { "id" : "ITEM-3", "itemData" : { "DOI" : "10.1086/338540", "ISSN" : "1537-5323", "PMID" : "18707379", "abstract" : "Phenotypically plastic organisms display alternative phenotypes in different environments. It is widely appreciated that possessing alternative phenotypes can affect fitness. However, some investigators have suggested that simply carrying the ability to be plastic could also affect fitness. Evolutionary models suggest that high costs of plasticity could constrain the evolution of optimal phenotypes. However, costs (and limits) of plasticity are primarily hypothetical. Little empirical evidence exists to show that increased plasticity leads to reduced growth and development, leads to increased developmental instability, or limits the ability of organisms to produce more extreme phenotypes. I used half-sib families of larval wood frogs (Rana sylvatica) reared in outdoor mesocosms to examine how tadpoles altered behavioral, morphological, and life-historical traits in response to larval dragonfly predators (Anax longipes). The predators induced lower activity and the development of relatively large tails and small bodies in wood frogs. As a result, wood frogs experienced reduced growth and development. I then examined whether tadpole sibships with higher plasticity experienced fitness costs (above and beyond the costs of expressing a particular phenotype) and whether they were limited in producing extreme phenotypes. Fitness effects of plasticity were widespread. Depending on the trait examined and the environment experienced, increased plasticity had either positive effects, negative effects, or no effects on tadpole mass, development, and survivorship. I found no relationship between increased plasticity and greater developmental instability. There was also no evidence that sibships with increased plasticity produced less extreme phenotypes; the most extreme trait states were always produced by the most plastic genotypes. This work suggests that costs of plasticity may be pervasive in nature and may substantially impact the evolution of optimal phenotypes in organisms that live in heterogeneous environments.", "author" : [ { "dropping-particle" : "", "family" : "Relyea", "given" : "Rick a", "non-dropping-particle" : "", "parse-names" : false, "suffix" : "" } ], "container-title" : "The American naturalist", "id" : "ITEM-3", "issue" : "3", "issued" : { "date-parts" : [ [ "2002", "3" ] ] }, "page" : "272-82", "title" : "Costs of phenotypic plasticity.", "type" : "article-journal", "volume" : "159" }, "uris" : [ "http://www.mendeley.com/documents/?uuid=900db8e2-a9bc-48fe-bf42-f5e0128760ff" ] } ], "mendeley" : { "formattedCitation" : "(Dewitt et al., 1998; Relyea, 2002; Auld et al., 2010)", "plainTextFormattedCitation" : "(Dewitt et al., 1998; Relyea, 2002; Auld et al., 2010)", "previouslyFormattedCitation" : "(Dewitt et al., 1998; Relyea, 2002; Auld et al., 2010)" }, "properties" : { "noteIndex" : 0 }, "schema" : "https://github.com/citation-style-language/schema/raw/master/csl-citation.json" }</w:instrText>
      </w:r>
      <w:r w:rsidRPr="00402F24">
        <w:fldChar w:fldCharType="separate"/>
      </w:r>
      <w:r w:rsidRPr="00512143">
        <w:rPr>
          <w:noProof/>
        </w:rPr>
        <w:t xml:space="preserve">(Dewitt </w:t>
      </w:r>
      <w:r w:rsidRPr="00512143">
        <w:rPr>
          <w:i/>
          <w:noProof/>
        </w:rPr>
        <w:t>et al.</w:t>
      </w:r>
      <w:r w:rsidRPr="00512143">
        <w:rPr>
          <w:noProof/>
        </w:rPr>
        <w:t xml:space="preserve">, 1998; Relyea, 2002; Auld </w:t>
      </w:r>
      <w:r w:rsidRPr="00512143">
        <w:rPr>
          <w:i/>
          <w:noProof/>
        </w:rPr>
        <w:t>et al.</w:t>
      </w:r>
      <w:r w:rsidRPr="00512143">
        <w:rPr>
          <w:noProof/>
        </w:rPr>
        <w:t>, 2010)</w:t>
      </w:r>
      <w:r w:rsidRPr="00402F24">
        <w:fldChar w:fldCharType="end"/>
      </w:r>
      <w:r w:rsidRPr="00402F24">
        <w:t xml:space="preserve">. </w:t>
      </w:r>
    </w:p>
    <w:p w14:paraId="3A42BABF" w14:textId="0B6FB793" w:rsidR="0052730F" w:rsidRPr="00402F24" w:rsidRDefault="0052730F" w:rsidP="00DC7B26">
      <w:pPr>
        <w:pStyle w:val="BodyJB"/>
        <w:ind w:firstLine="720"/>
        <w:rPr>
          <w:rFonts w:ascii="Times New Roman" w:hAnsi="Times New Roman" w:cs="Georgia"/>
        </w:rPr>
      </w:pPr>
      <w:r w:rsidRPr="00402F24">
        <w:t xml:space="preserve">Population differentiation in traits can also be generated by differences in the growing conditions experienced by mother plants </w:t>
      </w:r>
      <w:r w:rsidRPr="00402F24">
        <w:fldChar w:fldCharType="begin" w:fldLock="1"/>
      </w:r>
      <w:r w:rsidR="007C1C5F">
        <w:instrText>ADDIN CSL_CITATION { "citationItems" : [ { "id" : "ITEM-1", "itemData" : { "author" : [ { "dropping-particle" : "", "family" : "Bischoff", "given" : "Armin", "non-dropping-particle" : "", "parse-names" : false, "suffix" : "" }, { "dropping-particle" : "", "family" : "M\u00fcller\u00e2-Sch\u00e4rer", "given" : "H", "non-dropping-particle" : "", "parse-names" : false, "suffix" : "" } ], "container-title" : "Oikos", "id" : "ITEM-1", "issue" : "3", "issued" : { "date-parts" : [ [ "2010" ] ] }, "page" : "445-454", "title" : "Testing population differentiation in plant species \u2013 how important are environmental maternal effects", "type" : "article-journal", "volume" : "119" }, "uris" : [ "http://www.mendeley.com/documents/?uuid=f0ed8124-04ea-4b41-8004-d3471551391a" ] } ], "mendeley" : { "formattedCitation" : "(Bischoff and M\u00fcller\u00e2-Sch\u00e4rer, 2010)", "plainTextFormattedCitation" : "(Bischoff and M\u00fcller\u00e2-Sch\u00e4rer, 2010)", "previouslyFormattedCitation" : "(Bischoff and M\u00fcller\u00e2-Sch\u00e4rer, 2010)" }, "properties" : { "noteIndex" : 0 }, "schema" : "https://github.com/citation-style-language/schema/raw/master/csl-citation.json" }</w:instrText>
      </w:r>
      <w:r w:rsidRPr="00402F24">
        <w:fldChar w:fldCharType="separate"/>
      </w:r>
      <w:r w:rsidR="00134C22" w:rsidRPr="007C2FF9">
        <w:rPr>
          <w:noProof/>
        </w:rPr>
        <w:t>(Bischoff and Müllerâ-Schärer, 2010)</w:t>
      </w:r>
      <w:r w:rsidRPr="00402F24">
        <w:fldChar w:fldCharType="end"/>
      </w:r>
      <w:r w:rsidRPr="00402F24">
        <w:t xml:space="preserve">. These maternal effects are non-genetic developmental changes in the offspring that result from the environmental conditions experienced by the mother affecting the provisions of the seed </w:t>
      </w:r>
      <w:r w:rsidRPr="00402F24">
        <w:fldChar w:fldCharType="begin" w:fldLock="1"/>
      </w:r>
      <w:r w:rsidR="007C1C5F">
        <w:instrText>ADDIN CSL_CITATION { "citationItems" : [ { "id" : "ITEM-1", "itemData" : { "DOI" : "10.1111/j.1469-8137.2009.02939.x", "ISSN" : "1469-8137", "PMID" : "19572917", "abstract" : "Maternal effects are ubiquitous in nature. In plants, most work has focused on the effects of maternal environments on offspring trait expression. Less is known about the prevalence of genetic maternal effects and how they influence adaptive evolution. Here, we used multivariate genetic models to estimate the contributions of maternal and direct genetic (co)variance, the cross-generation direct-maternal covariance, and M, the matrix of maternal effect coefficients, for life-history traits in Campanulastrum americanum, a monocarpic herb. Following a three-generation breeding design, we grew paternal half-sib families with full-sib relatives of each parent and measured juvenile and adult traits. Seed size was influenced exclusively by maternal environmental effects, whereas maternal genetic effects influenced traits throughout the life cycle, including strong direct and maternal additive genetic correlations within and between generations for phenological and size traits. Examination of M suggested that both juvenile and adult traits in maternal plants influenced the expression of offspring traits. This study reveals substantial potential for genetic maternal effects to contribute to adaptive evolution including cross-generation direct-maternal correlations that may slow selection response, maternal effects on phenology that reinforce genetic correlations, and within- and between-generation genetic correlations that may influence life-history polymorphism.", "author" : [ { "dropping-particle" : "", "family" : "Galloway", "given" : "Laura F", "non-dropping-particle" : "", "parse-names" : false, "suffix" : "" }, { "dropping-particle" : "", "family" : "Etterson", "given" : "Julie R", "non-dropping-particle" : "", "parse-names" : false, "suffix" : "" }, { "dropping-particle" : "", "family" : "McGlothlin", "given" : "Joel W", "non-dropping-particle" : "", "parse-names" : false, "suffix" : "" } ], "container-title" : "The New phytologist", "id" : "ITEM-1", "issue" : "3", "issued" : { "date-parts" : [ [ "2009", "8" ] ] }, "page" : "826-38", "title" : "Contribution of direct and maternal genetic effects to life-history evolution.", "type" : "article-journal", "volume" : "183" }, "uris" : [ "http://www.mendeley.com/documents/?uuid=e3ff4e7c-8d49-4b66-abdf-e7ea570d7658" ] } ], "mendeley" : { "formattedCitation" : "(Galloway et al., 2009)", "manualFormatting" : "(Galloway et al., 2009)", "plainTextFormattedCitation" : "(Galloway et al., 2009)", "previouslyFormattedCitation" : "(Galloway et al., 2009)" }, "properties" : { "noteIndex" : 0 }, "schema" : "https://github.com/citation-style-language/schema/raw/master/csl-citation.json" }</w:instrText>
      </w:r>
      <w:r w:rsidRPr="00402F24">
        <w:fldChar w:fldCharType="separate"/>
      </w:r>
      <w:r w:rsidRPr="00512143">
        <w:rPr>
          <w:noProof/>
        </w:rPr>
        <w:t xml:space="preserve">(Galloway </w:t>
      </w:r>
      <w:r w:rsidRPr="00512143">
        <w:rPr>
          <w:i/>
          <w:noProof/>
        </w:rPr>
        <w:t>et al.</w:t>
      </w:r>
      <w:r w:rsidRPr="00512143">
        <w:rPr>
          <w:noProof/>
        </w:rPr>
        <w:t>, 2009)</w:t>
      </w:r>
      <w:r w:rsidRPr="00402F24">
        <w:fldChar w:fldCharType="end"/>
      </w:r>
      <w:r w:rsidRPr="00402F24">
        <w:t xml:space="preserve">. Maternal effects typically influence seed based traits such as seed size </w:t>
      </w:r>
      <w:r w:rsidRPr="00402F24">
        <w:fldChar w:fldCharType="begin" w:fldLock="1"/>
      </w:r>
      <w:r w:rsidR="007C1C5F">
        <w:instrText>ADDIN CSL_CITATION { "citationItems" : [ { "id" : "ITEM-1", "itemData" : { "author" : [ { "dropping-particle" : "", "family" : "Waller", "given" : "DM", "non-dropping-particle" : "", "parse-names" : false, "suffix" : "" } ], "container-title" : "American journal of botany", "id" : "ITEM-1", "issue" : "9", "issued" : { "date-parts" : [ [ "1982" ] ] }, "page" : "1470-1475", "title" : "FACTORS INFLUENCING SEED WEIGHT IN IMPATIENS CAPENSIS (BALSAMINACEAE", "type" : "article-journal", "volume" : "69" }, "uris" : [ "http://www.mendeley.com/documents/?uuid=3b356dbf-a0da-4687-8a92-506ed25be1fd", "http://www.mendeley.com/documents/?uuid=873677ee-fc2d-46e3-9488-3ff39462452f" ] } ], "mendeley" : { "formattedCitation" : "(Waller, 1982)", "manualFormatting" : "(Waller, 1982)", "plainTextFormattedCitation" : "(Waller, 1982)", "previouslyFormattedCitation" : "(Waller, 1982)" }, "properties" : { "noteIndex" : 0 }, "schema" : "https://github.com/citation-style-language/schema/raw/master/csl-citation.json" }</w:instrText>
      </w:r>
      <w:r w:rsidRPr="00402F24">
        <w:fldChar w:fldCharType="separate"/>
      </w:r>
      <w:r w:rsidRPr="00402F24">
        <w:rPr>
          <w:noProof/>
        </w:rPr>
        <w:t>(Waller, 1982)</w:t>
      </w:r>
      <w:r w:rsidRPr="00402F24">
        <w:fldChar w:fldCharType="end"/>
      </w:r>
      <w:r w:rsidRPr="00402F24">
        <w:t xml:space="preserve"> and germination </w:t>
      </w:r>
      <w:r w:rsidRPr="00402F24">
        <w:fldChar w:fldCharType="begin" w:fldLock="1"/>
      </w:r>
      <w:r w:rsidR="007C1C5F">
        <w:instrText>ADDIN CSL_CITATION { "citationItems" : [ { "id" : "ITEM-1", "itemData" : { "DOI" : "10.1614/WS-D-09-00006.1", "ISSN" : "0043-1745", "author" : [ { "dropping-particle" : "", "family" : "Figueroa", "given" : "Rodrigo", "non-dropping-particle" : "", "parse-names" : false, "suffix" : "" }, { "dropping-particle" : "", "family" : "Herms", "given" : "Daniel a.", "non-dropping-particle" : "", "parse-names" : false, "suffix" : "" }, { "dropping-particle" : "", "family" : "Cardina", "given" : "John", "non-dropping-particle" : "", "parse-names" : false, "suffix" : "" }, { "dropping-particle" : "", "family" : "Doohan", "given" : "Doug", "non-dropping-particle" : "", "parse-names" : false, "suffix" : "" } ], "container-title" : "Weed Science", "id" : "ITEM-1", "issue" : "2", "issued" : { "date-parts" : [ [ "2010", "4" ] ] }, "page" : "160-166", "title" : "Maternal Environment Effects on Common Groundsel (Senecio vulgaris) Seed Dormancy", "type" : "article-journal", "volume" : "58" }, "uris" : [ "http://www.mendeley.com/documents/?uuid=90d2dfe6-c910-4fd5-b4fc-ffdb15efb419" ] } ], "mendeley" : { "formattedCitation" : "(Figueroa et al., 2010)", "manualFormatting" : "(Figueroa et al., 2010)", "plainTextFormattedCitation" : "(Figueroa et al., 2010)", "previouslyFormattedCitation" : "(Figueroa et al., 2010)" }, "properties" : { "noteIndex" : 0 }, "schema" : "https://github.com/citation-style-language/schema/raw/master/csl-citation.json" }</w:instrText>
      </w:r>
      <w:r w:rsidRPr="00402F24">
        <w:fldChar w:fldCharType="separate"/>
      </w:r>
      <w:r w:rsidRPr="00512143">
        <w:rPr>
          <w:noProof/>
        </w:rPr>
        <w:t xml:space="preserve">(Figueroa </w:t>
      </w:r>
      <w:r w:rsidRPr="00512143">
        <w:rPr>
          <w:i/>
          <w:noProof/>
        </w:rPr>
        <w:t>et al.</w:t>
      </w:r>
      <w:r w:rsidRPr="00512143">
        <w:rPr>
          <w:noProof/>
        </w:rPr>
        <w:t>, 2010)</w:t>
      </w:r>
      <w:r w:rsidRPr="00402F24">
        <w:fldChar w:fldCharType="end"/>
      </w:r>
      <w:r w:rsidRPr="00402F24">
        <w:t xml:space="preserve">. Though there are a number of studies that indicate the influence of maternal effects on traits in adults such as leaf length </w:t>
      </w:r>
      <w:r w:rsidRPr="00402F24">
        <w:fldChar w:fldCharType="begin" w:fldLock="1"/>
      </w:r>
      <w:r w:rsidR="007C1C5F">
        <w:instrText>ADDIN CSL_CITATION { "citationItems" : [ { "id" : "ITEM-1", "itemData" : { "author" : [ { "dropping-particle" : "", "family" : "Schmid", "given" : "B", "non-dropping-particle" : "", "parse-names" : false, "suffix" : "" }, { "dropping-particle" : "", "family" : "Dolt", "given" : "C", "non-dropping-particle" : "", "parse-names" : false, "suffix" : "" } ], "container-title" : "Evolution", "id" : "ITEM-1", "issue" : "5", "issued" : { "date-parts" : [ [ "1994" ] ] }, "page" : "1525-1549", "title" : "Effects of maternal and paternal environment and genotype on offspring phenotype in Solidago altissima L.", "type" : "article-journal", "volume" : "48" }, "uris" : [ "http://www.mendeley.com/documents/?uuid=b8c0ada4-f5f0-4394-866c-2510ee72ce47" ] } ], "mendeley" : { "formattedCitation" : "(Schmid and Dolt, 1994)", "manualFormatting" : "(Schmid and Dolt, 1994)", "plainTextFormattedCitation" : "(Schmid and Dolt, 1994)", "previouslyFormattedCitation" : "(Schmid and Dolt, 1994)" }, "properties" : { "noteIndex" : 0 }, "schema" : "https://github.com/citation-style-language/schema/raw/master/csl-citation.json" }</w:instrText>
      </w:r>
      <w:r w:rsidRPr="00402F24">
        <w:fldChar w:fldCharType="separate"/>
      </w:r>
      <w:r w:rsidR="00134C22" w:rsidRPr="00134C22">
        <w:rPr>
          <w:noProof/>
        </w:rPr>
        <w:t>(Schmid and Dolt, 1994)</w:t>
      </w:r>
      <w:r w:rsidRPr="00402F24">
        <w:fldChar w:fldCharType="end"/>
      </w:r>
      <w:r w:rsidRPr="00402F24">
        <w:t xml:space="preserve">, reproductive output </w:t>
      </w:r>
      <w:r w:rsidRPr="00402F24">
        <w:fldChar w:fldCharType="begin" w:fldLock="1"/>
      </w:r>
      <w:r w:rsidR="007C1C5F">
        <w:instrText>ADDIN CSL_CITATION { "citationItems" : [ { "id" : "ITEM-1", "itemData" : { "author" : [ { "dropping-particle" : "", "family" : "Hayward", "given" : "MD", "non-dropping-particle" : "", "parse-names" : false, "suffix" : "" } ], "container-title" : "Heredity", "id" : "ITEM-1", "issue" : "I", "issued" : { "date-parts" : [ [ "1967" ] ] }, "title" : "The genetic organisation of natural populations of Lolium perenne. II. Inflorescence production", "type" : "article-journal" }, "uris" : [ "http://www.mendeley.com/documents/?uuid=53daf61f-ec0f-4ad5-b5dc-5d7bff88e403" ] } ], "mendeley" : { "formattedCitation" : "(Hayward, 1967)", "manualFormatting" : "(Hayward, 1967)", "plainTextFormattedCitation" : "(Hayward, 1967)", "previouslyFormattedCitation" : "(Hayward, 1967)" }, "properties" : { "noteIndex" : 0 }, "schema" : "https://github.com/citation-style-language/schema/raw/master/csl-citation.json" }</w:instrText>
      </w:r>
      <w:r w:rsidRPr="00402F24">
        <w:fldChar w:fldCharType="separate"/>
      </w:r>
      <w:r w:rsidRPr="00402F24">
        <w:rPr>
          <w:noProof/>
        </w:rPr>
        <w:t>(Hayward, 1967)</w:t>
      </w:r>
      <w:r w:rsidRPr="00402F24">
        <w:fldChar w:fldCharType="end"/>
      </w:r>
      <w:r w:rsidRPr="00402F24">
        <w:t xml:space="preserve"> and metabolism </w:t>
      </w:r>
      <w:r w:rsidRPr="00402F24">
        <w:fldChar w:fldCharType="begin" w:fldLock="1"/>
      </w:r>
      <w:r w:rsidR="007C1C5F">
        <w:instrText>ADDIN CSL_CITATION { "citationItems" : [ { "id" : "ITEM-1", "itemData" : { "DOI" : "10.1016/j.phytochem.2011.04.008", "ISSN" : "1873-3700", "PMID" : "21601898", "abstract" : "Differences between the metabolic content of cultivars and their related wild species not only have implications for breeding and food quality, but also for the increasingly studied area of crop to wild introgression. Wild and cultivated western carrots belong to the same outcrossing species and hybridize under natural conditions. The metabolic fingerprinting of Dutch wild carrot and of western orange carrot cultivar shoots using (1)H NMR showed only quantitative differences in chemical content, indicating relatively low divergence after domestication. Main differences reside in the primary metabolite content and in the concentrations of chlorogenic acid and feruloyl quinic acid in the shoots of the different carrot types. Wild\u00d7cultivar hybrids cannot be distinguished from wild plants based on the metabolome, suggesting maternal, maternal environment, or dominance effects, and indicating high hybrid fitness in wild conditions. Considering these similarities, introgression is a real possibility in carrots, but understanding its consequences would require further studies using backcrosses in a multiple environments.", "author" : [ { "dropping-particle" : "", "family" : "Grebenstein", "given" : "C", "non-dropping-particle" : "", "parse-names" : false, "suffix" : "" }, { "dropping-particle" : "", "family" : "Choi", "given" : "Y H", "non-dropping-particle" : "", "parse-names" : false, "suffix" : "" }, { "dropping-particle" : "", "family" : "Rong", "given" : "J", "non-dropping-particle" : "", "parse-names" : false, "suffix" : "" }, { "dropping-particle" : "", "family" : "Jong", "given" : "T J", "non-dropping-particle" : "de", "parse-names" : false, "suffix" : "" }, { "dropping-particle" : "", "family" : "Tamis", "given" : "W L M", "non-dropping-particle" : "", "parse-names" : false, "suffix" : "" } ], "container-title" : "Phytochemistry", "id" : "ITEM-1", "issue" : "11-12", "issued" : { "date-parts" : [ [ "2011", "8" ] ] }, "page" : "1341-7", "publisher" : "Elsevier Ltd", "title" : "Metabolic fingerprinting reveals differences between shoots of wild and cultivated carrot (Daucus carota L.) and suggests maternal inheritance or wild trait dominance in hybrids.", "type" : "article-journal", "volume" : "72" }, "uris" : [ "http://www.mendeley.com/documents/?uuid=c51fe148-e978-4766-bab0-bff85c754667" ] }, { "id" : "ITEM-2", "itemData" : { "author" : [ { "dropping-particle" : "", "family" : "Orians", "given" : "CM", "non-dropping-particle" : "", "parse-names" : false, "suffix" : "" } ], "container-title" : "American Journal of Botany", "id" : "ITEM-2", "issue" : "12", "issued" : { "date-parts" : [ [ "2000" ] ] }, "page" : "1749-1756", "title" : "The Effects of Hybridization in Plants on Secondary Chemistry : Implications for the Ecology and Evolution of Plant-Herbivore Interactions", "type" : "article-journal", "volume" : "87" }, "uris" : [ "http://www.mendeley.com/documents/?uuid=44db25a2-0798-4c63-b4d7-306762a9a527", "http://www.mendeley.com/documents/?uuid=4ce87e9a-caea-416a-b624-c10ea8d6c628" ] } ], "mendeley" : { "formattedCitation" : "(Orians, 2000; Grebenstein et al., 2011)", "manualFormatting" : "(Orians, 2000; Grebenstein et al., 2011)", "plainTextFormattedCitation" : "(Orians, 2000; Grebenstein et al., 2011)", "previouslyFormattedCitation" : "(Orians, 2000; Grebenstein et al., 2011)" }, "properties" : { "noteIndex" : 0 }, "schema" : "https://github.com/citation-style-language/schema/raw/master/csl-citation.json" }</w:instrText>
      </w:r>
      <w:r w:rsidRPr="00402F24">
        <w:fldChar w:fldCharType="separate"/>
      </w:r>
      <w:r w:rsidRPr="00512143">
        <w:rPr>
          <w:noProof/>
        </w:rPr>
        <w:t xml:space="preserve">(Orians, 2000; Grebenstein </w:t>
      </w:r>
      <w:r w:rsidRPr="00512143">
        <w:rPr>
          <w:i/>
          <w:noProof/>
        </w:rPr>
        <w:t>et al.</w:t>
      </w:r>
      <w:r w:rsidRPr="00512143">
        <w:rPr>
          <w:noProof/>
        </w:rPr>
        <w:t>, 2011)</w:t>
      </w:r>
      <w:r w:rsidRPr="00402F24">
        <w:fldChar w:fldCharType="end"/>
      </w:r>
      <w:r w:rsidRPr="00402F24">
        <w:t xml:space="preserve">. Recent work studying the </w:t>
      </w:r>
      <w:r w:rsidRPr="00402F24">
        <w:rPr>
          <w:rFonts w:ascii="Times New Roman" w:hAnsi="Times New Roman"/>
        </w:rPr>
        <w:t xml:space="preserve">impacts of environmental variation in a plant guild found that maternal effects were common, producing responses at the population level, highlighting their importance in influencing long-term population growth rate and population stability </w:t>
      </w:r>
      <w:r w:rsidRPr="00402F24">
        <w:rPr>
          <w:rFonts w:ascii="Times New Roman" w:hAnsi="Times New Roman"/>
        </w:rPr>
        <w:fldChar w:fldCharType="begin" w:fldLock="1"/>
      </w:r>
      <w:r w:rsidR="007C1C5F">
        <w:rPr>
          <w:rFonts w:ascii="Times New Roman" w:hAnsi="Times New Roman"/>
        </w:rPr>
        <w:instrText>ADDIN CSL_CITATION { "citationItems" : [ { "id" : "ITEM-1", "itemData" : { "DOI" : "10.1111/ele.12267", "ISSN" : "1461-0248", "PMID" : "24602193", "abstract" : "Species responses to fluctuating environments structure population and community dynamics in variable ecosystems. Although offspring number is commonly used to measure these responses, maternal effects on offspring quality may be an important but largely unrecognised determinant of long-term population growth. We selected 29 species across a Mediterranean annual plant phylogeny, and grew populations of each species in wet and dry conditions to determine responses in seed number and maternal effects (seed size, seed dormancy, and seedling growth). Maternal effects were evident in over 40% of species, but only 24% responded through seed number. Despite a strong trade-off between seed size and seed number among species, there was no consistent trade-off within species; we observed correlations that ranged from positive to negative. Overall, species in this plant guild show a complex range of responses to environmental variation that may be underestimated when only seed number responses are considered.", "author" : [ { "dropping-particle" : "", "family" : "Germain", "given" : "Rachel M", "non-dropping-particle" : "", "parse-names" : false, "suffix" : "" }, { "dropping-particle" : "", "family" : "Gilbert", "given" : "Benjamin", "non-dropping-particle" : "", "parse-names" : false, "suffix" : "" } ], "container-title" : "Ecology letters", "id" : "ITEM-1", "issue" : "6", "issued" : { "date-parts" : [ [ "2014", "6" ] ] }, "page" : "662-9", "title" : "Hidden responses to environmental variation: maternal effects reveal species niche dimensions.", "type" : "article-journal", "volume" : "17" }, "uris" : [ "http://www.mendeley.com/documents/?uuid=fe8c52ae-6882-48b6-bc77-88dffa5d2bfb" ] } ], "mendeley" : { "formattedCitation" : "(Germain and Gilbert, 2014)", "manualFormatting" : "(Germain and Gilbert, 2014)", "plainTextFormattedCitation" : "(Germain and Gilbert, 2014)", "previouslyFormattedCitation" : "(Germain and Gilbert, 2014)" }, "properties" : { "noteIndex" : 0 }, "schema" : "https://github.com/citation-style-language/schema/raw/master/csl-citation.json" }</w:instrText>
      </w:r>
      <w:r w:rsidRPr="00402F24">
        <w:rPr>
          <w:rFonts w:ascii="Times New Roman" w:hAnsi="Times New Roman"/>
        </w:rPr>
        <w:fldChar w:fldCharType="separate"/>
      </w:r>
      <w:r w:rsidR="00134C22" w:rsidRPr="00134C22">
        <w:rPr>
          <w:rFonts w:ascii="Times New Roman" w:hAnsi="Times New Roman"/>
          <w:noProof/>
        </w:rPr>
        <w:t>(Germain and Gilbert, 2014)</w:t>
      </w:r>
      <w:r w:rsidRPr="00402F24">
        <w:rPr>
          <w:rFonts w:ascii="Times New Roman" w:hAnsi="Times New Roman"/>
        </w:rPr>
        <w:fldChar w:fldCharType="end"/>
      </w:r>
      <w:r w:rsidRPr="00402F24">
        <w:rPr>
          <w:rFonts w:ascii="Times New Roman" w:hAnsi="Times New Roman"/>
        </w:rPr>
        <w:t xml:space="preserve">. </w:t>
      </w:r>
      <w:r w:rsidRPr="00402F24">
        <w:rPr>
          <w:rFonts w:ascii="Times New Roman" w:hAnsi="Times New Roman" w:cs="Georgia"/>
        </w:rPr>
        <w:t xml:space="preserve">However, </w:t>
      </w:r>
      <w:r w:rsidRPr="00402F24">
        <w:rPr>
          <w:rFonts w:ascii="Times New Roman" w:hAnsi="Times New Roman"/>
        </w:rPr>
        <w:t xml:space="preserve">the impact of environmental maternal effects in studies of genetic differentiation between populations is debated </w:t>
      </w:r>
      <w:r w:rsidRPr="00402F24">
        <w:rPr>
          <w:rFonts w:ascii="Times New Roman" w:hAnsi="Times New Roman"/>
        </w:rPr>
        <w:fldChar w:fldCharType="begin" w:fldLock="1"/>
      </w:r>
      <w:r w:rsidR="007C1C5F">
        <w:rPr>
          <w:rFonts w:ascii="Times New Roman" w:hAnsi="Times New Roman"/>
        </w:rPr>
        <w:instrText>ADDIN CSL_CITATION { "citationItems" : [ { "id" : "ITEM-1", "itemData" : { "DOI" : "10.1111/j.1420-9101.2007.01456.x", "ISSN" : "1420-9101", "PMID" : "18028354", "abstract" : "Range expansion during biological invasion requires that invaders adapt to geographical variation in climate, which should yield latitudinal clines in reproductive phenology. We investigated geographic variation in life history among 25 introduced populations of Lythrum salicaria, a widespread European invader of North American wetlands. We detected a strong latitudinal cline in initiation of flowering and size at flowering, which paralleled that reported among native populations. Plants from higher latitudes flowered earlier and at a smaller size than those from lower latitudes, even when raised in a uniform glasshouse. Early flowering was associated with greatly reduced reproductive output, but this was not associated with latitudinal variation in abundance, and probably did not result from a genetic correlation between time to and size at flowering. As introduction to North America c. 200 years ago, L. salicaria has re-established latitudinal clines in life history, probably as an evolutionary response to climatic selection.", "author" : [ { "dropping-particle" : "", "family" : "Montague", "given" : "J L", "non-dropping-particle" : "", "parse-names" : false, "suffix" : "" }, { "dropping-particle" : "", "family" : "Barrett", "given" : "S C H", "non-dropping-particle" : "", "parse-names" : false, "suffix" : "" }, { "dropping-particle" : "", "family" : "Eckert", "given" : "C G", "non-dropping-particle" : "", "parse-names" : false, "suffix" : "" } ], "container-title" : "Journal of evolutionary biology", "id" : "ITEM-1", "issue" : "1", "issued" : { "date-parts" : [ [ "2008", "1" ] ] }, "page" : "234-45", "title" : "Re-establishment of clinal variation in flowering time among introduced populations of purple loosestrife (Lythrum salicaria, Lythraceae).", "type" : "article-journal", "volume" : "21" }, "uris" : [ "http://www.mendeley.com/documents/?uuid=1ccc6a61-59b7-4fed-b944-3b455d65dc90" ] }, { "id" : "ITEM-2", "itemData" : { "author" : [ { "dropping-particle" : "", "family" : "Bischoff", "given" : "Armin", "non-dropping-particle" : "", "parse-names" : false, "suffix" : "" }, { "dropping-particle" : "", "family" : "M\u00fcller\u00e2-Sch\u00e4rer", "given" : "H", "non-dropping-particle" : "", "parse-names" : false, "suffix" : "" } ], "container-title" : "Oikos", "id" : "ITEM-2", "issue" : "3", "issued" : { "date-parts" : [ [ "2010" ] ] }, "page" : "445-454", "title" : "Testing population differentiation in plant species \u2013 how important are environmental maternal effects", "type" : "article-journal", "volume" : "119" }, "uris" : [ "http://www.mendeley.com/documents/?uuid=f0ed8124-04ea-4b41-8004-d3471551391a" ] }, { "id" : "ITEM-3", "itemData" : { "DOI" : "10.1111/jeb.12047", "ISSN" : "1420-9101", "PMID" : "23194053", "abstract" : "Evolutionary dynamics of integrative traits such as phenology are predicted to be critically important to range expansion and invasion success, yet there are few empirical examples of such phenomena. In this study, we used multiple common gardens to examine the evolutionary significance of latitudinal variation in phenology of a widespread invasive species, the Asian short-day flowering annual grass Microstegium vimineum. In environmentally controlled growth chambers, we grew plants from seeds collected from multiple latitudes across the species' invasive range. Flowering time and biomass were both strongly correlated with the latitude of population origin such that populations collected from more northern latitudes flowered significantly earlier and at lower biomass than populations from southern locations. We suggest that this pattern may be the result of rapid adaptive evolution of phenology over a period of less than one hundred years and that such changes have likely promoted the northward range expansion of this species. We note that possible barriers to gene flow, including bottlenecks and inbreeding, have apparently not forestalled evolutionary processes for this plant. Furthermore, we hypothesize that evolution of phenology may be a widespread and potentially essential process during range expansion for many invasive plant species.", "author" : [ { "dropping-particle" : "", "family" : "Novy", "given" : "a", "non-dropping-particle" : "", "parse-names" : false, "suffix" : "" }, { "dropping-particle" : "", "family" : "Flory", "given" : "S L", "non-dropping-particle" : "", "parse-names" : false, "suffix" : "" }, { "dropping-particle" : "", "family" : "Hartman", "given" : "J M", "non-dropping-particle" : "", "parse-names" : false, "suffix" : "" } ], "container-title" : "Journal of evolutionary biology", "id" : "ITEM-3", "issue" : "2", "issued" : { "date-parts" : [ [ "2013", "2" ] ] }, "page" : "443-50", "title" : "Evidence for rapid evolution of phenology in an invasive grass.", "type" : "article-journal", "volume" : "26" }, "uris" : [ "http://www.mendeley.com/documents/?uuid=30a8febf-37eb-4f11-a085-524061d004c4" ] } ], "mendeley" : { "formattedCitation" : "(Montague et al., 2008; Bischoff and M\u00fcller\u00e2-Sch\u00e4rer, 2010; Novy et al., 2013)", "manualFormatting" : "(Montague et al., 2008; Bischoff and M\u00fcller\u00e2-Sch\u00e4rer, 2010; Novy et al., 2013)", "plainTextFormattedCitation" : "(Montague et al., 2008; Bischoff and M\u00fcller\u00e2-Sch\u00e4rer, 2010; Novy et al., 2013)", "previouslyFormattedCitation" : "(Montague et al., 2008; Bischoff and M\u00fcller\u00e2-Sch\u00e4rer, 2010; Novy et al., 2013)" }, "properties" : { "noteIndex" : 0 }, "schema" : "https://github.com/citation-style-language/schema/raw/master/csl-citation.json" }</w:instrText>
      </w:r>
      <w:r w:rsidRPr="00402F24">
        <w:rPr>
          <w:rFonts w:ascii="Times New Roman" w:hAnsi="Times New Roman"/>
        </w:rPr>
        <w:fldChar w:fldCharType="separate"/>
      </w:r>
      <w:r w:rsidR="00134C22" w:rsidRPr="00134C22">
        <w:rPr>
          <w:rFonts w:ascii="Times New Roman" w:hAnsi="Times New Roman"/>
          <w:noProof/>
        </w:rPr>
        <w:t>(Montague et al., 2008; Bischoff and Müllerâ-Schärer, 2010; Novy et al., 2013)</w:t>
      </w:r>
      <w:r w:rsidRPr="00402F24">
        <w:rPr>
          <w:rFonts w:ascii="Times New Roman" w:hAnsi="Times New Roman"/>
        </w:rPr>
        <w:fldChar w:fldCharType="end"/>
      </w:r>
      <w:r w:rsidRPr="00402F24">
        <w:rPr>
          <w:rFonts w:ascii="Times New Roman" w:hAnsi="Times New Roman"/>
        </w:rPr>
        <w:t>.</w:t>
      </w:r>
    </w:p>
    <w:p w14:paraId="2D030EAD" w14:textId="1D62B05B" w:rsidR="0052730F" w:rsidRPr="00191AD2" w:rsidRDefault="0052730F" w:rsidP="00DC7B26">
      <w:pPr>
        <w:pStyle w:val="BodyJB"/>
        <w:ind w:firstLine="720"/>
      </w:pPr>
      <w:r w:rsidRPr="00191AD2">
        <w:t xml:space="preserve">While responses to environmental change through maternal effects have been documented </w:t>
      </w:r>
      <w:r w:rsidRPr="00191AD2">
        <w:fldChar w:fldCharType="begin" w:fldLock="1"/>
      </w:r>
      <w:r w:rsidR="007C2FF9">
        <w:instrText>ADDIN CSL_CITATION { "citationItems" : [ { "id" : "ITEM-1", "itemData" : { "DOI" : "10.1111/j.1438-8677.2011.00561.x", "ISSN" : "1438-8677", "PMID" : "22404764", "abstract" : "Maternal environment can influence plant offspring performance. Understanding maternal environmental effects will help to bridge a key gap in the knowledge of plant life cycles, and provide important insights for species' responses under climate change. Here we show that maternal warming significantly affected the early life stages of an invasive thistle, Carduus nutans. Seeds produced by plants grown in warmed conditions had higher germination percentages and shorter mean germination times than those produced by plants under ambient conditions; this difference was most evident at suboptimal germination temperatures. Subsequent seedling emergence was also faster with maternal warming, with no cost to seedling emergence percentage and seedling growth. Our results suggest that maternal warming may accelerate the life cycle of this species via enhanced early life-history stages. These maternal effects on offspring performance, together with the positive responses of the maternal generation, may exacerbate invasions of this species under climate change.", "author" : [ { "dropping-particle" : "", "family" : "Zhang", "given" : "R", "non-dropping-particle" : "", "parse-names" : false, "suffix" : "" }, { "dropping-particle" : "", "family" : "Gallagher", "given" : "R S", "non-dropping-particle" : "", "parse-names" : false, "suffix" : "" }, { "dropping-particle" : "", "family" : "Shea", "given" : "K", "non-dropping-particle" : "", "parse-names" : false, "suffix" : "" } ], "container-title" : "Plant biology (Stuttgart, Germany)", "id" : "ITEM-1", "issued" : { "date-parts" : [ [ "2012", "3", "8" ] ] }, "page" : "783-788", "title" : "Maternal warming affects early life stages of an invasive thistle.", "type" : "article-journal", "volume" : "14" }, "uris" : [ "http://www.mendeley.com/documents/?uuid=29110db0-9c74-4ccb-b95d-351260c6a170" ] } ], "mendeley" : { "formattedCitation" : "(Zhang et al., 2012)", "plainTextFormattedCitation" : "(Zhang et al., 2012)", "previouslyFormattedCitation" : "(Zhang et al., 2012)" }, "properties" : { "noteIndex" : 0 }, "schema" : "https://github.com/citation-style-language/schema/raw/master/csl-citation.json" }</w:instrText>
      </w:r>
      <w:r w:rsidRPr="00191AD2">
        <w:fldChar w:fldCharType="separate"/>
      </w:r>
      <w:r w:rsidRPr="00512143">
        <w:rPr>
          <w:noProof/>
        </w:rPr>
        <w:t xml:space="preserve">(Zhang </w:t>
      </w:r>
      <w:r w:rsidRPr="00512143">
        <w:rPr>
          <w:i/>
          <w:noProof/>
        </w:rPr>
        <w:t>et al.</w:t>
      </w:r>
      <w:r w:rsidRPr="00512143">
        <w:rPr>
          <w:noProof/>
        </w:rPr>
        <w:t>, 2012)</w:t>
      </w:r>
      <w:r w:rsidRPr="00191AD2">
        <w:fldChar w:fldCharType="end"/>
      </w:r>
      <w:r w:rsidRPr="00191AD2">
        <w:t xml:space="preserve">, reviews suggest that maternal effects have the potential to be maladaptive, particularly when anthropogenic activities cause changes in habitats such as increased habitat fragmentation and increased climatic variation which can lead a dichotomy between the environmental cues experienced by the in utero and adult life stages </w:t>
      </w:r>
      <w:r w:rsidRPr="00191AD2">
        <w:fldChar w:fldCharType="begin" w:fldLock="1"/>
      </w:r>
      <w:r w:rsidR="007C2FF9">
        <w:instrText>ADDIN CSL_CITATION { "citationItems" : [ { "id" : "ITEM-1", "itemData" : { "DOI" : "10.1007/s10682-011-9499-1", "ISSN" : "0269-7653", "author" : [ { "dropping-particle" : "", "family" : "Schuler", "given" : "Matthew S.", "non-dropping-particle" : "", "parse-names" : false, "suffix" : "" }, { "dropping-particle" : "", "family" : "Orrock", "given" : "John L.", "non-dropping-particle" : "", "parse-names" : false, "suffix" : "" } ], "container-title" : "Evolutionary Ecology", "id" : "ITEM-1", "issue" : "3", "issued" : { "date-parts" : [ [ "2011", "6", "11" ] ] }, "page" : "475-481", "title" : "The maladaptive significance of maternal effects for plants in anthropogenically modified environments", "type" : "article-journal", "volume" : "26" }, "uris" : [ "http://www.mendeley.com/documents/?uuid=2af9a944-22c2-4a93-9469-76e158fa2708" ] }, { "id" : "ITEM-2", "itemData" : { "DOI" : "10.1098/rspb.2007.0997", "ISSN" : "0962-8452", "PMID" : "18211875", "abstract" : "The pivotal question in the debate on the ecological effects of climate change is whether species will be able to adapt fast enough to keep up with their changing environment. If we establish the maximal rate of adaptation, this will set an upper limit to the rate at which temperatures can increase without loss of biodiversity. The rate of adaptation will primarily be set by the rate of microevolution since (i) phenotypic plasticity alone is not sufficient as reaction norms will no longer be adaptive and hence microevolution on the reaction norm is needed, (ii) learning will be favourable to the individual but cannot be passed on to the next generations, (iii) maternal effects may play a role but, as with other forms of phenotypic plasticity, the response of offspring to the maternal cues will no longer be adaptive in a changing environment, and (iv) adaptation via immigration of individuals with genotypes adapted to warmer environments also involves microevolution as these genotypes are better adapted in terms of temperature, but not in terms of, for instance, photoperiod.Long-term studies on wild populations with individually known animals play an essential role in detecting and understanding the temporal trends in life-history traits, and to estimate the heritability of, and selection pressures on, life-history traits. However, additional measurements on other trophic levels and on the mechanisms underlying phenotypic plasticity are needed to predict the rate of microevolution, especially under changing conditions. Using this knowledge on heritability of, and selection on, life-history traits, in combination with climate scenarios, we will be able to predict the rate of adaptation for different climate scenarios. The final step is to use ecoevolutionary dynamical models to make the link to population viability and from there to biodiversity loss for those scenarios where the rate of adaptation is insufficient.", "author" : [ { "dropping-particle" : "", "family" : "Visser", "given" : "Marcel E", "non-dropping-particle" : "", "parse-names" : false, "suffix" : "" } ], "container-title" : "Proceedings. Biological sciences / The Royal Society", "id" : "ITEM-2", "issue" : "1635", "issued" : { "date-parts" : [ [ "2008", "3", "22" ] ] }, "page" : "649-59", "title" : "Keeping up with a warming world; assessing the rate of adaptation to climate change.", "type" : "article-journal", "volume" : "275" }, "uris" : [ "http://www.mendeley.com/documents/?uuid=d9d3d128-1825-4f1b-8df0-f9d39ee27556" ] } ], "mendeley" : { "formattedCitation" : "(Visser, 2008; Schuler and Orrock, 2011)", "plainTextFormattedCitation" : "(Visser, 2008; Schuler and Orrock, 2011)", "previouslyFormattedCitation" : "(Visser, 2008; Schuler and Orrock, 2011)" }, "properties" : { "noteIndex" : 0 }, "schema" : "https://github.com/citation-style-language/schema/raw/master/csl-citation.json" }</w:instrText>
      </w:r>
      <w:r w:rsidRPr="00191AD2">
        <w:fldChar w:fldCharType="separate"/>
      </w:r>
      <w:r w:rsidR="00134C22" w:rsidRPr="00134C22">
        <w:rPr>
          <w:noProof/>
        </w:rPr>
        <w:t>(Visser, 2008; Schuler and Orrock, 2011)</w:t>
      </w:r>
      <w:r w:rsidRPr="00191AD2">
        <w:fldChar w:fldCharType="end"/>
      </w:r>
      <w:r w:rsidRPr="00191AD2">
        <w:t xml:space="preserve">. The impact of environmental maternal effects in studies of genetic differentiation between populations is debated </w:t>
      </w:r>
      <w:r w:rsidRPr="00191AD2">
        <w:fldChar w:fldCharType="begin" w:fldLock="1"/>
      </w:r>
      <w:r w:rsidR="007C2FF9">
        <w:instrText>ADDIN CSL_CITATION { "citationItems" : [ { "id" : "ITEM-1", "itemData" : { "DOI" : "10.1111/j.1420-9101.2007.01456.x", "ISSN" : "1420-9101", "PMID" : "18028354", "abstract" : "Range expansion during biological invasion requires that invaders adapt to geographical variation in climate, which should yield latitudinal clines in reproductive phenology. We investigated geographic variation in life history among 25 introduced populations of Lythrum salicaria, a widespread European invader of North American wetlands. We detected a strong latitudinal cline in initiation of flowering and size at flowering, which paralleled that reported among native populations. Plants from higher latitudes flowered earlier and at a smaller size than those from lower latitudes, even when raised in a uniform glasshouse. Early flowering was associated with greatly reduced reproductive output, but this was not associated with latitudinal variation in abundance, and probably did not result from a genetic correlation between time to and size at flowering. As introduction to North America c. 200 years ago, L. salicaria has re-established latitudinal clines in life history, probably as an evolutionary response to climatic selection.", "author" : [ { "dropping-particle" : "", "family" : "Montague", "given" : "J L", "non-dropping-particle" : "", "parse-names" : false, "suffix" : "" }, { "dropping-particle" : "", "family" : "Barrett", "given" : "S C H", "non-dropping-particle" : "", "parse-names" : false, "suffix" : "" }, { "dropping-particle" : "", "family" : "Eckert", "given" : "C G", "non-dropping-particle" : "", "parse-names" : false, "suffix" : "" } ], "container-title" : "Journal of evolutionary biology", "id" : "ITEM-1", "issue" : "1", "issued" : { "date-parts" : [ [ "2008", "1" ] ] }, "page" : "234-45", "title" : "Re-establishment of clinal variation in flowering time among introduced populations of purple loosestrife (Lythrum salicaria, Lythraceae).", "type" : "article-journal", "volume" : "21" }, "uris" : [ "http://www.mendeley.com/documents/?uuid=1ccc6a61-59b7-4fed-b944-3b455d65dc90" ] }, { "id" : "ITEM-2", "itemData" : { "author" : [ { "dropping-particle" : "", "family" : "Bischoff", "given" : "Armin", "non-dropping-particle" : "", "parse-names" : false, "suffix" : "" }, { "dropping-particle" : "", "family" : "M\u00fcller\u00e2-Sch\u00e4rer", "given" : "H", "non-dropping-particle" : "", "parse-names" : false, "suffix" : "" } ], "container-title" : "Oikos", "id" : "ITEM-2", "issue" : "3", "issued" : { "date-parts" : [ [ "2010" ] ] }, "page" : "445-454", "title" : "Testing population differentiation in plant species \u2013 how important are environmental maternal effects", "type" : "article-journal", "volume" : "119" }, "uris" : [ "http://www.mendeley.com/documents/?uuid=f0ed8124-04ea-4b41-8004-d3471551391a" ] }, { "id" : "ITEM-3", "itemData" : { "DOI" : "10.1111/jeb.12047", "ISSN" : "1420-9101", "PMID" : "23194053", "abstract" : "Evolutionary dynamics of integrative traits such as phenology are predicted to be critically important to range expansion and invasion success, yet there are few empirical examples of such phenomena. In this study, we used multiple common gardens to examine the evolutionary significance of latitudinal variation in phenology of a widespread invasive species, the Asian short-day flowering annual grass Microstegium vimineum. In environmentally controlled growth chambers, we grew plants from seeds collected from multiple latitudes across the species' invasive range. Flowering time and biomass were both strongly correlated with the latitude of population origin such that populations collected from more northern latitudes flowered significantly earlier and at lower biomass than populations from southern locations. We suggest that this pattern may be the result of rapid adaptive evolution of phenology over a period of less than one hundred years and that such changes have likely promoted the northward range expansion of this species. We note that possible barriers to gene flow, including bottlenecks and inbreeding, have apparently not forestalled evolutionary processes for this plant. Furthermore, we hypothesize that evolution of phenology may be a widespread and potentially essential process during range expansion for many invasive plant species.", "author" : [ { "dropping-particle" : "", "family" : "Novy", "given" : "a", "non-dropping-particle" : "", "parse-names" : false, "suffix" : "" }, { "dropping-particle" : "", "family" : "Flory", "given" : "S L", "non-dropping-particle" : "", "parse-names" : false, "suffix" : "" }, { "dropping-particle" : "", "family" : "Hartman", "given" : "J M", "non-dropping-particle" : "", "parse-names" : false, "suffix" : "" } ], "container-title" : "Journal of evolutionary biology", "id" : "ITEM-3", "issue" : "2", "issued" : { "date-parts" : [ [ "2013", "2" ] ] }, "page" : "443-50", "title" : "Evidence for rapid evolution of phenology in an invasive grass.", "type" : "article-journal", "volume" : "26" }, "uris" : [ "http://www.mendeley.com/documents/?uuid=30a8febf-37eb-4f11-a085-524061d004c4" ] } ], "mendeley" : { "formattedCitation" : "(Montague et al., 2008; Bischoff and M\u00fcller\u00e2-Sch\u00e4rer, 2010; Novy et al., 2013)", "plainTextFormattedCitation" : "(Montague et al., 2008; Bischoff and M\u00fcller\u00e2-Sch\u00e4rer, 2010; Novy et al., 2013)", "previouslyFormattedCitation" : "(Montague et al., 2008; Bischoff and M\u00fcller\u00e2-Sch\u00e4rer, 2010; Novy et al., 2013)" }, "properties" : { "noteIndex" : 0 }, "schema" : "https://github.com/citation-style-language/schema/raw/master/csl-citation.json" }</w:instrText>
      </w:r>
      <w:r w:rsidRPr="00191AD2">
        <w:fldChar w:fldCharType="separate"/>
      </w:r>
      <w:r w:rsidR="00134C22" w:rsidRPr="00134C22">
        <w:rPr>
          <w:noProof/>
        </w:rPr>
        <w:t>(Montague et al., 2008; Bischoff and Müllerâ-Schärer, 2010; Novy et al., 2013)</w:t>
      </w:r>
      <w:r w:rsidRPr="00191AD2">
        <w:fldChar w:fldCharType="end"/>
      </w:r>
      <w:r w:rsidRPr="00191AD2">
        <w:t xml:space="preserve">, but it is clear they are often ignored </w:t>
      </w:r>
      <w:r w:rsidRPr="00191AD2">
        <w:fldChar w:fldCharType="begin" w:fldLock="1"/>
      </w:r>
      <w:r w:rsidR="007C2FF9">
        <w:instrText>ADDIN CSL_CITATION { "citationItems" : [ { "id" : "ITEM-1", "itemData" : { "author" : [ { "dropping-particle" : "", "family" : "Bischoff", "given" : "Armin", "non-dropping-particle" : "", "parse-names" : false, "suffix" : "" }, { "dropping-particle" : "", "family" : "M\u00fcller\u00e2-Sch\u00e4rer", "given" : "H", "non-dropping-particle" : "", "parse-names" : false, "suffix" : "" } ], "container-title" : "Oikos", "id" : "ITEM-1", "issue" : "3", "issued" : { "date-parts" : [ [ "2010" ] ] }, "page" : "445-454", "title" : "Testing population differentiation in plant species \u2013 how important are environmental maternal effects", "type" : "article-journal", "volume" : "119" }, "uris" : [ "http://www.mendeley.com/documents/?uuid=f0ed8124-04ea-4b41-8004-d3471551391a" ] } ], "mendeley" : { "formattedCitation" : "(Bischoff and M\u00fcller\u00e2-Sch\u00e4rer, 2010)", "plainTextFormattedCitation" : "(Bischoff and M\u00fcller\u00e2-Sch\u00e4rer, 2010)", "previouslyFormattedCitation" : "(Bischoff and M\u00fcller\u00e2-Sch\u00e4rer, 2010)" }, "properties" : { "noteIndex" : 0 }, "schema" : "https://github.com/citation-style-language/schema/raw/master/csl-citation.json" }</w:instrText>
      </w:r>
      <w:r w:rsidRPr="00191AD2">
        <w:fldChar w:fldCharType="separate"/>
      </w:r>
      <w:r w:rsidR="00134C22" w:rsidRPr="00134C22">
        <w:rPr>
          <w:noProof/>
        </w:rPr>
        <w:t>(Bischoff and Müllerâ-Schärer, 2010)</w:t>
      </w:r>
      <w:r w:rsidRPr="00191AD2">
        <w:fldChar w:fldCharType="end"/>
      </w:r>
      <w:r w:rsidRPr="00191AD2">
        <w:t>.</w:t>
      </w:r>
    </w:p>
    <w:p w14:paraId="6956BBCA" w14:textId="77777777" w:rsidR="0052730F" w:rsidRPr="00191AD2" w:rsidRDefault="0052730F" w:rsidP="0052730F">
      <w:pPr>
        <w:pStyle w:val="BodyJB"/>
      </w:pPr>
    </w:p>
    <w:p w14:paraId="3F6F3662" w14:textId="4B1A1984" w:rsidR="0052730F" w:rsidRPr="00402F24" w:rsidRDefault="0052730F" w:rsidP="0052730F">
      <w:pPr>
        <w:pStyle w:val="BodyJB"/>
      </w:pPr>
      <w:r w:rsidRPr="00191AD2">
        <w:tab/>
        <w:t xml:space="preserve">When predicting ecological and evolutionary responses to environmental change the relative importance of plastic, maternal, and genetic contributions to phenotypic variation must be considered. However, unravelling these responses is often not trivial. Gienapp et al., </w:t>
      </w:r>
      <w:r w:rsidRPr="00191AD2">
        <w:fldChar w:fldCharType="begin" w:fldLock="1"/>
      </w:r>
      <w:r w:rsidR="007C2FF9">
        <w:instrText>ADDIN CSL_CITATION { "citationItems" : [ { "id" : "ITEM-1", "itemData" : { "DOI" : "10.1111/j.1365-294X.2007.03413.x", "ISSN" : "0962-1083", "PMID" : "18173499", "abstract" : "Rapid climate change is likely to impose strong selection pressures on traits important for fitness, and therefore, microevolution in response to climate-mediated selection is potentially an important mechanism mitigating negative consequences of climate change. We reviewed the empirical evidence for recent microevolutionary responses to climate change in longitudinal studies emphasizing the following three perspectives emerging from the published data. First, although signatures of climate change are clearly visible in many ecological processes, similar examples of microevolutionary responses in literature are in fact very rare. Second, the quality of evidence for microevolutionary responses to climate change is far from satisfactory as the documented responses are often - if not typically - based on nongenetic data. We reinforce the view that it is as important to make the distinction between genetic (evolutionary) and phenotypic (includes a nongenetic, plastic component) responses clear, as it is to understand the relative roles of plasticity and genetics in adaptation to climate change. Third, in order to illustrate the difficulties and their potential ubiquity in detection of microevolution in response to natural selection, we reviewed the quantitative genetic studies on microevolutionary responses to natural selection in the context of long-term studies of vertebrates. The available evidence points to the overall conclusion that many responses perceived as adaptations to changing environmental conditions could be environmentally induced plastic responses rather than microevolutionary adaptations. Hence, clear-cut evidence indicating a significant role for evolutionary adaptation to ongoing climate warming is conspicuously scarce.", "author" : [ { "dropping-particle" : "", "family" : "Gienapp", "given" : "P", "non-dropping-particle" : "", "parse-names" : false, "suffix" : "" }, { "dropping-particle" : "", "family" : "Teplitsky", "given" : "C", "non-dropping-particle" : "", "parse-names" : false, "suffix" : "" }, { "dropping-particle" : "", "family" : "Alho", "given" : "J S", "non-dropping-particle" : "", "parse-names" : false, "suffix" : "" }, { "dropping-particle" : "", "family" : "Mills", "given" : "J a", "non-dropping-particle" : "", "parse-names" : false, "suffix" : "" }, { "dropping-particle" : "", "family" : "Meril\u00e4", "given" : "J", "non-dropping-particle" : "", "parse-names" : false, "suffix" : "" } ], "container-title" : "Molecular ecology", "id" : "ITEM-1", "issue" : "1", "issued" : { "date-parts" : [ [ "2008", "1" ] ] }, "page" : "167-78", "title" : "Climate change and evolution: disentangling environmental and genetic responses.", "type" : "article-journal", "volume" : "17" }, "uris" : [ "http://www.mendeley.com/documents/?uuid=25b0780d-a7a4-4b4d-8b84-5e7225bc9965" ] } ], "mendeley" : { "formattedCitation" : "(Gienapp et al., 2008)", "manualFormatting" : "(2008)", "plainTextFormattedCitation" : "(Gienapp et al., 2008)", "previouslyFormattedCitation" : "(Gienapp et al., 2008)" }, "properties" : { "noteIndex" : 0 }, "schema" : "https://github.com/citation-style-language/schema/raw/master/csl-citation.json" }</w:instrText>
      </w:r>
      <w:r w:rsidRPr="00191AD2">
        <w:fldChar w:fldCharType="separate"/>
      </w:r>
      <w:r w:rsidRPr="009355DB">
        <w:rPr>
          <w:noProof/>
        </w:rPr>
        <w:t>(2008)</w:t>
      </w:r>
      <w:r w:rsidRPr="00191AD2">
        <w:fldChar w:fldCharType="end"/>
      </w:r>
      <w:r w:rsidRPr="00191AD2">
        <w:t xml:space="preserve"> review several studies that find temporal ecotypic variation in phenotypic traits, claiming to be examples of microevolutionary responses, yet providing no evidence that trait variation has a genetic basis. There is also a relationship between the two responses since plasticity is controlled by genes that </w:t>
      </w:r>
      <w:r w:rsidRPr="00402F24">
        <w:t xml:space="preserve">determine the responsiveness of phenotypes to environmental cues </w:t>
      </w:r>
      <w:r w:rsidRPr="00402F24">
        <w:fldChar w:fldCharType="begin" w:fldLock="1"/>
      </w:r>
      <w:r w:rsidR="007C2FF9">
        <w:instrText>ADDIN CSL_CITATION { "citationItems" : [ { "id" : "ITEM-1", "itemData" : { "DOI" : "10.1016/j.tplants.2010.09.008", "ISSN" : "1878-4372", "PMID" : "20970368", "abstract" : "Climate change is altering the availability of resources and the conditions that are crucial to plant performance. One way plants will respond to these changes is through environmentally induced shifts in phenotype (phenotypic plasticity). Understanding plastic responses is crucial for predicting and managing the effects of climate change on native species as well as crop plants. Here, we provide a toolbox with definitions of key theoretical elements and a synthesis of the current understanding of the molecular and genetic mechanisms underlying plasticity relevant to climate change. By bringing ecological, evolutionary, physiological and molecular perspectives together, we hope to provide clear directives for future research and stimulate cross-disciplinary dialogue on the relevance of phenotypic plasticity under climate change.", "author" : [ { "dropping-particle" : "", "family" : "Nicotra", "given" : "a B", "non-dropping-particle" : "", "parse-names" : false, "suffix" : "" }, { "dropping-particle" : "", "family" : "Atkin", "given" : "O K", "non-dropping-particle" : "", "parse-names" : false, "suffix" : "" }, { "dropping-particle" : "", "family" : "Bonser", "given" : "S P", "non-dropping-particle" : "", "parse-names" : false, "suffix" : "" }, { "dropping-particle" : "", "family" : "Davidson", "given" : "a M", "non-dropping-particle" : "", "parse-names" : false, "suffix" : "" }, { "dropping-particle" : "", "family" : "Finnegan", "given" : "E J", "non-dropping-particle" : "", "parse-names" : false, "suffix" : "" }, { "dropping-particle" : "", "family" : "Mathesius", "given" : "U", "non-dropping-particle" : "", "parse-names" : false, "suffix" : "" }, { "dropping-particle" : "", "family" : "Poot", "given" : "P", "non-dropping-particle" : "", "parse-names" : false, "suffix" : "" }, { "dropping-particle" : "", "family" : "Purugganan", "given" : "M D", "non-dropping-particle" : "", "parse-names" : false, "suffix" : "" }, { "dropping-particle" : "", "family" : "Richards", "given" : "C L", "non-dropping-particle" : "", "parse-names" : false, "suffix" : "" }, { "dropping-particle" : "", "family" : "Valladares", "given" : "F", "non-dropping-particle" : "", "parse-names" : false, "suffix" : "" }, { "dropping-particle" : "", "family" : "Kleunen", "given" : "M", "non-dropping-particle" : "van", "parse-names" : false, "suffix" : "" } ], "container-title" : "Trends in plant science", "id" : "ITEM-1", "issue" : "12", "issued" : { "date-parts" : [ [ "2010", "12" ] ] }, "page" : "684-92", "publisher" : "Elsevier Ltd", "title" : "Plant phenotypic plasticity in a changing climate.", "type" : "article-journal", "volume" : "15" }, "uris" : [ "http://www.mendeley.com/documents/?uuid=d4433a93-0257-43bd-84ac-ed7597addeb6" ] } ], "mendeley" : { "formattedCitation" : "(Nicotra et al., 2010)", "plainTextFormattedCitation" : "(Nicotra et al., 2010)", "previouslyFormattedCitation" : "(Nicotra et al., 2010)" }, "properties" : { "noteIndex" : 0 }, "schema" : "https://github.com/citation-style-language/schema/raw/master/csl-citation.json" }</w:instrText>
      </w:r>
      <w:r w:rsidRPr="00402F24">
        <w:fldChar w:fldCharType="separate"/>
      </w:r>
      <w:r w:rsidRPr="00512143">
        <w:rPr>
          <w:noProof/>
        </w:rPr>
        <w:t xml:space="preserve">(Nicotra </w:t>
      </w:r>
      <w:r w:rsidRPr="00512143">
        <w:rPr>
          <w:i/>
          <w:noProof/>
        </w:rPr>
        <w:t>et al.</w:t>
      </w:r>
      <w:r w:rsidRPr="00512143">
        <w:rPr>
          <w:noProof/>
        </w:rPr>
        <w:t>, 2010)</w:t>
      </w:r>
      <w:r w:rsidRPr="00402F24">
        <w:fldChar w:fldCharType="end"/>
      </w:r>
      <w:r w:rsidRPr="00402F24">
        <w:t xml:space="preserve">. Plasticity can therefore alter along an environmental gradient due genetic drift of populations caused by differing selection pressures </w:t>
      </w:r>
      <w:r w:rsidRPr="00402F24">
        <w:fldChar w:fldCharType="begin" w:fldLock="1"/>
      </w:r>
      <w:r w:rsidR="007C2FF9">
        <w:instrText>ADDIN CSL_CITATION { "citationItems" : [ { "id" : "ITEM-1", "itemData" : { "author" : [ { "dropping-particle" : "", "family" : "Emery", "given" : "R J N", "non-dropping-particle" : "", "parse-names" : false, "suffix" : "" }, { "dropping-particle" : "", "family" : "Chinnappa", "given" : "C C", "non-dropping-particle" : "", "parse-names" : false, "suffix" : "" }, { "dropping-particle" : "", "family" : "Chmielewski", "given" : "J G", "non-dropping-particle" : "", "parse-names" : false, "suffix" : "" } ], "container-title" : "International Journal of Plant Sciences", "id" : "ITEM-1", "issue" : "2", "issued" : { "date-parts" : [ [ "1994" ] ] }, "page" : "203-219", "title" : "Specialization, plant strategies, and phenotypic plasticity in populations of Stellaria longpipes along an elevational gradient", "type" : "article-journal", "volume" : "155" }, "uris" : [ "http://www.mendeley.com/documents/?uuid=59dcb1b3-be6e-408d-87d0-bd63f91f573c" ] } ], "mendeley" : { "formattedCitation" : "(Emery et al., 1994)", "plainTextFormattedCitation" : "(Emery et al., 1994)", "previouslyFormattedCitation" : "(Emery et al., 1994)" }, "properties" : { "noteIndex" : 0 }, "schema" : "https://github.com/citation-style-language/schema/raw/master/csl-citation.json" }</w:instrText>
      </w:r>
      <w:r w:rsidRPr="00402F24">
        <w:fldChar w:fldCharType="separate"/>
      </w:r>
      <w:r w:rsidRPr="00512143">
        <w:rPr>
          <w:noProof/>
        </w:rPr>
        <w:t xml:space="preserve">(Emery </w:t>
      </w:r>
      <w:r w:rsidRPr="00512143">
        <w:rPr>
          <w:i/>
          <w:noProof/>
        </w:rPr>
        <w:t>et al.</w:t>
      </w:r>
      <w:r w:rsidRPr="00512143">
        <w:rPr>
          <w:noProof/>
        </w:rPr>
        <w:t>, 1994)</w:t>
      </w:r>
      <w:r w:rsidRPr="00402F24">
        <w:fldChar w:fldCharType="end"/>
      </w:r>
      <w:r w:rsidRPr="00402F24">
        <w:t>. Studies growing individuals from multiple populations in common environments, allows the inference of the genetic heritable basis of plant traits. Plasticity in response to variable growing conditions can mask genetically based trait expression, controlling conditions minimizes the impact of plasticity.</w:t>
      </w:r>
    </w:p>
    <w:p w14:paraId="28862D10" w14:textId="77777777" w:rsidR="0052730F" w:rsidRPr="00402F24" w:rsidRDefault="0052730F" w:rsidP="0052730F">
      <w:pPr>
        <w:pStyle w:val="BodyJB"/>
      </w:pPr>
      <w:r w:rsidRPr="00402F24">
        <w:tab/>
      </w:r>
    </w:p>
    <w:p w14:paraId="3E7B8206" w14:textId="77777777" w:rsidR="0052730F" w:rsidRPr="00402F24" w:rsidRDefault="0052730F" w:rsidP="0052730F">
      <w:pPr>
        <w:pStyle w:val="BodyJB"/>
      </w:pPr>
    </w:p>
    <w:p w14:paraId="2337F766" w14:textId="77777777" w:rsidR="0052730F" w:rsidRPr="00191AD2" w:rsidRDefault="0052730F" w:rsidP="00DC7B26">
      <w:pPr>
        <w:pStyle w:val="BodyJB"/>
        <w:ind w:firstLine="720"/>
        <w:rPr>
          <w:b/>
          <w:sz w:val="28"/>
        </w:rPr>
      </w:pPr>
      <w:r w:rsidRPr="00402F24">
        <w:t>While many studies have assessed population differentiation</w:t>
      </w:r>
      <w:r w:rsidRPr="00191AD2">
        <w:t xml:space="preserve"> in a number of plant traits simultaneously, work understanding the nuances of this between species within a community is lacking. There are also few studies that assess environmental maternal effects compared with genetic differentiation among populations.  In this chapter I assess the patterns and basis of population variation in phenological, reproductive and growth traits. I measure traits of five dune annual species growing under controlled environmental conditions to remove environmental impacts on traits. Specifically I address the following questions: 1. Can I detect population differentiation in trait values in traits associated with phenology, reproduction and plant growth across a number of species? 2. What is the basis of any observed population differentiation: genetic adaptation, maternal effects or phenotypic plasticity? 3. Are patterns of population differentiation associated with latitudinal trends? </w:t>
      </w:r>
    </w:p>
    <w:p w14:paraId="5F7811A0" w14:textId="77777777" w:rsidR="0052730F" w:rsidRPr="00191AD2" w:rsidRDefault="0052730F" w:rsidP="0052730F">
      <w:pPr>
        <w:pStyle w:val="BodyJB"/>
        <w:rPr>
          <w:b/>
          <w:sz w:val="28"/>
        </w:rPr>
      </w:pPr>
    </w:p>
    <w:p w14:paraId="1C490E9A" w14:textId="77777777" w:rsidR="0052730F" w:rsidRPr="00191AD2" w:rsidRDefault="0052730F" w:rsidP="0052730F">
      <w:pPr>
        <w:pStyle w:val="SubheadingJB"/>
      </w:pPr>
      <w:bookmarkStart w:id="51" w:name="_Toc291410056"/>
      <w:r>
        <w:t>3</w:t>
      </w:r>
      <w:r w:rsidRPr="00191AD2">
        <w:t>.2 Methods</w:t>
      </w:r>
      <w:bookmarkEnd w:id="51"/>
    </w:p>
    <w:p w14:paraId="39C1FDDE" w14:textId="77777777" w:rsidR="0052730F" w:rsidRDefault="0052730F" w:rsidP="00DC7B26">
      <w:pPr>
        <w:pStyle w:val="BodyJB"/>
        <w:ind w:firstLine="720"/>
      </w:pPr>
      <w:r w:rsidRPr="00F77E70">
        <w:t>See</w:t>
      </w:r>
      <w:r w:rsidRPr="00F77E70">
        <w:rPr>
          <w:b/>
        </w:rPr>
        <w:t xml:space="preserve"> “</w:t>
      </w:r>
      <w:r w:rsidRPr="00F77E70">
        <w:t>2.2.2- Details of Controlled Growth Experiment” for details</w:t>
      </w:r>
      <w:r>
        <w:t xml:space="preserve"> of study species and experimental design, including growing conditions. </w:t>
      </w:r>
    </w:p>
    <w:p w14:paraId="6234F1E8" w14:textId="77777777" w:rsidR="0052730F" w:rsidRDefault="0052730F" w:rsidP="0052730F">
      <w:pPr>
        <w:pStyle w:val="BodyJB"/>
      </w:pPr>
      <w:r>
        <w:t>Briefly, f</w:t>
      </w:r>
      <w:r w:rsidRPr="00F77E70">
        <w:t xml:space="preserve">ive species of winter annual were used in this experiment, </w:t>
      </w:r>
      <w:r w:rsidRPr="00F77E70">
        <w:rPr>
          <w:i/>
        </w:rPr>
        <w:t>Arenaria serpyllifolia, Cerastium diffusum, Phleum arenarium, Senecio vulgaris and Veronica arevensis</w:t>
      </w:r>
      <w:r w:rsidRPr="00F77E70">
        <w:t xml:space="preserve">. </w:t>
      </w:r>
      <w:r>
        <w:t>The experimental setup was designed to a</w:t>
      </w:r>
      <w:r w:rsidRPr="00191AD2">
        <w:t>ssess</w:t>
      </w:r>
      <w:r>
        <w:t xml:space="preserve"> trait</w:t>
      </w:r>
      <w:r w:rsidRPr="00191AD2">
        <w:t xml:space="preserve"> variability of multiple populations grown under common environmental conditions. Removing variation in environmental conditions will indicate that differences in traits are genetically controlled, potentially inferring adaptation to local conditions of the home population. </w:t>
      </w:r>
    </w:p>
    <w:p w14:paraId="24313D54" w14:textId="77777777" w:rsidR="0052730F" w:rsidRPr="003D1676" w:rsidRDefault="0052730F" w:rsidP="0052730F">
      <w:pPr>
        <w:pStyle w:val="BodyJB"/>
      </w:pPr>
      <w:r w:rsidRPr="00191AD2">
        <w:t xml:space="preserve"> To determine the strength of population genetic differentiation and discount maternal effects as the controller of population variation in phenotypes, </w:t>
      </w:r>
      <w:r>
        <w:t xml:space="preserve">two generations of plants grown under identical conditions were used. </w:t>
      </w:r>
      <w:r w:rsidRPr="00191AD2">
        <w:t xml:space="preserve">Population variation maintained in the phenotypes of F2 plants </w:t>
      </w:r>
      <w:r>
        <w:t>is determined to indicate</w:t>
      </w:r>
      <w:r w:rsidRPr="00191AD2">
        <w:t xml:space="preserve"> strong genetic differentiation</w:t>
      </w:r>
      <w:r>
        <w:t>, while a dec</w:t>
      </w:r>
      <w:r w:rsidRPr="00191AD2">
        <w:t xml:space="preserve">rease in population variation between generations indicates the expression of mothering effect plasticity.   </w:t>
      </w:r>
    </w:p>
    <w:p w14:paraId="100A9683" w14:textId="77777777" w:rsidR="0052730F" w:rsidRPr="00191AD2" w:rsidRDefault="0052730F" w:rsidP="0052730F">
      <w:pPr>
        <w:pStyle w:val="BodyJB"/>
      </w:pPr>
    </w:p>
    <w:p w14:paraId="013CCEA6" w14:textId="77777777" w:rsidR="0052730F" w:rsidRPr="00191AD2" w:rsidRDefault="0052730F" w:rsidP="00DC7B26">
      <w:pPr>
        <w:pStyle w:val="subheadingMINOR"/>
      </w:pPr>
      <w:bookmarkStart w:id="52" w:name="_Toc291410057"/>
      <w:r w:rsidRPr="00191AD2">
        <w:t>Data Collection</w:t>
      </w:r>
      <w:bookmarkEnd w:id="52"/>
    </w:p>
    <w:p w14:paraId="14D06C7B" w14:textId="77777777" w:rsidR="0052730F" w:rsidRPr="00191AD2" w:rsidRDefault="0052730F" w:rsidP="0052730F">
      <w:pPr>
        <w:pStyle w:val="BodyJB"/>
      </w:pPr>
      <w:r w:rsidRPr="00191AD2">
        <w:t xml:space="preserve">Time of first flowering was defined as the number of days from sowing to presence of first fully opened flower. Upon death, the number of ripe fruit produced by each plant was counted and used as a measure of reproductive output. Allocation of seed was measured as number of seed produced by one fruit, taken from a subset of around 18 different plants. </w:t>
      </w:r>
      <w:r>
        <w:t>Total s</w:t>
      </w:r>
      <w:r w:rsidRPr="00191AD2">
        <w:t xml:space="preserve">eed production </w:t>
      </w:r>
      <w:r>
        <w:t xml:space="preserve">of the plant </w:t>
      </w:r>
      <w:r w:rsidRPr="00191AD2">
        <w:t xml:space="preserve">was estimated by multiplying the number of fruit produced per plant by the average number of seed produced per fruit in each pot. </w:t>
      </w:r>
      <w:r>
        <w:t>Height at maturity (f</w:t>
      </w:r>
      <w:r w:rsidRPr="00191AD2">
        <w:t>inal height</w:t>
      </w:r>
      <w:r>
        <w:t>)</w:t>
      </w:r>
      <w:r w:rsidRPr="00191AD2">
        <w:t xml:space="preserve"> w</w:t>
      </w:r>
      <w:r>
        <w:t>as recorded when all fruit had m</w:t>
      </w:r>
      <w:r w:rsidRPr="00191AD2">
        <w:t>atured.</w:t>
      </w:r>
      <w:r>
        <w:t xml:space="preserve"> At senescence, d</w:t>
      </w:r>
      <w:r w:rsidRPr="00191AD2">
        <w:t>ead plants were stored in individual envelopes and put in a drying oven (40 °C) for 24 hours before being weighed to calculate dry weight.</w:t>
      </w:r>
    </w:p>
    <w:p w14:paraId="1ADE6AAD" w14:textId="77777777" w:rsidR="0052730F" w:rsidRDefault="0052730F" w:rsidP="0052730F">
      <w:pPr>
        <w:pStyle w:val="BodyJB"/>
      </w:pPr>
    </w:p>
    <w:p w14:paraId="788D678E" w14:textId="77777777" w:rsidR="009355DB" w:rsidRPr="00191AD2" w:rsidRDefault="009355DB" w:rsidP="0052730F">
      <w:pPr>
        <w:pStyle w:val="BodyJB"/>
      </w:pPr>
    </w:p>
    <w:p w14:paraId="61AF3278" w14:textId="77777777" w:rsidR="0052730F" w:rsidRPr="00191AD2" w:rsidRDefault="0052730F" w:rsidP="00DC7B26">
      <w:pPr>
        <w:pStyle w:val="subheadingMINOR"/>
      </w:pPr>
      <w:bookmarkStart w:id="53" w:name="_Toc291410058"/>
      <w:r w:rsidRPr="00191AD2">
        <w:t>Statistical Analyses</w:t>
      </w:r>
      <w:bookmarkEnd w:id="53"/>
    </w:p>
    <w:p w14:paraId="19300FF5" w14:textId="77777777" w:rsidR="0052730F" w:rsidRPr="00191AD2" w:rsidRDefault="0052730F" w:rsidP="0052730F">
      <w:pPr>
        <w:pStyle w:val="BodyJB"/>
      </w:pPr>
      <w:r w:rsidRPr="00191AD2">
        <w:t xml:space="preserve">Average trait values per pot were log transformed for graphical displays and analysis. To determine population and generational differences in trait values the data were analysed using Analysis of Variance (ANOVA) in R (The R Foundation for Statistical Computing, 2012). An error term for Block was included in the analysis, this determined whether there was an effect of experimental set up associated with allocation of population pots to watering trays. A separate analysis was performed for each of the five species included in the experiment. The proportion of seed germinated was analysed using Generalized Linear Models with binomial errors. A significant generation X population interaction was deemed to indicate contribution of maternal effects to population differentiation. . </w:t>
      </w:r>
    </w:p>
    <w:p w14:paraId="63E0EA71" w14:textId="0FDD93B2" w:rsidR="0052730F" w:rsidRPr="00191AD2" w:rsidRDefault="0052730F" w:rsidP="0052730F">
      <w:pPr>
        <w:pStyle w:val="BodyJB"/>
      </w:pPr>
      <w:r w:rsidRPr="00191AD2">
        <w:tab/>
        <w:t xml:space="preserve">Alongside generation X population interactions in trait ANOVAs, coefficients of variation (CV) among populations were calculated to determine the impacts of maternal effects </w:t>
      </w:r>
      <w:r w:rsidRPr="00191AD2">
        <w:fldChar w:fldCharType="begin" w:fldLock="1"/>
      </w:r>
      <w:r w:rsidR="007C2FF9">
        <w:instrText>ADDIN CSL_CITATION { "citationItems" : [ { "id" : "ITEM-1", "itemData" : { "author" : [ { "dropping-particle" : "", "family" : "Bischoff", "given" : "Armin", "non-dropping-particle" : "", "parse-names" : false, "suffix" : "" }, { "dropping-particle" : "", "family" : "M\u00fcller\u00e2-Sch\u00e4rer", "given" : "H", "non-dropping-particle" : "", "parse-names" : false, "suffix" : "" } ], "container-title" : "Oikos", "id" : "ITEM-1", "issue" : "3", "issued" : { "date-parts" : [ [ "2010" ] ] }, "page" : "445-454", "title" : "Testing population differentiation in plant species \u2013 how important are environmental maternal effects", "type" : "article-journal", "volume" : "119" }, "uris" : [ "http://www.mendeley.com/documents/?uuid=f0ed8124-04ea-4b41-8004-d3471551391a" ] } ], "mendeley" : { "formattedCitation" : "(Bischoff and M\u00fcller\u00e2-Sch\u00e4rer, 2010)", "plainTextFormattedCitation" : "(Bischoff and M\u00fcller\u00e2-Sch\u00e4rer, 2010)", "previouslyFormattedCitation" : "(Bischoff and M\u00fcller\u00e2-Sch\u00e4rer, 2010)" }, "properties" : { "noteIndex" : 0 }, "schema" : "https://github.com/citation-style-language/schema/raw/master/csl-citation.json" }</w:instrText>
      </w:r>
      <w:r w:rsidRPr="00191AD2">
        <w:fldChar w:fldCharType="separate"/>
      </w:r>
      <w:r w:rsidR="00134C22" w:rsidRPr="00134C22">
        <w:rPr>
          <w:noProof/>
        </w:rPr>
        <w:t>(Bischoff and Müllerâ-Schärer, 2010)</w:t>
      </w:r>
      <w:r w:rsidRPr="00191AD2">
        <w:fldChar w:fldCharType="end"/>
      </w:r>
      <w:r w:rsidRPr="00191AD2">
        <w:t xml:space="preserve">. CV among populations is expected to decrease from F1 to the F2 generation if maternal effects are contributing to population differentiation under controlled environmental conditions. To determine latitudinal trends in trait values across all species, deviation from the average population value was calculated for each trait separately. The mean trait values of each population replicate were scaled then averaged for all species according to population. The data is graphically presented to clearly show population traits deviating from the average, 0.  </w:t>
      </w:r>
    </w:p>
    <w:p w14:paraId="468ED2FB" w14:textId="77777777" w:rsidR="0052730F" w:rsidRPr="00191AD2" w:rsidRDefault="0052730F" w:rsidP="0052730F">
      <w:pPr>
        <w:pStyle w:val="BodyJB"/>
      </w:pPr>
      <w:r w:rsidRPr="00191AD2">
        <w:tab/>
      </w:r>
    </w:p>
    <w:p w14:paraId="7040D088" w14:textId="77777777" w:rsidR="0052730F" w:rsidRPr="00191AD2" w:rsidRDefault="0052730F" w:rsidP="0052730F">
      <w:pPr>
        <w:pStyle w:val="BodyJB"/>
      </w:pPr>
    </w:p>
    <w:p w14:paraId="018CDA16" w14:textId="77777777" w:rsidR="0052730F" w:rsidRPr="00191AD2" w:rsidRDefault="0052730F" w:rsidP="00DC7B26">
      <w:pPr>
        <w:pStyle w:val="SubheadingJB"/>
      </w:pPr>
      <w:bookmarkStart w:id="54" w:name="_Toc291410059"/>
      <w:r>
        <w:t>3</w:t>
      </w:r>
      <w:r w:rsidRPr="00191AD2">
        <w:t>.3 Results</w:t>
      </w:r>
      <w:bookmarkEnd w:id="54"/>
    </w:p>
    <w:p w14:paraId="13972808" w14:textId="77777777" w:rsidR="0052730F" w:rsidRPr="00191AD2" w:rsidRDefault="0052730F" w:rsidP="00DC7B26">
      <w:pPr>
        <w:pStyle w:val="subheadingMINOR"/>
      </w:pPr>
      <w:bookmarkStart w:id="55" w:name="_Toc291410060"/>
      <w:r w:rsidRPr="00191AD2">
        <w:t>Population Differentiation</w:t>
      </w:r>
      <w:bookmarkEnd w:id="55"/>
    </w:p>
    <w:p w14:paraId="28E76A90" w14:textId="1263207E" w:rsidR="0052730F" w:rsidRPr="005D6E5F" w:rsidRDefault="0052730F" w:rsidP="00DC7B26">
      <w:pPr>
        <w:pStyle w:val="BodyJB"/>
        <w:ind w:firstLine="720"/>
      </w:pPr>
      <w:r w:rsidRPr="005D6E5F">
        <w:t xml:space="preserve">Population differentiation in traits can be generated by differences in the growing conditions experienced by mother plants </w:t>
      </w:r>
      <w:r w:rsidRPr="005D6E5F">
        <w:fldChar w:fldCharType="begin" w:fldLock="1"/>
      </w:r>
      <w:r w:rsidR="007C2FF9">
        <w:instrText>ADDIN CSL_CITATION { "citationItems" : [ { "id" : "ITEM-1", "itemData" : { "author" : [ { "dropping-particle" : "", "family" : "Bischoff", "given" : "Armin", "non-dropping-particle" : "", "parse-names" : false, "suffix" : "" }, { "dropping-particle" : "", "family" : "M\u00fcller\u00e2-Sch\u00e4rer", "given" : "H", "non-dropping-particle" : "", "parse-names" : false, "suffix" : "" } ], "container-title" : "Oikos", "id" : "ITEM-1", "issue" : "3", "issued" : { "date-parts" : [ [ "2010" ] ] }, "page" : "445-454", "title" : "Testing population differentiation in plant species \u2013 how important are environmental maternal effects", "type" : "article-journal", "volume" : "119" }, "uris" : [ "http://www.mendeley.com/documents/?uuid=f0ed8124-04ea-4b41-8004-d3471551391a" ] } ], "mendeley" : { "formattedCitation" : "(Bischoff and M\u00fcller\u00e2-Sch\u00e4rer, 2010)", "plainTextFormattedCitation" : "(Bischoff and M\u00fcller\u00e2-Sch\u00e4rer, 2010)", "previouslyFormattedCitation" : "(Bischoff and M\u00fcller\u00e2-Sch\u00e4rer, 2010)" }, "properties" : { "noteIndex" : 0 }, "schema" : "https://github.com/citation-style-language/schema/raw/master/csl-citation.json" }</w:instrText>
      </w:r>
      <w:r w:rsidRPr="005D6E5F">
        <w:fldChar w:fldCharType="separate"/>
      </w:r>
      <w:r w:rsidR="00134C22" w:rsidRPr="00134C22">
        <w:rPr>
          <w:noProof/>
        </w:rPr>
        <w:t>(Bischoff and Müllerâ-Schärer, 2010)</w:t>
      </w:r>
      <w:r w:rsidRPr="005D6E5F">
        <w:fldChar w:fldCharType="end"/>
      </w:r>
      <w:r w:rsidRPr="005D6E5F">
        <w:t xml:space="preserve">. Population differentiation was measured in the F2 generation, therefore differences in traits between populations are more likely to be attributed to genetic differences rather than maternal effects. </w:t>
      </w:r>
    </w:p>
    <w:p w14:paraId="50EFE95F" w14:textId="77777777" w:rsidR="0052730F" w:rsidRPr="005D6E5F" w:rsidRDefault="0052730F" w:rsidP="00DC7B26">
      <w:pPr>
        <w:pStyle w:val="BodyJB"/>
        <w:ind w:firstLine="720"/>
        <w:rPr>
          <w:noProof/>
        </w:rPr>
      </w:pPr>
      <w:r w:rsidRPr="005D6E5F">
        <w:rPr>
          <w:noProof/>
        </w:rPr>
        <w:t>In this study 5 dune annual species originating from a number of European populations were measured in 6 traits including flowering time, reproductive output, dry weight and final height. In all of the species studied, measurements of these traits revealed phenotypic differences between plants originating from different populations.</w:t>
      </w:r>
    </w:p>
    <w:p w14:paraId="1ED8B58C" w14:textId="39155B8F" w:rsidR="0052730F" w:rsidRPr="005D6E5F" w:rsidRDefault="0052730F" w:rsidP="00DC7B26">
      <w:pPr>
        <w:pStyle w:val="BodyJB"/>
        <w:ind w:firstLine="720"/>
      </w:pPr>
      <w:r w:rsidRPr="005D6E5F">
        <w:t>The phenological trait flowering time was significantly different between populations in all five species (</w:t>
      </w:r>
      <w:r>
        <w:t>Table 3.1.a.</w:t>
      </w:r>
      <w:r w:rsidRPr="005D6E5F">
        <w:t xml:space="preserve">). Populations of </w:t>
      </w:r>
      <w:r w:rsidR="00065F92">
        <w:rPr>
          <w:i/>
          <w:iCs/>
        </w:rPr>
        <w:t>C. diffusum</w:t>
      </w:r>
      <w:r w:rsidRPr="005D6E5F">
        <w:t xml:space="preserve">, </w:t>
      </w:r>
      <w:r w:rsidR="00065F92">
        <w:rPr>
          <w:i/>
          <w:iCs/>
        </w:rPr>
        <w:t>S. vulgaris</w:t>
      </w:r>
      <w:r w:rsidRPr="005D6E5F">
        <w:rPr>
          <w:i/>
          <w:iCs/>
        </w:rPr>
        <w:t xml:space="preserve"> </w:t>
      </w:r>
      <w:r w:rsidRPr="005D6E5F">
        <w:t xml:space="preserve">and </w:t>
      </w:r>
      <w:r w:rsidR="001737B9">
        <w:rPr>
          <w:i/>
          <w:iCs/>
        </w:rPr>
        <w:t>V. arvensis</w:t>
      </w:r>
      <w:r w:rsidRPr="005D6E5F">
        <w:rPr>
          <w:i/>
          <w:iCs/>
        </w:rPr>
        <w:t xml:space="preserve"> </w:t>
      </w:r>
      <w:r w:rsidRPr="005D6E5F">
        <w:rPr>
          <w:iCs/>
        </w:rPr>
        <w:t xml:space="preserve">showed strong trends for </w:t>
      </w:r>
      <w:r w:rsidRPr="005D6E5F">
        <w:t xml:space="preserve">flowering was earliest in southern populations with later flowering occurring moving northwards (Fig. 3.1.). The most marked difference between population flowering times was found in </w:t>
      </w:r>
      <w:r w:rsidR="00065F92">
        <w:rPr>
          <w:i/>
        </w:rPr>
        <w:t>C. diffusum</w:t>
      </w:r>
      <w:r w:rsidRPr="005D6E5F">
        <w:rPr>
          <w:i/>
        </w:rPr>
        <w:t>,</w:t>
      </w:r>
      <w:r w:rsidRPr="005D6E5F">
        <w:t xml:space="preserve"> with Sp2 population flowering on average 56.42 days earlier than the most northern population GB2.</w:t>
      </w:r>
    </w:p>
    <w:p w14:paraId="7AB97759" w14:textId="04EBF9CA" w:rsidR="0052730F" w:rsidRPr="00EA3A7A" w:rsidRDefault="0052730F" w:rsidP="00DC7B26">
      <w:pPr>
        <w:pStyle w:val="BodyJB"/>
        <w:ind w:firstLine="720"/>
      </w:pPr>
      <w:r w:rsidRPr="005D6E5F">
        <w:t>Reproductive output showed different patterns of population differentiati</w:t>
      </w:r>
      <w:r>
        <w:t>on depending on the species (Table</w:t>
      </w:r>
      <w:r w:rsidRPr="005D6E5F">
        <w:t>. 3.1.</w:t>
      </w:r>
      <w:r>
        <w:t xml:space="preserve"> b, c, d</w:t>
      </w:r>
      <w:r w:rsidRPr="005D6E5F">
        <w:t xml:space="preserve">). The most statistically significant differences between populations were found in </w:t>
      </w:r>
      <w:r w:rsidR="00065F92">
        <w:rPr>
          <w:i/>
        </w:rPr>
        <w:t>C. diffusum</w:t>
      </w:r>
      <w:r>
        <w:t xml:space="preserve"> (Table 3.1.d)</w:t>
      </w:r>
      <w:r w:rsidRPr="005D6E5F">
        <w:t xml:space="preserve">, where seed production </w:t>
      </w:r>
      <w:r>
        <w:t xml:space="preserve">(seed produced per plant) </w:t>
      </w:r>
      <w:r w:rsidRPr="005D6E5F">
        <w:t xml:space="preserve">was </w:t>
      </w:r>
      <w:r w:rsidRPr="00EA3A7A">
        <w:t xml:space="preserve">lowest in northern populations (GB1: 100 seeds) and increased as populations moved southwards (SP2: 301.15 seeds)(Fig. 3.1). A reversal of this latitudinal pattern was observed in </w:t>
      </w:r>
      <w:r w:rsidR="00065F92">
        <w:rPr>
          <w:i/>
        </w:rPr>
        <w:t>P. arenarium</w:t>
      </w:r>
      <w:r w:rsidRPr="00EA3A7A">
        <w:t xml:space="preserve">, as northern populations produced more seed per plant than southern populations (Fig. 3.1). Seed production (seed per plant) in </w:t>
      </w:r>
      <w:r w:rsidR="00065F92">
        <w:rPr>
          <w:i/>
        </w:rPr>
        <w:t>S. vulgaris</w:t>
      </w:r>
      <w:r w:rsidRPr="00EA3A7A">
        <w:t xml:space="preserve"> and </w:t>
      </w:r>
      <w:r w:rsidR="001737B9">
        <w:rPr>
          <w:i/>
        </w:rPr>
        <w:t>V. arvensis</w:t>
      </w:r>
      <w:r w:rsidRPr="00EA3A7A">
        <w:t xml:space="preserve"> showed no statistical differences due to population origin (Table 3.1.d).</w:t>
      </w:r>
    </w:p>
    <w:p w14:paraId="38249A14" w14:textId="32CFC3F6" w:rsidR="0052730F" w:rsidRPr="005D6E5F" w:rsidRDefault="0052730F" w:rsidP="00DC7B26">
      <w:pPr>
        <w:pStyle w:val="BodyJB"/>
        <w:ind w:firstLine="720"/>
      </w:pPr>
      <w:r w:rsidRPr="00EA3A7A">
        <w:t>Productivity in terms of final plant height significantly differed between populations of all the species</w:t>
      </w:r>
      <w:r w:rsidRPr="00EA3A7A">
        <w:rPr>
          <w:i/>
          <w:iCs/>
        </w:rPr>
        <w:t xml:space="preserve"> </w:t>
      </w:r>
      <w:r w:rsidRPr="00EA3A7A">
        <w:t xml:space="preserve">(Table. 3.1.f.). Generally, populations in the north were shorter than populations growing at more southern latitudes (Fig. 3.1). The largest difference in plant height between populations was 105.7mm, between Fr2 (taller) and Fr4 (shorter) populations of </w:t>
      </w:r>
      <w:r w:rsidR="00065F92">
        <w:rPr>
          <w:i/>
        </w:rPr>
        <w:t>P. arenarium</w:t>
      </w:r>
      <w:r w:rsidRPr="00EA3A7A">
        <w:t xml:space="preserve">. </w:t>
      </w:r>
      <w:r w:rsidR="001737B9">
        <w:rPr>
          <w:i/>
        </w:rPr>
        <w:t>V. arvensis</w:t>
      </w:r>
      <w:r w:rsidRPr="00EA3A7A">
        <w:t xml:space="preserve"> populations showed the clearest latitudinal trends in plant height, this trait increased as populations moved southwards from GB2 population to Fr1 population. Only in </w:t>
      </w:r>
      <w:r w:rsidR="00065F92">
        <w:rPr>
          <w:i/>
          <w:iCs/>
        </w:rPr>
        <w:t>C. diffusum</w:t>
      </w:r>
      <w:r w:rsidRPr="00EA3A7A">
        <w:rPr>
          <w:i/>
          <w:iCs/>
        </w:rPr>
        <w:t xml:space="preserve"> </w:t>
      </w:r>
      <w:r w:rsidRPr="00EA3A7A">
        <w:t xml:space="preserve">and </w:t>
      </w:r>
      <w:r w:rsidR="00065F92">
        <w:rPr>
          <w:i/>
          <w:iCs/>
        </w:rPr>
        <w:t>P. arenarium</w:t>
      </w:r>
      <w:r w:rsidRPr="005D6E5F">
        <w:rPr>
          <w:i/>
          <w:iCs/>
        </w:rPr>
        <w:t xml:space="preserve"> </w:t>
      </w:r>
      <w:r w:rsidRPr="005D6E5F">
        <w:t>did dry weight significantly differ between popula</w:t>
      </w:r>
      <w:r>
        <w:t>tions (Table</w:t>
      </w:r>
      <w:r w:rsidRPr="005D6E5F">
        <w:t>. 3.1</w:t>
      </w:r>
      <w:r>
        <w:t>.e.</w:t>
      </w:r>
      <w:r w:rsidRPr="005D6E5F">
        <w:t xml:space="preserve">).  </w:t>
      </w:r>
      <w:r w:rsidR="00065F92">
        <w:rPr>
          <w:i/>
        </w:rPr>
        <w:t>P. arenarium</w:t>
      </w:r>
      <w:r w:rsidRPr="005D6E5F">
        <w:t xml:space="preserve"> showed strong latitudinal trends for decreasing dry weight as popul</w:t>
      </w:r>
      <w:r>
        <w:t>ations moved further south (</w:t>
      </w:r>
      <w:r w:rsidRPr="005D6E5F">
        <w:t>Fig. 3.1), this pattern inversely matched the trend seen in final height measurements.</w:t>
      </w:r>
    </w:p>
    <w:p w14:paraId="6F37B7C5" w14:textId="77777777" w:rsidR="0052730F" w:rsidRPr="005D6E5F" w:rsidRDefault="0052730F" w:rsidP="0052730F">
      <w:pPr>
        <w:jc w:val="both"/>
        <w:rPr>
          <w:rFonts w:ascii="Times" w:hAnsi="Times"/>
        </w:rPr>
      </w:pPr>
    </w:p>
    <w:p w14:paraId="4791FDD9" w14:textId="77777777" w:rsidR="0052730F" w:rsidRDefault="0052730F" w:rsidP="0052730F">
      <w:pPr>
        <w:jc w:val="both"/>
        <w:rPr>
          <w:rFonts w:ascii="Times" w:hAnsi="Times"/>
        </w:rPr>
        <w:sectPr w:rsidR="0052730F" w:rsidSect="000612B7">
          <w:footerReference w:type="default" r:id="rId21"/>
          <w:pgSz w:w="12240" w:h="15840"/>
          <w:pgMar w:top="1440" w:right="1134" w:bottom="1440" w:left="2268" w:header="709" w:footer="851" w:gutter="0"/>
          <w:cols w:space="708"/>
        </w:sectPr>
      </w:pPr>
    </w:p>
    <w:p w14:paraId="46C43C48" w14:textId="77777777" w:rsidR="0052730F" w:rsidRDefault="0052730F" w:rsidP="00A116AE">
      <w:pPr>
        <w:ind w:left="720"/>
        <w:jc w:val="both"/>
        <w:rPr>
          <w:rFonts w:ascii="Times" w:hAnsi="Times"/>
        </w:rPr>
      </w:pPr>
      <w:r>
        <w:rPr>
          <w:rFonts w:ascii="Times" w:hAnsi="Times"/>
          <w:noProof/>
          <w:lang w:val="en-US" w:eastAsia="en-US"/>
        </w:rPr>
        <w:drawing>
          <wp:inline distT="0" distB="0" distL="0" distR="0" wp14:anchorId="058D8B1B" wp14:editId="7DCFC40E">
            <wp:extent cx="7315200" cy="521935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 trait plot.pdf"/>
                    <pic:cNvPicPr/>
                  </pic:nvPicPr>
                  <pic:blipFill>
                    <a:blip r:embed="rId22">
                      <a:extLst>
                        <a:ext uri="{28A0092B-C50C-407E-A947-70E740481C1C}">
                          <a14:useLocalDpi xmlns:a14="http://schemas.microsoft.com/office/drawing/2010/main" val="0"/>
                        </a:ext>
                      </a:extLst>
                    </a:blip>
                    <a:stretch>
                      <a:fillRect/>
                    </a:stretch>
                  </pic:blipFill>
                  <pic:spPr>
                    <a:xfrm>
                      <a:off x="0" y="0"/>
                      <a:ext cx="7315200" cy="5219352"/>
                    </a:xfrm>
                    <a:prstGeom prst="rect">
                      <a:avLst/>
                    </a:prstGeom>
                  </pic:spPr>
                </pic:pic>
              </a:graphicData>
            </a:graphic>
          </wp:inline>
        </w:drawing>
      </w:r>
    </w:p>
    <w:p w14:paraId="3D04BA19" w14:textId="77777777" w:rsidR="0052730F" w:rsidRPr="00A116AE" w:rsidRDefault="0052730F" w:rsidP="0052730F">
      <w:pPr>
        <w:rPr>
          <w:rFonts w:ascii="Times" w:hAnsi="Times"/>
          <w:sz w:val="21"/>
          <w:szCs w:val="21"/>
        </w:rPr>
        <w:sectPr w:rsidR="0052730F" w:rsidRPr="00A116AE" w:rsidSect="00BF1B48">
          <w:footerReference w:type="default" r:id="rId23"/>
          <w:pgSz w:w="15842" w:h="12242" w:orient="landscape"/>
          <w:pgMar w:top="2268" w:right="1361" w:bottom="1134" w:left="1134" w:header="709" w:footer="794" w:gutter="0"/>
          <w:cols w:space="708"/>
        </w:sectPr>
      </w:pPr>
      <w:r w:rsidRPr="00A116AE">
        <w:rPr>
          <w:rFonts w:ascii="Times" w:hAnsi="Times"/>
          <w:sz w:val="21"/>
          <w:szCs w:val="21"/>
        </w:rPr>
        <w:t>Fig. 3.1. Trait values of F2 generation plants averaged for each population of origin, populations are displayed left to right in relation to their latitude from North to South. Measured traits include flowering time, number of ripe fruit, number of seed per fruit, number of seed per plant, dry weight and final height.</w:t>
      </w:r>
    </w:p>
    <w:p w14:paraId="79642BE4" w14:textId="77777777" w:rsidR="0052730F" w:rsidRDefault="0052730F" w:rsidP="0052730F">
      <w:pPr>
        <w:jc w:val="both"/>
        <w:rPr>
          <w:rFonts w:ascii="Times" w:hAnsi="Times"/>
          <w:sz w:val="20"/>
          <w:szCs w:val="20"/>
        </w:rPr>
      </w:pPr>
      <w:r w:rsidRPr="00A513B7">
        <w:rPr>
          <w:rFonts w:ascii="Times" w:hAnsi="Times"/>
          <w:sz w:val="20"/>
          <w:szCs w:val="20"/>
        </w:rPr>
        <w:t>Table 3.1.  Table of analysis of variance testing the effect of population on a. flowering time, b. number of ripe fruit, c. number of seed produced per fruit, d. number of seed produced per plant, e. dry weight and f. final height. Analyses are list for each of the five species and were performed on samples from the F2 generation only.</w:t>
      </w:r>
    </w:p>
    <w:p w14:paraId="12F4CFBA" w14:textId="77777777" w:rsidR="0052730F" w:rsidRPr="00A513B7" w:rsidRDefault="0052730F" w:rsidP="0052730F">
      <w:pPr>
        <w:jc w:val="both"/>
        <w:rPr>
          <w:rFonts w:ascii="Times" w:hAnsi="Times"/>
          <w:sz w:val="20"/>
          <w:szCs w:val="20"/>
        </w:rPr>
      </w:pPr>
    </w:p>
    <w:p w14:paraId="54D1DCD3" w14:textId="77777777" w:rsidR="0052730F" w:rsidRDefault="0052730F" w:rsidP="0052730F">
      <w:pPr>
        <w:rPr>
          <w:b/>
        </w:rPr>
      </w:pPr>
      <w:r>
        <w:rPr>
          <w:b/>
          <w:noProof/>
          <w:lang w:val="en-US" w:eastAsia="en-US"/>
        </w:rPr>
        <w:drawing>
          <wp:inline distT="0" distB="0" distL="0" distR="0" wp14:anchorId="3B705447" wp14:editId="5F5DFF15">
            <wp:extent cx="5348908" cy="7487999"/>
            <wp:effectExtent l="0" t="0" r="10795" b="508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48908" cy="7487999"/>
                    </a:xfrm>
                    <a:prstGeom prst="rect">
                      <a:avLst/>
                    </a:prstGeom>
                    <a:noFill/>
                    <a:ln>
                      <a:noFill/>
                    </a:ln>
                  </pic:spPr>
                </pic:pic>
              </a:graphicData>
            </a:graphic>
          </wp:inline>
        </w:drawing>
      </w:r>
    </w:p>
    <w:p w14:paraId="121164B8" w14:textId="77777777" w:rsidR="0052730F" w:rsidRDefault="0052730F" w:rsidP="0052730F">
      <w:pPr>
        <w:rPr>
          <w:b/>
        </w:rPr>
      </w:pPr>
    </w:p>
    <w:p w14:paraId="4051A70F" w14:textId="77777777" w:rsidR="0052730F" w:rsidRDefault="0052730F" w:rsidP="0052730F">
      <w:pPr>
        <w:rPr>
          <w:b/>
        </w:rPr>
      </w:pPr>
      <w:r w:rsidRPr="00A513B7">
        <w:rPr>
          <w:rFonts w:ascii="Times" w:hAnsi="Times"/>
          <w:sz w:val="20"/>
          <w:szCs w:val="20"/>
        </w:rPr>
        <w:t>Table 3.1</w:t>
      </w:r>
      <w:r>
        <w:rPr>
          <w:rFonts w:ascii="Times" w:hAnsi="Times"/>
          <w:sz w:val="20"/>
          <w:szCs w:val="20"/>
        </w:rPr>
        <w:t>. Continued.</w:t>
      </w:r>
    </w:p>
    <w:p w14:paraId="1782B77A" w14:textId="77777777" w:rsidR="0052730F" w:rsidRDefault="0052730F" w:rsidP="0052730F">
      <w:pPr>
        <w:rPr>
          <w:b/>
        </w:rPr>
      </w:pPr>
      <w:r>
        <w:rPr>
          <w:b/>
          <w:noProof/>
          <w:lang w:val="en-US" w:eastAsia="en-US"/>
        </w:rPr>
        <w:drawing>
          <wp:inline distT="0" distB="0" distL="0" distR="0" wp14:anchorId="340FB9EC" wp14:editId="5A5C5EC9">
            <wp:extent cx="5348908" cy="7487999"/>
            <wp:effectExtent l="0" t="0" r="10795" b="508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8908" cy="7487999"/>
                    </a:xfrm>
                    <a:prstGeom prst="rect">
                      <a:avLst/>
                    </a:prstGeom>
                    <a:noFill/>
                    <a:ln>
                      <a:noFill/>
                    </a:ln>
                  </pic:spPr>
                </pic:pic>
              </a:graphicData>
            </a:graphic>
          </wp:inline>
        </w:drawing>
      </w:r>
    </w:p>
    <w:p w14:paraId="0F225F5B" w14:textId="77777777" w:rsidR="008B0265" w:rsidRDefault="008B0265" w:rsidP="0052730F">
      <w:pPr>
        <w:pStyle w:val="SubheadingJB"/>
      </w:pPr>
    </w:p>
    <w:p w14:paraId="34B0D185" w14:textId="77777777" w:rsidR="008B0265" w:rsidRDefault="008B0265" w:rsidP="0052730F">
      <w:pPr>
        <w:pStyle w:val="SubheadingJB"/>
      </w:pPr>
    </w:p>
    <w:p w14:paraId="0CC592AC" w14:textId="77777777" w:rsidR="0052730F" w:rsidRPr="00191AD2" w:rsidRDefault="0052730F" w:rsidP="008B0265">
      <w:pPr>
        <w:pStyle w:val="subheadingMINOR"/>
      </w:pPr>
      <w:bookmarkStart w:id="56" w:name="_Toc291410061"/>
      <w:r>
        <w:t>I</w:t>
      </w:r>
      <w:r w:rsidRPr="00191AD2">
        <w:t>nter-generation variation</w:t>
      </w:r>
      <w:bookmarkEnd w:id="56"/>
    </w:p>
    <w:p w14:paraId="129891AD" w14:textId="20B06C96" w:rsidR="0052730F" w:rsidRPr="00191AD2" w:rsidRDefault="0052730F" w:rsidP="00DC7B26">
      <w:pPr>
        <w:pStyle w:val="BodyJB"/>
        <w:ind w:firstLine="720"/>
      </w:pPr>
      <w:r w:rsidRPr="00191AD2">
        <w:t xml:space="preserve">Population differentiation was maintained in the </w:t>
      </w:r>
      <w:r>
        <w:t xml:space="preserve">between the F1 and </w:t>
      </w:r>
      <w:r w:rsidRPr="00191AD2">
        <w:t>F2 generation (as indicated by significant effect of population and no effect of generation or significant interaction)(</w:t>
      </w:r>
      <w:r>
        <w:t>Table 3</w:t>
      </w:r>
      <w:r w:rsidRPr="00191AD2">
        <w:t xml:space="preserve">.2). In both </w:t>
      </w:r>
      <w:r w:rsidR="00FD79D6">
        <w:rPr>
          <w:i/>
        </w:rPr>
        <w:t>A. serpyllifolia</w:t>
      </w:r>
      <w:r w:rsidRPr="00191AD2">
        <w:t xml:space="preserve"> and </w:t>
      </w:r>
      <w:r w:rsidR="00065F92">
        <w:rPr>
          <w:i/>
        </w:rPr>
        <w:t>C. diffusum</w:t>
      </w:r>
      <w:r w:rsidRPr="00191AD2">
        <w:t xml:space="preserve"> this occurs in four of the </w:t>
      </w:r>
      <w:r>
        <w:t>six</w:t>
      </w:r>
      <w:r w:rsidRPr="00191AD2">
        <w:t xml:space="preserve"> traits analysed with reproductive output and productivity traits being particularly affected in the respective species. This population differentiation maintenance is also seen in the flowering time and final height of </w:t>
      </w:r>
      <w:r w:rsidR="001737B9">
        <w:rPr>
          <w:i/>
        </w:rPr>
        <w:t>V. arvensis</w:t>
      </w:r>
      <w:r w:rsidRPr="00191AD2">
        <w:t xml:space="preserve"> as well as the number of ripe fruit in </w:t>
      </w:r>
      <w:r w:rsidR="001737B9">
        <w:rPr>
          <w:i/>
        </w:rPr>
        <w:t>S. vulgaris</w:t>
      </w:r>
      <w:r w:rsidRPr="00191AD2">
        <w:t xml:space="preserve">. None of the traits in </w:t>
      </w:r>
      <w:r w:rsidR="00065F92">
        <w:rPr>
          <w:i/>
        </w:rPr>
        <w:t>P. arenarium</w:t>
      </w:r>
      <w:r w:rsidRPr="00191AD2">
        <w:t xml:space="preserve"> showed similar values in both generations, however the same pattern of population differentiation in flowering time was maintained in the F2 generation at different levels, in all populations the F2 generation flowered earlier. </w:t>
      </w:r>
    </w:p>
    <w:p w14:paraId="02194E60" w14:textId="4549A0D3" w:rsidR="0052730F" w:rsidRPr="00191AD2" w:rsidRDefault="0052730F" w:rsidP="00DC7B26">
      <w:pPr>
        <w:pStyle w:val="BodyJB"/>
        <w:ind w:firstLine="720"/>
      </w:pPr>
      <w:r w:rsidRPr="00191AD2">
        <w:t>The differences between generations varied greatly between populations. In seventeen of the species-trait combinations the highly significant generation-by-population interaction indicates a contribution of environmental maternal effects to population differentiation (</w:t>
      </w:r>
      <w:r>
        <w:t>Table 3</w:t>
      </w:r>
      <w:r w:rsidRPr="00191AD2">
        <w:t xml:space="preserve">.2). Flowering time, number of ripe fruit and seed produced per plant showed significant interactions in three of the five species measured. In </w:t>
      </w:r>
      <w:r w:rsidR="00065F92">
        <w:rPr>
          <w:i/>
        </w:rPr>
        <w:t>P. arenarium</w:t>
      </w:r>
      <w:r w:rsidRPr="00191AD2">
        <w:t xml:space="preserve">, the interaction between population and generation was significant for all traits other than flowering time. The coefficient of variation (CV) decreased between F1 and F2 generations in </w:t>
      </w:r>
      <w:r w:rsidR="00065F92">
        <w:rPr>
          <w:i/>
        </w:rPr>
        <w:t>P. arenarium</w:t>
      </w:r>
      <w:r>
        <w:t xml:space="preserve"> </w:t>
      </w:r>
      <w:r w:rsidRPr="00191AD2">
        <w:t>seed produced per fruit (</w:t>
      </w:r>
      <w:r>
        <w:t>Table 3</w:t>
      </w:r>
      <w:r w:rsidRPr="00191AD2">
        <w:t xml:space="preserve">.3). In the number of ripe fruit, seed produced per plant, final height and dry weight the significant interaction cannot be explained by a simple reduction in population differentiation from the F1 to the F2 generation. CV did not reduce in these traits, instead the significant generation x population interaction was </w:t>
      </w:r>
      <w:r>
        <w:t>caused</w:t>
      </w:r>
      <w:r w:rsidRPr="00191AD2">
        <w:t xml:space="preserve"> </w:t>
      </w:r>
      <w:r>
        <w:t>by</w:t>
      </w:r>
      <w:r w:rsidRPr="00191AD2">
        <w:t xml:space="preserve"> a change in population ranking (</w:t>
      </w:r>
      <w:r>
        <w:t>Table 3</w:t>
      </w:r>
      <w:r w:rsidRPr="00191AD2">
        <w:t xml:space="preserve">.3). In all of these traits, values decreased from F1 to F2 generation in all populations except GB2, this population showed increases in trait values between the generations, resulting in a change in population ranking. </w:t>
      </w:r>
    </w:p>
    <w:p w14:paraId="1FE07904" w14:textId="77777777" w:rsidR="0052730F" w:rsidRDefault="0052730F" w:rsidP="0052730F">
      <w:pPr>
        <w:pStyle w:val="BodyJB"/>
      </w:pPr>
    </w:p>
    <w:p w14:paraId="018F5484" w14:textId="77777777" w:rsidR="0052730F" w:rsidRDefault="0052730F" w:rsidP="0052730F">
      <w:pPr>
        <w:pStyle w:val="BodyJB"/>
      </w:pPr>
    </w:p>
    <w:p w14:paraId="7EC5F418" w14:textId="77777777" w:rsidR="00DC7B26" w:rsidRDefault="00DC7B26" w:rsidP="0052730F">
      <w:pPr>
        <w:pStyle w:val="BodyJB"/>
      </w:pPr>
    </w:p>
    <w:p w14:paraId="72AA100F" w14:textId="77777777" w:rsidR="0052730F" w:rsidRDefault="0052730F" w:rsidP="0052730F">
      <w:pPr>
        <w:pStyle w:val="BodyJB"/>
      </w:pPr>
    </w:p>
    <w:p w14:paraId="013713EE" w14:textId="77777777" w:rsidR="0052730F" w:rsidRDefault="0052730F" w:rsidP="0052730F">
      <w:pPr>
        <w:pStyle w:val="BodyJB"/>
      </w:pPr>
    </w:p>
    <w:p w14:paraId="39042F82" w14:textId="77777777" w:rsidR="0052730F" w:rsidRPr="00191AD2" w:rsidRDefault="0052730F" w:rsidP="0052730F">
      <w:pPr>
        <w:pStyle w:val="BodyJB"/>
      </w:pPr>
    </w:p>
    <w:p w14:paraId="709F61D8" w14:textId="77777777" w:rsidR="0052730F" w:rsidRDefault="0052730F" w:rsidP="0052730F">
      <w:pPr>
        <w:pStyle w:val="BodyJB"/>
      </w:pPr>
    </w:p>
    <w:p w14:paraId="2D799C0C" w14:textId="77777777" w:rsidR="0052730F" w:rsidRPr="00191AD2" w:rsidRDefault="0052730F" w:rsidP="0052730F">
      <w:pPr>
        <w:pStyle w:val="BodyJB"/>
        <w:spacing w:line="240" w:lineRule="auto"/>
        <w:rPr>
          <w:b/>
        </w:rPr>
      </w:pPr>
      <w:r>
        <w:rPr>
          <w:b/>
        </w:rPr>
        <w:t>Table 3</w:t>
      </w:r>
      <w:r w:rsidRPr="00191AD2">
        <w:rPr>
          <w:b/>
        </w:rPr>
        <w:t xml:space="preserve">.2. </w:t>
      </w:r>
      <w:r w:rsidRPr="00191AD2">
        <w:t>Summary table of analysis of variance on the contribution of the maternal environment to population differentiation on a number of plant traits in five dune annual species. Refer to appendix for full details.</w:t>
      </w:r>
    </w:p>
    <w:tbl>
      <w:tblPr>
        <w:tblW w:w="8319" w:type="dxa"/>
        <w:jc w:val="center"/>
        <w:tblLook w:val="0000" w:firstRow="0" w:lastRow="0" w:firstColumn="0" w:lastColumn="0" w:noHBand="0" w:noVBand="0"/>
      </w:tblPr>
      <w:tblGrid>
        <w:gridCol w:w="1078"/>
        <w:gridCol w:w="1122"/>
        <w:gridCol w:w="1194"/>
        <w:gridCol w:w="1228"/>
        <w:gridCol w:w="1429"/>
        <w:gridCol w:w="1134"/>
        <w:gridCol w:w="1134"/>
      </w:tblGrid>
      <w:tr w:rsidR="0052730F" w:rsidRPr="00191AD2" w14:paraId="161C1FF5" w14:textId="77777777" w:rsidTr="0052730F">
        <w:trPr>
          <w:trHeight w:hRule="exact" w:val="926"/>
          <w:jc w:val="center"/>
        </w:trPr>
        <w:tc>
          <w:tcPr>
            <w:tcW w:w="1078" w:type="dxa"/>
            <w:tcBorders>
              <w:bottom w:val="single" w:sz="4" w:space="0" w:color="auto"/>
            </w:tcBorders>
            <w:shd w:val="clear" w:color="auto" w:fill="auto"/>
            <w:noWrap/>
            <w:tcMar>
              <w:top w:w="108" w:type="dxa"/>
              <w:bottom w:w="108" w:type="dxa"/>
            </w:tcMar>
            <w:vAlign w:val="center"/>
          </w:tcPr>
          <w:p w14:paraId="2D644683" w14:textId="77777777" w:rsidR="0052730F" w:rsidRPr="00191AD2" w:rsidRDefault="0052730F" w:rsidP="0052730F">
            <w:pPr>
              <w:jc w:val="center"/>
              <w:rPr>
                <w:rFonts w:ascii="Times" w:hAnsi="Times"/>
                <w:b/>
                <w:sz w:val="18"/>
                <w:szCs w:val="18"/>
              </w:rPr>
            </w:pPr>
            <w:r w:rsidRPr="00191AD2">
              <w:rPr>
                <w:rFonts w:ascii="Times" w:hAnsi="Times"/>
                <w:b/>
                <w:sz w:val="18"/>
                <w:szCs w:val="18"/>
              </w:rPr>
              <w:t>Trait</w:t>
            </w:r>
          </w:p>
        </w:tc>
        <w:tc>
          <w:tcPr>
            <w:tcW w:w="1122" w:type="dxa"/>
            <w:tcBorders>
              <w:bottom w:val="single" w:sz="4" w:space="0" w:color="auto"/>
            </w:tcBorders>
            <w:shd w:val="clear" w:color="auto" w:fill="auto"/>
            <w:noWrap/>
            <w:tcMar>
              <w:top w:w="108" w:type="dxa"/>
              <w:bottom w:w="108" w:type="dxa"/>
            </w:tcMar>
            <w:vAlign w:val="center"/>
          </w:tcPr>
          <w:p w14:paraId="7AF1D45F" w14:textId="77777777" w:rsidR="0052730F" w:rsidRPr="00191AD2" w:rsidRDefault="0052730F" w:rsidP="0052730F">
            <w:pPr>
              <w:rPr>
                <w:rFonts w:ascii="Times" w:hAnsi="Times"/>
                <w:b/>
                <w:sz w:val="18"/>
                <w:szCs w:val="18"/>
              </w:rPr>
            </w:pPr>
            <w:r w:rsidRPr="00191AD2">
              <w:rPr>
                <w:rFonts w:ascii="Times" w:hAnsi="Times"/>
                <w:b/>
                <w:sz w:val="18"/>
                <w:szCs w:val="18"/>
              </w:rPr>
              <w:t>Predictor</w:t>
            </w:r>
          </w:p>
        </w:tc>
        <w:tc>
          <w:tcPr>
            <w:tcW w:w="1194" w:type="dxa"/>
            <w:tcBorders>
              <w:bottom w:val="single" w:sz="4" w:space="0" w:color="auto"/>
            </w:tcBorders>
            <w:shd w:val="clear" w:color="auto" w:fill="auto"/>
            <w:noWrap/>
            <w:tcMar>
              <w:top w:w="108" w:type="dxa"/>
              <w:bottom w:w="108" w:type="dxa"/>
            </w:tcMar>
            <w:vAlign w:val="center"/>
          </w:tcPr>
          <w:p w14:paraId="2A6D36FA" w14:textId="77777777" w:rsidR="0052730F" w:rsidRPr="00191AD2" w:rsidRDefault="0052730F" w:rsidP="0052730F">
            <w:pPr>
              <w:jc w:val="center"/>
              <w:rPr>
                <w:rFonts w:ascii="Times" w:hAnsi="Times"/>
                <w:b/>
                <w:i/>
                <w:sz w:val="20"/>
              </w:rPr>
            </w:pPr>
            <w:r w:rsidRPr="00191AD2">
              <w:rPr>
                <w:rFonts w:ascii="Times" w:hAnsi="Times"/>
                <w:b/>
                <w:i/>
                <w:sz w:val="20"/>
              </w:rPr>
              <w:t>A. serpyllifolia</w:t>
            </w:r>
          </w:p>
        </w:tc>
        <w:tc>
          <w:tcPr>
            <w:tcW w:w="1228" w:type="dxa"/>
            <w:tcBorders>
              <w:bottom w:val="single" w:sz="4" w:space="0" w:color="auto"/>
            </w:tcBorders>
            <w:shd w:val="clear" w:color="auto" w:fill="auto"/>
            <w:noWrap/>
            <w:tcMar>
              <w:top w:w="108" w:type="dxa"/>
              <w:bottom w:w="108" w:type="dxa"/>
            </w:tcMar>
            <w:vAlign w:val="center"/>
          </w:tcPr>
          <w:p w14:paraId="3AE2CF0A" w14:textId="77777777" w:rsidR="0052730F" w:rsidRPr="00191AD2" w:rsidRDefault="0052730F" w:rsidP="0052730F">
            <w:pPr>
              <w:jc w:val="center"/>
              <w:rPr>
                <w:rFonts w:ascii="Times" w:hAnsi="Times"/>
                <w:b/>
                <w:i/>
                <w:sz w:val="20"/>
              </w:rPr>
            </w:pPr>
            <w:r w:rsidRPr="00191AD2">
              <w:rPr>
                <w:rFonts w:ascii="Times" w:hAnsi="Times"/>
                <w:b/>
                <w:i/>
                <w:sz w:val="20"/>
              </w:rPr>
              <w:t>C. diffusum</w:t>
            </w:r>
          </w:p>
        </w:tc>
        <w:tc>
          <w:tcPr>
            <w:tcW w:w="1429" w:type="dxa"/>
            <w:tcBorders>
              <w:bottom w:val="single" w:sz="4" w:space="0" w:color="auto"/>
            </w:tcBorders>
            <w:shd w:val="clear" w:color="auto" w:fill="auto"/>
            <w:noWrap/>
            <w:tcMar>
              <w:top w:w="108" w:type="dxa"/>
              <w:bottom w:w="108" w:type="dxa"/>
            </w:tcMar>
            <w:vAlign w:val="center"/>
          </w:tcPr>
          <w:p w14:paraId="2A2D91A5" w14:textId="77777777" w:rsidR="0052730F" w:rsidRPr="00191AD2" w:rsidRDefault="0052730F" w:rsidP="0052730F">
            <w:pPr>
              <w:jc w:val="center"/>
              <w:rPr>
                <w:rFonts w:ascii="Times" w:hAnsi="Times"/>
                <w:b/>
                <w:i/>
                <w:sz w:val="20"/>
              </w:rPr>
            </w:pPr>
            <w:r w:rsidRPr="00191AD2">
              <w:rPr>
                <w:rFonts w:ascii="Times" w:hAnsi="Times"/>
                <w:b/>
                <w:i/>
                <w:sz w:val="20"/>
              </w:rPr>
              <w:t>P. arenarium</w:t>
            </w:r>
          </w:p>
        </w:tc>
        <w:tc>
          <w:tcPr>
            <w:tcW w:w="1134" w:type="dxa"/>
            <w:tcBorders>
              <w:bottom w:val="single" w:sz="4" w:space="0" w:color="auto"/>
            </w:tcBorders>
            <w:shd w:val="clear" w:color="auto" w:fill="auto"/>
            <w:noWrap/>
            <w:tcMar>
              <w:top w:w="108" w:type="dxa"/>
              <w:bottom w:w="108" w:type="dxa"/>
            </w:tcMar>
            <w:vAlign w:val="center"/>
          </w:tcPr>
          <w:p w14:paraId="313926B5" w14:textId="77777777" w:rsidR="0052730F" w:rsidRPr="00191AD2" w:rsidRDefault="0052730F" w:rsidP="0052730F">
            <w:pPr>
              <w:jc w:val="center"/>
              <w:rPr>
                <w:rFonts w:ascii="Times" w:hAnsi="Times"/>
                <w:b/>
                <w:i/>
                <w:sz w:val="20"/>
              </w:rPr>
            </w:pPr>
            <w:r w:rsidRPr="00191AD2">
              <w:rPr>
                <w:rFonts w:ascii="Times" w:hAnsi="Times"/>
                <w:b/>
                <w:i/>
                <w:sz w:val="20"/>
              </w:rPr>
              <w:t>S. vulgaris</w:t>
            </w:r>
          </w:p>
        </w:tc>
        <w:tc>
          <w:tcPr>
            <w:tcW w:w="1134" w:type="dxa"/>
            <w:tcBorders>
              <w:bottom w:val="single" w:sz="4" w:space="0" w:color="auto"/>
            </w:tcBorders>
            <w:shd w:val="clear" w:color="auto" w:fill="auto"/>
            <w:noWrap/>
            <w:tcMar>
              <w:top w:w="108" w:type="dxa"/>
              <w:bottom w:w="108" w:type="dxa"/>
            </w:tcMar>
            <w:vAlign w:val="center"/>
          </w:tcPr>
          <w:p w14:paraId="788EB755" w14:textId="77777777" w:rsidR="0052730F" w:rsidRPr="00191AD2" w:rsidRDefault="0052730F" w:rsidP="0052730F">
            <w:pPr>
              <w:jc w:val="center"/>
              <w:rPr>
                <w:rFonts w:ascii="Times" w:hAnsi="Times"/>
                <w:b/>
                <w:i/>
                <w:sz w:val="20"/>
              </w:rPr>
            </w:pPr>
            <w:r w:rsidRPr="00191AD2">
              <w:rPr>
                <w:rFonts w:ascii="Times" w:hAnsi="Times"/>
                <w:b/>
                <w:i/>
                <w:sz w:val="20"/>
              </w:rPr>
              <w:t>V. arvensis</w:t>
            </w:r>
          </w:p>
        </w:tc>
      </w:tr>
      <w:tr w:rsidR="0052730F" w:rsidRPr="00191AD2" w14:paraId="559F63A7" w14:textId="77777777">
        <w:trPr>
          <w:trHeight w:hRule="exact" w:val="340"/>
          <w:jc w:val="center"/>
        </w:trPr>
        <w:tc>
          <w:tcPr>
            <w:tcW w:w="1078" w:type="dxa"/>
            <w:vMerge w:val="restart"/>
            <w:tcBorders>
              <w:top w:val="single" w:sz="4" w:space="0" w:color="auto"/>
            </w:tcBorders>
            <w:shd w:val="clear" w:color="auto" w:fill="auto"/>
            <w:noWrap/>
            <w:vAlign w:val="bottom"/>
          </w:tcPr>
          <w:p w14:paraId="5002B905" w14:textId="77777777" w:rsidR="0052730F" w:rsidRPr="00191AD2" w:rsidRDefault="0052730F" w:rsidP="0052730F">
            <w:pPr>
              <w:jc w:val="center"/>
              <w:rPr>
                <w:rFonts w:ascii="Times" w:hAnsi="Times"/>
                <w:sz w:val="18"/>
                <w:szCs w:val="18"/>
              </w:rPr>
            </w:pPr>
            <w:r w:rsidRPr="00191AD2">
              <w:rPr>
                <w:rFonts w:ascii="Times" w:hAnsi="Times"/>
                <w:sz w:val="18"/>
                <w:szCs w:val="18"/>
              </w:rPr>
              <w:t>Flowering Time</w:t>
            </w:r>
          </w:p>
        </w:tc>
        <w:tc>
          <w:tcPr>
            <w:tcW w:w="1122" w:type="dxa"/>
            <w:tcBorders>
              <w:top w:val="single" w:sz="4" w:space="0" w:color="auto"/>
            </w:tcBorders>
            <w:shd w:val="clear" w:color="auto" w:fill="auto"/>
            <w:noWrap/>
            <w:vAlign w:val="bottom"/>
          </w:tcPr>
          <w:p w14:paraId="1380C571" w14:textId="77777777" w:rsidR="0052730F" w:rsidRPr="00191AD2" w:rsidRDefault="0052730F" w:rsidP="0052730F">
            <w:pPr>
              <w:rPr>
                <w:rFonts w:ascii="Times" w:hAnsi="Times"/>
                <w:sz w:val="18"/>
                <w:szCs w:val="18"/>
              </w:rPr>
            </w:pPr>
            <w:r w:rsidRPr="00191AD2">
              <w:rPr>
                <w:rFonts w:ascii="Times" w:hAnsi="Times"/>
                <w:sz w:val="18"/>
                <w:szCs w:val="18"/>
              </w:rPr>
              <w:t>Generation</w:t>
            </w:r>
          </w:p>
        </w:tc>
        <w:tc>
          <w:tcPr>
            <w:tcW w:w="1194" w:type="dxa"/>
            <w:tcBorders>
              <w:top w:val="single" w:sz="4" w:space="0" w:color="auto"/>
            </w:tcBorders>
            <w:shd w:val="clear" w:color="auto" w:fill="auto"/>
            <w:noWrap/>
            <w:vAlign w:val="bottom"/>
          </w:tcPr>
          <w:p w14:paraId="4E23449C" w14:textId="77777777" w:rsidR="0052730F" w:rsidRPr="00191AD2" w:rsidRDefault="0052730F" w:rsidP="0052730F">
            <w:pPr>
              <w:jc w:val="center"/>
              <w:rPr>
                <w:rFonts w:ascii="Times" w:hAnsi="Times"/>
                <w:sz w:val="18"/>
                <w:szCs w:val="18"/>
              </w:rPr>
            </w:pPr>
          </w:p>
        </w:tc>
        <w:tc>
          <w:tcPr>
            <w:tcW w:w="1228" w:type="dxa"/>
            <w:tcBorders>
              <w:top w:val="single" w:sz="4" w:space="0" w:color="auto"/>
            </w:tcBorders>
            <w:shd w:val="clear" w:color="auto" w:fill="auto"/>
            <w:noWrap/>
            <w:vAlign w:val="bottom"/>
          </w:tcPr>
          <w:p w14:paraId="3A0BF63B"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429" w:type="dxa"/>
            <w:tcBorders>
              <w:top w:val="single" w:sz="4" w:space="0" w:color="auto"/>
            </w:tcBorders>
            <w:shd w:val="clear" w:color="auto" w:fill="auto"/>
            <w:noWrap/>
            <w:vAlign w:val="bottom"/>
          </w:tcPr>
          <w:p w14:paraId="77F1FBF0"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tcBorders>
              <w:top w:val="single" w:sz="4" w:space="0" w:color="auto"/>
            </w:tcBorders>
            <w:shd w:val="clear" w:color="auto" w:fill="auto"/>
            <w:noWrap/>
            <w:vAlign w:val="bottom"/>
          </w:tcPr>
          <w:p w14:paraId="195B2378" w14:textId="77777777" w:rsidR="0052730F" w:rsidRPr="00191AD2" w:rsidRDefault="0052730F" w:rsidP="0052730F">
            <w:pPr>
              <w:jc w:val="center"/>
              <w:rPr>
                <w:rFonts w:ascii="Times" w:hAnsi="Times"/>
                <w:sz w:val="18"/>
                <w:szCs w:val="18"/>
              </w:rPr>
            </w:pPr>
          </w:p>
        </w:tc>
        <w:tc>
          <w:tcPr>
            <w:tcW w:w="1134" w:type="dxa"/>
            <w:tcBorders>
              <w:top w:val="single" w:sz="4" w:space="0" w:color="auto"/>
            </w:tcBorders>
            <w:shd w:val="clear" w:color="auto" w:fill="auto"/>
            <w:noWrap/>
            <w:vAlign w:val="bottom"/>
          </w:tcPr>
          <w:p w14:paraId="586C810B" w14:textId="77777777" w:rsidR="0052730F" w:rsidRPr="00191AD2" w:rsidRDefault="0052730F" w:rsidP="0052730F">
            <w:pPr>
              <w:jc w:val="center"/>
              <w:rPr>
                <w:rFonts w:ascii="Times" w:hAnsi="Times"/>
                <w:sz w:val="18"/>
                <w:szCs w:val="18"/>
              </w:rPr>
            </w:pPr>
          </w:p>
        </w:tc>
      </w:tr>
      <w:tr w:rsidR="0052730F" w:rsidRPr="00191AD2" w14:paraId="1704669E" w14:textId="77777777">
        <w:trPr>
          <w:trHeight w:hRule="exact" w:val="340"/>
          <w:jc w:val="center"/>
        </w:trPr>
        <w:tc>
          <w:tcPr>
            <w:tcW w:w="1078" w:type="dxa"/>
            <w:vMerge/>
            <w:shd w:val="clear" w:color="auto" w:fill="auto"/>
            <w:noWrap/>
            <w:vAlign w:val="bottom"/>
          </w:tcPr>
          <w:p w14:paraId="5EBEE3A5" w14:textId="77777777" w:rsidR="0052730F" w:rsidRPr="00191AD2" w:rsidRDefault="0052730F" w:rsidP="0052730F">
            <w:pPr>
              <w:jc w:val="center"/>
              <w:rPr>
                <w:rFonts w:ascii="Times" w:hAnsi="Times"/>
                <w:sz w:val="18"/>
                <w:szCs w:val="18"/>
              </w:rPr>
            </w:pPr>
          </w:p>
        </w:tc>
        <w:tc>
          <w:tcPr>
            <w:tcW w:w="1122" w:type="dxa"/>
            <w:shd w:val="clear" w:color="auto" w:fill="auto"/>
            <w:noWrap/>
            <w:vAlign w:val="bottom"/>
          </w:tcPr>
          <w:p w14:paraId="5C3012F2" w14:textId="77777777" w:rsidR="0052730F" w:rsidRPr="00191AD2" w:rsidRDefault="0052730F" w:rsidP="0052730F">
            <w:pPr>
              <w:rPr>
                <w:rFonts w:ascii="Times" w:hAnsi="Times"/>
                <w:sz w:val="18"/>
                <w:szCs w:val="18"/>
              </w:rPr>
            </w:pPr>
            <w:r w:rsidRPr="00191AD2">
              <w:rPr>
                <w:rFonts w:ascii="Times" w:hAnsi="Times"/>
                <w:sz w:val="18"/>
                <w:szCs w:val="18"/>
              </w:rPr>
              <w:t>Population</w:t>
            </w:r>
          </w:p>
        </w:tc>
        <w:tc>
          <w:tcPr>
            <w:tcW w:w="1194" w:type="dxa"/>
            <w:shd w:val="clear" w:color="auto" w:fill="auto"/>
            <w:noWrap/>
            <w:vAlign w:val="bottom"/>
          </w:tcPr>
          <w:p w14:paraId="3B53BE3B"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228" w:type="dxa"/>
            <w:shd w:val="clear" w:color="auto" w:fill="auto"/>
            <w:noWrap/>
            <w:vAlign w:val="bottom"/>
          </w:tcPr>
          <w:p w14:paraId="16B5C1FD"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429" w:type="dxa"/>
            <w:shd w:val="clear" w:color="auto" w:fill="auto"/>
            <w:noWrap/>
            <w:vAlign w:val="bottom"/>
          </w:tcPr>
          <w:p w14:paraId="55DFD79B"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shd w:val="clear" w:color="auto" w:fill="auto"/>
            <w:noWrap/>
            <w:vAlign w:val="bottom"/>
          </w:tcPr>
          <w:p w14:paraId="075F4734"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shd w:val="clear" w:color="auto" w:fill="auto"/>
            <w:noWrap/>
            <w:vAlign w:val="bottom"/>
          </w:tcPr>
          <w:p w14:paraId="6D3B4CF6"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r>
      <w:tr w:rsidR="0052730F" w:rsidRPr="00191AD2" w14:paraId="2280A851" w14:textId="77777777">
        <w:trPr>
          <w:trHeight w:hRule="exact" w:val="340"/>
          <w:jc w:val="center"/>
        </w:trPr>
        <w:tc>
          <w:tcPr>
            <w:tcW w:w="1078" w:type="dxa"/>
            <w:tcBorders>
              <w:bottom w:val="single" w:sz="8" w:space="0" w:color="auto"/>
            </w:tcBorders>
            <w:shd w:val="clear" w:color="auto" w:fill="auto"/>
            <w:noWrap/>
            <w:vAlign w:val="bottom"/>
          </w:tcPr>
          <w:p w14:paraId="1EE16895" w14:textId="77777777" w:rsidR="0052730F" w:rsidRPr="00191AD2" w:rsidRDefault="0052730F" w:rsidP="0052730F">
            <w:pPr>
              <w:jc w:val="center"/>
              <w:rPr>
                <w:rFonts w:ascii="Times" w:hAnsi="Times"/>
                <w:sz w:val="18"/>
                <w:szCs w:val="18"/>
              </w:rPr>
            </w:pPr>
          </w:p>
        </w:tc>
        <w:tc>
          <w:tcPr>
            <w:tcW w:w="1122" w:type="dxa"/>
            <w:tcBorders>
              <w:bottom w:val="single" w:sz="8" w:space="0" w:color="auto"/>
            </w:tcBorders>
            <w:shd w:val="clear" w:color="auto" w:fill="auto"/>
            <w:noWrap/>
            <w:vAlign w:val="bottom"/>
          </w:tcPr>
          <w:p w14:paraId="4875E3E9" w14:textId="77777777" w:rsidR="0052730F" w:rsidRPr="00191AD2" w:rsidRDefault="0052730F" w:rsidP="0052730F">
            <w:pPr>
              <w:rPr>
                <w:rFonts w:ascii="Times" w:hAnsi="Times"/>
                <w:sz w:val="18"/>
                <w:szCs w:val="18"/>
              </w:rPr>
            </w:pPr>
            <w:r w:rsidRPr="00191AD2">
              <w:rPr>
                <w:rFonts w:ascii="Times" w:hAnsi="Times"/>
                <w:sz w:val="18"/>
                <w:szCs w:val="18"/>
              </w:rPr>
              <w:t>Gen * Pop</w:t>
            </w:r>
          </w:p>
        </w:tc>
        <w:tc>
          <w:tcPr>
            <w:tcW w:w="1194" w:type="dxa"/>
            <w:tcBorders>
              <w:bottom w:val="single" w:sz="8" w:space="0" w:color="auto"/>
            </w:tcBorders>
            <w:shd w:val="clear" w:color="auto" w:fill="auto"/>
            <w:noWrap/>
            <w:vAlign w:val="bottom"/>
          </w:tcPr>
          <w:p w14:paraId="6DB53BEE"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228" w:type="dxa"/>
            <w:tcBorders>
              <w:bottom w:val="single" w:sz="8" w:space="0" w:color="auto"/>
            </w:tcBorders>
            <w:shd w:val="clear" w:color="auto" w:fill="auto"/>
            <w:noWrap/>
            <w:vAlign w:val="bottom"/>
          </w:tcPr>
          <w:p w14:paraId="5CC914F1"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429" w:type="dxa"/>
            <w:tcBorders>
              <w:bottom w:val="single" w:sz="8" w:space="0" w:color="auto"/>
            </w:tcBorders>
            <w:shd w:val="clear" w:color="auto" w:fill="auto"/>
            <w:noWrap/>
            <w:vAlign w:val="bottom"/>
          </w:tcPr>
          <w:p w14:paraId="29354894" w14:textId="77777777" w:rsidR="0052730F" w:rsidRPr="00191AD2" w:rsidRDefault="0052730F" w:rsidP="0052730F">
            <w:pPr>
              <w:jc w:val="center"/>
              <w:rPr>
                <w:rFonts w:ascii="Times" w:hAnsi="Times"/>
                <w:sz w:val="18"/>
                <w:szCs w:val="18"/>
              </w:rPr>
            </w:pPr>
          </w:p>
        </w:tc>
        <w:tc>
          <w:tcPr>
            <w:tcW w:w="1134" w:type="dxa"/>
            <w:tcBorders>
              <w:bottom w:val="single" w:sz="8" w:space="0" w:color="auto"/>
            </w:tcBorders>
            <w:shd w:val="clear" w:color="auto" w:fill="auto"/>
            <w:noWrap/>
            <w:vAlign w:val="bottom"/>
          </w:tcPr>
          <w:p w14:paraId="7C2E263C"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tcBorders>
              <w:bottom w:val="single" w:sz="8" w:space="0" w:color="auto"/>
            </w:tcBorders>
            <w:shd w:val="clear" w:color="auto" w:fill="auto"/>
            <w:noWrap/>
            <w:vAlign w:val="bottom"/>
          </w:tcPr>
          <w:p w14:paraId="117DCF26" w14:textId="77777777" w:rsidR="0052730F" w:rsidRPr="00191AD2" w:rsidRDefault="0052730F" w:rsidP="0052730F">
            <w:pPr>
              <w:jc w:val="center"/>
              <w:rPr>
                <w:rFonts w:ascii="Times" w:hAnsi="Times"/>
                <w:sz w:val="18"/>
                <w:szCs w:val="18"/>
              </w:rPr>
            </w:pPr>
          </w:p>
        </w:tc>
      </w:tr>
      <w:tr w:rsidR="0052730F" w:rsidRPr="00191AD2" w14:paraId="2A2342DB" w14:textId="77777777">
        <w:trPr>
          <w:trHeight w:hRule="exact" w:val="340"/>
          <w:jc w:val="center"/>
        </w:trPr>
        <w:tc>
          <w:tcPr>
            <w:tcW w:w="1078" w:type="dxa"/>
            <w:tcBorders>
              <w:top w:val="single" w:sz="8" w:space="0" w:color="auto"/>
            </w:tcBorders>
            <w:shd w:val="clear" w:color="auto" w:fill="auto"/>
            <w:noWrap/>
            <w:vAlign w:val="bottom"/>
          </w:tcPr>
          <w:p w14:paraId="3CC5F827" w14:textId="77777777" w:rsidR="0052730F" w:rsidRPr="00191AD2" w:rsidRDefault="0052730F" w:rsidP="0052730F">
            <w:pPr>
              <w:jc w:val="center"/>
              <w:rPr>
                <w:rFonts w:ascii="Times" w:hAnsi="Times"/>
                <w:sz w:val="18"/>
                <w:szCs w:val="18"/>
              </w:rPr>
            </w:pPr>
            <w:r w:rsidRPr="00191AD2">
              <w:rPr>
                <w:rFonts w:ascii="Times" w:hAnsi="Times"/>
                <w:sz w:val="18"/>
                <w:szCs w:val="18"/>
              </w:rPr>
              <w:t>Ripe Fruit</w:t>
            </w:r>
          </w:p>
        </w:tc>
        <w:tc>
          <w:tcPr>
            <w:tcW w:w="1122" w:type="dxa"/>
            <w:tcBorders>
              <w:top w:val="single" w:sz="8" w:space="0" w:color="auto"/>
            </w:tcBorders>
            <w:shd w:val="clear" w:color="auto" w:fill="auto"/>
            <w:noWrap/>
            <w:vAlign w:val="bottom"/>
          </w:tcPr>
          <w:p w14:paraId="11CDCA03" w14:textId="77777777" w:rsidR="0052730F" w:rsidRPr="00191AD2" w:rsidRDefault="0052730F" w:rsidP="0052730F">
            <w:pPr>
              <w:rPr>
                <w:rFonts w:ascii="Times" w:hAnsi="Times"/>
                <w:sz w:val="18"/>
                <w:szCs w:val="18"/>
              </w:rPr>
            </w:pPr>
            <w:r w:rsidRPr="00191AD2">
              <w:rPr>
                <w:rFonts w:ascii="Times" w:hAnsi="Times"/>
                <w:sz w:val="18"/>
                <w:szCs w:val="18"/>
              </w:rPr>
              <w:t>Generation</w:t>
            </w:r>
          </w:p>
        </w:tc>
        <w:tc>
          <w:tcPr>
            <w:tcW w:w="1194" w:type="dxa"/>
            <w:tcBorders>
              <w:top w:val="single" w:sz="8" w:space="0" w:color="auto"/>
            </w:tcBorders>
            <w:shd w:val="clear" w:color="auto" w:fill="auto"/>
            <w:noWrap/>
            <w:vAlign w:val="bottom"/>
          </w:tcPr>
          <w:p w14:paraId="1ECB8067" w14:textId="77777777" w:rsidR="0052730F" w:rsidRPr="00191AD2" w:rsidRDefault="0052730F" w:rsidP="0052730F">
            <w:pPr>
              <w:jc w:val="center"/>
              <w:rPr>
                <w:rFonts w:ascii="Times" w:hAnsi="Times"/>
                <w:sz w:val="18"/>
                <w:szCs w:val="18"/>
              </w:rPr>
            </w:pPr>
          </w:p>
        </w:tc>
        <w:tc>
          <w:tcPr>
            <w:tcW w:w="1228" w:type="dxa"/>
            <w:tcBorders>
              <w:top w:val="single" w:sz="8" w:space="0" w:color="auto"/>
            </w:tcBorders>
            <w:shd w:val="clear" w:color="auto" w:fill="auto"/>
            <w:noWrap/>
            <w:vAlign w:val="bottom"/>
          </w:tcPr>
          <w:p w14:paraId="0009A273" w14:textId="77777777" w:rsidR="0052730F" w:rsidRPr="00191AD2" w:rsidRDefault="0052730F" w:rsidP="0052730F">
            <w:pPr>
              <w:jc w:val="center"/>
              <w:rPr>
                <w:rFonts w:ascii="Times" w:hAnsi="Times"/>
                <w:sz w:val="18"/>
                <w:szCs w:val="18"/>
              </w:rPr>
            </w:pPr>
          </w:p>
        </w:tc>
        <w:tc>
          <w:tcPr>
            <w:tcW w:w="1429" w:type="dxa"/>
            <w:tcBorders>
              <w:top w:val="single" w:sz="8" w:space="0" w:color="auto"/>
            </w:tcBorders>
            <w:shd w:val="clear" w:color="auto" w:fill="auto"/>
            <w:noWrap/>
            <w:vAlign w:val="bottom"/>
          </w:tcPr>
          <w:p w14:paraId="0CA9BDA5" w14:textId="77777777" w:rsidR="0052730F" w:rsidRPr="00191AD2" w:rsidRDefault="0052730F" w:rsidP="0052730F">
            <w:pPr>
              <w:jc w:val="center"/>
              <w:rPr>
                <w:rFonts w:ascii="Times" w:hAnsi="Times"/>
                <w:sz w:val="18"/>
                <w:szCs w:val="18"/>
              </w:rPr>
            </w:pPr>
          </w:p>
        </w:tc>
        <w:tc>
          <w:tcPr>
            <w:tcW w:w="1134" w:type="dxa"/>
            <w:tcBorders>
              <w:top w:val="single" w:sz="8" w:space="0" w:color="auto"/>
            </w:tcBorders>
            <w:shd w:val="clear" w:color="auto" w:fill="auto"/>
            <w:noWrap/>
            <w:vAlign w:val="bottom"/>
          </w:tcPr>
          <w:p w14:paraId="66DD0854" w14:textId="77777777" w:rsidR="0052730F" w:rsidRPr="00191AD2" w:rsidRDefault="0052730F" w:rsidP="0052730F">
            <w:pPr>
              <w:jc w:val="center"/>
              <w:rPr>
                <w:rFonts w:ascii="Times" w:hAnsi="Times"/>
                <w:sz w:val="18"/>
                <w:szCs w:val="18"/>
              </w:rPr>
            </w:pPr>
          </w:p>
        </w:tc>
        <w:tc>
          <w:tcPr>
            <w:tcW w:w="1134" w:type="dxa"/>
            <w:tcBorders>
              <w:top w:val="single" w:sz="8" w:space="0" w:color="auto"/>
            </w:tcBorders>
            <w:shd w:val="clear" w:color="auto" w:fill="auto"/>
            <w:noWrap/>
            <w:vAlign w:val="bottom"/>
          </w:tcPr>
          <w:p w14:paraId="48957E83"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r>
      <w:tr w:rsidR="0052730F" w:rsidRPr="00191AD2" w14:paraId="0D8EC8C4" w14:textId="77777777">
        <w:trPr>
          <w:trHeight w:hRule="exact" w:val="340"/>
          <w:jc w:val="center"/>
        </w:trPr>
        <w:tc>
          <w:tcPr>
            <w:tcW w:w="1078" w:type="dxa"/>
            <w:shd w:val="clear" w:color="auto" w:fill="auto"/>
            <w:noWrap/>
            <w:vAlign w:val="bottom"/>
          </w:tcPr>
          <w:p w14:paraId="25C8882D" w14:textId="77777777" w:rsidR="0052730F" w:rsidRPr="00191AD2" w:rsidRDefault="0052730F" w:rsidP="0052730F">
            <w:pPr>
              <w:jc w:val="center"/>
              <w:rPr>
                <w:rFonts w:ascii="Times" w:hAnsi="Times"/>
                <w:sz w:val="18"/>
                <w:szCs w:val="18"/>
              </w:rPr>
            </w:pPr>
          </w:p>
        </w:tc>
        <w:tc>
          <w:tcPr>
            <w:tcW w:w="1122" w:type="dxa"/>
            <w:shd w:val="clear" w:color="auto" w:fill="auto"/>
            <w:noWrap/>
            <w:vAlign w:val="bottom"/>
          </w:tcPr>
          <w:p w14:paraId="191CFE2B" w14:textId="77777777" w:rsidR="0052730F" w:rsidRPr="00191AD2" w:rsidRDefault="0052730F" w:rsidP="0052730F">
            <w:pPr>
              <w:rPr>
                <w:rFonts w:ascii="Times" w:hAnsi="Times"/>
                <w:sz w:val="18"/>
                <w:szCs w:val="18"/>
              </w:rPr>
            </w:pPr>
            <w:r w:rsidRPr="00191AD2">
              <w:rPr>
                <w:rFonts w:ascii="Times" w:hAnsi="Times"/>
                <w:sz w:val="18"/>
                <w:szCs w:val="18"/>
              </w:rPr>
              <w:t>Population</w:t>
            </w:r>
          </w:p>
        </w:tc>
        <w:tc>
          <w:tcPr>
            <w:tcW w:w="1194" w:type="dxa"/>
            <w:shd w:val="clear" w:color="auto" w:fill="auto"/>
            <w:noWrap/>
            <w:vAlign w:val="bottom"/>
          </w:tcPr>
          <w:p w14:paraId="084F669B"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228" w:type="dxa"/>
            <w:shd w:val="clear" w:color="auto" w:fill="auto"/>
            <w:noWrap/>
            <w:vAlign w:val="bottom"/>
          </w:tcPr>
          <w:p w14:paraId="691FF783" w14:textId="77777777" w:rsidR="0052730F" w:rsidRPr="00191AD2" w:rsidRDefault="0052730F" w:rsidP="0052730F">
            <w:pPr>
              <w:jc w:val="center"/>
              <w:rPr>
                <w:rFonts w:ascii="Times" w:hAnsi="Times"/>
                <w:sz w:val="18"/>
                <w:szCs w:val="18"/>
              </w:rPr>
            </w:pPr>
          </w:p>
        </w:tc>
        <w:tc>
          <w:tcPr>
            <w:tcW w:w="1429" w:type="dxa"/>
            <w:shd w:val="clear" w:color="auto" w:fill="auto"/>
            <w:noWrap/>
            <w:vAlign w:val="bottom"/>
          </w:tcPr>
          <w:p w14:paraId="0A674711"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shd w:val="clear" w:color="auto" w:fill="auto"/>
            <w:noWrap/>
            <w:vAlign w:val="bottom"/>
          </w:tcPr>
          <w:p w14:paraId="371E0EEC"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shd w:val="clear" w:color="auto" w:fill="auto"/>
            <w:noWrap/>
            <w:vAlign w:val="bottom"/>
          </w:tcPr>
          <w:p w14:paraId="172F52F9" w14:textId="77777777" w:rsidR="0052730F" w:rsidRPr="00191AD2" w:rsidRDefault="0052730F" w:rsidP="0052730F">
            <w:pPr>
              <w:jc w:val="center"/>
              <w:rPr>
                <w:rFonts w:ascii="Times" w:hAnsi="Times"/>
                <w:sz w:val="18"/>
                <w:szCs w:val="18"/>
              </w:rPr>
            </w:pPr>
          </w:p>
        </w:tc>
      </w:tr>
      <w:tr w:rsidR="0052730F" w:rsidRPr="00191AD2" w14:paraId="522E7060" w14:textId="77777777">
        <w:trPr>
          <w:trHeight w:hRule="exact" w:val="340"/>
          <w:jc w:val="center"/>
        </w:trPr>
        <w:tc>
          <w:tcPr>
            <w:tcW w:w="1078" w:type="dxa"/>
            <w:tcBorders>
              <w:bottom w:val="single" w:sz="8" w:space="0" w:color="auto"/>
            </w:tcBorders>
            <w:shd w:val="clear" w:color="auto" w:fill="auto"/>
            <w:noWrap/>
            <w:vAlign w:val="bottom"/>
          </w:tcPr>
          <w:p w14:paraId="39B8C46C" w14:textId="77777777" w:rsidR="0052730F" w:rsidRPr="00191AD2" w:rsidRDefault="0052730F" w:rsidP="0052730F">
            <w:pPr>
              <w:jc w:val="center"/>
              <w:rPr>
                <w:rFonts w:ascii="Times" w:hAnsi="Times"/>
                <w:sz w:val="18"/>
                <w:szCs w:val="18"/>
              </w:rPr>
            </w:pPr>
          </w:p>
        </w:tc>
        <w:tc>
          <w:tcPr>
            <w:tcW w:w="1122" w:type="dxa"/>
            <w:tcBorders>
              <w:bottom w:val="single" w:sz="8" w:space="0" w:color="auto"/>
            </w:tcBorders>
            <w:shd w:val="clear" w:color="auto" w:fill="auto"/>
            <w:noWrap/>
            <w:vAlign w:val="bottom"/>
          </w:tcPr>
          <w:p w14:paraId="00542613" w14:textId="77777777" w:rsidR="0052730F" w:rsidRPr="00191AD2" w:rsidRDefault="0052730F" w:rsidP="0052730F">
            <w:pPr>
              <w:rPr>
                <w:rFonts w:ascii="Times" w:hAnsi="Times"/>
                <w:sz w:val="18"/>
                <w:szCs w:val="18"/>
              </w:rPr>
            </w:pPr>
            <w:r w:rsidRPr="00191AD2">
              <w:rPr>
                <w:rFonts w:ascii="Times" w:hAnsi="Times"/>
                <w:sz w:val="18"/>
                <w:szCs w:val="18"/>
              </w:rPr>
              <w:t>Gen * Pop</w:t>
            </w:r>
          </w:p>
        </w:tc>
        <w:tc>
          <w:tcPr>
            <w:tcW w:w="1194" w:type="dxa"/>
            <w:tcBorders>
              <w:bottom w:val="single" w:sz="8" w:space="0" w:color="auto"/>
            </w:tcBorders>
            <w:shd w:val="clear" w:color="auto" w:fill="auto"/>
            <w:noWrap/>
            <w:vAlign w:val="bottom"/>
          </w:tcPr>
          <w:p w14:paraId="37455B47" w14:textId="77777777" w:rsidR="0052730F" w:rsidRPr="00191AD2" w:rsidRDefault="0052730F" w:rsidP="0052730F">
            <w:pPr>
              <w:jc w:val="center"/>
              <w:rPr>
                <w:rFonts w:ascii="Times" w:hAnsi="Times"/>
                <w:sz w:val="18"/>
                <w:szCs w:val="18"/>
              </w:rPr>
            </w:pPr>
          </w:p>
        </w:tc>
        <w:tc>
          <w:tcPr>
            <w:tcW w:w="1228" w:type="dxa"/>
            <w:tcBorders>
              <w:bottom w:val="single" w:sz="8" w:space="0" w:color="auto"/>
            </w:tcBorders>
            <w:shd w:val="clear" w:color="auto" w:fill="auto"/>
            <w:noWrap/>
            <w:vAlign w:val="bottom"/>
          </w:tcPr>
          <w:p w14:paraId="7ACB8B5B"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429" w:type="dxa"/>
            <w:tcBorders>
              <w:bottom w:val="single" w:sz="8" w:space="0" w:color="auto"/>
            </w:tcBorders>
            <w:shd w:val="clear" w:color="auto" w:fill="auto"/>
            <w:noWrap/>
            <w:vAlign w:val="bottom"/>
          </w:tcPr>
          <w:p w14:paraId="6DAE251B"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tcBorders>
              <w:bottom w:val="single" w:sz="8" w:space="0" w:color="auto"/>
            </w:tcBorders>
            <w:shd w:val="clear" w:color="auto" w:fill="auto"/>
            <w:noWrap/>
            <w:vAlign w:val="bottom"/>
          </w:tcPr>
          <w:p w14:paraId="4CD2712C" w14:textId="77777777" w:rsidR="0052730F" w:rsidRPr="00191AD2" w:rsidRDefault="0052730F" w:rsidP="0052730F">
            <w:pPr>
              <w:jc w:val="center"/>
              <w:rPr>
                <w:rFonts w:ascii="Times" w:hAnsi="Times"/>
                <w:sz w:val="18"/>
                <w:szCs w:val="18"/>
              </w:rPr>
            </w:pPr>
          </w:p>
        </w:tc>
        <w:tc>
          <w:tcPr>
            <w:tcW w:w="1134" w:type="dxa"/>
            <w:tcBorders>
              <w:bottom w:val="single" w:sz="8" w:space="0" w:color="auto"/>
            </w:tcBorders>
            <w:shd w:val="clear" w:color="auto" w:fill="auto"/>
            <w:noWrap/>
            <w:vAlign w:val="bottom"/>
          </w:tcPr>
          <w:p w14:paraId="404C8245"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r>
      <w:tr w:rsidR="0052730F" w:rsidRPr="00191AD2" w14:paraId="7C9547A5" w14:textId="77777777">
        <w:trPr>
          <w:trHeight w:hRule="exact" w:val="340"/>
          <w:jc w:val="center"/>
        </w:trPr>
        <w:tc>
          <w:tcPr>
            <w:tcW w:w="1078" w:type="dxa"/>
            <w:vMerge w:val="restart"/>
            <w:tcBorders>
              <w:top w:val="single" w:sz="8" w:space="0" w:color="auto"/>
            </w:tcBorders>
            <w:shd w:val="clear" w:color="auto" w:fill="auto"/>
            <w:noWrap/>
            <w:vAlign w:val="bottom"/>
          </w:tcPr>
          <w:p w14:paraId="5A99EE83" w14:textId="77777777" w:rsidR="0052730F" w:rsidRPr="00191AD2" w:rsidRDefault="0052730F" w:rsidP="0052730F">
            <w:pPr>
              <w:jc w:val="center"/>
              <w:rPr>
                <w:rFonts w:ascii="Times" w:hAnsi="Times"/>
                <w:sz w:val="18"/>
                <w:szCs w:val="18"/>
              </w:rPr>
            </w:pPr>
            <w:r w:rsidRPr="00191AD2">
              <w:rPr>
                <w:rFonts w:ascii="Times" w:hAnsi="Times"/>
                <w:sz w:val="18"/>
                <w:szCs w:val="18"/>
              </w:rPr>
              <w:t>Seed per Plant</w:t>
            </w:r>
          </w:p>
        </w:tc>
        <w:tc>
          <w:tcPr>
            <w:tcW w:w="1122" w:type="dxa"/>
            <w:tcBorders>
              <w:top w:val="single" w:sz="8" w:space="0" w:color="auto"/>
            </w:tcBorders>
            <w:shd w:val="clear" w:color="auto" w:fill="auto"/>
            <w:noWrap/>
            <w:vAlign w:val="bottom"/>
          </w:tcPr>
          <w:p w14:paraId="5E5FF70C" w14:textId="77777777" w:rsidR="0052730F" w:rsidRPr="00191AD2" w:rsidRDefault="0052730F" w:rsidP="0052730F">
            <w:pPr>
              <w:rPr>
                <w:rFonts w:ascii="Times" w:hAnsi="Times"/>
                <w:sz w:val="18"/>
                <w:szCs w:val="18"/>
              </w:rPr>
            </w:pPr>
            <w:r w:rsidRPr="00191AD2">
              <w:rPr>
                <w:rFonts w:ascii="Times" w:hAnsi="Times"/>
                <w:sz w:val="18"/>
                <w:szCs w:val="18"/>
              </w:rPr>
              <w:t>Generation</w:t>
            </w:r>
          </w:p>
        </w:tc>
        <w:tc>
          <w:tcPr>
            <w:tcW w:w="1194" w:type="dxa"/>
            <w:tcBorders>
              <w:top w:val="single" w:sz="8" w:space="0" w:color="auto"/>
            </w:tcBorders>
            <w:shd w:val="clear" w:color="auto" w:fill="auto"/>
            <w:noWrap/>
            <w:vAlign w:val="bottom"/>
          </w:tcPr>
          <w:p w14:paraId="229570EF" w14:textId="77777777" w:rsidR="0052730F" w:rsidRPr="00191AD2" w:rsidRDefault="0052730F" w:rsidP="0052730F">
            <w:pPr>
              <w:jc w:val="center"/>
              <w:rPr>
                <w:rFonts w:ascii="Times" w:hAnsi="Times"/>
                <w:sz w:val="18"/>
                <w:szCs w:val="18"/>
              </w:rPr>
            </w:pPr>
          </w:p>
        </w:tc>
        <w:tc>
          <w:tcPr>
            <w:tcW w:w="1228" w:type="dxa"/>
            <w:tcBorders>
              <w:top w:val="single" w:sz="8" w:space="0" w:color="auto"/>
            </w:tcBorders>
            <w:shd w:val="clear" w:color="auto" w:fill="auto"/>
            <w:noWrap/>
            <w:vAlign w:val="bottom"/>
          </w:tcPr>
          <w:p w14:paraId="5A1A580A" w14:textId="77777777" w:rsidR="0052730F" w:rsidRPr="00191AD2" w:rsidRDefault="0052730F" w:rsidP="0052730F">
            <w:pPr>
              <w:jc w:val="center"/>
              <w:rPr>
                <w:rFonts w:ascii="Times" w:hAnsi="Times"/>
                <w:sz w:val="18"/>
                <w:szCs w:val="18"/>
              </w:rPr>
            </w:pPr>
          </w:p>
        </w:tc>
        <w:tc>
          <w:tcPr>
            <w:tcW w:w="1429" w:type="dxa"/>
            <w:tcBorders>
              <w:top w:val="single" w:sz="8" w:space="0" w:color="auto"/>
            </w:tcBorders>
            <w:shd w:val="clear" w:color="auto" w:fill="auto"/>
            <w:noWrap/>
            <w:vAlign w:val="bottom"/>
          </w:tcPr>
          <w:p w14:paraId="3FB061F5"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tcBorders>
              <w:top w:val="single" w:sz="8" w:space="0" w:color="auto"/>
            </w:tcBorders>
            <w:shd w:val="clear" w:color="auto" w:fill="auto"/>
            <w:noWrap/>
            <w:vAlign w:val="bottom"/>
          </w:tcPr>
          <w:p w14:paraId="6CAAC42D"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tcBorders>
              <w:top w:val="single" w:sz="8" w:space="0" w:color="auto"/>
            </w:tcBorders>
            <w:shd w:val="clear" w:color="auto" w:fill="auto"/>
            <w:noWrap/>
            <w:vAlign w:val="bottom"/>
          </w:tcPr>
          <w:p w14:paraId="6E34D9D2"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r>
      <w:tr w:rsidR="0052730F" w:rsidRPr="00191AD2" w14:paraId="4DFA1962" w14:textId="77777777">
        <w:trPr>
          <w:trHeight w:hRule="exact" w:val="340"/>
          <w:jc w:val="center"/>
        </w:trPr>
        <w:tc>
          <w:tcPr>
            <w:tcW w:w="1078" w:type="dxa"/>
            <w:vMerge/>
            <w:shd w:val="clear" w:color="auto" w:fill="auto"/>
            <w:noWrap/>
            <w:vAlign w:val="bottom"/>
          </w:tcPr>
          <w:p w14:paraId="05EA769D" w14:textId="77777777" w:rsidR="0052730F" w:rsidRPr="00191AD2" w:rsidRDefault="0052730F" w:rsidP="0052730F">
            <w:pPr>
              <w:jc w:val="center"/>
              <w:rPr>
                <w:rFonts w:ascii="Times" w:hAnsi="Times"/>
                <w:sz w:val="18"/>
                <w:szCs w:val="18"/>
              </w:rPr>
            </w:pPr>
          </w:p>
        </w:tc>
        <w:tc>
          <w:tcPr>
            <w:tcW w:w="1122" w:type="dxa"/>
            <w:shd w:val="clear" w:color="auto" w:fill="auto"/>
            <w:noWrap/>
            <w:vAlign w:val="bottom"/>
          </w:tcPr>
          <w:p w14:paraId="0ED50748" w14:textId="77777777" w:rsidR="0052730F" w:rsidRPr="00191AD2" w:rsidRDefault="0052730F" w:rsidP="0052730F">
            <w:pPr>
              <w:rPr>
                <w:rFonts w:ascii="Times" w:hAnsi="Times"/>
                <w:sz w:val="18"/>
                <w:szCs w:val="18"/>
              </w:rPr>
            </w:pPr>
            <w:r w:rsidRPr="00191AD2">
              <w:rPr>
                <w:rFonts w:ascii="Times" w:hAnsi="Times"/>
                <w:sz w:val="18"/>
                <w:szCs w:val="18"/>
              </w:rPr>
              <w:t>Population</w:t>
            </w:r>
          </w:p>
        </w:tc>
        <w:tc>
          <w:tcPr>
            <w:tcW w:w="1194" w:type="dxa"/>
            <w:shd w:val="clear" w:color="auto" w:fill="auto"/>
            <w:noWrap/>
            <w:vAlign w:val="bottom"/>
          </w:tcPr>
          <w:p w14:paraId="1D850902"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228" w:type="dxa"/>
            <w:shd w:val="clear" w:color="auto" w:fill="auto"/>
            <w:noWrap/>
            <w:vAlign w:val="bottom"/>
          </w:tcPr>
          <w:p w14:paraId="13B75FE1"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429" w:type="dxa"/>
            <w:shd w:val="clear" w:color="auto" w:fill="auto"/>
            <w:noWrap/>
            <w:vAlign w:val="bottom"/>
          </w:tcPr>
          <w:p w14:paraId="7CE5FF85"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shd w:val="clear" w:color="auto" w:fill="auto"/>
            <w:noWrap/>
            <w:vAlign w:val="bottom"/>
          </w:tcPr>
          <w:p w14:paraId="1E8887C8" w14:textId="77777777" w:rsidR="0052730F" w:rsidRPr="00191AD2" w:rsidRDefault="0052730F" w:rsidP="0052730F">
            <w:pPr>
              <w:jc w:val="center"/>
              <w:rPr>
                <w:rFonts w:ascii="Times" w:hAnsi="Times"/>
                <w:sz w:val="18"/>
                <w:szCs w:val="18"/>
              </w:rPr>
            </w:pPr>
          </w:p>
        </w:tc>
        <w:tc>
          <w:tcPr>
            <w:tcW w:w="1134" w:type="dxa"/>
            <w:shd w:val="clear" w:color="auto" w:fill="auto"/>
            <w:noWrap/>
            <w:vAlign w:val="bottom"/>
          </w:tcPr>
          <w:p w14:paraId="76CDBDDF" w14:textId="77777777" w:rsidR="0052730F" w:rsidRPr="00191AD2" w:rsidRDefault="0052730F" w:rsidP="0052730F">
            <w:pPr>
              <w:jc w:val="center"/>
              <w:rPr>
                <w:rFonts w:ascii="Times" w:hAnsi="Times"/>
                <w:sz w:val="18"/>
                <w:szCs w:val="18"/>
              </w:rPr>
            </w:pPr>
          </w:p>
        </w:tc>
      </w:tr>
      <w:tr w:rsidR="0052730F" w:rsidRPr="00191AD2" w14:paraId="28D21CE7" w14:textId="77777777">
        <w:trPr>
          <w:trHeight w:hRule="exact" w:val="340"/>
          <w:jc w:val="center"/>
        </w:trPr>
        <w:tc>
          <w:tcPr>
            <w:tcW w:w="1078" w:type="dxa"/>
            <w:tcBorders>
              <w:bottom w:val="single" w:sz="8" w:space="0" w:color="auto"/>
            </w:tcBorders>
            <w:shd w:val="clear" w:color="auto" w:fill="auto"/>
            <w:noWrap/>
            <w:vAlign w:val="bottom"/>
          </w:tcPr>
          <w:p w14:paraId="0EACAABB" w14:textId="77777777" w:rsidR="0052730F" w:rsidRPr="00191AD2" w:rsidRDefault="0052730F" w:rsidP="0052730F">
            <w:pPr>
              <w:jc w:val="center"/>
              <w:rPr>
                <w:rFonts w:ascii="Times" w:hAnsi="Times"/>
                <w:sz w:val="18"/>
                <w:szCs w:val="18"/>
              </w:rPr>
            </w:pPr>
          </w:p>
        </w:tc>
        <w:tc>
          <w:tcPr>
            <w:tcW w:w="1122" w:type="dxa"/>
            <w:tcBorders>
              <w:bottom w:val="single" w:sz="8" w:space="0" w:color="auto"/>
            </w:tcBorders>
            <w:shd w:val="clear" w:color="auto" w:fill="auto"/>
            <w:noWrap/>
            <w:vAlign w:val="bottom"/>
          </w:tcPr>
          <w:p w14:paraId="111E9184" w14:textId="77777777" w:rsidR="0052730F" w:rsidRPr="00191AD2" w:rsidRDefault="0052730F" w:rsidP="0052730F">
            <w:pPr>
              <w:rPr>
                <w:rFonts w:ascii="Times" w:hAnsi="Times"/>
                <w:sz w:val="18"/>
                <w:szCs w:val="18"/>
              </w:rPr>
            </w:pPr>
            <w:r w:rsidRPr="00191AD2">
              <w:rPr>
                <w:rFonts w:ascii="Times" w:hAnsi="Times"/>
                <w:sz w:val="18"/>
                <w:szCs w:val="18"/>
              </w:rPr>
              <w:t>Gen * Pop</w:t>
            </w:r>
          </w:p>
        </w:tc>
        <w:tc>
          <w:tcPr>
            <w:tcW w:w="1194" w:type="dxa"/>
            <w:tcBorders>
              <w:bottom w:val="single" w:sz="8" w:space="0" w:color="auto"/>
            </w:tcBorders>
            <w:shd w:val="clear" w:color="auto" w:fill="auto"/>
            <w:noWrap/>
            <w:vAlign w:val="bottom"/>
          </w:tcPr>
          <w:p w14:paraId="5CC136AA" w14:textId="77777777" w:rsidR="0052730F" w:rsidRPr="00191AD2" w:rsidRDefault="0052730F" w:rsidP="0052730F">
            <w:pPr>
              <w:jc w:val="center"/>
              <w:rPr>
                <w:rFonts w:ascii="Times" w:hAnsi="Times"/>
                <w:sz w:val="18"/>
                <w:szCs w:val="18"/>
              </w:rPr>
            </w:pPr>
          </w:p>
        </w:tc>
        <w:tc>
          <w:tcPr>
            <w:tcW w:w="1228" w:type="dxa"/>
            <w:tcBorders>
              <w:bottom w:val="single" w:sz="8" w:space="0" w:color="auto"/>
            </w:tcBorders>
            <w:shd w:val="clear" w:color="auto" w:fill="auto"/>
            <w:noWrap/>
            <w:vAlign w:val="bottom"/>
          </w:tcPr>
          <w:p w14:paraId="7B5AFD0F"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429" w:type="dxa"/>
            <w:tcBorders>
              <w:bottom w:val="single" w:sz="8" w:space="0" w:color="auto"/>
            </w:tcBorders>
            <w:shd w:val="clear" w:color="auto" w:fill="auto"/>
            <w:noWrap/>
            <w:vAlign w:val="bottom"/>
          </w:tcPr>
          <w:p w14:paraId="6CAB1877"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tcBorders>
              <w:bottom w:val="single" w:sz="8" w:space="0" w:color="auto"/>
            </w:tcBorders>
            <w:shd w:val="clear" w:color="auto" w:fill="auto"/>
            <w:noWrap/>
            <w:vAlign w:val="bottom"/>
          </w:tcPr>
          <w:p w14:paraId="7AD67C59"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tcBorders>
              <w:bottom w:val="single" w:sz="8" w:space="0" w:color="auto"/>
            </w:tcBorders>
            <w:shd w:val="clear" w:color="auto" w:fill="auto"/>
            <w:noWrap/>
            <w:vAlign w:val="bottom"/>
          </w:tcPr>
          <w:p w14:paraId="116D4A8F" w14:textId="77777777" w:rsidR="0052730F" w:rsidRPr="00191AD2" w:rsidRDefault="0052730F" w:rsidP="0052730F">
            <w:pPr>
              <w:jc w:val="center"/>
              <w:rPr>
                <w:rFonts w:ascii="Times" w:hAnsi="Times"/>
                <w:sz w:val="18"/>
                <w:szCs w:val="18"/>
              </w:rPr>
            </w:pPr>
          </w:p>
        </w:tc>
      </w:tr>
      <w:tr w:rsidR="0052730F" w:rsidRPr="00191AD2" w14:paraId="0C49173E" w14:textId="77777777">
        <w:trPr>
          <w:trHeight w:hRule="exact" w:val="340"/>
          <w:jc w:val="center"/>
        </w:trPr>
        <w:tc>
          <w:tcPr>
            <w:tcW w:w="1078" w:type="dxa"/>
            <w:vMerge w:val="restart"/>
            <w:tcBorders>
              <w:top w:val="single" w:sz="8" w:space="0" w:color="auto"/>
            </w:tcBorders>
            <w:shd w:val="clear" w:color="auto" w:fill="auto"/>
            <w:noWrap/>
            <w:vAlign w:val="bottom"/>
          </w:tcPr>
          <w:p w14:paraId="1FAB924D" w14:textId="77777777" w:rsidR="0052730F" w:rsidRPr="00191AD2" w:rsidRDefault="0052730F" w:rsidP="0052730F">
            <w:pPr>
              <w:jc w:val="center"/>
              <w:rPr>
                <w:rFonts w:ascii="Times" w:hAnsi="Times"/>
                <w:sz w:val="18"/>
                <w:szCs w:val="18"/>
              </w:rPr>
            </w:pPr>
            <w:r w:rsidRPr="00191AD2">
              <w:rPr>
                <w:rFonts w:ascii="Times" w:hAnsi="Times"/>
                <w:sz w:val="18"/>
                <w:szCs w:val="18"/>
              </w:rPr>
              <w:t>Seed per Fruit</w:t>
            </w:r>
          </w:p>
        </w:tc>
        <w:tc>
          <w:tcPr>
            <w:tcW w:w="1122" w:type="dxa"/>
            <w:tcBorders>
              <w:top w:val="single" w:sz="8" w:space="0" w:color="auto"/>
            </w:tcBorders>
            <w:shd w:val="clear" w:color="auto" w:fill="auto"/>
            <w:noWrap/>
            <w:vAlign w:val="bottom"/>
          </w:tcPr>
          <w:p w14:paraId="14185949" w14:textId="77777777" w:rsidR="0052730F" w:rsidRPr="00191AD2" w:rsidRDefault="0052730F" w:rsidP="0052730F">
            <w:pPr>
              <w:rPr>
                <w:rFonts w:ascii="Times" w:hAnsi="Times"/>
                <w:sz w:val="18"/>
                <w:szCs w:val="18"/>
              </w:rPr>
            </w:pPr>
            <w:r w:rsidRPr="00191AD2">
              <w:rPr>
                <w:rFonts w:ascii="Times" w:hAnsi="Times"/>
                <w:sz w:val="18"/>
                <w:szCs w:val="18"/>
              </w:rPr>
              <w:t>Generation</w:t>
            </w:r>
          </w:p>
        </w:tc>
        <w:tc>
          <w:tcPr>
            <w:tcW w:w="1194" w:type="dxa"/>
            <w:tcBorders>
              <w:top w:val="single" w:sz="8" w:space="0" w:color="auto"/>
            </w:tcBorders>
            <w:shd w:val="clear" w:color="auto" w:fill="auto"/>
            <w:noWrap/>
            <w:vAlign w:val="bottom"/>
          </w:tcPr>
          <w:p w14:paraId="0525F9AC" w14:textId="77777777" w:rsidR="0052730F" w:rsidRPr="00191AD2" w:rsidRDefault="0052730F" w:rsidP="0052730F">
            <w:pPr>
              <w:jc w:val="center"/>
              <w:rPr>
                <w:rFonts w:ascii="Times" w:hAnsi="Times"/>
                <w:sz w:val="18"/>
                <w:szCs w:val="18"/>
              </w:rPr>
            </w:pPr>
          </w:p>
        </w:tc>
        <w:tc>
          <w:tcPr>
            <w:tcW w:w="1228" w:type="dxa"/>
            <w:tcBorders>
              <w:top w:val="single" w:sz="8" w:space="0" w:color="auto"/>
            </w:tcBorders>
            <w:shd w:val="clear" w:color="auto" w:fill="auto"/>
            <w:noWrap/>
            <w:vAlign w:val="bottom"/>
          </w:tcPr>
          <w:p w14:paraId="1CE7FF26" w14:textId="77777777" w:rsidR="0052730F" w:rsidRPr="00191AD2" w:rsidRDefault="0052730F" w:rsidP="0052730F">
            <w:pPr>
              <w:jc w:val="center"/>
              <w:rPr>
                <w:rFonts w:ascii="Times" w:hAnsi="Times"/>
                <w:sz w:val="18"/>
                <w:szCs w:val="18"/>
              </w:rPr>
            </w:pPr>
          </w:p>
        </w:tc>
        <w:tc>
          <w:tcPr>
            <w:tcW w:w="1429" w:type="dxa"/>
            <w:tcBorders>
              <w:top w:val="single" w:sz="8" w:space="0" w:color="auto"/>
            </w:tcBorders>
            <w:shd w:val="clear" w:color="auto" w:fill="auto"/>
            <w:noWrap/>
            <w:vAlign w:val="bottom"/>
          </w:tcPr>
          <w:p w14:paraId="0B34091C"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tcBorders>
              <w:top w:val="single" w:sz="8" w:space="0" w:color="auto"/>
            </w:tcBorders>
            <w:shd w:val="clear" w:color="auto" w:fill="auto"/>
            <w:noWrap/>
            <w:vAlign w:val="bottom"/>
          </w:tcPr>
          <w:p w14:paraId="664E2267"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tcBorders>
              <w:top w:val="single" w:sz="8" w:space="0" w:color="auto"/>
            </w:tcBorders>
            <w:shd w:val="clear" w:color="auto" w:fill="auto"/>
            <w:noWrap/>
            <w:vAlign w:val="bottom"/>
          </w:tcPr>
          <w:p w14:paraId="5E8AC233" w14:textId="77777777" w:rsidR="0052730F" w:rsidRPr="00191AD2" w:rsidRDefault="0052730F" w:rsidP="0052730F">
            <w:pPr>
              <w:jc w:val="center"/>
              <w:rPr>
                <w:rFonts w:ascii="Times" w:hAnsi="Times"/>
                <w:sz w:val="18"/>
                <w:szCs w:val="18"/>
              </w:rPr>
            </w:pPr>
          </w:p>
        </w:tc>
      </w:tr>
      <w:tr w:rsidR="0052730F" w:rsidRPr="00191AD2" w14:paraId="372BF2B3" w14:textId="77777777">
        <w:trPr>
          <w:trHeight w:hRule="exact" w:val="340"/>
          <w:jc w:val="center"/>
        </w:trPr>
        <w:tc>
          <w:tcPr>
            <w:tcW w:w="1078" w:type="dxa"/>
            <w:vMerge/>
            <w:shd w:val="clear" w:color="auto" w:fill="auto"/>
            <w:noWrap/>
            <w:vAlign w:val="bottom"/>
          </w:tcPr>
          <w:p w14:paraId="6B0D4A89" w14:textId="77777777" w:rsidR="0052730F" w:rsidRPr="00191AD2" w:rsidRDefault="0052730F" w:rsidP="0052730F">
            <w:pPr>
              <w:jc w:val="center"/>
              <w:rPr>
                <w:rFonts w:ascii="Times" w:hAnsi="Times"/>
                <w:sz w:val="18"/>
                <w:szCs w:val="18"/>
              </w:rPr>
            </w:pPr>
          </w:p>
        </w:tc>
        <w:tc>
          <w:tcPr>
            <w:tcW w:w="1122" w:type="dxa"/>
            <w:shd w:val="clear" w:color="auto" w:fill="auto"/>
            <w:noWrap/>
            <w:vAlign w:val="bottom"/>
          </w:tcPr>
          <w:p w14:paraId="77F15FA1" w14:textId="77777777" w:rsidR="0052730F" w:rsidRPr="00191AD2" w:rsidRDefault="0052730F" w:rsidP="0052730F">
            <w:pPr>
              <w:rPr>
                <w:rFonts w:ascii="Times" w:hAnsi="Times"/>
                <w:sz w:val="18"/>
                <w:szCs w:val="18"/>
              </w:rPr>
            </w:pPr>
            <w:r w:rsidRPr="00191AD2">
              <w:rPr>
                <w:rFonts w:ascii="Times" w:hAnsi="Times"/>
                <w:sz w:val="18"/>
                <w:szCs w:val="18"/>
              </w:rPr>
              <w:t>Population</w:t>
            </w:r>
          </w:p>
        </w:tc>
        <w:tc>
          <w:tcPr>
            <w:tcW w:w="1194" w:type="dxa"/>
            <w:shd w:val="clear" w:color="auto" w:fill="auto"/>
            <w:noWrap/>
            <w:vAlign w:val="bottom"/>
          </w:tcPr>
          <w:p w14:paraId="01EE990E"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228" w:type="dxa"/>
            <w:shd w:val="clear" w:color="auto" w:fill="auto"/>
            <w:noWrap/>
            <w:vAlign w:val="bottom"/>
          </w:tcPr>
          <w:p w14:paraId="3972616A"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429" w:type="dxa"/>
            <w:shd w:val="clear" w:color="auto" w:fill="auto"/>
            <w:noWrap/>
            <w:vAlign w:val="bottom"/>
          </w:tcPr>
          <w:p w14:paraId="740FE33E"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shd w:val="clear" w:color="auto" w:fill="auto"/>
            <w:noWrap/>
            <w:vAlign w:val="bottom"/>
          </w:tcPr>
          <w:p w14:paraId="208DBA29" w14:textId="77777777" w:rsidR="0052730F" w:rsidRPr="00191AD2" w:rsidRDefault="0052730F" w:rsidP="0052730F">
            <w:pPr>
              <w:jc w:val="center"/>
              <w:rPr>
                <w:rFonts w:ascii="Times" w:hAnsi="Times"/>
                <w:sz w:val="18"/>
                <w:szCs w:val="18"/>
              </w:rPr>
            </w:pPr>
          </w:p>
        </w:tc>
        <w:tc>
          <w:tcPr>
            <w:tcW w:w="1134" w:type="dxa"/>
            <w:shd w:val="clear" w:color="auto" w:fill="auto"/>
            <w:noWrap/>
            <w:vAlign w:val="bottom"/>
          </w:tcPr>
          <w:p w14:paraId="782B7B73" w14:textId="77777777" w:rsidR="0052730F" w:rsidRPr="00191AD2" w:rsidRDefault="0052730F" w:rsidP="0052730F">
            <w:pPr>
              <w:jc w:val="center"/>
              <w:rPr>
                <w:rFonts w:ascii="Times" w:hAnsi="Times"/>
                <w:sz w:val="18"/>
                <w:szCs w:val="18"/>
              </w:rPr>
            </w:pPr>
          </w:p>
        </w:tc>
      </w:tr>
      <w:tr w:rsidR="0052730F" w:rsidRPr="00191AD2" w14:paraId="16F68D58" w14:textId="77777777">
        <w:trPr>
          <w:trHeight w:hRule="exact" w:val="340"/>
          <w:jc w:val="center"/>
        </w:trPr>
        <w:tc>
          <w:tcPr>
            <w:tcW w:w="1078" w:type="dxa"/>
            <w:tcBorders>
              <w:bottom w:val="single" w:sz="8" w:space="0" w:color="auto"/>
            </w:tcBorders>
            <w:shd w:val="clear" w:color="auto" w:fill="auto"/>
            <w:noWrap/>
            <w:vAlign w:val="bottom"/>
          </w:tcPr>
          <w:p w14:paraId="2C0A83B0" w14:textId="77777777" w:rsidR="0052730F" w:rsidRPr="00191AD2" w:rsidRDefault="0052730F" w:rsidP="0052730F">
            <w:pPr>
              <w:jc w:val="center"/>
              <w:rPr>
                <w:rFonts w:ascii="Times" w:hAnsi="Times"/>
                <w:sz w:val="18"/>
                <w:szCs w:val="18"/>
              </w:rPr>
            </w:pPr>
          </w:p>
        </w:tc>
        <w:tc>
          <w:tcPr>
            <w:tcW w:w="1122" w:type="dxa"/>
            <w:tcBorders>
              <w:bottom w:val="single" w:sz="8" w:space="0" w:color="auto"/>
            </w:tcBorders>
            <w:shd w:val="clear" w:color="auto" w:fill="auto"/>
            <w:noWrap/>
            <w:vAlign w:val="bottom"/>
          </w:tcPr>
          <w:p w14:paraId="2A6AB56E" w14:textId="77777777" w:rsidR="0052730F" w:rsidRPr="00191AD2" w:rsidRDefault="0052730F" w:rsidP="0052730F">
            <w:pPr>
              <w:rPr>
                <w:rFonts w:ascii="Times" w:hAnsi="Times"/>
                <w:sz w:val="18"/>
                <w:szCs w:val="18"/>
              </w:rPr>
            </w:pPr>
            <w:r w:rsidRPr="00191AD2">
              <w:rPr>
                <w:rFonts w:ascii="Times" w:hAnsi="Times"/>
                <w:sz w:val="18"/>
                <w:szCs w:val="18"/>
              </w:rPr>
              <w:t>Gen * Pop</w:t>
            </w:r>
          </w:p>
        </w:tc>
        <w:tc>
          <w:tcPr>
            <w:tcW w:w="1194" w:type="dxa"/>
            <w:tcBorders>
              <w:bottom w:val="single" w:sz="8" w:space="0" w:color="auto"/>
            </w:tcBorders>
            <w:shd w:val="clear" w:color="auto" w:fill="auto"/>
            <w:noWrap/>
            <w:vAlign w:val="bottom"/>
          </w:tcPr>
          <w:p w14:paraId="5ABF032B" w14:textId="77777777" w:rsidR="0052730F" w:rsidRPr="00191AD2" w:rsidRDefault="0052730F" w:rsidP="0052730F">
            <w:pPr>
              <w:jc w:val="center"/>
              <w:rPr>
                <w:rFonts w:ascii="Times" w:hAnsi="Times"/>
                <w:sz w:val="18"/>
                <w:szCs w:val="18"/>
              </w:rPr>
            </w:pPr>
          </w:p>
        </w:tc>
        <w:tc>
          <w:tcPr>
            <w:tcW w:w="1228" w:type="dxa"/>
            <w:tcBorders>
              <w:bottom w:val="single" w:sz="8" w:space="0" w:color="auto"/>
            </w:tcBorders>
            <w:shd w:val="clear" w:color="auto" w:fill="auto"/>
            <w:noWrap/>
            <w:vAlign w:val="bottom"/>
          </w:tcPr>
          <w:p w14:paraId="6CE96A07" w14:textId="77777777" w:rsidR="0052730F" w:rsidRPr="00191AD2" w:rsidRDefault="0052730F" w:rsidP="0052730F">
            <w:pPr>
              <w:jc w:val="center"/>
              <w:rPr>
                <w:rFonts w:ascii="Times" w:hAnsi="Times"/>
                <w:sz w:val="18"/>
                <w:szCs w:val="18"/>
              </w:rPr>
            </w:pPr>
          </w:p>
        </w:tc>
        <w:tc>
          <w:tcPr>
            <w:tcW w:w="1429" w:type="dxa"/>
            <w:tcBorders>
              <w:bottom w:val="single" w:sz="8" w:space="0" w:color="auto"/>
            </w:tcBorders>
            <w:shd w:val="clear" w:color="auto" w:fill="auto"/>
            <w:noWrap/>
            <w:vAlign w:val="bottom"/>
          </w:tcPr>
          <w:p w14:paraId="51956D7A"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tcBorders>
              <w:bottom w:val="single" w:sz="8" w:space="0" w:color="auto"/>
            </w:tcBorders>
            <w:shd w:val="clear" w:color="auto" w:fill="auto"/>
            <w:noWrap/>
            <w:vAlign w:val="bottom"/>
          </w:tcPr>
          <w:p w14:paraId="6C95C08D" w14:textId="77777777" w:rsidR="0052730F" w:rsidRPr="00191AD2" w:rsidRDefault="0052730F" w:rsidP="0052730F">
            <w:pPr>
              <w:jc w:val="center"/>
              <w:rPr>
                <w:rFonts w:ascii="Times" w:hAnsi="Times"/>
                <w:sz w:val="18"/>
                <w:szCs w:val="18"/>
              </w:rPr>
            </w:pPr>
          </w:p>
        </w:tc>
        <w:tc>
          <w:tcPr>
            <w:tcW w:w="1134" w:type="dxa"/>
            <w:tcBorders>
              <w:bottom w:val="single" w:sz="8" w:space="0" w:color="auto"/>
            </w:tcBorders>
            <w:shd w:val="clear" w:color="auto" w:fill="auto"/>
            <w:noWrap/>
            <w:vAlign w:val="bottom"/>
          </w:tcPr>
          <w:p w14:paraId="4808DC41" w14:textId="77777777" w:rsidR="0052730F" w:rsidRPr="00191AD2" w:rsidRDefault="0052730F" w:rsidP="0052730F">
            <w:pPr>
              <w:jc w:val="center"/>
              <w:rPr>
                <w:rFonts w:ascii="Times" w:hAnsi="Times"/>
                <w:sz w:val="18"/>
                <w:szCs w:val="18"/>
              </w:rPr>
            </w:pPr>
          </w:p>
        </w:tc>
      </w:tr>
      <w:tr w:rsidR="0052730F" w:rsidRPr="00191AD2" w14:paraId="30AA45FD" w14:textId="77777777">
        <w:trPr>
          <w:trHeight w:hRule="exact" w:val="340"/>
          <w:jc w:val="center"/>
        </w:trPr>
        <w:tc>
          <w:tcPr>
            <w:tcW w:w="1078" w:type="dxa"/>
            <w:vMerge w:val="restart"/>
            <w:tcBorders>
              <w:top w:val="single" w:sz="8" w:space="0" w:color="auto"/>
            </w:tcBorders>
            <w:shd w:val="clear" w:color="auto" w:fill="auto"/>
            <w:noWrap/>
            <w:vAlign w:val="bottom"/>
          </w:tcPr>
          <w:p w14:paraId="0B9939BF" w14:textId="77777777" w:rsidR="0052730F" w:rsidRPr="00191AD2" w:rsidRDefault="0052730F" w:rsidP="0052730F">
            <w:pPr>
              <w:jc w:val="center"/>
              <w:rPr>
                <w:rFonts w:ascii="Times" w:hAnsi="Times"/>
                <w:sz w:val="18"/>
                <w:szCs w:val="18"/>
              </w:rPr>
            </w:pPr>
            <w:r w:rsidRPr="00191AD2">
              <w:rPr>
                <w:rFonts w:ascii="Times" w:hAnsi="Times"/>
                <w:sz w:val="18"/>
                <w:szCs w:val="18"/>
              </w:rPr>
              <w:t>Final Height</w:t>
            </w:r>
          </w:p>
        </w:tc>
        <w:tc>
          <w:tcPr>
            <w:tcW w:w="1122" w:type="dxa"/>
            <w:tcBorders>
              <w:top w:val="single" w:sz="8" w:space="0" w:color="auto"/>
            </w:tcBorders>
            <w:shd w:val="clear" w:color="auto" w:fill="auto"/>
            <w:noWrap/>
            <w:vAlign w:val="bottom"/>
          </w:tcPr>
          <w:p w14:paraId="10490086" w14:textId="77777777" w:rsidR="0052730F" w:rsidRPr="00191AD2" w:rsidRDefault="0052730F" w:rsidP="0052730F">
            <w:pPr>
              <w:rPr>
                <w:rFonts w:ascii="Times" w:hAnsi="Times"/>
                <w:sz w:val="18"/>
                <w:szCs w:val="18"/>
              </w:rPr>
            </w:pPr>
            <w:r w:rsidRPr="00191AD2">
              <w:rPr>
                <w:rFonts w:ascii="Times" w:hAnsi="Times"/>
                <w:sz w:val="18"/>
                <w:szCs w:val="18"/>
              </w:rPr>
              <w:t>Generation</w:t>
            </w:r>
          </w:p>
        </w:tc>
        <w:tc>
          <w:tcPr>
            <w:tcW w:w="1194" w:type="dxa"/>
            <w:tcBorders>
              <w:top w:val="single" w:sz="8" w:space="0" w:color="auto"/>
            </w:tcBorders>
            <w:shd w:val="clear" w:color="auto" w:fill="auto"/>
            <w:noWrap/>
            <w:vAlign w:val="bottom"/>
          </w:tcPr>
          <w:p w14:paraId="5BA5C7A1" w14:textId="77777777" w:rsidR="0052730F" w:rsidRPr="00191AD2" w:rsidRDefault="0052730F" w:rsidP="0052730F">
            <w:pPr>
              <w:jc w:val="center"/>
              <w:rPr>
                <w:rFonts w:ascii="Times" w:hAnsi="Times"/>
                <w:sz w:val="18"/>
                <w:szCs w:val="18"/>
              </w:rPr>
            </w:pPr>
          </w:p>
        </w:tc>
        <w:tc>
          <w:tcPr>
            <w:tcW w:w="1228" w:type="dxa"/>
            <w:tcBorders>
              <w:top w:val="single" w:sz="8" w:space="0" w:color="auto"/>
            </w:tcBorders>
            <w:shd w:val="clear" w:color="auto" w:fill="auto"/>
            <w:noWrap/>
            <w:vAlign w:val="bottom"/>
          </w:tcPr>
          <w:p w14:paraId="01E8591D" w14:textId="77777777" w:rsidR="0052730F" w:rsidRPr="00191AD2" w:rsidRDefault="0052730F" w:rsidP="0052730F">
            <w:pPr>
              <w:jc w:val="center"/>
              <w:rPr>
                <w:rFonts w:ascii="Times" w:hAnsi="Times"/>
                <w:sz w:val="18"/>
                <w:szCs w:val="18"/>
              </w:rPr>
            </w:pPr>
          </w:p>
        </w:tc>
        <w:tc>
          <w:tcPr>
            <w:tcW w:w="1429" w:type="dxa"/>
            <w:tcBorders>
              <w:top w:val="single" w:sz="8" w:space="0" w:color="auto"/>
            </w:tcBorders>
            <w:shd w:val="clear" w:color="auto" w:fill="auto"/>
            <w:noWrap/>
            <w:vAlign w:val="bottom"/>
          </w:tcPr>
          <w:p w14:paraId="49AF570C"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tcBorders>
              <w:top w:val="single" w:sz="8" w:space="0" w:color="auto"/>
            </w:tcBorders>
            <w:shd w:val="clear" w:color="auto" w:fill="auto"/>
            <w:noWrap/>
            <w:vAlign w:val="bottom"/>
          </w:tcPr>
          <w:p w14:paraId="66AB32F6" w14:textId="77777777" w:rsidR="0052730F" w:rsidRPr="00191AD2" w:rsidRDefault="0052730F" w:rsidP="0052730F">
            <w:pPr>
              <w:jc w:val="center"/>
              <w:rPr>
                <w:rFonts w:ascii="Times" w:hAnsi="Times"/>
                <w:sz w:val="18"/>
                <w:szCs w:val="18"/>
              </w:rPr>
            </w:pPr>
          </w:p>
        </w:tc>
        <w:tc>
          <w:tcPr>
            <w:tcW w:w="1134" w:type="dxa"/>
            <w:tcBorders>
              <w:top w:val="single" w:sz="8" w:space="0" w:color="auto"/>
            </w:tcBorders>
            <w:shd w:val="clear" w:color="auto" w:fill="auto"/>
            <w:noWrap/>
            <w:vAlign w:val="bottom"/>
          </w:tcPr>
          <w:p w14:paraId="50CF02C6" w14:textId="77777777" w:rsidR="0052730F" w:rsidRPr="00191AD2" w:rsidRDefault="0052730F" w:rsidP="0052730F">
            <w:pPr>
              <w:jc w:val="center"/>
              <w:rPr>
                <w:rFonts w:ascii="Times" w:hAnsi="Times"/>
                <w:sz w:val="18"/>
                <w:szCs w:val="18"/>
              </w:rPr>
            </w:pPr>
          </w:p>
        </w:tc>
      </w:tr>
      <w:tr w:rsidR="0052730F" w:rsidRPr="00191AD2" w14:paraId="1B86988B" w14:textId="77777777">
        <w:trPr>
          <w:trHeight w:hRule="exact" w:val="340"/>
          <w:jc w:val="center"/>
        </w:trPr>
        <w:tc>
          <w:tcPr>
            <w:tcW w:w="1078" w:type="dxa"/>
            <w:vMerge/>
            <w:shd w:val="clear" w:color="auto" w:fill="auto"/>
            <w:noWrap/>
            <w:vAlign w:val="bottom"/>
          </w:tcPr>
          <w:p w14:paraId="0F4BCF82" w14:textId="77777777" w:rsidR="0052730F" w:rsidRPr="00191AD2" w:rsidRDefault="0052730F" w:rsidP="0052730F">
            <w:pPr>
              <w:jc w:val="center"/>
              <w:rPr>
                <w:rFonts w:ascii="Times" w:hAnsi="Times"/>
                <w:sz w:val="18"/>
                <w:szCs w:val="18"/>
              </w:rPr>
            </w:pPr>
          </w:p>
        </w:tc>
        <w:tc>
          <w:tcPr>
            <w:tcW w:w="1122" w:type="dxa"/>
            <w:shd w:val="clear" w:color="auto" w:fill="auto"/>
            <w:noWrap/>
            <w:vAlign w:val="bottom"/>
          </w:tcPr>
          <w:p w14:paraId="6A646479" w14:textId="77777777" w:rsidR="0052730F" w:rsidRPr="00191AD2" w:rsidRDefault="0052730F" w:rsidP="0052730F">
            <w:pPr>
              <w:rPr>
                <w:rFonts w:ascii="Times" w:hAnsi="Times"/>
                <w:sz w:val="18"/>
                <w:szCs w:val="18"/>
              </w:rPr>
            </w:pPr>
            <w:r w:rsidRPr="00191AD2">
              <w:rPr>
                <w:rFonts w:ascii="Times" w:hAnsi="Times"/>
                <w:sz w:val="18"/>
                <w:szCs w:val="18"/>
              </w:rPr>
              <w:t>Population</w:t>
            </w:r>
          </w:p>
        </w:tc>
        <w:tc>
          <w:tcPr>
            <w:tcW w:w="1194" w:type="dxa"/>
            <w:shd w:val="clear" w:color="auto" w:fill="auto"/>
            <w:noWrap/>
            <w:vAlign w:val="bottom"/>
          </w:tcPr>
          <w:p w14:paraId="286F6347"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228" w:type="dxa"/>
            <w:shd w:val="clear" w:color="auto" w:fill="auto"/>
            <w:noWrap/>
            <w:vAlign w:val="bottom"/>
          </w:tcPr>
          <w:p w14:paraId="54407528"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429" w:type="dxa"/>
            <w:shd w:val="clear" w:color="auto" w:fill="auto"/>
            <w:noWrap/>
            <w:vAlign w:val="bottom"/>
          </w:tcPr>
          <w:p w14:paraId="47DB5B9E"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shd w:val="clear" w:color="auto" w:fill="auto"/>
            <w:noWrap/>
            <w:vAlign w:val="bottom"/>
          </w:tcPr>
          <w:p w14:paraId="45569F4E" w14:textId="77777777" w:rsidR="0052730F" w:rsidRPr="00191AD2" w:rsidRDefault="0052730F" w:rsidP="0052730F">
            <w:pPr>
              <w:jc w:val="center"/>
              <w:rPr>
                <w:rFonts w:ascii="Times" w:hAnsi="Times"/>
                <w:sz w:val="18"/>
                <w:szCs w:val="18"/>
              </w:rPr>
            </w:pPr>
          </w:p>
        </w:tc>
        <w:tc>
          <w:tcPr>
            <w:tcW w:w="1134" w:type="dxa"/>
            <w:shd w:val="clear" w:color="auto" w:fill="auto"/>
            <w:noWrap/>
            <w:vAlign w:val="bottom"/>
          </w:tcPr>
          <w:p w14:paraId="272A442F"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r>
      <w:tr w:rsidR="0052730F" w:rsidRPr="00191AD2" w14:paraId="5AD88301" w14:textId="77777777">
        <w:trPr>
          <w:trHeight w:hRule="exact" w:val="340"/>
          <w:jc w:val="center"/>
        </w:trPr>
        <w:tc>
          <w:tcPr>
            <w:tcW w:w="1078" w:type="dxa"/>
            <w:tcBorders>
              <w:bottom w:val="single" w:sz="8" w:space="0" w:color="auto"/>
            </w:tcBorders>
            <w:shd w:val="clear" w:color="auto" w:fill="auto"/>
            <w:noWrap/>
            <w:vAlign w:val="bottom"/>
          </w:tcPr>
          <w:p w14:paraId="1596BB54" w14:textId="77777777" w:rsidR="0052730F" w:rsidRPr="00191AD2" w:rsidRDefault="0052730F" w:rsidP="0052730F">
            <w:pPr>
              <w:jc w:val="center"/>
              <w:rPr>
                <w:rFonts w:ascii="Times" w:hAnsi="Times"/>
                <w:sz w:val="18"/>
                <w:szCs w:val="18"/>
              </w:rPr>
            </w:pPr>
          </w:p>
        </w:tc>
        <w:tc>
          <w:tcPr>
            <w:tcW w:w="1122" w:type="dxa"/>
            <w:tcBorders>
              <w:bottom w:val="single" w:sz="8" w:space="0" w:color="auto"/>
            </w:tcBorders>
            <w:shd w:val="clear" w:color="auto" w:fill="auto"/>
            <w:noWrap/>
            <w:vAlign w:val="bottom"/>
          </w:tcPr>
          <w:p w14:paraId="529D4D25" w14:textId="77777777" w:rsidR="0052730F" w:rsidRPr="00191AD2" w:rsidRDefault="0052730F" w:rsidP="0052730F">
            <w:pPr>
              <w:rPr>
                <w:rFonts w:ascii="Times" w:hAnsi="Times"/>
                <w:sz w:val="18"/>
                <w:szCs w:val="18"/>
              </w:rPr>
            </w:pPr>
            <w:r w:rsidRPr="00191AD2">
              <w:rPr>
                <w:rFonts w:ascii="Times" w:hAnsi="Times"/>
                <w:sz w:val="18"/>
                <w:szCs w:val="18"/>
              </w:rPr>
              <w:t>Gen * Pop</w:t>
            </w:r>
          </w:p>
        </w:tc>
        <w:tc>
          <w:tcPr>
            <w:tcW w:w="1194" w:type="dxa"/>
            <w:tcBorders>
              <w:bottom w:val="single" w:sz="8" w:space="0" w:color="auto"/>
            </w:tcBorders>
            <w:shd w:val="clear" w:color="auto" w:fill="auto"/>
            <w:noWrap/>
            <w:vAlign w:val="bottom"/>
          </w:tcPr>
          <w:p w14:paraId="77A57727" w14:textId="77777777" w:rsidR="0052730F" w:rsidRPr="00191AD2" w:rsidRDefault="0052730F" w:rsidP="0052730F">
            <w:pPr>
              <w:jc w:val="center"/>
              <w:rPr>
                <w:rFonts w:ascii="Times" w:hAnsi="Times"/>
                <w:sz w:val="18"/>
                <w:szCs w:val="18"/>
              </w:rPr>
            </w:pPr>
          </w:p>
        </w:tc>
        <w:tc>
          <w:tcPr>
            <w:tcW w:w="1228" w:type="dxa"/>
            <w:tcBorders>
              <w:bottom w:val="single" w:sz="8" w:space="0" w:color="auto"/>
            </w:tcBorders>
            <w:shd w:val="clear" w:color="auto" w:fill="auto"/>
            <w:noWrap/>
            <w:vAlign w:val="bottom"/>
          </w:tcPr>
          <w:p w14:paraId="21D916E5" w14:textId="77777777" w:rsidR="0052730F" w:rsidRPr="00191AD2" w:rsidRDefault="0052730F" w:rsidP="0052730F">
            <w:pPr>
              <w:jc w:val="center"/>
              <w:rPr>
                <w:rFonts w:ascii="Times" w:hAnsi="Times"/>
                <w:sz w:val="18"/>
                <w:szCs w:val="18"/>
              </w:rPr>
            </w:pPr>
          </w:p>
        </w:tc>
        <w:tc>
          <w:tcPr>
            <w:tcW w:w="1429" w:type="dxa"/>
            <w:tcBorders>
              <w:bottom w:val="single" w:sz="8" w:space="0" w:color="auto"/>
            </w:tcBorders>
            <w:shd w:val="clear" w:color="auto" w:fill="auto"/>
            <w:noWrap/>
            <w:vAlign w:val="bottom"/>
          </w:tcPr>
          <w:p w14:paraId="20500F42"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tcBorders>
              <w:bottom w:val="single" w:sz="8" w:space="0" w:color="auto"/>
            </w:tcBorders>
            <w:shd w:val="clear" w:color="auto" w:fill="auto"/>
            <w:noWrap/>
            <w:vAlign w:val="bottom"/>
          </w:tcPr>
          <w:p w14:paraId="3A661611" w14:textId="77777777" w:rsidR="0052730F" w:rsidRPr="00191AD2" w:rsidRDefault="0052730F" w:rsidP="0052730F">
            <w:pPr>
              <w:jc w:val="center"/>
              <w:rPr>
                <w:rFonts w:ascii="Times" w:hAnsi="Times"/>
                <w:sz w:val="18"/>
                <w:szCs w:val="18"/>
              </w:rPr>
            </w:pPr>
          </w:p>
        </w:tc>
        <w:tc>
          <w:tcPr>
            <w:tcW w:w="1134" w:type="dxa"/>
            <w:tcBorders>
              <w:bottom w:val="single" w:sz="8" w:space="0" w:color="auto"/>
            </w:tcBorders>
            <w:shd w:val="clear" w:color="auto" w:fill="auto"/>
            <w:noWrap/>
            <w:vAlign w:val="bottom"/>
          </w:tcPr>
          <w:p w14:paraId="796961C4" w14:textId="77777777" w:rsidR="0052730F" w:rsidRPr="00191AD2" w:rsidRDefault="0052730F" w:rsidP="0052730F">
            <w:pPr>
              <w:jc w:val="center"/>
              <w:rPr>
                <w:rFonts w:ascii="Times" w:hAnsi="Times"/>
                <w:sz w:val="18"/>
                <w:szCs w:val="18"/>
              </w:rPr>
            </w:pPr>
          </w:p>
        </w:tc>
      </w:tr>
      <w:tr w:rsidR="0052730F" w:rsidRPr="00191AD2" w14:paraId="0960945F" w14:textId="77777777">
        <w:trPr>
          <w:trHeight w:hRule="exact" w:val="340"/>
          <w:jc w:val="center"/>
        </w:trPr>
        <w:tc>
          <w:tcPr>
            <w:tcW w:w="1078" w:type="dxa"/>
            <w:tcBorders>
              <w:top w:val="single" w:sz="8" w:space="0" w:color="auto"/>
            </w:tcBorders>
            <w:shd w:val="clear" w:color="auto" w:fill="auto"/>
            <w:noWrap/>
            <w:vAlign w:val="bottom"/>
          </w:tcPr>
          <w:p w14:paraId="3F269F4C" w14:textId="77777777" w:rsidR="0052730F" w:rsidRPr="00191AD2" w:rsidRDefault="0052730F" w:rsidP="0052730F">
            <w:pPr>
              <w:jc w:val="center"/>
              <w:rPr>
                <w:rFonts w:ascii="Times" w:hAnsi="Times"/>
                <w:sz w:val="18"/>
                <w:szCs w:val="18"/>
              </w:rPr>
            </w:pPr>
            <w:r w:rsidRPr="00191AD2">
              <w:rPr>
                <w:rFonts w:ascii="Times" w:hAnsi="Times"/>
                <w:sz w:val="18"/>
                <w:szCs w:val="18"/>
              </w:rPr>
              <w:t>Dry Weight</w:t>
            </w:r>
          </w:p>
        </w:tc>
        <w:tc>
          <w:tcPr>
            <w:tcW w:w="1122" w:type="dxa"/>
            <w:tcBorders>
              <w:top w:val="single" w:sz="8" w:space="0" w:color="auto"/>
            </w:tcBorders>
            <w:shd w:val="clear" w:color="auto" w:fill="auto"/>
            <w:noWrap/>
            <w:vAlign w:val="bottom"/>
          </w:tcPr>
          <w:p w14:paraId="47B9E998" w14:textId="77777777" w:rsidR="0052730F" w:rsidRPr="00191AD2" w:rsidRDefault="0052730F" w:rsidP="0052730F">
            <w:pPr>
              <w:rPr>
                <w:rFonts w:ascii="Times" w:hAnsi="Times"/>
                <w:sz w:val="18"/>
                <w:szCs w:val="18"/>
              </w:rPr>
            </w:pPr>
            <w:r w:rsidRPr="00191AD2">
              <w:rPr>
                <w:rFonts w:ascii="Times" w:hAnsi="Times"/>
                <w:sz w:val="18"/>
                <w:szCs w:val="18"/>
              </w:rPr>
              <w:t>Generation</w:t>
            </w:r>
          </w:p>
        </w:tc>
        <w:tc>
          <w:tcPr>
            <w:tcW w:w="1194" w:type="dxa"/>
            <w:tcBorders>
              <w:top w:val="single" w:sz="8" w:space="0" w:color="auto"/>
            </w:tcBorders>
            <w:shd w:val="clear" w:color="auto" w:fill="auto"/>
            <w:noWrap/>
            <w:vAlign w:val="bottom"/>
          </w:tcPr>
          <w:p w14:paraId="424354E5" w14:textId="77777777" w:rsidR="0052730F" w:rsidRPr="00191AD2" w:rsidRDefault="0052730F" w:rsidP="0052730F">
            <w:pPr>
              <w:jc w:val="center"/>
              <w:rPr>
                <w:rFonts w:ascii="Times" w:hAnsi="Times"/>
                <w:sz w:val="18"/>
                <w:szCs w:val="18"/>
              </w:rPr>
            </w:pPr>
          </w:p>
        </w:tc>
        <w:tc>
          <w:tcPr>
            <w:tcW w:w="1228" w:type="dxa"/>
            <w:tcBorders>
              <w:top w:val="single" w:sz="8" w:space="0" w:color="auto"/>
            </w:tcBorders>
            <w:shd w:val="clear" w:color="auto" w:fill="auto"/>
            <w:noWrap/>
            <w:vAlign w:val="bottom"/>
          </w:tcPr>
          <w:p w14:paraId="2C1CA584" w14:textId="77777777" w:rsidR="0052730F" w:rsidRPr="00191AD2" w:rsidRDefault="0052730F" w:rsidP="0052730F">
            <w:pPr>
              <w:jc w:val="center"/>
              <w:rPr>
                <w:rFonts w:ascii="Times" w:hAnsi="Times"/>
                <w:sz w:val="18"/>
                <w:szCs w:val="18"/>
              </w:rPr>
            </w:pPr>
          </w:p>
        </w:tc>
        <w:tc>
          <w:tcPr>
            <w:tcW w:w="1429" w:type="dxa"/>
            <w:tcBorders>
              <w:top w:val="single" w:sz="8" w:space="0" w:color="auto"/>
            </w:tcBorders>
            <w:shd w:val="clear" w:color="auto" w:fill="auto"/>
            <w:noWrap/>
            <w:vAlign w:val="bottom"/>
          </w:tcPr>
          <w:p w14:paraId="62068800"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tcBorders>
              <w:top w:val="single" w:sz="8" w:space="0" w:color="auto"/>
            </w:tcBorders>
            <w:shd w:val="clear" w:color="auto" w:fill="auto"/>
            <w:noWrap/>
            <w:vAlign w:val="bottom"/>
          </w:tcPr>
          <w:p w14:paraId="2F9C5A0B"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tcBorders>
              <w:top w:val="single" w:sz="8" w:space="0" w:color="auto"/>
            </w:tcBorders>
            <w:shd w:val="clear" w:color="auto" w:fill="auto"/>
            <w:noWrap/>
            <w:vAlign w:val="bottom"/>
          </w:tcPr>
          <w:p w14:paraId="1C371D02" w14:textId="77777777" w:rsidR="0052730F" w:rsidRPr="00191AD2" w:rsidRDefault="0052730F" w:rsidP="0052730F">
            <w:pPr>
              <w:jc w:val="center"/>
              <w:rPr>
                <w:rFonts w:ascii="Times" w:hAnsi="Times"/>
                <w:sz w:val="18"/>
                <w:szCs w:val="18"/>
              </w:rPr>
            </w:pPr>
          </w:p>
        </w:tc>
      </w:tr>
      <w:tr w:rsidR="0052730F" w:rsidRPr="00191AD2" w14:paraId="74AAAE00" w14:textId="77777777">
        <w:trPr>
          <w:trHeight w:hRule="exact" w:val="340"/>
          <w:jc w:val="center"/>
        </w:trPr>
        <w:tc>
          <w:tcPr>
            <w:tcW w:w="1078" w:type="dxa"/>
            <w:shd w:val="clear" w:color="auto" w:fill="auto"/>
            <w:noWrap/>
            <w:vAlign w:val="bottom"/>
          </w:tcPr>
          <w:p w14:paraId="5928AE4B" w14:textId="77777777" w:rsidR="0052730F" w:rsidRPr="00191AD2" w:rsidRDefault="0052730F" w:rsidP="0052730F">
            <w:pPr>
              <w:jc w:val="center"/>
              <w:rPr>
                <w:rFonts w:ascii="Times" w:hAnsi="Times"/>
                <w:sz w:val="18"/>
                <w:szCs w:val="18"/>
              </w:rPr>
            </w:pPr>
          </w:p>
        </w:tc>
        <w:tc>
          <w:tcPr>
            <w:tcW w:w="1122" w:type="dxa"/>
            <w:shd w:val="clear" w:color="auto" w:fill="auto"/>
            <w:noWrap/>
            <w:vAlign w:val="bottom"/>
          </w:tcPr>
          <w:p w14:paraId="08B34C6A" w14:textId="77777777" w:rsidR="0052730F" w:rsidRPr="00191AD2" w:rsidRDefault="0052730F" w:rsidP="0052730F">
            <w:pPr>
              <w:rPr>
                <w:rFonts w:ascii="Times" w:hAnsi="Times"/>
                <w:sz w:val="18"/>
                <w:szCs w:val="18"/>
              </w:rPr>
            </w:pPr>
            <w:r w:rsidRPr="00191AD2">
              <w:rPr>
                <w:rFonts w:ascii="Times" w:hAnsi="Times"/>
                <w:sz w:val="18"/>
                <w:szCs w:val="18"/>
              </w:rPr>
              <w:t>Population</w:t>
            </w:r>
          </w:p>
        </w:tc>
        <w:tc>
          <w:tcPr>
            <w:tcW w:w="1194" w:type="dxa"/>
            <w:shd w:val="clear" w:color="auto" w:fill="auto"/>
            <w:noWrap/>
            <w:vAlign w:val="bottom"/>
          </w:tcPr>
          <w:p w14:paraId="618737D4" w14:textId="77777777" w:rsidR="0052730F" w:rsidRPr="00191AD2" w:rsidRDefault="0052730F" w:rsidP="0052730F">
            <w:pPr>
              <w:jc w:val="center"/>
              <w:rPr>
                <w:rFonts w:ascii="Times" w:hAnsi="Times"/>
                <w:sz w:val="18"/>
                <w:szCs w:val="18"/>
              </w:rPr>
            </w:pPr>
          </w:p>
        </w:tc>
        <w:tc>
          <w:tcPr>
            <w:tcW w:w="1228" w:type="dxa"/>
            <w:shd w:val="clear" w:color="auto" w:fill="auto"/>
            <w:noWrap/>
            <w:vAlign w:val="bottom"/>
          </w:tcPr>
          <w:p w14:paraId="1B759822"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429" w:type="dxa"/>
            <w:shd w:val="clear" w:color="auto" w:fill="auto"/>
            <w:noWrap/>
            <w:vAlign w:val="bottom"/>
          </w:tcPr>
          <w:p w14:paraId="095A1B35"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shd w:val="clear" w:color="auto" w:fill="auto"/>
            <w:noWrap/>
            <w:vAlign w:val="bottom"/>
          </w:tcPr>
          <w:p w14:paraId="60D28556" w14:textId="77777777" w:rsidR="0052730F" w:rsidRPr="00191AD2" w:rsidRDefault="0052730F" w:rsidP="0052730F">
            <w:pPr>
              <w:jc w:val="center"/>
              <w:rPr>
                <w:rFonts w:ascii="Times" w:hAnsi="Times"/>
                <w:sz w:val="18"/>
                <w:szCs w:val="18"/>
              </w:rPr>
            </w:pPr>
          </w:p>
        </w:tc>
        <w:tc>
          <w:tcPr>
            <w:tcW w:w="1134" w:type="dxa"/>
            <w:shd w:val="clear" w:color="auto" w:fill="auto"/>
            <w:noWrap/>
            <w:vAlign w:val="bottom"/>
          </w:tcPr>
          <w:p w14:paraId="07522038" w14:textId="77777777" w:rsidR="0052730F" w:rsidRPr="00191AD2" w:rsidRDefault="0052730F" w:rsidP="0052730F">
            <w:pPr>
              <w:jc w:val="center"/>
              <w:rPr>
                <w:rFonts w:ascii="Times" w:hAnsi="Times"/>
                <w:sz w:val="18"/>
                <w:szCs w:val="18"/>
              </w:rPr>
            </w:pPr>
          </w:p>
        </w:tc>
      </w:tr>
      <w:tr w:rsidR="0052730F" w:rsidRPr="00191AD2" w14:paraId="32119801" w14:textId="77777777">
        <w:trPr>
          <w:trHeight w:hRule="exact" w:val="340"/>
          <w:jc w:val="center"/>
        </w:trPr>
        <w:tc>
          <w:tcPr>
            <w:tcW w:w="1078" w:type="dxa"/>
            <w:tcBorders>
              <w:bottom w:val="single" w:sz="8" w:space="0" w:color="auto"/>
            </w:tcBorders>
            <w:shd w:val="clear" w:color="auto" w:fill="auto"/>
            <w:noWrap/>
            <w:vAlign w:val="bottom"/>
          </w:tcPr>
          <w:p w14:paraId="52E235E7" w14:textId="77777777" w:rsidR="0052730F" w:rsidRPr="00191AD2" w:rsidRDefault="0052730F" w:rsidP="0052730F">
            <w:pPr>
              <w:jc w:val="center"/>
              <w:rPr>
                <w:rFonts w:ascii="Times" w:hAnsi="Times"/>
                <w:sz w:val="18"/>
                <w:szCs w:val="18"/>
              </w:rPr>
            </w:pPr>
          </w:p>
        </w:tc>
        <w:tc>
          <w:tcPr>
            <w:tcW w:w="1122" w:type="dxa"/>
            <w:tcBorders>
              <w:bottom w:val="single" w:sz="8" w:space="0" w:color="auto"/>
            </w:tcBorders>
            <w:shd w:val="clear" w:color="auto" w:fill="auto"/>
            <w:noWrap/>
            <w:vAlign w:val="bottom"/>
          </w:tcPr>
          <w:p w14:paraId="4B3ABB28" w14:textId="77777777" w:rsidR="0052730F" w:rsidRPr="00191AD2" w:rsidRDefault="0052730F" w:rsidP="0052730F">
            <w:pPr>
              <w:rPr>
                <w:rFonts w:ascii="Times" w:hAnsi="Times"/>
                <w:sz w:val="18"/>
                <w:szCs w:val="18"/>
              </w:rPr>
            </w:pPr>
            <w:r w:rsidRPr="00191AD2">
              <w:rPr>
                <w:rFonts w:ascii="Times" w:hAnsi="Times"/>
                <w:sz w:val="18"/>
                <w:szCs w:val="18"/>
              </w:rPr>
              <w:t>Gen * Pop</w:t>
            </w:r>
          </w:p>
        </w:tc>
        <w:tc>
          <w:tcPr>
            <w:tcW w:w="1194" w:type="dxa"/>
            <w:tcBorders>
              <w:bottom w:val="single" w:sz="8" w:space="0" w:color="auto"/>
            </w:tcBorders>
            <w:shd w:val="clear" w:color="auto" w:fill="auto"/>
            <w:noWrap/>
            <w:vAlign w:val="bottom"/>
          </w:tcPr>
          <w:p w14:paraId="272AB803"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228" w:type="dxa"/>
            <w:tcBorders>
              <w:bottom w:val="single" w:sz="8" w:space="0" w:color="auto"/>
            </w:tcBorders>
            <w:shd w:val="clear" w:color="auto" w:fill="auto"/>
            <w:noWrap/>
            <w:vAlign w:val="bottom"/>
          </w:tcPr>
          <w:p w14:paraId="2CE213B2" w14:textId="77777777" w:rsidR="0052730F" w:rsidRPr="00191AD2" w:rsidRDefault="0052730F" w:rsidP="0052730F">
            <w:pPr>
              <w:jc w:val="center"/>
              <w:rPr>
                <w:rFonts w:ascii="Times" w:hAnsi="Times"/>
                <w:sz w:val="18"/>
                <w:szCs w:val="18"/>
              </w:rPr>
            </w:pPr>
          </w:p>
        </w:tc>
        <w:tc>
          <w:tcPr>
            <w:tcW w:w="1429" w:type="dxa"/>
            <w:tcBorders>
              <w:bottom w:val="single" w:sz="8" w:space="0" w:color="auto"/>
            </w:tcBorders>
            <w:shd w:val="clear" w:color="auto" w:fill="auto"/>
            <w:noWrap/>
            <w:vAlign w:val="bottom"/>
          </w:tcPr>
          <w:p w14:paraId="781A6DE0"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tcBorders>
              <w:bottom w:val="single" w:sz="8" w:space="0" w:color="auto"/>
            </w:tcBorders>
            <w:shd w:val="clear" w:color="auto" w:fill="auto"/>
            <w:noWrap/>
            <w:vAlign w:val="bottom"/>
          </w:tcPr>
          <w:p w14:paraId="28F61EE4" w14:textId="77777777" w:rsidR="0052730F" w:rsidRPr="00191AD2" w:rsidRDefault="0052730F" w:rsidP="0052730F">
            <w:pPr>
              <w:jc w:val="center"/>
              <w:rPr>
                <w:rFonts w:ascii="Times" w:hAnsi="Times"/>
                <w:sz w:val="18"/>
                <w:szCs w:val="18"/>
              </w:rPr>
            </w:pPr>
            <w:r w:rsidRPr="00191AD2">
              <w:rPr>
                <w:rFonts w:ascii="Times" w:hAnsi="Times"/>
                <w:sz w:val="18"/>
                <w:szCs w:val="18"/>
              </w:rPr>
              <w:t>*</w:t>
            </w:r>
          </w:p>
        </w:tc>
        <w:tc>
          <w:tcPr>
            <w:tcW w:w="1134" w:type="dxa"/>
            <w:tcBorders>
              <w:bottom w:val="single" w:sz="8" w:space="0" w:color="auto"/>
            </w:tcBorders>
            <w:shd w:val="clear" w:color="auto" w:fill="auto"/>
            <w:noWrap/>
            <w:vAlign w:val="bottom"/>
          </w:tcPr>
          <w:p w14:paraId="050BD5B1" w14:textId="77777777" w:rsidR="0052730F" w:rsidRPr="00191AD2" w:rsidRDefault="0052730F" w:rsidP="0052730F">
            <w:pPr>
              <w:jc w:val="center"/>
              <w:rPr>
                <w:rFonts w:ascii="Times" w:hAnsi="Times"/>
                <w:sz w:val="18"/>
                <w:szCs w:val="18"/>
              </w:rPr>
            </w:pPr>
          </w:p>
        </w:tc>
      </w:tr>
    </w:tbl>
    <w:p w14:paraId="68013ABF" w14:textId="77777777" w:rsidR="0052730F" w:rsidRPr="00191AD2" w:rsidRDefault="0052730F" w:rsidP="0052730F">
      <w:pPr>
        <w:spacing w:line="360" w:lineRule="auto"/>
        <w:rPr>
          <w:rFonts w:ascii="Times" w:hAnsi="Times"/>
        </w:rPr>
      </w:pPr>
    </w:p>
    <w:p w14:paraId="1237B02B" w14:textId="77777777" w:rsidR="0052730F" w:rsidRPr="00191AD2" w:rsidRDefault="0052730F" w:rsidP="0052730F">
      <w:pPr>
        <w:rPr>
          <w:rFonts w:ascii="Times" w:hAnsi="Times"/>
          <w:b/>
        </w:rPr>
      </w:pPr>
    </w:p>
    <w:p w14:paraId="7D6E21FB" w14:textId="77777777" w:rsidR="0052730F" w:rsidRDefault="0052730F" w:rsidP="0052730F">
      <w:pPr>
        <w:rPr>
          <w:rFonts w:ascii="Times" w:hAnsi="Times"/>
          <w:b/>
        </w:rPr>
        <w:sectPr w:rsidR="0052730F" w:rsidSect="000612B7">
          <w:footerReference w:type="default" r:id="rId26"/>
          <w:pgSz w:w="12240" w:h="15840"/>
          <w:pgMar w:top="1361" w:right="1134" w:bottom="1361" w:left="2268" w:header="709" w:footer="851" w:gutter="0"/>
          <w:cols w:space="708"/>
        </w:sectPr>
      </w:pPr>
    </w:p>
    <w:p w14:paraId="051A9B84" w14:textId="77777777" w:rsidR="0052730F" w:rsidRDefault="0052730F" w:rsidP="0052730F">
      <w:pPr>
        <w:pStyle w:val="BodyJB"/>
        <w:spacing w:line="240" w:lineRule="auto"/>
      </w:pPr>
      <w:r>
        <w:rPr>
          <w:b/>
        </w:rPr>
        <w:t>Table 3</w:t>
      </w:r>
      <w:r w:rsidRPr="00191AD2">
        <w:rPr>
          <w:b/>
        </w:rPr>
        <w:t xml:space="preserve">.3. </w:t>
      </w:r>
      <w:r w:rsidRPr="00191AD2">
        <w:t xml:space="preserve">Coefficients of variation for </w:t>
      </w:r>
      <w:r>
        <w:t>the changed in trait values</w:t>
      </w:r>
      <w:r w:rsidRPr="00191AD2">
        <w:t xml:space="preserve"> between </w:t>
      </w:r>
      <w:r>
        <w:t xml:space="preserve">populations of both F1 and F2 generations for each of </w:t>
      </w:r>
      <w:r w:rsidRPr="00191AD2">
        <w:t>the five species. Arrows show an increase</w:t>
      </w:r>
      <w:r>
        <w:t xml:space="preserve"> (black)</w:t>
      </w:r>
      <w:r w:rsidRPr="00191AD2">
        <w:t xml:space="preserve"> or decrease </w:t>
      </w:r>
      <w:r>
        <w:t xml:space="preserve">(grey) </w:t>
      </w:r>
      <w:r w:rsidRPr="00191AD2">
        <w:t xml:space="preserve">in CV between the generations. </w:t>
      </w:r>
      <w:r>
        <w:t>The significance of the population x generation interaction, taken from Table 3.2. is also listed, see appendix for full details of these tests.</w:t>
      </w:r>
    </w:p>
    <w:p w14:paraId="68CCB7D8" w14:textId="77777777" w:rsidR="0052730F" w:rsidRDefault="0052730F" w:rsidP="0052730F">
      <w:pPr>
        <w:pStyle w:val="BodyJB"/>
      </w:pPr>
    </w:p>
    <w:p w14:paraId="10B5CFB5" w14:textId="77777777" w:rsidR="0052730F" w:rsidRDefault="0052730F" w:rsidP="0052730F">
      <w:pPr>
        <w:rPr>
          <w:rFonts w:ascii="Times" w:hAnsi="Times"/>
        </w:rPr>
      </w:pPr>
    </w:p>
    <w:p w14:paraId="29EE1E5C" w14:textId="77777777" w:rsidR="0052730F" w:rsidRDefault="0052730F" w:rsidP="0052730F">
      <w:pPr>
        <w:rPr>
          <w:rFonts w:ascii="Times" w:hAnsi="Times"/>
        </w:rPr>
      </w:pPr>
    </w:p>
    <w:p w14:paraId="2F0F6D77" w14:textId="77777777" w:rsidR="0052730F" w:rsidRDefault="0052730F" w:rsidP="0052730F">
      <w:pPr>
        <w:rPr>
          <w:rFonts w:ascii="Times" w:hAnsi="Times"/>
        </w:rPr>
      </w:pPr>
      <w:r>
        <w:rPr>
          <w:rFonts w:ascii="Times" w:hAnsi="Times"/>
          <w:noProof/>
          <w:lang w:val="en-US" w:eastAsia="en-US"/>
        </w:rPr>
        <w:drawing>
          <wp:inline distT="0" distB="0" distL="0" distR="0" wp14:anchorId="24AD2CDF" wp14:editId="229F3769">
            <wp:extent cx="8329930" cy="2886014"/>
            <wp:effectExtent l="0" t="0" r="1270" b="1016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329930" cy="2886014"/>
                    </a:xfrm>
                    <a:prstGeom prst="rect">
                      <a:avLst/>
                    </a:prstGeom>
                    <a:noFill/>
                    <a:ln>
                      <a:noFill/>
                    </a:ln>
                  </pic:spPr>
                </pic:pic>
              </a:graphicData>
            </a:graphic>
          </wp:inline>
        </w:drawing>
      </w:r>
    </w:p>
    <w:p w14:paraId="7DE730FD" w14:textId="77777777" w:rsidR="0052730F" w:rsidRPr="00191AD2" w:rsidRDefault="0052730F" w:rsidP="0052730F">
      <w:pPr>
        <w:spacing w:line="360" w:lineRule="auto"/>
        <w:rPr>
          <w:rFonts w:ascii="Times" w:hAnsi="Times"/>
        </w:rPr>
      </w:pPr>
    </w:p>
    <w:p w14:paraId="294F540C" w14:textId="77777777" w:rsidR="0052730F" w:rsidRDefault="0052730F" w:rsidP="0052730F">
      <w:pPr>
        <w:spacing w:line="360" w:lineRule="auto"/>
        <w:rPr>
          <w:rFonts w:ascii="Times" w:hAnsi="Times"/>
        </w:rPr>
      </w:pPr>
    </w:p>
    <w:p w14:paraId="635806D5" w14:textId="77777777" w:rsidR="0052730F" w:rsidRDefault="0052730F" w:rsidP="0052730F">
      <w:pPr>
        <w:spacing w:line="360" w:lineRule="auto"/>
        <w:rPr>
          <w:rFonts w:ascii="Times" w:hAnsi="Times"/>
        </w:rPr>
      </w:pPr>
    </w:p>
    <w:p w14:paraId="430AF53E" w14:textId="77777777" w:rsidR="0052730F" w:rsidRDefault="0052730F" w:rsidP="0052730F">
      <w:pPr>
        <w:spacing w:line="360" w:lineRule="auto"/>
        <w:rPr>
          <w:rFonts w:ascii="Times" w:hAnsi="Times"/>
          <w:b/>
        </w:rPr>
        <w:sectPr w:rsidR="0052730F" w:rsidSect="00BF1B48">
          <w:footerReference w:type="default" r:id="rId28"/>
          <w:pgSz w:w="15840" w:h="12240" w:orient="landscape"/>
          <w:pgMar w:top="2268" w:right="1361" w:bottom="1134" w:left="1134" w:header="737" w:footer="851" w:gutter="0"/>
          <w:cols w:space="708"/>
        </w:sectPr>
      </w:pPr>
    </w:p>
    <w:p w14:paraId="166F1987" w14:textId="77777777" w:rsidR="0052730F" w:rsidRPr="00191AD2" w:rsidRDefault="0052730F" w:rsidP="00DC7B26">
      <w:pPr>
        <w:pStyle w:val="subheadingMINOR"/>
      </w:pPr>
      <w:bookmarkStart w:id="57" w:name="_Toc291410062"/>
      <w:r w:rsidRPr="00191AD2">
        <w:t>Latitudinal gradients</w:t>
      </w:r>
      <w:bookmarkEnd w:id="57"/>
    </w:p>
    <w:p w14:paraId="3F3306E4" w14:textId="77777777" w:rsidR="0052730F" w:rsidRPr="00191AD2" w:rsidRDefault="0052730F" w:rsidP="00DC7B26">
      <w:pPr>
        <w:pStyle w:val="BodyJB"/>
        <w:ind w:firstLine="720"/>
      </w:pPr>
      <w:r w:rsidRPr="00191AD2">
        <w:t>The average trait values of flowering time, seed produced per fruit and final height show strong latitudinal trends (</w:t>
      </w:r>
      <w:r>
        <w:t>Fig. 3</w:t>
      </w:r>
      <w:r w:rsidRPr="00191AD2">
        <w:t xml:space="preserve">.2, </w:t>
      </w:r>
      <w:r>
        <w:t>Table 3</w:t>
      </w:r>
      <w:r w:rsidRPr="00191AD2">
        <w:t>.4). In none of the traits does trend in latitude significantly differ between the F1 and F2 generation (</w:t>
      </w:r>
      <w:r>
        <w:t>Table 3</w:t>
      </w:r>
      <w:r w:rsidRPr="00191AD2">
        <w:t>.4). Dry weight average trait values do not vary with latitude or generation, however there is a significant interaction between latitude and generation (</w:t>
      </w:r>
      <w:r>
        <w:t>Table 3</w:t>
      </w:r>
      <w:r w:rsidRPr="00191AD2">
        <w:t>.4). The direction of the latitudinal trend changes in the different generations, in F1 generation trait values increase with decreasing latitude, whereas F2 generation plants have dry weights that decrease with decreasing latitude (</w:t>
      </w:r>
      <w:r>
        <w:t>Fig. 3</w:t>
      </w:r>
      <w:r w:rsidRPr="00191AD2">
        <w:t xml:space="preserve">.2).  </w:t>
      </w:r>
    </w:p>
    <w:p w14:paraId="239C312C" w14:textId="77777777" w:rsidR="0052730F" w:rsidRPr="00191AD2" w:rsidRDefault="0052730F" w:rsidP="0052730F">
      <w:pPr>
        <w:spacing w:line="360" w:lineRule="auto"/>
        <w:rPr>
          <w:rFonts w:ascii="Times" w:hAnsi="Times"/>
          <w:b/>
          <w:sz w:val="28"/>
        </w:rPr>
      </w:pPr>
      <w:r>
        <w:rPr>
          <w:rFonts w:ascii="Times" w:hAnsi="Times"/>
          <w:b/>
          <w:noProof/>
          <w:sz w:val="28"/>
          <w:lang w:val="en-US" w:eastAsia="en-US"/>
        </w:rPr>
        <w:drawing>
          <wp:anchor distT="0" distB="0" distL="114300" distR="114300" simplePos="0" relativeHeight="251659264" behindDoc="0" locked="0" layoutInCell="1" allowOverlap="1" wp14:anchorId="511D8D29" wp14:editId="75BD4BD0">
            <wp:simplePos x="0" y="0"/>
            <wp:positionH relativeFrom="column">
              <wp:posOffset>2286000</wp:posOffset>
            </wp:positionH>
            <wp:positionV relativeFrom="paragraph">
              <wp:posOffset>6629400</wp:posOffset>
            </wp:positionV>
            <wp:extent cx="986790" cy="367665"/>
            <wp:effectExtent l="0" t="0" r="3810" b="0"/>
            <wp:wrapNone/>
            <wp:docPr id="5" name="Picture 5" descr="Macintosh HD:Users:Rach:Google Drive:Thesis:c- Chapter 2:d- data:a- final figures and tables:Screen Shot 2014-01-05 at 21.5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ach:Google Drive:Thesis:c- Chapter 2:d- data:a- final figures and tables:Screen Shot 2014-01-05 at 21.53.26.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86790" cy="3676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w:hAnsi="Times"/>
          <w:b/>
          <w:noProof/>
          <w:sz w:val="28"/>
          <w:lang w:val="en-US" w:eastAsia="en-US"/>
        </w:rPr>
        <w:drawing>
          <wp:inline distT="0" distB="0" distL="0" distR="0" wp14:anchorId="7A12564E" wp14:editId="2C85F655">
            <wp:extent cx="5612130" cy="6645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lot- lat trends.pdf"/>
                    <pic:cNvPicPr/>
                  </pic:nvPicPr>
                  <pic:blipFill>
                    <a:blip r:embed="rId30">
                      <a:extLst>
                        <a:ext uri="{28A0092B-C50C-407E-A947-70E740481C1C}">
                          <a14:useLocalDpi xmlns:a14="http://schemas.microsoft.com/office/drawing/2010/main" val="0"/>
                        </a:ext>
                      </a:extLst>
                    </a:blip>
                    <a:stretch>
                      <a:fillRect/>
                    </a:stretch>
                  </pic:blipFill>
                  <pic:spPr>
                    <a:xfrm>
                      <a:off x="0" y="0"/>
                      <a:ext cx="5612130" cy="6645275"/>
                    </a:xfrm>
                    <a:prstGeom prst="rect">
                      <a:avLst/>
                    </a:prstGeom>
                  </pic:spPr>
                </pic:pic>
              </a:graphicData>
            </a:graphic>
          </wp:inline>
        </w:drawing>
      </w:r>
    </w:p>
    <w:p w14:paraId="3A171E61" w14:textId="77777777" w:rsidR="0052730F" w:rsidRDefault="0052730F">
      <w:pPr>
        <w:jc w:val="both"/>
        <w:rPr>
          <w:rFonts w:ascii="Times" w:hAnsi="Times"/>
          <w:b/>
        </w:rPr>
      </w:pPr>
    </w:p>
    <w:p w14:paraId="23F54E53" w14:textId="77777777" w:rsidR="0052730F" w:rsidRDefault="0052730F">
      <w:pPr>
        <w:jc w:val="both"/>
        <w:rPr>
          <w:rFonts w:ascii="Times" w:hAnsi="Times"/>
          <w:b/>
        </w:rPr>
      </w:pPr>
    </w:p>
    <w:p w14:paraId="14CA8CE3" w14:textId="77777777" w:rsidR="0052730F" w:rsidRPr="00191AD2" w:rsidRDefault="0052730F" w:rsidP="0052730F">
      <w:pPr>
        <w:pStyle w:val="BodyJB"/>
        <w:spacing w:line="240" w:lineRule="auto"/>
        <w:rPr>
          <w:b/>
        </w:rPr>
      </w:pPr>
      <w:r>
        <w:rPr>
          <w:b/>
        </w:rPr>
        <w:t>Fig. 3</w:t>
      </w:r>
      <w:r w:rsidRPr="00191AD2">
        <w:rPr>
          <w:b/>
        </w:rPr>
        <w:t xml:space="preserve">.2. </w:t>
      </w:r>
      <w:r w:rsidRPr="00191AD2">
        <w:t>Average trait values for all species per population for traits flowering time, flowering height, number of ripe fruit, number of seed per plant, number of seed per fruit, final height, dry weight, for F1 generation (pink line), and b. F2 generation (gold line) plants.</w:t>
      </w:r>
    </w:p>
    <w:p w14:paraId="398BA5ED" w14:textId="77777777" w:rsidR="0052730F" w:rsidRPr="00191AD2" w:rsidRDefault="0052730F" w:rsidP="0052730F">
      <w:pPr>
        <w:spacing w:line="360" w:lineRule="auto"/>
        <w:rPr>
          <w:rFonts w:ascii="Times" w:hAnsi="Times"/>
          <w:b/>
        </w:rPr>
      </w:pPr>
    </w:p>
    <w:p w14:paraId="3D69372F" w14:textId="77777777" w:rsidR="0052730F" w:rsidRPr="00191AD2" w:rsidRDefault="0052730F" w:rsidP="0052730F">
      <w:pPr>
        <w:rPr>
          <w:rFonts w:ascii="Times" w:hAnsi="Times"/>
        </w:rPr>
      </w:pPr>
      <w:r>
        <w:rPr>
          <w:rFonts w:ascii="Times" w:hAnsi="Times"/>
        </w:rPr>
        <w:t>Table 3</w:t>
      </w:r>
      <w:r w:rsidRPr="00191AD2">
        <w:rPr>
          <w:rFonts w:ascii="Times" w:hAnsi="Times"/>
        </w:rPr>
        <w:t xml:space="preserve">.4 Analysis of variance of latitude and generation effects on average trait values of five species scaled across sites. </w:t>
      </w:r>
    </w:p>
    <w:p w14:paraId="0876E7DC" w14:textId="77777777" w:rsidR="0052730F" w:rsidRPr="00191AD2" w:rsidRDefault="0052730F" w:rsidP="0052730F">
      <w:pPr>
        <w:rPr>
          <w:rFonts w:ascii="Times" w:hAnsi="Times"/>
        </w:rPr>
      </w:pPr>
    </w:p>
    <w:tbl>
      <w:tblPr>
        <w:tblW w:w="8931" w:type="dxa"/>
        <w:tblLayout w:type="fixed"/>
        <w:tblLook w:val="00A0" w:firstRow="1" w:lastRow="0" w:firstColumn="1" w:lastColumn="0" w:noHBand="0" w:noVBand="0"/>
      </w:tblPr>
      <w:tblGrid>
        <w:gridCol w:w="1526"/>
        <w:gridCol w:w="1451"/>
        <w:gridCol w:w="709"/>
        <w:gridCol w:w="1134"/>
        <w:gridCol w:w="1134"/>
        <w:gridCol w:w="1276"/>
        <w:gridCol w:w="992"/>
        <w:gridCol w:w="709"/>
      </w:tblGrid>
      <w:tr w:rsidR="0052730F" w:rsidRPr="00191AD2" w14:paraId="66AD4453" w14:textId="77777777" w:rsidTr="0052730F">
        <w:trPr>
          <w:trHeight w:hRule="exact" w:val="575"/>
        </w:trPr>
        <w:tc>
          <w:tcPr>
            <w:tcW w:w="1526" w:type="dxa"/>
            <w:tcBorders>
              <w:bottom w:val="single" w:sz="4" w:space="0" w:color="auto"/>
            </w:tcBorders>
          </w:tcPr>
          <w:p w14:paraId="54A997F8" w14:textId="77777777" w:rsidR="0052730F" w:rsidRPr="00191AD2" w:rsidRDefault="0052730F" w:rsidP="0052730F">
            <w:pPr>
              <w:spacing w:before="2" w:after="2"/>
              <w:jc w:val="center"/>
              <w:rPr>
                <w:rFonts w:ascii="Times" w:hAnsi="Times"/>
                <w:b/>
                <w:sz w:val="18"/>
              </w:rPr>
            </w:pPr>
            <w:r w:rsidRPr="00191AD2">
              <w:rPr>
                <w:rFonts w:ascii="Times" w:hAnsi="Times"/>
                <w:b/>
                <w:sz w:val="18"/>
              </w:rPr>
              <w:t>Trait</w:t>
            </w:r>
          </w:p>
        </w:tc>
        <w:tc>
          <w:tcPr>
            <w:tcW w:w="1451" w:type="dxa"/>
            <w:tcBorders>
              <w:bottom w:val="single" w:sz="4" w:space="0" w:color="auto"/>
            </w:tcBorders>
          </w:tcPr>
          <w:p w14:paraId="0937F604" w14:textId="77777777" w:rsidR="0052730F" w:rsidRPr="00191AD2" w:rsidRDefault="0052730F" w:rsidP="0052730F">
            <w:pPr>
              <w:spacing w:before="2" w:after="2"/>
              <w:jc w:val="center"/>
              <w:rPr>
                <w:rFonts w:ascii="Times" w:hAnsi="Times"/>
                <w:b/>
                <w:sz w:val="18"/>
              </w:rPr>
            </w:pPr>
            <w:r w:rsidRPr="00191AD2">
              <w:rPr>
                <w:rFonts w:ascii="Times" w:hAnsi="Times"/>
                <w:b/>
                <w:sz w:val="18"/>
              </w:rPr>
              <w:t>Predictor</w:t>
            </w:r>
          </w:p>
        </w:tc>
        <w:tc>
          <w:tcPr>
            <w:tcW w:w="709" w:type="dxa"/>
            <w:tcBorders>
              <w:bottom w:val="single" w:sz="4" w:space="0" w:color="auto"/>
            </w:tcBorders>
          </w:tcPr>
          <w:p w14:paraId="42E5A0AA" w14:textId="77777777" w:rsidR="0052730F" w:rsidRPr="00191AD2" w:rsidRDefault="0052730F" w:rsidP="0052730F">
            <w:pPr>
              <w:spacing w:before="2" w:after="2"/>
              <w:jc w:val="center"/>
              <w:rPr>
                <w:rFonts w:ascii="Times" w:hAnsi="Times"/>
                <w:b/>
                <w:sz w:val="18"/>
              </w:rPr>
            </w:pPr>
            <w:r w:rsidRPr="00191AD2">
              <w:rPr>
                <w:rFonts w:ascii="Times" w:hAnsi="Times"/>
                <w:b/>
                <w:sz w:val="18"/>
              </w:rPr>
              <w:t>df</w:t>
            </w:r>
          </w:p>
        </w:tc>
        <w:tc>
          <w:tcPr>
            <w:tcW w:w="1134" w:type="dxa"/>
            <w:tcBorders>
              <w:bottom w:val="single" w:sz="4" w:space="0" w:color="auto"/>
            </w:tcBorders>
          </w:tcPr>
          <w:p w14:paraId="7E516FD9" w14:textId="77777777" w:rsidR="0052730F" w:rsidRPr="00191AD2" w:rsidRDefault="0052730F" w:rsidP="0052730F">
            <w:pPr>
              <w:spacing w:before="2" w:after="2"/>
              <w:jc w:val="center"/>
              <w:rPr>
                <w:rFonts w:ascii="Times" w:hAnsi="Times"/>
                <w:b/>
                <w:sz w:val="18"/>
              </w:rPr>
            </w:pPr>
            <w:r w:rsidRPr="00191AD2">
              <w:rPr>
                <w:rFonts w:ascii="Times" w:hAnsi="Times"/>
                <w:b/>
                <w:sz w:val="18"/>
              </w:rPr>
              <w:t>Deviance</w:t>
            </w:r>
          </w:p>
        </w:tc>
        <w:tc>
          <w:tcPr>
            <w:tcW w:w="1134" w:type="dxa"/>
            <w:tcBorders>
              <w:bottom w:val="single" w:sz="4" w:space="0" w:color="auto"/>
            </w:tcBorders>
          </w:tcPr>
          <w:p w14:paraId="153CCCB9" w14:textId="77777777" w:rsidR="0052730F" w:rsidRPr="00191AD2" w:rsidRDefault="0052730F" w:rsidP="0052730F">
            <w:pPr>
              <w:spacing w:before="2" w:after="2"/>
              <w:jc w:val="center"/>
              <w:rPr>
                <w:rFonts w:ascii="Times" w:hAnsi="Times"/>
                <w:b/>
                <w:sz w:val="18"/>
              </w:rPr>
            </w:pPr>
            <w:r w:rsidRPr="00191AD2">
              <w:rPr>
                <w:rFonts w:ascii="Times" w:hAnsi="Times"/>
                <w:b/>
                <w:sz w:val="18"/>
              </w:rPr>
              <w:t>Residual DF</w:t>
            </w:r>
          </w:p>
        </w:tc>
        <w:tc>
          <w:tcPr>
            <w:tcW w:w="1276" w:type="dxa"/>
            <w:tcBorders>
              <w:bottom w:val="single" w:sz="4" w:space="0" w:color="auto"/>
            </w:tcBorders>
          </w:tcPr>
          <w:p w14:paraId="58869678" w14:textId="77777777" w:rsidR="0052730F" w:rsidRPr="00191AD2" w:rsidRDefault="0052730F" w:rsidP="0052730F">
            <w:pPr>
              <w:spacing w:before="2" w:after="2"/>
              <w:jc w:val="center"/>
              <w:rPr>
                <w:rFonts w:ascii="Times" w:hAnsi="Times"/>
                <w:b/>
                <w:sz w:val="18"/>
              </w:rPr>
            </w:pPr>
            <w:r w:rsidRPr="00191AD2">
              <w:rPr>
                <w:rFonts w:ascii="Times" w:hAnsi="Times"/>
                <w:b/>
                <w:sz w:val="18"/>
              </w:rPr>
              <w:t>Resid. Dev</w:t>
            </w:r>
          </w:p>
        </w:tc>
        <w:tc>
          <w:tcPr>
            <w:tcW w:w="992" w:type="dxa"/>
            <w:tcBorders>
              <w:bottom w:val="single" w:sz="4" w:space="0" w:color="auto"/>
            </w:tcBorders>
          </w:tcPr>
          <w:p w14:paraId="3E475B73" w14:textId="77777777" w:rsidR="0052730F" w:rsidRPr="00191AD2" w:rsidRDefault="0052730F" w:rsidP="0052730F">
            <w:pPr>
              <w:spacing w:before="2" w:after="2"/>
              <w:jc w:val="center"/>
              <w:rPr>
                <w:rFonts w:ascii="Times" w:hAnsi="Times"/>
                <w:b/>
                <w:sz w:val="18"/>
              </w:rPr>
            </w:pPr>
            <w:r w:rsidRPr="00191AD2">
              <w:rPr>
                <w:rFonts w:ascii="Times" w:hAnsi="Times"/>
                <w:b/>
                <w:sz w:val="18"/>
              </w:rPr>
              <w:t>P (&gt; Chi)</w:t>
            </w:r>
          </w:p>
        </w:tc>
        <w:tc>
          <w:tcPr>
            <w:tcW w:w="709" w:type="dxa"/>
            <w:tcBorders>
              <w:bottom w:val="single" w:sz="4" w:space="0" w:color="auto"/>
            </w:tcBorders>
          </w:tcPr>
          <w:p w14:paraId="528C2D28" w14:textId="77777777" w:rsidR="0052730F" w:rsidRPr="00191AD2" w:rsidRDefault="0052730F" w:rsidP="0052730F">
            <w:pPr>
              <w:spacing w:before="2" w:after="2"/>
              <w:jc w:val="center"/>
              <w:rPr>
                <w:rFonts w:ascii="Times" w:hAnsi="Times"/>
                <w:sz w:val="18"/>
              </w:rPr>
            </w:pPr>
          </w:p>
        </w:tc>
      </w:tr>
      <w:tr w:rsidR="0052730F" w:rsidRPr="00191AD2" w14:paraId="2BF42F40" w14:textId="77777777">
        <w:trPr>
          <w:trHeight w:hRule="exact" w:val="284"/>
        </w:trPr>
        <w:tc>
          <w:tcPr>
            <w:tcW w:w="1526" w:type="dxa"/>
            <w:tcBorders>
              <w:top w:val="single" w:sz="4" w:space="0" w:color="auto"/>
            </w:tcBorders>
            <w:shd w:val="clear" w:color="auto" w:fill="auto"/>
          </w:tcPr>
          <w:p w14:paraId="20231A77" w14:textId="77777777" w:rsidR="0052730F" w:rsidRPr="00191AD2" w:rsidRDefault="0052730F" w:rsidP="0052730F">
            <w:pPr>
              <w:spacing w:before="2" w:after="2"/>
              <w:jc w:val="center"/>
              <w:rPr>
                <w:rFonts w:ascii="Times" w:hAnsi="Times"/>
                <w:sz w:val="18"/>
              </w:rPr>
            </w:pPr>
            <w:r w:rsidRPr="00191AD2">
              <w:rPr>
                <w:rFonts w:ascii="Times" w:hAnsi="Times"/>
                <w:sz w:val="18"/>
              </w:rPr>
              <w:t>Flowering Time</w:t>
            </w:r>
          </w:p>
        </w:tc>
        <w:tc>
          <w:tcPr>
            <w:tcW w:w="1451" w:type="dxa"/>
            <w:tcBorders>
              <w:top w:val="single" w:sz="4" w:space="0" w:color="auto"/>
            </w:tcBorders>
            <w:shd w:val="clear" w:color="auto" w:fill="auto"/>
          </w:tcPr>
          <w:p w14:paraId="7DBB19CC" w14:textId="77777777" w:rsidR="0052730F" w:rsidRPr="00191AD2" w:rsidRDefault="0052730F" w:rsidP="0052730F">
            <w:pPr>
              <w:spacing w:before="2" w:after="2"/>
              <w:jc w:val="center"/>
              <w:rPr>
                <w:rFonts w:ascii="Times" w:hAnsi="Times"/>
                <w:sz w:val="18"/>
              </w:rPr>
            </w:pPr>
            <w:r w:rsidRPr="00191AD2">
              <w:rPr>
                <w:rFonts w:ascii="Times" w:hAnsi="Times"/>
                <w:sz w:val="18"/>
              </w:rPr>
              <w:t>Latitude</w:t>
            </w:r>
          </w:p>
        </w:tc>
        <w:tc>
          <w:tcPr>
            <w:tcW w:w="709" w:type="dxa"/>
            <w:tcBorders>
              <w:top w:val="single" w:sz="4" w:space="0" w:color="auto"/>
            </w:tcBorders>
            <w:shd w:val="clear" w:color="auto" w:fill="auto"/>
            <w:vAlign w:val="bottom"/>
          </w:tcPr>
          <w:p w14:paraId="0DD9ADC2"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w:t>
            </w:r>
          </w:p>
        </w:tc>
        <w:tc>
          <w:tcPr>
            <w:tcW w:w="1134" w:type="dxa"/>
            <w:tcBorders>
              <w:top w:val="single" w:sz="4" w:space="0" w:color="auto"/>
            </w:tcBorders>
            <w:shd w:val="clear" w:color="auto" w:fill="auto"/>
            <w:vAlign w:val="bottom"/>
          </w:tcPr>
          <w:p w14:paraId="72EBAEAF"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44.2</w:t>
            </w:r>
          </w:p>
        </w:tc>
        <w:tc>
          <w:tcPr>
            <w:tcW w:w="1134" w:type="dxa"/>
            <w:tcBorders>
              <w:top w:val="single" w:sz="4" w:space="0" w:color="auto"/>
            </w:tcBorders>
            <w:shd w:val="clear" w:color="auto" w:fill="auto"/>
            <w:vAlign w:val="bottom"/>
          </w:tcPr>
          <w:p w14:paraId="56996D27"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44.2</w:t>
            </w:r>
          </w:p>
        </w:tc>
        <w:tc>
          <w:tcPr>
            <w:tcW w:w="1276" w:type="dxa"/>
            <w:tcBorders>
              <w:top w:val="single" w:sz="4" w:space="0" w:color="auto"/>
            </w:tcBorders>
            <w:shd w:val="clear" w:color="auto" w:fill="auto"/>
            <w:vAlign w:val="bottom"/>
          </w:tcPr>
          <w:p w14:paraId="56FD5B7D"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72.624</w:t>
            </w:r>
          </w:p>
        </w:tc>
        <w:tc>
          <w:tcPr>
            <w:tcW w:w="992" w:type="dxa"/>
            <w:tcBorders>
              <w:top w:val="single" w:sz="4" w:space="0" w:color="auto"/>
            </w:tcBorders>
            <w:shd w:val="clear" w:color="auto" w:fill="auto"/>
            <w:vAlign w:val="bottom"/>
          </w:tcPr>
          <w:p w14:paraId="50ABC0F2"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3.26E-14</w:t>
            </w:r>
          </w:p>
        </w:tc>
        <w:tc>
          <w:tcPr>
            <w:tcW w:w="709" w:type="dxa"/>
            <w:tcBorders>
              <w:top w:val="single" w:sz="4" w:space="0" w:color="auto"/>
            </w:tcBorders>
            <w:shd w:val="clear" w:color="auto" w:fill="auto"/>
            <w:vAlign w:val="bottom"/>
          </w:tcPr>
          <w:p w14:paraId="6815EB63"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w:t>
            </w:r>
          </w:p>
        </w:tc>
      </w:tr>
      <w:tr w:rsidR="0052730F" w:rsidRPr="00191AD2" w14:paraId="527F0951" w14:textId="77777777">
        <w:trPr>
          <w:trHeight w:hRule="exact" w:val="284"/>
        </w:trPr>
        <w:tc>
          <w:tcPr>
            <w:tcW w:w="1526" w:type="dxa"/>
            <w:shd w:val="clear" w:color="auto" w:fill="auto"/>
          </w:tcPr>
          <w:p w14:paraId="51C56E82" w14:textId="77777777" w:rsidR="0052730F" w:rsidRPr="00191AD2" w:rsidRDefault="0052730F" w:rsidP="0052730F">
            <w:pPr>
              <w:spacing w:before="2" w:after="2"/>
              <w:jc w:val="center"/>
              <w:rPr>
                <w:rFonts w:ascii="Times" w:hAnsi="Times"/>
                <w:sz w:val="18"/>
              </w:rPr>
            </w:pPr>
          </w:p>
        </w:tc>
        <w:tc>
          <w:tcPr>
            <w:tcW w:w="1451" w:type="dxa"/>
            <w:shd w:val="clear" w:color="auto" w:fill="auto"/>
          </w:tcPr>
          <w:p w14:paraId="1E2D5D47" w14:textId="77777777" w:rsidR="0052730F" w:rsidRPr="00191AD2" w:rsidRDefault="0052730F" w:rsidP="0052730F">
            <w:pPr>
              <w:spacing w:before="2" w:after="2"/>
              <w:jc w:val="center"/>
              <w:rPr>
                <w:rFonts w:ascii="Times" w:hAnsi="Times"/>
                <w:sz w:val="18"/>
              </w:rPr>
            </w:pPr>
            <w:r w:rsidRPr="00191AD2">
              <w:rPr>
                <w:rFonts w:ascii="Times" w:hAnsi="Times"/>
                <w:sz w:val="18"/>
              </w:rPr>
              <w:t>Generation</w:t>
            </w:r>
          </w:p>
        </w:tc>
        <w:tc>
          <w:tcPr>
            <w:tcW w:w="709" w:type="dxa"/>
            <w:shd w:val="clear" w:color="auto" w:fill="auto"/>
            <w:vAlign w:val="bottom"/>
          </w:tcPr>
          <w:p w14:paraId="4D601D6C"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w:t>
            </w:r>
          </w:p>
        </w:tc>
        <w:tc>
          <w:tcPr>
            <w:tcW w:w="1134" w:type="dxa"/>
            <w:shd w:val="clear" w:color="auto" w:fill="auto"/>
            <w:vAlign w:val="bottom"/>
          </w:tcPr>
          <w:p w14:paraId="7B558DA6"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0.02</w:t>
            </w:r>
          </w:p>
        </w:tc>
        <w:tc>
          <w:tcPr>
            <w:tcW w:w="1134" w:type="dxa"/>
            <w:shd w:val="clear" w:color="auto" w:fill="auto"/>
            <w:vAlign w:val="bottom"/>
          </w:tcPr>
          <w:p w14:paraId="1C281C35"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0.02</w:t>
            </w:r>
          </w:p>
        </w:tc>
        <w:tc>
          <w:tcPr>
            <w:tcW w:w="1276" w:type="dxa"/>
            <w:shd w:val="clear" w:color="auto" w:fill="auto"/>
            <w:vAlign w:val="bottom"/>
          </w:tcPr>
          <w:p w14:paraId="49CEDD51"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0.029</w:t>
            </w:r>
          </w:p>
        </w:tc>
        <w:tc>
          <w:tcPr>
            <w:tcW w:w="992" w:type="dxa"/>
            <w:shd w:val="clear" w:color="auto" w:fill="auto"/>
            <w:vAlign w:val="bottom"/>
          </w:tcPr>
          <w:p w14:paraId="200D51E2"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0.864</w:t>
            </w:r>
          </w:p>
        </w:tc>
        <w:tc>
          <w:tcPr>
            <w:tcW w:w="709" w:type="dxa"/>
            <w:shd w:val="clear" w:color="auto" w:fill="auto"/>
            <w:vAlign w:val="bottom"/>
          </w:tcPr>
          <w:p w14:paraId="3A0AFC55" w14:textId="77777777" w:rsidR="0052730F" w:rsidRPr="00191AD2" w:rsidRDefault="0052730F" w:rsidP="0052730F">
            <w:pPr>
              <w:spacing w:before="2" w:after="2"/>
              <w:jc w:val="center"/>
              <w:rPr>
                <w:rFonts w:ascii="Times" w:hAnsi="Times"/>
                <w:sz w:val="18"/>
                <w:szCs w:val="18"/>
              </w:rPr>
            </w:pPr>
          </w:p>
        </w:tc>
      </w:tr>
      <w:tr w:rsidR="0052730F" w:rsidRPr="00191AD2" w14:paraId="35378692" w14:textId="77777777">
        <w:trPr>
          <w:trHeight w:hRule="exact" w:val="284"/>
        </w:trPr>
        <w:tc>
          <w:tcPr>
            <w:tcW w:w="1526" w:type="dxa"/>
            <w:shd w:val="clear" w:color="auto" w:fill="auto"/>
          </w:tcPr>
          <w:p w14:paraId="6E954A5B" w14:textId="77777777" w:rsidR="0052730F" w:rsidRPr="00191AD2" w:rsidRDefault="0052730F" w:rsidP="0052730F">
            <w:pPr>
              <w:spacing w:before="2" w:after="2"/>
              <w:jc w:val="center"/>
              <w:rPr>
                <w:rFonts w:ascii="Times" w:hAnsi="Times"/>
                <w:sz w:val="18"/>
              </w:rPr>
            </w:pPr>
          </w:p>
        </w:tc>
        <w:tc>
          <w:tcPr>
            <w:tcW w:w="1451" w:type="dxa"/>
            <w:shd w:val="clear" w:color="auto" w:fill="auto"/>
          </w:tcPr>
          <w:p w14:paraId="70526E68" w14:textId="77777777" w:rsidR="0052730F" w:rsidRPr="00191AD2" w:rsidRDefault="0052730F" w:rsidP="0052730F">
            <w:pPr>
              <w:spacing w:before="2" w:after="2"/>
              <w:jc w:val="center"/>
              <w:rPr>
                <w:rFonts w:ascii="Times" w:hAnsi="Times"/>
                <w:sz w:val="18"/>
              </w:rPr>
            </w:pPr>
            <w:r w:rsidRPr="00191AD2">
              <w:rPr>
                <w:rFonts w:ascii="Times" w:hAnsi="Times"/>
                <w:sz w:val="18"/>
              </w:rPr>
              <w:t>Lat * Gen</w:t>
            </w:r>
          </w:p>
        </w:tc>
        <w:tc>
          <w:tcPr>
            <w:tcW w:w="709" w:type="dxa"/>
            <w:shd w:val="clear" w:color="auto" w:fill="auto"/>
            <w:vAlign w:val="bottom"/>
          </w:tcPr>
          <w:p w14:paraId="2562749C"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w:t>
            </w:r>
          </w:p>
        </w:tc>
        <w:tc>
          <w:tcPr>
            <w:tcW w:w="1134" w:type="dxa"/>
            <w:shd w:val="clear" w:color="auto" w:fill="auto"/>
            <w:vAlign w:val="bottom"/>
          </w:tcPr>
          <w:p w14:paraId="4D203CA5"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1.05</w:t>
            </w:r>
          </w:p>
        </w:tc>
        <w:tc>
          <w:tcPr>
            <w:tcW w:w="1134" w:type="dxa"/>
            <w:shd w:val="clear" w:color="auto" w:fill="auto"/>
            <w:vAlign w:val="bottom"/>
          </w:tcPr>
          <w:p w14:paraId="68C353B7"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1.05</w:t>
            </w:r>
          </w:p>
        </w:tc>
        <w:tc>
          <w:tcPr>
            <w:tcW w:w="1276" w:type="dxa"/>
            <w:shd w:val="clear" w:color="auto" w:fill="auto"/>
            <w:vAlign w:val="bottom"/>
          </w:tcPr>
          <w:p w14:paraId="286F8227"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1.73</w:t>
            </w:r>
          </w:p>
        </w:tc>
        <w:tc>
          <w:tcPr>
            <w:tcW w:w="992" w:type="dxa"/>
            <w:shd w:val="clear" w:color="auto" w:fill="auto"/>
            <w:vAlign w:val="bottom"/>
          </w:tcPr>
          <w:p w14:paraId="58E0D082"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0.191</w:t>
            </w:r>
          </w:p>
        </w:tc>
        <w:tc>
          <w:tcPr>
            <w:tcW w:w="709" w:type="dxa"/>
            <w:shd w:val="clear" w:color="auto" w:fill="auto"/>
            <w:vAlign w:val="bottom"/>
          </w:tcPr>
          <w:p w14:paraId="43ABE9DC" w14:textId="77777777" w:rsidR="0052730F" w:rsidRPr="00191AD2" w:rsidRDefault="0052730F" w:rsidP="0052730F">
            <w:pPr>
              <w:spacing w:before="2" w:after="2"/>
              <w:jc w:val="center"/>
              <w:rPr>
                <w:rFonts w:ascii="Times" w:hAnsi="Times"/>
                <w:sz w:val="18"/>
                <w:szCs w:val="18"/>
              </w:rPr>
            </w:pPr>
          </w:p>
        </w:tc>
      </w:tr>
      <w:tr w:rsidR="0052730F" w:rsidRPr="00191AD2" w14:paraId="4BC630CF" w14:textId="77777777">
        <w:trPr>
          <w:trHeight w:hRule="exact" w:val="284"/>
        </w:trPr>
        <w:tc>
          <w:tcPr>
            <w:tcW w:w="1526" w:type="dxa"/>
            <w:tcBorders>
              <w:bottom w:val="single" w:sz="4" w:space="0" w:color="auto"/>
            </w:tcBorders>
            <w:shd w:val="clear" w:color="auto" w:fill="auto"/>
          </w:tcPr>
          <w:p w14:paraId="2E326D3A" w14:textId="77777777" w:rsidR="0052730F" w:rsidRPr="00191AD2" w:rsidRDefault="0052730F" w:rsidP="0052730F">
            <w:pPr>
              <w:spacing w:before="2" w:after="2"/>
              <w:jc w:val="center"/>
              <w:rPr>
                <w:rFonts w:ascii="Times" w:hAnsi="Times"/>
                <w:sz w:val="18"/>
              </w:rPr>
            </w:pPr>
          </w:p>
        </w:tc>
        <w:tc>
          <w:tcPr>
            <w:tcW w:w="1451" w:type="dxa"/>
            <w:tcBorders>
              <w:bottom w:val="single" w:sz="4" w:space="0" w:color="auto"/>
            </w:tcBorders>
            <w:shd w:val="clear" w:color="auto" w:fill="auto"/>
          </w:tcPr>
          <w:p w14:paraId="5F9509E8" w14:textId="77777777" w:rsidR="0052730F" w:rsidRPr="00191AD2" w:rsidRDefault="0052730F" w:rsidP="0052730F">
            <w:pPr>
              <w:spacing w:before="2" w:after="2"/>
              <w:jc w:val="center"/>
              <w:rPr>
                <w:rFonts w:ascii="Times" w:hAnsi="Times"/>
                <w:sz w:val="18"/>
              </w:rPr>
            </w:pPr>
            <w:r w:rsidRPr="00191AD2">
              <w:rPr>
                <w:rFonts w:ascii="Times" w:hAnsi="Times"/>
                <w:sz w:val="18"/>
              </w:rPr>
              <w:t>Error</w:t>
            </w:r>
          </w:p>
        </w:tc>
        <w:tc>
          <w:tcPr>
            <w:tcW w:w="709" w:type="dxa"/>
            <w:tcBorders>
              <w:bottom w:val="single" w:sz="4" w:space="0" w:color="auto"/>
            </w:tcBorders>
            <w:shd w:val="clear" w:color="auto" w:fill="auto"/>
            <w:vAlign w:val="bottom"/>
          </w:tcPr>
          <w:p w14:paraId="73AA0031"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131</w:t>
            </w:r>
          </w:p>
        </w:tc>
        <w:tc>
          <w:tcPr>
            <w:tcW w:w="1134" w:type="dxa"/>
            <w:tcBorders>
              <w:bottom w:val="single" w:sz="4" w:space="0" w:color="auto"/>
            </w:tcBorders>
            <w:shd w:val="clear" w:color="auto" w:fill="auto"/>
            <w:vAlign w:val="bottom"/>
          </w:tcPr>
          <w:p w14:paraId="5BD63BC1"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79.73</w:t>
            </w:r>
          </w:p>
        </w:tc>
        <w:tc>
          <w:tcPr>
            <w:tcW w:w="1134" w:type="dxa"/>
            <w:tcBorders>
              <w:bottom w:val="single" w:sz="4" w:space="0" w:color="auto"/>
            </w:tcBorders>
            <w:shd w:val="clear" w:color="auto" w:fill="auto"/>
            <w:vAlign w:val="bottom"/>
          </w:tcPr>
          <w:p w14:paraId="44BF40F1"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0.61</w:t>
            </w:r>
          </w:p>
        </w:tc>
        <w:tc>
          <w:tcPr>
            <w:tcW w:w="1276" w:type="dxa"/>
            <w:tcBorders>
              <w:bottom w:val="single" w:sz="4" w:space="0" w:color="auto"/>
            </w:tcBorders>
            <w:shd w:val="clear" w:color="auto" w:fill="auto"/>
            <w:vAlign w:val="bottom"/>
          </w:tcPr>
          <w:p w14:paraId="782B319E" w14:textId="77777777" w:rsidR="0052730F" w:rsidRPr="00191AD2" w:rsidRDefault="0052730F" w:rsidP="0052730F">
            <w:pPr>
              <w:spacing w:before="2" w:after="2"/>
              <w:jc w:val="center"/>
              <w:rPr>
                <w:rFonts w:ascii="Times" w:hAnsi="Times"/>
                <w:sz w:val="18"/>
                <w:szCs w:val="18"/>
              </w:rPr>
            </w:pPr>
          </w:p>
        </w:tc>
        <w:tc>
          <w:tcPr>
            <w:tcW w:w="992" w:type="dxa"/>
            <w:tcBorders>
              <w:bottom w:val="single" w:sz="4" w:space="0" w:color="auto"/>
            </w:tcBorders>
            <w:shd w:val="clear" w:color="auto" w:fill="auto"/>
            <w:vAlign w:val="bottom"/>
          </w:tcPr>
          <w:p w14:paraId="2C1B72F6" w14:textId="77777777" w:rsidR="0052730F" w:rsidRPr="00191AD2" w:rsidRDefault="0052730F" w:rsidP="0052730F">
            <w:pPr>
              <w:spacing w:before="2" w:after="2"/>
              <w:jc w:val="center"/>
              <w:rPr>
                <w:rFonts w:ascii="Times" w:hAnsi="Times"/>
                <w:sz w:val="18"/>
                <w:szCs w:val="18"/>
              </w:rPr>
            </w:pPr>
          </w:p>
        </w:tc>
        <w:tc>
          <w:tcPr>
            <w:tcW w:w="709" w:type="dxa"/>
            <w:tcBorders>
              <w:bottom w:val="single" w:sz="4" w:space="0" w:color="auto"/>
            </w:tcBorders>
            <w:shd w:val="clear" w:color="auto" w:fill="auto"/>
            <w:vAlign w:val="bottom"/>
          </w:tcPr>
          <w:p w14:paraId="341604E2" w14:textId="77777777" w:rsidR="0052730F" w:rsidRPr="00191AD2" w:rsidRDefault="0052730F" w:rsidP="0052730F">
            <w:pPr>
              <w:spacing w:before="2" w:after="2"/>
              <w:jc w:val="center"/>
              <w:rPr>
                <w:rFonts w:ascii="Times" w:hAnsi="Times"/>
                <w:sz w:val="18"/>
                <w:szCs w:val="18"/>
              </w:rPr>
            </w:pPr>
          </w:p>
        </w:tc>
      </w:tr>
      <w:tr w:rsidR="0052730F" w:rsidRPr="00191AD2" w14:paraId="65758658" w14:textId="77777777">
        <w:trPr>
          <w:trHeight w:hRule="exact" w:val="284"/>
        </w:trPr>
        <w:tc>
          <w:tcPr>
            <w:tcW w:w="1526" w:type="dxa"/>
            <w:tcBorders>
              <w:top w:val="single" w:sz="4" w:space="0" w:color="auto"/>
            </w:tcBorders>
            <w:shd w:val="clear" w:color="auto" w:fill="auto"/>
          </w:tcPr>
          <w:p w14:paraId="0D4B65D2" w14:textId="77777777" w:rsidR="0052730F" w:rsidRPr="00191AD2" w:rsidRDefault="0052730F" w:rsidP="0052730F">
            <w:pPr>
              <w:spacing w:before="2" w:after="2"/>
              <w:jc w:val="center"/>
              <w:rPr>
                <w:rFonts w:ascii="Times" w:hAnsi="Times"/>
                <w:sz w:val="18"/>
              </w:rPr>
            </w:pPr>
            <w:r w:rsidRPr="00191AD2">
              <w:rPr>
                <w:rFonts w:ascii="Times" w:hAnsi="Times"/>
                <w:sz w:val="18"/>
              </w:rPr>
              <w:t>Ripe Fruit</w:t>
            </w:r>
          </w:p>
        </w:tc>
        <w:tc>
          <w:tcPr>
            <w:tcW w:w="1451" w:type="dxa"/>
            <w:tcBorders>
              <w:top w:val="single" w:sz="4" w:space="0" w:color="auto"/>
            </w:tcBorders>
            <w:shd w:val="clear" w:color="auto" w:fill="auto"/>
          </w:tcPr>
          <w:p w14:paraId="208DDCFE" w14:textId="77777777" w:rsidR="0052730F" w:rsidRPr="00191AD2" w:rsidRDefault="0052730F" w:rsidP="0052730F">
            <w:pPr>
              <w:spacing w:before="2" w:after="2"/>
              <w:jc w:val="center"/>
              <w:rPr>
                <w:rFonts w:ascii="Times" w:hAnsi="Times"/>
                <w:sz w:val="18"/>
              </w:rPr>
            </w:pPr>
            <w:r w:rsidRPr="00191AD2">
              <w:rPr>
                <w:rFonts w:ascii="Times" w:hAnsi="Times"/>
                <w:sz w:val="18"/>
              </w:rPr>
              <w:t>Latitude</w:t>
            </w:r>
          </w:p>
        </w:tc>
        <w:tc>
          <w:tcPr>
            <w:tcW w:w="709" w:type="dxa"/>
            <w:tcBorders>
              <w:top w:val="single" w:sz="4" w:space="0" w:color="auto"/>
            </w:tcBorders>
            <w:shd w:val="clear" w:color="auto" w:fill="auto"/>
            <w:vAlign w:val="bottom"/>
          </w:tcPr>
          <w:p w14:paraId="7D63BC7C"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w:t>
            </w:r>
          </w:p>
        </w:tc>
        <w:tc>
          <w:tcPr>
            <w:tcW w:w="1134" w:type="dxa"/>
            <w:tcBorders>
              <w:top w:val="single" w:sz="4" w:space="0" w:color="auto"/>
            </w:tcBorders>
            <w:shd w:val="clear" w:color="auto" w:fill="auto"/>
            <w:vAlign w:val="bottom"/>
          </w:tcPr>
          <w:p w14:paraId="7642D46F"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0.15</w:t>
            </w:r>
          </w:p>
        </w:tc>
        <w:tc>
          <w:tcPr>
            <w:tcW w:w="1134" w:type="dxa"/>
            <w:tcBorders>
              <w:top w:val="single" w:sz="4" w:space="0" w:color="auto"/>
            </w:tcBorders>
            <w:shd w:val="clear" w:color="auto" w:fill="auto"/>
            <w:vAlign w:val="bottom"/>
          </w:tcPr>
          <w:p w14:paraId="7CDC9C08"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0.1513</w:t>
            </w:r>
          </w:p>
        </w:tc>
        <w:tc>
          <w:tcPr>
            <w:tcW w:w="1276" w:type="dxa"/>
            <w:tcBorders>
              <w:top w:val="single" w:sz="4" w:space="0" w:color="auto"/>
            </w:tcBorders>
            <w:shd w:val="clear" w:color="auto" w:fill="auto"/>
            <w:vAlign w:val="bottom"/>
          </w:tcPr>
          <w:p w14:paraId="365AECE5"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0.159</w:t>
            </w:r>
          </w:p>
        </w:tc>
        <w:tc>
          <w:tcPr>
            <w:tcW w:w="992" w:type="dxa"/>
            <w:tcBorders>
              <w:top w:val="single" w:sz="4" w:space="0" w:color="auto"/>
            </w:tcBorders>
            <w:shd w:val="clear" w:color="auto" w:fill="auto"/>
            <w:vAlign w:val="bottom"/>
          </w:tcPr>
          <w:p w14:paraId="593EEF1F"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0.691</w:t>
            </w:r>
          </w:p>
        </w:tc>
        <w:tc>
          <w:tcPr>
            <w:tcW w:w="709" w:type="dxa"/>
            <w:tcBorders>
              <w:top w:val="single" w:sz="4" w:space="0" w:color="auto"/>
            </w:tcBorders>
            <w:shd w:val="clear" w:color="auto" w:fill="auto"/>
          </w:tcPr>
          <w:p w14:paraId="5E68619C" w14:textId="77777777" w:rsidR="0052730F" w:rsidRPr="00191AD2" w:rsidRDefault="0052730F" w:rsidP="0052730F">
            <w:pPr>
              <w:spacing w:before="2" w:after="2"/>
              <w:jc w:val="center"/>
              <w:rPr>
                <w:rFonts w:ascii="Times" w:hAnsi="Times"/>
                <w:sz w:val="18"/>
              </w:rPr>
            </w:pPr>
          </w:p>
        </w:tc>
      </w:tr>
      <w:tr w:rsidR="0052730F" w:rsidRPr="00191AD2" w14:paraId="23509DC6" w14:textId="77777777">
        <w:trPr>
          <w:trHeight w:hRule="exact" w:val="284"/>
        </w:trPr>
        <w:tc>
          <w:tcPr>
            <w:tcW w:w="1526" w:type="dxa"/>
            <w:shd w:val="clear" w:color="auto" w:fill="auto"/>
          </w:tcPr>
          <w:p w14:paraId="68AFD4A7" w14:textId="77777777" w:rsidR="0052730F" w:rsidRPr="00191AD2" w:rsidRDefault="0052730F" w:rsidP="0052730F">
            <w:pPr>
              <w:spacing w:before="2" w:after="2"/>
              <w:jc w:val="center"/>
              <w:rPr>
                <w:rFonts w:ascii="Times" w:hAnsi="Times"/>
                <w:sz w:val="18"/>
              </w:rPr>
            </w:pPr>
          </w:p>
        </w:tc>
        <w:tc>
          <w:tcPr>
            <w:tcW w:w="1451" w:type="dxa"/>
            <w:shd w:val="clear" w:color="auto" w:fill="auto"/>
          </w:tcPr>
          <w:p w14:paraId="3C7E0015" w14:textId="77777777" w:rsidR="0052730F" w:rsidRPr="00191AD2" w:rsidRDefault="0052730F" w:rsidP="0052730F">
            <w:pPr>
              <w:spacing w:before="2" w:after="2"/>
              <w:jc w:val="center"/>
              <w:rPr>
                <w:rFonts w:ascii="Times" w:hAnsi="Times"/>
                <w:sz w:val="18"/>
              </w:rPr>
            </w:pPr>
            <w:r w:rsidRPr="00191AD2">
              <w:rPr>
                <w:rFonts w:ascii="Times" w:hAnsi="Times"/>
                <w:sz w:val="18"/>
              </w:rPr>
              <w:t>Generation</w:t>
            </w:r>
          </w:p>
        </w:tc>
        <w:tc>
          <w:tcPr>
            <w:tcW w:w="709" w:type="dxa"/>
            <w:shd w:val="clear" w:color="auto" w:fill="auto"/>
            <w:vAlign w:val="bottom"/>
          </w:tcPr>
          <w:p w14:paraId="48D5F14E"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w:t>
            </w:r>
          </w:p>
        </w:tc>
        <w:tc>
          <w:tcPr>
            <w:tcW w:w="1134" w:type="dxa"/>
            <w:shd w:val="clear" w:color="auto" w:fill="auto"/>
            <w:vAlign w:val="bottom"/>
          </w:tcPr>
          <w:p w14:paraId="529728B5"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w:t>
            </w:r>
          </w:p>
        </w:tc>
        <w:tc>
          <w:tcPr>
            <w:tcW w:w="1134" w:type="dxa"/>
            <w:shd w:val="clear" w:color="auto" w:fill="auto"/>
            <w:vAlign w:val="bottom"/>
          </w:tcPr>
          <w:p w14:paraId="0C018CC3"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0.0001</w:t>
            </w:r>
          </w:p>
        </w:tc>
        <w:tc>
          <w:tcPr>
            <w:tcW w:w="1276" w:type="dxa"/>
            <w:shd w:val="clear" w:color="auto" w:fill="auto"/>
            <w:vAlign w:val="bottom"/>
          </w:tcPr>
          <w:p w14:paraId="3281C29F"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w:t>
            </w:r>
          </w:p>
        </w:tc>
        <w:tc>
          <w:tcPr>
            <w:tcW w:w="992" w:type="dxa"/>
            <w:shd w:val="clear" w:color="auto" w:fill="auto"/>
            <w:vAlign w:val="bottom"/>
          </w:tcPr>
          <w:p w14:paraId="371426ED"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0.994</w:t>
            </w:r>
          </w:p>
        </w:tc>
        <w:tc>
          <w:tcPr>
            <w:tcW w:w="709" w:type="dxa"/>
            <w:shd w:val="clear" w:color="auto" w:fill="auto"/>
          </w:tcPr>
          <w:p w14:paraId="1B2631C9" w14:textId="77777777" w:rsidR="0052730F" w:rsidRPr="00191AD2" w:rsidRDefault="0052730F" w:rsidP="0052730F">
            <w:pPr>
              <w:spacing w:before="2" w:after="2"/>
              <w:jc w:val="center"/>
              <w:rPr>
                <w:rFonts w:ascii="Times" w:hAnsi="Times"/>
                <w:sz w:val="18"/>
              </w:rPr>
            </w:pPr>
          </w:p>
        </w:tc>
      </w:tr>
      <w:tr w:rsidR="0052730F" w:rsidRPr="00191AD2" w14:paraId="53253EC1" w14:textId="77777777">
        <w:trPr>
          <w:trHeight w:hRule="exact" w:val="284"/>
        </w:trPr>
        <w:tc>
          <w:tcPr>
            <w:tcW w:w="1526" w:type="dxa"/>
            <w:shd w:val="clear" w:color="auto" w:fill="auto"/>
          </w:tcPr>
          <w:p w14:paraId="66C17FC8" w14:textId="77777777" w:rsidR="0052730F" w:rsidRPr="00191AD2" w:rsidRDefault="0052730F" w:rsidP="0052730F">
            <w:pPr>
              <w:spacing w:before="2" w:after="2"/>
              <w:jc w:val="center"/>
              <w:rPr>
                <w:rFonts w:ascii="Times" w:hAnsi="Times"/>
                <w:sz w:val="18"/>
              </w:rPr>
            </w:pPr>
          </w:p>
        </w:tc>
        <w:tc>
          <w:tcPr>
            <w:tcW w:w="1451" w:type="dxa"/>
            <w:shd w:val="clear" w:color="auto" w:fill="auto"/>
          </w:tcPr>
          <w:p w14:paraId="2850071B" w14:textId="77777777" w:rsidR="0052730F" w:rsidRPr="00191AD2" w:rsidRDefault="0052730F" w:rsidP="0052730F">
            <w:pPr>
              <w:spacing w:before="2" w:after="2"/>
              <w:jc w:val="center"/>
              <w:rPr>
                <w:rFonts w:ascii="Times" w:hAnsi="Times"/>
                <w:sz w:val="18"/>
              </w:rPr>
            </w:pPr>
            <w:r w:rsidRPr="00191AD2">
              <w:rPr>
                <w:rFonts w:ascii="Times" w:hAnsi="Times"/>
                <w:sz w:val="18"/>
              </w:rPr>
              <w:t>Lat * Gen</w:t>
            </w:r>
          </w:p>
        </w:tc>
        <w:tc>
          <w:tcPr>
            <w:tcW w:w="709" w:type="dxa"/>
            <w:shd w:val="clear" w:color="auto" w:fill="auto"/>
            <w:vAlign w:val="bottom"/>
          </w:tcPr>
          <w:p w14:paraId="212D5C6B"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w:t>
            </w:r>
          </w:p>
        </w:tc>
        <w:tc>
          <w:tcPr>
            <w:tcW w:w="1134" w:type="dxa"/>
            <w:shd w:val="clear" w:color="auto" w:fill="auto"/>
            <w:vAlign w:val="bottom"/>
          </w:tcPr>
          <w:p w14:paraId="643F44E5"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0.36</w:t>
            </w:r>
          </w:p>
        </w:tc>
        <w:tc>
          <w:tcPr>
            <w:tcW w:w="1134" w:type="dxa"/>
            <w:shd w:val="clear" w:color="auto" w:fill="auto"/>
            <w:vAlign w:val="bottom"/>
          </w:tcPr>
          <w:p w14:paraId="6A42DEBA"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0.3584</w:t>
            </w:r>
          </w:p>
        </w:tc>
        <w:tc>
          <w:tcPr>
            <w:tcW w:w="1276" w:type="dxa"/>
            <w:shd w:val="clear" w:color="auto" w:fill="auto"/>
            <w:vAlign w:val="bottom"/>
          </w:tcPr>
          <w:p w14:paraId="22678819"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0.377</w:t>
            </w:r>
          </w:p>
        </w:tc>
        <w:tc>
          <w:tcPr>
            <w:tcW w:w="992" w:type="dxa"/>
            <w:shd w:val="clear" w:color="auto" w:fill="auto"/>
            <w:vAlign w:val="bottom"/>
          </w:tcPr>
          <w:p w14:paraId="78DCEA97"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0.54</w:t>
            </w:r>
          </w:p>
        </w:tc>
        <w:tc>
          <w:tcPr>
            <w:tcW w:w="709" w:type="dxa"/>
            <w:shd w:val="clear" w:color="auto" w:fill="auto"/>
          </w:tcPr>
          <w:p w14:paraId="4E2095F2" w14:textId="77777777" w:rsidR="0052730F" w:rsidRPr="00191AD2" w:rsidRDefault="0052730F" w:rsidP="0052730F">
            <w:pPr>
              <w:spacing w:before="2" w:after="2"/>
              <w:jc w:val="center"/>
              <w:rPr>
                <w:rFonts w:ascii="Times" w:hAnsi="Times"/>
                <w:sz w:val="18"/>
              </w:rPr>
            </w:pPr>
          </w:p>
        </w:tc>
      </w:tr>
      <w:tr w:rsidR="0052730F" w:rsidRPr="00191AD2" w14:paraId="209B90FE" w14:textId="77777777">
        <w:trPr>
          <w:trHeight w:hRule="exact" w:val="284"/>
        </w:trPr>
        <w:tc>
          <w:tcPr>
            <w:tcW w:w="1526" w:type="dxa"/>
            <w:tcBorders>
              <w:bottom w:val="single" w:sz="4" w:space="0" w:color="auto"/>
            </w:tcBorders>
            <w:shd w:val="clear" w:color="auto" w:fill="auto"/>
          </w:tcPr>
          <w:p w14:paraId="56E543C9" w14:textId="77777777" w:rsidR="0052730F" w:rsidRPr="00191AD2" w:rsidRDefault="0052730F" w:rsidP="0052730F">
            <w:pPr>
              <w:spacing w:before="2" w:after="2"/>
              <w:jc w:val="center"/>
              <w:rPr>
                <w:rFonts w:ascii="Times" w:hAnsi="Times"/>
                <w:sz w:val="18"/>
              </w:rPr>
            </w:pPr>
          </w:p>
        </w:tc>
        <w:tc>
          <w:tcPr>
            <w:tcW w:w="1451" w:type="dxa"/>
            <w:tcBorders>
              <w:bottom w:val="single" w:sz="4" w:space="0" w:color="auto"/>
            </w:tcBorders>
            <w:shd w:val="clear" w:color="auto" w:fill="auto"/>
          </w:tcPr>
          <w:p w14:paraId="34664F69" w14:textId="77777777" w:rsidR="0052730F" w:rsidRPr="00191AD2" w:rsidRDefault="0052730F" w:rsidP="0052730F">
            <w:pPr>
              <w:spacing w:before="2" w:after="2"/>
              <w:jc w:val="center"/>
              <w:rPr>
                <w:rFonts w:ascii="Times" w:hAnsi="Times"/>
                <w:sz w:val="18"/>
              </w:rPr>
            </w:pPr>
            <w:r w:rsidRPr="00191AD2">
              <w:rPr>
                <w:rFonts w:ascii="Times" w:hAnsi="Times"/>
                <w:sz w:val="18"/>
              </w:rPr>
              <w:t>Error</w:t>
            </w:r>
          </w:p>
        </w:tc>
        <w:tc>
          <w:tcPr>
            <w:tcW w:w="709" w:type="dxa"/>
            <w:tcBorders>
              <w:bottom w:val="single" w:sz="4" w:space="0" w:color="auto"/>
            </w:tcBorders>
            <w:shd w:val="clear" w:color="auto" w:fill="auto"/>
            <w:vAlign w:val="bottom"/>
          </w:tcPr>
          <w:p w14:paraId="54013D5E"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131</w:t>
            </w:r>
          </w:p>
        </w:tc>
        <w:tc>
          <w:tcPr>
            <w:tcW w:w="1134" w:type="dxa"/>
            <w:tcBorders>
              <w:bottom w:val="single" w:sz="4" w:space="0" w:color="auto"/>
            </w:tcBorders>
            <w:shd w:val="clear" w:color="auto" w:fill="auto"/>
            <w:vAlign w:val="bottom"/>
          </w:tcPr>
          <w:p w14:paraId="4E9C3143"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124.49</w:t>
            </w:r>
          </w:p>
        </w:tc>
        <w:tc>
          <w:tcPr>
            <w:tcW w:w="1134" w:type="dxa"/>
            <w:tcBorders>
              <w:bottom w:val="single" w:sz="4" w:space="0" w:color="auto"/>
            </w:tcBorders>
            <w:shd w:val="clear" w:color="auto" w:fill="auto"/>
            <w:vAlign w:val="bottom"/>
          </w:tcPr>
          <w:p w14:paraId="591AC9AE"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0.9503</w:t>
            </w:r>
          </w:p>
        </w:tc>
        <w:tc>
          <w:tcPr>
            <w:tcW w:w="1276" w:type="dxa"/>
            <w:tcBorders>
              <w:bottom w:val="single" w:sz="4" w:space="0" w:color="auto"/>
            </w:tcBorders>
            <w:shd w:val="clear" w:color="auto" w:fill="auto"/>
            <w:vAlign w:val="bottom"/>
          </w:tcPr>
          <w:p w14:paraId="73B7F917" w14:textId="77777777" w:rsidR="0052730F" w:rsidRPr="00191AD2" w:rsidRDefault="0052730F" w:rsidP="0052730F">
            <w:pPr>
              <w:spacing w:before="2" w:after="2"/>
              <w:jc w:val="center"/>
              <w:rPr>
                <w:rFonts w:ascii="Times" w:hAnsi="Times"/>
                <w:sz w:val="18"/>
                <w:szCs w:val="18"/>
              </w:rPr>
            </w:pPr>
          </w:p>
        </w:tc>
        <w:tc>
          <w:tcPr>
            <w:tcW w:w="992" w:type="dxa"/>
            <w:tcBorders>
              <w:bottom w:val="single" w:sz="4" w:space="0" w:color="auto"/>
            </w:tcBorders>
            <w:shd w:val="clear" w:color="auto" w:fill="auto"/>
            <w:vAlign w:val="bottom"/>
          </w:tcPr>
          <w:p w14:paraId="73DBE23C" w14:textId="77777777" w:rsidR="0052730F" w:rsidRPr="00191AD2" w:rsidRDefault="0052730F" w:rsidP="0052730F">
            <w:pPr>
              <w:spacing w:before="2" w:after="2"/>
              <w:jc w:val="center"/>
              <w:rPr>
                <w:rFonts w:ascii="Times" w:hAnsi="Times"/>
                <w:sz w:val="18"/>
                <w:szCs w:val="18"/>
              </w:rPr>
            </w:pPr>
          </w:p>
        </w:tc>
        <w:tc>
          <w:tcPr>
            <w:tcW w:w="709" w:type="dxa"/>
            <w:tcBorders>
              <w:bottom w:val="single" w:sz="4" w:space="0" w:color="auto"/>
            </w:tcBorders>
            <w:shd w:val="clear" w:color="auto" w:fill="auto"/>
          </w:tcPr>
          <w:p w14:paraId="558313CD" w14:textId="77777777" w:rsidR="0052730F" w:rsidRPr="00191AD2" w:rsidRDefault="0052730F" w:rsidP="0052730F">
            <w:pPr>
              <w:spacing w:before="2" w:after="2"/>
              <w:jc w:val="center"/>
              <w:rPr>
                <w:rFonts w:ascii="Times" w:hAnsi="Times"/>
                <w:sz w:val="18"/>
              </w:rPr>
            </w:pPr>
          </w:p>
        </w:tc>
      </w:tr>
      <w:tr w:rsidR="0052730F" w:rsidRPr="00191AD2" w14:paraId="2FD076F8" w14:textId="77777777">
        <w:trPr>
          <w:trHeight w:hRule="exact" w:val="284"/>
        </w:trPr>
        <w:tc>
          <w:tcPr>
            <w:tcW w:w="1526" w:type="dxa"/>
            <w:tcBorders>
              <w:top w:val="single" w:sz="4" w:space="0" w:color="auto"/>
            </w:tcBorders>
            <w:shd w:val="clear" w:color="auto" w:fill="auto"/>
          </w:tcPr>
          <w:p w14:paraId="0B161ADF" w14:textId="77777777" w:rsidR="0052730F" w:rsidRPr="00191AD2" w:rsidRDefault="0052730F" w:rsidP="0052730F">
            <w:pPr>
              <w:spacing w:before="2" w:after="2"/>
              <w:jc w:val="center"/>
              <w:rPr>
                <w:rFonts w:ascii="Times" w:hAnsi="Times"/>
                <w:sz w:val="18"/>
              </w:rPr>
            </w:pPr>
            <w:r w:rsidRPr="00191AD2">
              <w:rPr>
                <w:rFonts w:ascii="Times" w:hAnsi="Times"/>
                <w:sz w:val="18"/>
              </w:rPr>
              <w:t>Seed Per Plant</w:t>
            </w:r>
          </w:p>
        </w:tc>
        <w:tc>
          <w:tcPr>
            <w:tcW w:w="1451" w:type="dxa"/>
            <w:tcBorders>
              <w:top w:val="single" w:sz="4" w:space="0" w:color="auto"/>
            </w:tcBorders>
            <w:shd w:val="clear" w:color="auto" w:fill="auto"/>
          </w:tcPr>
          <w:p w14:paraId="6A119222" w14:textId="77777777" w:rsidR="0052730F" w:rsidRPr="00191AD2" w:rsidRDefault="0052730F" w:rsidP="0052730F">
            <w:pPr>
              <w:spacing w:before="2" w:after="2"/>
              <w:jc w:val="center"/>
              <w:rPr>
                <w:rFonts w:ascii="Times" w:hAnsi="Times"/>
                <w:sz w:val="18"/>
              </w:rPr>
            </w:pPr>
            <w:r w:rsidRPr="00191AD2">
              <w:rPr>
                <w:rFonts w:ascii="Times" w:hAnsi="Times"/>
                <w:sz w:val="18"/>
              </w:rPr>
              <w:t>Latitude</w:t>
            </w:r>
          </w:p>
        </w:tc>
        <w:tc>
          <w:tcPr>
            <w:tcW w:w="709" w:type="dxa"/>
            <w:tcBorders>
              <w:top w:val="single" w:sz="4" w:space="0" w:color="auto"/>
            </w:tcBorders>
            <w:shd w:val="clear" w:color="auto" w:fill="auto"/>
            <w:vAlign w:val="bottom"/>
          </w:tcPr>
          <w:p w14:paraId="3F201A3D"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w:t>
            </w:r>
          </w:p>
        </w:tc>
        <w:tc>
          <w:tcPr>
            <w:tcW w:w="1134" w:type="dxa"/>
            <w:tcBorders>
              <w:top w:val="single" w:sz="4" w:space="0" w:color="auto"/>
            </w:tcBorders>
            <w:shd w:val="clear" w:color="auto" w:fill="auto"/>
            <w:vAlign w:val="bottom"/>
          </w:tcPr>
          <w:p w14:paraId="4D9B619D"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2.41</w:t>
            </w:r>
          </w:p>
        </w:tc>
        <w:tc>
          <w:tcPr>
            <w:tcW w:w="1134" w:type="dxa"/>
            <w:tcBorders>
              <w:top w:val="single" w:sz="4" w:space="0" w:color="auto"/>
            </w:tcBorders>
            <w:shd w:val="clear" w:color="auto" w:fill="auto"/>
            <w:vAlign w:val="bottom"/>
          </w:tcPr>
          <w:p w14:paraId="5CFC9A80"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2.4115</w:t>
            </w:r>
          </w:p>
        </w:tc>
        <w:tc>
          <w:tcPr>
            <w:tcW w:w="1276" w:type="dxa"/>
            <w:tcBorders>
              <w:top w:val="single" w:sz="4" w:space="0" w:color="auto"/>
            </w:tcBorders>
            <w:shd w:val="clear" w:color="auto" w:fill="auto"/>
            <w:vAlign w:val="bottom"/>
          </w:tcPr>
          <w:p w14:paraId="61C011DD"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2.645</w:t>
            </w:r>
          </w:p>
        </w:tc>
        <w:tc>
          <w:tcPr>
            <w:tcW w:w="992" w:type="dxa"/>
            <w:tcBorders>
              <w:top w:val="single" w:sz="4" w:space="0" w:color="auto"/>
            </w:tcBorders>
            <w:shd w:val="clear" w:color="auto" w:fill="auto"/>
            <w:vAlign w:val="bottom"/>
          </w:tcPr>
          <w:p w14:paraId="207A44AC"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0.106</w:t>
            </w:r>
          </w:p>
        </w:tc>
        <w:tc>
          <w:tcPr>
            <w:tcW w:w="709" w:type="dxa"/>
            <w:tcBorders>
              <w:top w:val="single" w:sz="4" w:space="0" w:color="auto"/>
            </w:tcBorders>
            <w:shd w:val="clear" w:color="auto" w:fill="auto"/>
            <w:vAlign w:val="bottom"/>
          </w:tcPr>
          <w:p w14:paraId="0DA937DB" w14:textId="77777777" w:rsidR="0052730F" w:rsidRPr="00191AD2" w:rsidRDefault="0052730F" w:rsidP="0052730F">
            <w:pPr>
              <w:spacing w:before="2" w:after="2"/>
              <w:jc w:val="center"/>
              <w:rPr>
                <w:rFonts w:ascii="Times" w:hAnsi="Times"/>
                <w:sz w:val="18"/>
                <w:szCs w:val="18"/>
              </w:rPr>
            </w:pPr>
          </w:p>
        </w:tc>
      </w:tr>
      <w:tr w:rsidR="0052730F" w:rsidRPr="00191AD2" w14:paraId="68318B8B" w14:textId="77777777">
        <w:trPr>
          <w:trHeight w:hRule="exact" w:val="284"/>
        </w:trPr>
        <w:tc>
          <w:tcPr>
            <w:tcW w:w="1526" w:type="dxa"/>
            <w:shd w:val="clear" w:color="auto" w:fill="auto"/>
          </w:tcPr>
          <w:p w14:paraId="6B70DA96" w14:textId="77777777" w:rsidR="0052730F" w:rsidRPr="00191AD2" w:rsidRDefault="0052730F" w:rsidP="0052730F">
            <w:pPr>
              <w:spacing w:before="2" w:after="2"/>
              <w:jc w:val="center"/>
              <w:rPr>
                <w:rFonts w:ascii="Times" w:hAnsi="Times"/>
                <w:sz w:val="18"/>
              </w:rPr>
            </w:pPr>
          </w:p>
        </w:tc>
        <w:tc>
          <w:tcPr>
            <w:tcW w:w="1451" w:type="dxa"/>
            <w:shd w:val="clear" w:color="auto" w:fill="auto"/>
          </w:tcPr>
          <w:p w14:paraId="637EAC2B" w14:textId="77777777" w:rsidR="0052730F" w:rsidRPr="00191AD2" w:rsidRDefault="0052730F" w:rsidP="0052730F">
            <w:pPr>
              <w:spacing w:before="2" w:after="2"/>
              <w:jc w:val="center"/>
              <w:rPr>
                <w:rFonts w:ascii="Times" w:hAnsi="Times"/>
                <w:sz w:val="18"/>
              </w:rPr>
            </w:pPr>
            <w:r w:rsidRPr="00191AD2">
              <w:rPr>
                <w:rFonts w:ascii="Times" w:hAnsi="Times"/>
                <w:sz w:val="18"/>
              </w:rPr>
              <w:t>Generation</w:t>
            </w:r>
          </w:p>
        </w:tc>
        <w:tc>
          <w:tcPr>
            <w:tcW w:w="709" w:type="dxa"/>
            <w:shd w:val="clear" w:color="auto" w:fill="auto"/>
            <w:vAlign w:val="bottom"/>
          </w:tcPr>
          <w:p w14:paraId="0D9FDB3F"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w:t>
            </w:r>
          </w:p>
        </w:tc>
        <w:tc>
          <w:tcPr>
            <w:tcW w:w="1134" w:type="dxa"/>
            <w:shd w:val="clear" w:color="auto" w:fill="auto"/>
            <w:vAlign w:val="bottom"/>
          </w:tcPr>
          <w:p w14:paraId="48AAA966"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w:t>
            </w:r>
          </w:p>
        </w:tc>
        <w:tc>
          <w:tcPr>
            <w:tcW w:w="1134" w:type="dxa"/>
            <w:shd w:val="clear" w:color="auto" w:fill="auto"/>
            <w:vAlign w:val="bottom"/>
          </w:tcPr>
          <w:p w14:paraId="563179A8"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0.001</w:t>
            </w:r>
          </w:p>
        </w:tc>
        <w:tc>
          <w:tcPr>
            <w:tcW w:w="1276" w:type="dxa"/>
            <w:shd w:val="clear" w:color="auto" w:fill="auto"/>
            <w:vAlign w:val="bottom"/>
          </w:tcPr>
          <w:p w14:paraId="4315066F"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0.001</w:t>
            </w:r>
          </w:p>
        </w:tc>
        <w:tc>
          <w:tcPr>
            <w:tcW w:w="992" w:type="dxa"/>
            <w:shd w:val="clear" w:color="auto" w:fill="auto"/>
            <w:vAlign w:val="bottom"/>
          </w:tcPr>
          <w:p w14:paraId="18A4B974"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0.974</w:t>
            </w:r>
          </w:p>
        </w:tc>
        <w:tc>
          <w:tcPr>
            <w:tcW w:w="709" w:type="dxa"/>
            <w:shd w:val="clear" w:color="auto" w:fill="auto"/>
            <w:vAlign w:val="bottom"/>
          </w:tcPr>
          <w:p w14:paraId="026B448D" w14:textId="77777777" w:rsidR="0052730F" w:rsidRPr="00191AD2" w:rsidRDefault="0052730F" w:rsidP="0052730F">
            <w:pPr>
              <w:spacing w:before="2" w:after="2"/>
              <w:jc w:val="center"/>
              <w:rPr>
                <w:rFonts w:ascii="Times" w:hAnsi="Times"/>
                <w:sz w:val="18"/>
                <w:szCs w:val="18"/>
              </w:rPr>
            </w:pPr>
          </w:p>
        </w:tc>
      </w:tr>
      <w:tr w:rsidR="0052730F" w:rsidRPr="00191AD2" w14:paraId="0ED8F569" w14:textId="77777777">
        <w:trPr>
          <w:trHeight w:hRule="exact" w:val="284"/>
        </w:trPr>
        <w:tc>
          <w:tcPr>
            <w:tcW w:w="1526" w:type="dxa"/>
            <w:shd w:val="clear" w:color="auto" w:fill="auto"/>
          </w:tcPr>
          <w:p w14:paraId="4FC347C9" w14:textId="77777777" w:rsidR="0052730F" w:rsidRPr="00191AD2" w:rsidRDefault="0052730F" w:rsidP="0052730F">
            <w:pPr>
              <w:spacing w:before="2" w:after="2"/>
              <w:jc w:val="center"/>
              <w:rPr>
                <w:rFonts w:ascii="Times" w:hAnsi="Times"/>
                <w:sz w:val="18"/>
              </w:rPr>
            </w:pPr>
          </w:p>
        </w:tc>
        <w:tc>
          <w:tcPr>
            <w:tcW w:w="1451" w:type="dxa"/>
            <w:shd w:val="clear" w:color="auto" w:fill="auto"/>
          </w:tcPr>
          <w:p w14:paraId="11A5D745" w14:textId="77777777" w:rsidR="0052730F" w:rsidRPr="00191AD2" w:rsidRDefault="0052730F" w:rsidP="0052730F">
            <w:pPr>
              <w:spacing w:before="2" w:after="2"/>
              <w:jc w:val="center"/>
              <w:rPr>
                <w:rFonts w:ascii="Times" w:hAnsi="Times"/>
                <w:sz w:val="18"/>
              </w:rPr>
            </w:pPr>
            <w:r w:rsidRPr="00191AD2">
              <w:rPr>
                <w:rFonts w:ascii="Times" w:hAnsi="Times"/>
                <w:sz w:val="18"/>
              </w:rPr>
              <w:t>Lat * Gen</w:t>
            </w:r>
          </w:p>
        </w:tc>
        <w:tc>
          <w:tcPr>
            <w:tcW w:w="709" w:type="dxa"/>
            <w:shd w:val="clear" w:color="auto" w:fill="auto"/>
            <w:vAlign w:val="bottom"/>
          </w:tcPr>
          <w:p w14:paraId="22401F1A"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w:t>
            </w:r>
          </w:p>
        </w:tc>
        <w:tc>
          <w:tcPr>
            <w:tcW w:w="1134" w:type="dxa"/>
            <w:shd w:val="clear" w:color="auto" w:fill="auto"/>
            <w:vAlign w:val="bottom"/>
          </w:tcPr>
          <w:p w14:paraId="10F5E24B"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3.16</w:t>
            </w:r>
          </w:p>
        </w:tc>
        <w:tc>
          <w:tcPr>
            <w:tcW w:w="1134" w:type="dxa"/>
            <w:shd w:val="clear" w:color="auto" w:fill="auto"/>
            <w:vAlign w:val="bottom"/>
          </w:tcPr>
          <w:p w14:paraId="43F7136A"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3.1568</w:t>
            </w:r>
          </w:p>
        </w:tc>
        <w:tc>
          <w:tcPr>
            <w:tcW w:w="1276" w:type="dxa"/>
            <w:shd w:val="clear" w:color="auto" w:fill="auto"/>
            <w:vAlign w:val="bottom"/>
          </w:tcPr>
          <w:p w14:paraId="78B09DE0"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3.463</w:t>
            </w:r>
          </w:p>
        </w:tc>
        <w:tc>
          <w:tcPr>
            <w:tcW w:w="992" w:type="dxa"/>
            <w:shd w:val="clear" w:color="auto" w:fill="auto"/>
            <w:vAlign w:val="bottom"/>
          </w:tcPr>
          <w:p w14:paraId="2AA58872"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0.065</w:t>
            </w:r>
          </w:p>
        </w:tc>
        <w:tc>
          <w:tcPr>
            <w:tcW w:w="709" w:type="dxa"/>
            <w:shd w:val="clear" w:color="auto" w:fill="auto"/>
            <w:vAlign w:val="bottom"/>
          </w:tcPr>
          <w:p w14:paraId="2B7050D0" w14:textId="77777777" w:rsidR="0052730F" w:rsidRPr="00191AD2" w:rsidRDefault="0052730F" w:rsidP="0052730F">
            <w:pPr>
              <w:spacing w:before="2" w:after="2"/>
              <w:jc w:val="center"/>
              <w:rPr>
                <w:rFonts w:ascii="Times" w:hAnsi="Times"/>
                <w:sz w:val="18"/>
                <w:szCs w:val="18"/>
              </w:rPr>
            </w:pPr>
          </w:p>
        </w:tc>
      </w:tr>
      <w:tr w:rsidR="0052730F" w:rsidRPr="00191AD2" w14:paraId="476EB4C0" w14:textId="77777777">
        <w:trPr>
          <w:trHeight w:hRule="exact" w:val="284"/>
        </w:trPr>
        <w:tc>
          <w:tcPr>
            <w:tcW w:w="1526" w:type="dxa"/>
            <w:tcBorders>
              <w:bottom w:val="single" w:sz="4" w:space="0" w:color="auto"/>
            </w:tcBorders>
            <w:shd w:val="clear" w:color="auto" w:fill="auto"/>
          </w:tcPr>
          <w:p w14:paraId="344B7950" w14:textId="77777777" w:rsidR="0052730F" w:rsidRPr="00191AD2" w:rsidRDefault="0052730F" w:rsidP="0052730F">
            <w:pPr>
              <w:spacing w:before="2" w:after="2"/>
              <w:jc w:val="center"/>
              <w:rPr>
                <w:rFonts w:ascii="Times" w:hAnsi="Times"/>
                <w:sz w:val="18"/>
              </w:rPr>
            </w:pPr>
          </w:p>
        </w:tc>
        <w:tc>
          <w:tcPr>
            <w:tcW w:w="1451" w:type="dxa"/>
            <w:tcBorders>
              <w:bottom w:val="single" w:sz="4" w:space="0" w:color="auto"/>
            </w:tcBorders>
            <w:shd w:val="clear" w:color="auto" w:fill="auto"/>
          </w:tcPr>
          <w:p w14:paraId="4E79C66E" w14:textId="77777777" w:rsidR="0052730F" w:rsidRPr="00191AD2" w:rsidRDefault="0052730F" w:rsidP="0052730F">
            <w:pPr>
              <w:spacing w:before="2" w:after="2"/>
              <w:jc w:val="center"/>
              <w:rPr>
                <w:rFonts w:ascii="Times" w:hAnsi="Times"/>
                <w:sz w:val="18"/>
              </w:rPr>
            </w:pPr>
            <w:r w:rsidRPr="00191AD2">
              <w:rPr>
                <w:rFonts w:ascii="Times" w:hAnsi="Times"/>
                <w:sz w:val="18"/>
              </w:rPr>
              <w:t>Error</w:t>
            </w:r>
          </w:p>
        </w:tc>
        <w:tc>
          <w:tcPr>
            <w:tcW w:w="709" w:type="dxa"/>
            <w:tcBorders>
              <w:bottom w:val="single" w:sz="4" w:space="0" w:color="auto"/>
            </w:tcBorders>
            <w:shd w:val="clear" w:color="auto" w:fill="auto"/>
            <w:vAlign w:val="bottom"/>
          </w:tcPr>
          <w:p w14:paraId="30BE5808"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w:t>
            </w:r>
          </w:p>
        </w:tc>
        <w:tc>
          <w:tcPr>
            <w:tcW w:w="1134" w:type="dxa"/>
            <w:tcBorders>
              <w:bottom w:val="single" w:sz="4" w:space="0" w:color="auto"/>
            </w:tcBorders>
            <w:shd w:val="clear" w:color="auto" w:fill="auto"/>
            <w:vAlign w:val="bottom"/>
          </w:tcPr>
          <w:p w14:paraId="1143FE3B"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2.41</w:t>
            </w:r>
          </w:p>
        </w:tc>
        <w:tc>
          <w:tcPr>
            <w:tcW w:w="1134" w:type="dxa"/>
            <w:tcBorders>
              <w:bottom w:val="single" w:sz="4" w:space="0" w:color="auto"/>
            </w:tcBorders>
            <w:shd w:val="clear" w:color="auto" w:fill="auto"/>
            <w:vAlign w:val="bottom"/>
          </w:tcPr>
          <w:p w14:paraId="787CD04F"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2.4115</w:t>
            </w:r>
          </w:p>
        </w:tc>
        <w:tc>
          <w:tcPr>
            <w:tcW w:w="1276" w:type="dxa"/>
            <w:tcBorders>
              <w:bottom w:val="single" w:sz="4" w:space="0" w:color="auto"/>
            </w:tcBorders>
            <w:shd w:val="clear" w:color="auto" w:fill="auto"/>
            <w:vAlign w:val="bottom"/>
          </w:tcPr>
          <w:p w14:paraId="67504D59"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2.645</w:t>
            </w:r>
          </w:p>
        </w:tc>
        <w:tc>
          <w:tcPr>
            <w:tcW w:w="992" w:type="dxa"/>
            <w:tcBorders>
              <w:bottom w:val="single" w:sz="4" w:space="0" w:color="auto"/>
            </w:tcBorders>
            <w:shd w:val="clear" w:color="auto" w:fill="auto"/>
            <w:vAlign w:val="bottom"/>
          </w:tcPr>
          <w:p w14:paraId="0EB449D8"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0.106</w:t>
            </w:r>
          </w:p>
        </w:tc>
        <w:tc>
          <w:tcPr>
            <w:tcW w:w="709" w:type="dxa"/>
            <w:tcBorders>
              <w:bottom w:val="single" w:sz="4" w:space="0" w:color="auto"/>
            </w:tcBorders>
            <w:shd w:val="clear" w:color="auto" w:fill="auto"/>
            <w:vAlign w:val="bottom"/>
          </w:tcPr>
          <w:p w14:paraId="35819645" w14:textId="77777777" w:rsidR="0052730F" w:rsidRPr="00191AD2" w:rsidRDefault="0052730F" w:rsidP="0052730F">
            <w:pPr>
              <w:spacing w:before="2" w:after="2"/>
              <w:jc w:val="center"/>
              <w:rPr>
                <w:rFonts w:ascii="Times" w:hAnsi="Times"/>
                <w:sz w:val="18"/>
                <w:szCs w:val="18"/>
              </w:rPr>
            </w:pPr>
          </w:p>
        </w:tc>
      </w:tr>
      <w:tr w:rsidR="0052730F" w:rsidRPr="00191AD2" w14:paraId="09088932" w14:textId="77777777">
        <w:trPr>
          <w:trHeight w:hRule="exact" w:val="284"/>
        </w:trPr>
        <w:tc>
          <w:tcPr>
            <w:tcW w:w="1526" w:type="dxa"/>
            <w:tcBorders>
              <w:top w:val="single" w:sz="4" w:space="0" w:color="auto"/>
            </w:tcBorders>
            <w:shd w:val="clear" w:color="auto" w:fill="auto"/>
          </w:tcPr>
          <w:p w14:paraId="7D1901DD" w14:textId="77777777" w:rsidR="0052730F" w:rsidRPr="00191AD2" w:rsidRDefault="0052730F" w:rsidP="0052730F">
            <w:pPr>
              <w:spacing w:before="2" w:after="2"/>
              <w:jc w:val="center"/>
              <w:rPr>
                <w:rFonts w:ascii="Times" w:hAnsi="Times"/>
                <w:sz w:val="18"/>
              </w:rPr>
            </w:pPr>
            <w:r w:rsidRPr="00191AD2">
              <w:rPr>
                <w:rFonts w:ascii="Times" w:hAnsi="Times"/>
                <w:sz w:val="18"/>
              </w:rPr>
              <w:t>Seed Per Fruit</w:t>
            </w:r>
          </w:p>
        </w:tc>
        <w:tc>
          <w:tcPr>
            <w:tcW w:w="1451" w:type="dxa"/>
            <w:tcBorders>
              <w:top w:val="single" w:sz="4" w:space="0" w:color="auto"/>
            </w:tcBorders>
            <w:shd w:val="clear" w:color="auto" w:fill="auto"/>
          </w:tcPr>
          <w:p w14:paraId="43696C80" w14:textId="77777777" w:rsidR="0052730F" w:rsidRPr="00191AD2" w:rsidRDefault="0052730F" w:rsidP="0052730F">
            <w:pPr>
              <w:spacing w:before="2" w:after="2"/>
              <w:jc w:val="center"/>
              <w:rPr>
                <w:rFonts w:ascii="Times" w:hAnsi="Times"/>
                <w:sz w:val="18"/>
              </w:rPr>
            </w:pPr>
            <w:r w:rsidRPr="00191AD2">
              <w:rPr>
                <w:rFonts w:ascii="Times" w:hAnsi="Times"/>
                <w:sz w:val="18"/>
              </w:rPr>
              <w:t>Latitude</w:t>
            </w:r>
          </w:p>
        </w:tc>
        <w:tc>
          <w:tcPr>
            <w:tcW w:w="709" w:type="dxa"/>
            <w:tcBorders>
              <w:top w:val="single" w:sz="4" w:space="0" w:color="auto"/>
            </w:tcBorders>
            <w:shd w:val="clear" w:color="auto" w:fill="auto"/>
            <w:vAlign w:val="bottom"/>
          </w:tcPr>
          <w:p w14:paraId="3E745606"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w:t>
            </w:r>
          </w:p>
        </w:tc>
        <w:tc>
          <w:tcPr>
            <w:tcW w:w="1134" w:type="dxa"/>
            <w:tcBorders>
              <w:top w:val="single" w:sz="4" w:space="0" w:color="auto"/>
            </w:tcBorders>
            <w:shd w:val="clear" w:color="auto" w:fill="auto"/>
            <w:vAlign w:val="bottom"/>
          </w:tcPr>
          <w:p w14:paraId="1014F0C2"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14.27</w:t>
            </w:r>
          </w:p>
        </w:tc>
        <w:tc>
          <w:tcPr>
            <w:tcW w:w="1134" w:type="dxa"/>
            <w:tcBorders>
              <w:top w:val="single" w:sz="4" w:space="0" w:color="auto"/>
            </w:tcBorders>
            <w:shd w:val="clear" w:color="auto" w:fill="auto"/>
            <w:vAlign w:val="bottom"/>
          </w:tcPr>
          <w:p w14:paraId="0E650E62"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14.269</w:t>
            </w:r>
          </w:p>
        </w:tc>
        <w:tc>
          <w:tcPr>
            <w:tcW w:w="1276" w:type="dxa"/>
            <w:tcBorders>
              <w:top w:val="single" w:sz="4" w:space="0" w:color="auto"/>
            </w:tcBorders>
            <w:shd w:val="clear" w:color="auto" w:fill="auto"/>
            <w:vAlign w:val="bottom"/>
          </w:tcPr>
          <w:p w14:paraId="55E57927"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16.89</w:t>
            </w:r>
          </w:p>
        </w:tc>
        <w:tc>
          <w:tcPr>
            <w:tcW w:w="992" w:type="dxa"/>
            <w:tcBorders>
              <w:top w:val="single" w:sz="4" w:space="0" w:color="auto"/>
            </w:tcBorders>
            <w:shd w:val="clear" w:color="auto" w:fill="auto"/>
            <w:vAlign w:val="bottom"/>
          </w:tcPr>
          <w:p w14:paraId="5F65A5CE"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6.94E-05</w:t>
            </w:r>
          </w:p>
        </w:tc>
        <w:tc>
          <w:tcPr>
            <w:tcW w:w="709" w:type="dxa"/>
            <w:tcBorders>
              <w:top w:val="single" w:sz="4" w:space="0" w:color="auto"/>
            </w:tcBorders>
            <w:shd w:val="clear" w:color="auto" w:fill="auto"/>
            <w:vAlign w:val="bottom"/>
          </w:tcPr>
          <w:p w14:paraId="5996CB77"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w:t>
            </w:r>
          </w:p>
        </w:tc>
      </w:tr>
      <w:tr w:rsidR="0052730F" w:rsidRPr="00191AD2" w14:paraId="17B1A74F" w14:textId="77777777">
        <w:trPr>
          <w:trHeight w:hRule="exact" w:val="284"/>
        </w:trPr>
        <w:tc>
          <w:tcPr>
            <w:tcW w:w="1526" w:type="dxa"/>
            <w:shd w:val="clear" w:color="auto" w:fill="auto"/>
          </w:tcPr>
          <w:p w14:paraId="27840B66" w14:textId="77777777" w:rsidR="0052730F" w:rsidRPr="00191AD2" w:rsidRDefault="0052730F" w:rsidP="0052730F">
            <w:pPr>
              <w:spacing w:before="2" w:after="2"/>
              <w:jc w:val="center"/>
              <w:rPr>
                <w:rFonts w:ascii="Times" w:hAnsi="Times"/>
                <w:sz w:val="18"/>
              </w:rPr>
            </w:pPr>
          </w:p>
        </w:tc>
        <w:tc>
          <w:tcPr>
            <w:tcW w:w="1451" w:type="dxa"/>
            <w:shd w:val="clear" w:color="auto" w:fill="auto"/>
          </w:tcPr>
          <w:p w14:paraId="0FB5FF6E" w14:textId="77777777" w:rsidR="0052730F" w:rsidRPr="00191AD2" w:rsidRDefault="0052730F" w:rsidP="0052730F">
            <w:pPr>
              <w:spacing w:before="2" w:after="2"/>
              <w:jc w:val="center"/>
              <w:rPr>
                <w:rFonts w:ascii="Times" w:hAnsi="Times"/>
                <w:sz w:val="18"/>
              </w:rPr>
            </w:pPr>
            <w:r w:rsidRPr="00191AD2">
              <w:rPr>
                <w:rFonts w:ascii="Times" w:hAnsi="Times"/>
                <w:sz w:val="18"/>
              </w:rPr>
              <w:t>Generation</w:t>
            </w:r>
          </w:p>
        </w:tc>
        <w:tc>
          <w:tcPr>
            <w:tcW w:w="709" w:type="dxa"/>
            <w:shd w:val="clear" w:color="auto" w:fill="auto"/>
            <w:vAlign w:val="bottom"/>
          </w:tcPr>
          <w:p w14:paraId="5414DB5A"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w:t>
            </w:r>
          </w:p>
        </w:tc>
        <w:tc>
          <w:tcPr>
            <w:tcW w:w="1134" w:type="dxa"/>
            <w:shd w:val="clear" w:color="auto" w:fill="auto"/>
            <w:vAlign w:val="bottom"/>
          </w:tcPr>
          <w:p w14:paraId="3F2FF4F8"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0.01</w:t>
            </w:r>
          </w:p>
        </w:tc>
        <w:tc>
          <w:tcPr>
            <w:tcW w:w="1134" w:type="dxa"/>
            <w:shd w:val="clear" w:color="auto" w:fill="auto"/>
            <w:vAlign w:val="bottom"/>
          </w:tcPr>
          <w:p w14:paraId="2DD5AFCD"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0.006</w:t>
            </w:r>
          </w:p>
        </w:tc>
        <w:tc>
          <w:tcPr>
            <w:tcW w:w="1276" w:type="dxa"/>
            <w:shd w:val="clear" w:color="auto" w:fill="auto"/>
            <w:vAlign w:val="bottom"/>
          </w:tcPr>
          <w:p w14:paraId="79C61FEA"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0.007</w:t>
            </w:r>
          </w:p>
        </w:tc>
        <w:tc>
          <w:tcPr>
            <w:tcW w:w="992" w:type="dxa"/>
            <w:shd w:val="clear" w:color="auto" w:fill="auto"/>
            <w:vAlign w:val="bottom"/>
          </w:tcPr>
          <w:p w14:paraId="40C3490C"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0.934</w:t>
            </w:r>
          </w:p>
        </w:tc>
        <w:tc>
          <w:tcPr>
            <w:tcW w:w="709" w:type="dxa"/>
            <w:shd w:val="clear" w:color="auto" w:fill="auto"/>
            <w:vAlign w:val="bottom"/>
          </w:tcPr>
          <w:p w14:paraId="1ED620B6" w14:textId="77777777" w:rsidR="0052730F" w:rsidRPr="00191AD2" w:rsidRDefault="0052730F" w:rsidP="0052730F">
            <w:pPr>
              <w:spacing w:before="2" w:after="2"/>
              <w:jc w:val="center"/>
              <w:rPr>
                <w:rFonts w:ascii="Times" w:hAnsi="Times"/>
                <w:sz w:val="18"/>
                <w:szCs w:val="18"/>
              </w:rPr>
            </w:pPr>
          </w:p>
        </w:tc>
      </w:tr>
      <w:tr w:rsidR="0052730F" w:rsidRPr="00191AD2" w14:paraId="2F5C6BB1" w14:textId="77777777">
        <w:trPr>
          <w:trHeight w:hRule="exact" w:val="284"/>
        </w:trPr>
        <w:tc>
          <w:tcPr>
            <w:tcW w:w="1526" w:type="dxa"/>
            <w:shd w:val="clear" w:color="auto" w:fill="auto"/>
          </w:tcPr>
          <w:p w14:paraId="156C363A" w14:textId="77777777" w:rsidR="0052730F" w:rsidRPr="00191AD2" w:rsidRDefault="0052730F" w:rsidP="0052730F">
            <w:pPr>
              <w:spacing w:before="2" w:after="2"/>
              <w:jc w:val="center"/>
              <w:rPr>
                <w:rFonts w:ascii="Times" w:hAnsi="Times"/>
                <w:sz w:val="18"/>
              </w:rPr>
            </w:pPr>
          </w:p>
        </w:tc>
        <w:tc>
          <w:tcPr>
            <w:tcW w:w="1451" w:type="dxa"/>
            <w:shd w:val="clear" w:color="auto" w:fill="auto"/>
          </w:tcPr>
          <w:p w14:paraId="73690F35" w14:textId="77777777" w:rsidR="0052730F" w:rsidRPr="00191AD2" w:rsidRDefault="0052730F" w:rsidP="0052730F">
            <w:pPr>
              <w:spacing w:before="2" w:after="2"/>
              <w:jc w:val="center"/>
              <w:rPr>
                <w:rFonts w:ascii="Times" w:hAnsi="Times"/>
                <w:sz w:val="18"/>
              </w:rPr>
            </w:pPr>
            <w:r w:rsidRPr="00191AD2">
              <w:rPr>
                <w:rFonts w:ascii="Times" w:hAnsi="Times"/>
                <w:sz w:val="18"/>
              </w:rPr>
              <w:t>Lat * Gen</w:t>
            </w:r>
          </w:p>
        </w:tc>
        <w:tc>
          <w:tcPr>
            <w:tcW w:w="709" w:type="dxa"/>
            <w:shd w:val="clear" w:color="auto" w:fill="auto"/>
            <w:vAlign w:val="bottom"/>
          </w:tcPr>
          <w:p w14:paraId="207950AD"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w:t>
            </w:r>
          </w:p>
        </w:tc>
        <w:tc>
          <w:tcPr>
            <w:tcW w:w="1134" w:type="dxa"/>
            <w:shd w:val="clear" w:color="auto" w:fill="auto"/>
            <w:vAlign w:val="bottom"/>
          </w:tcPr>
          <w:p w14:paraId="6918D064"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0.06</w:t>
            </w:r>
          </w:p>
        </w:tc>
        <w:tc>
          <w:tcPr>
            <w:tcW w:w="1134" w:type="dxa"/>
            <w:shd w:val="clear" w:color="auto" w:fill="auto"/>
            <w:vAlign w:val="bottom"/>
          </w:tcPr>
          <w:p w14:paraId="77FF7A78"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0.059</w:t>
            </w:r>
          </w:p>
        </w:tc>
        <w:tc>
          <w:tcPr>
            <w:tcW w:w="1276" w:type="dxa"/>
            <w:shd w:val="clear" w:color="auto" w:fill="auto"/>
            <w:vAlign w:val="bottom"/>
          </w:tcPr>
          <w:p w14:paraId="1F0A4E3F"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0.07</w:t>
            </w:r>
          </w:p>
        </w:tc>
        <w:tc>
          <w:tcPr>
            <w:tcW w:w="992" w:type="dxa"/>
            <w:shd w:val="clear" w:color="auto" w:fill="auto"/>
            <w:vAlign w:val="bottom"/>
          </w:tcPr>
          <w:p w14:paraId="69689C14"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0.791</w:t>
            </w:r>
          </w:p>
        </w:tc>
        <w:tc>
          <w:tcPr>
            <w:tcW w:w="709" w:type="dxa"/>
            <w:shd w:val="clear" w:color="auto" w:fill="auto"/>
            <w:vAlign w:val="bottom"/>
          </w:tcPr>
          <w:p w14:paraId="6D389942" w14:textId="77777777" w:rsidR="0052730F" w:rsidRPr="00191AD2" w:rsidRDefault="0052730F" w:rsidP="0052730F">
            <w:pPr>
              <w:spacing w:before="2" w:after="2"/>
              <w:jc w:val="center"/>
              <w:rPr>
                <w:rFonts w:ascii="Times" w:hAnsi="Times"/>
                <w:sz w:val="18"/>
                <w:szCs w:val="18"/>
              </w:rPr>
            </w:pPr>
          </w:p>
        </w:tc>
      </w:tr>
      <w:tr w:rsidR="0052730F" w:rsidRPr="00191AD2" w14:paraId="6D83F05C" w14:textId="77777777">
        <w:trPr>
          <w:trHeight w:hRule="exact" w:val="284"/>
        </w:trPr>
        <w:tc>
          <w:tcPr>
            <w:tcW w:w="1526" w:type="dxa"/>
            <w:tcBorders>
              <w:bottom w:val="single" w:sz="4" w:space="0" w:color="auto"/>
            </w:tcBorders>
            <w:shd w:val="clear" w:color="auto" w:fill="auto"/>
          </w:tcPr>
          <w:p w14:paraId="079C42BD" w14:textId="77777777" w:rsidR="0052730F" w:rsidRPr="00191AD2" w:rsidRDefault="0052730F" w:rsidP="0052730F">
            <w:pPr>
              <w:spacing w:before="2" w:after="2"/>
              <w:jc w:val="center"/>
              <w:rPr>
                <w:rFonts w:ascii="Times" w:hAnsi="Times"/>
                <w:sz w:val="18"/>
              </w:rPr>
            </w:pPr>
          </w:p>
        </w:tc>
        <w:tc>
          <w:tcPr>
            <w:tcW w:w="1451" w:type="dxa"/>
            <w:tcBorders>
              <w:bottom w:val="single" w:sz="4" w:space="0" w:color="auto"/>
            </w:tcBorders>
            <w:shd w:val="clear" w:color="auto" w:fill="auto"/>
          </w:tcPr>
          <w:p w14:paraId="10B9138C" w14:textId="77777777" w:rsidR="0052730F" w:rsidRPr="00191AD2" w:rsidRDefault="0052730F" w:rsidP="0052730F">
            <w:pPr>
              <w:spacing w:before="2" w:after="2"/>
              <w:jc w:val="center"/>
              <w:rPr>
                <w:rFonts w:ascii="Times" w:hAnsi="Times"/>
                <w:sz w:val="18"/>
              </w:rPr>
            </w:pPr>
            <w:r w:rsidRPr="00191AD2">
              <w:rPr>
                <w:rFonts w:ascii="Times" w:hAnsi="Times"/>
                <w:sz w:val="18"/>
              </w:rPr>
              <w:t>Error</w:t>
            </w:r>
          </w:p>
        </w:tc>
        <w:tc>
          <w:tcPr>
            <w:tcW w:w="709" w:type="dxa"/>
            <w:tcBorders>
              <w:bottom w:val="single" w:sz="4" w:space="0" w:color="auto"/>
            </w:tcBorders>
            <w:shd w:val="clear" w:color="auto" w:fill="auto"/>
            <w:vAlign w:val="bottom"/>
          </w:tcPr>
          <w:p w14:paraId="272F8EE5"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131</w:t>
            </w:r>
          </w:p>
        </w:tc>
        <w:tc>
          <w:tcPr>
            <w:tcW w:w="1134" w:type="dxa"/>
            <w:tcBorders>
              <w:bottom w:val="single" w:sz="4" w:space="0" w:color="auto"/>
            </w:tcBorders>
            <w:shd w:val="clear" w:color="auto" w:fill="auto"/>
            <w:vAlign w:val="bottom"/>
          </w:tcPr>
          <w:p w14:paraId="6689A109"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110.67</w:t>
            </w:r>
          </w:p>
        </w:tc>
        <w:tc>
          <w:tcPr>
            <w:tcW w:w="1134" w:type="dxa"/>
            <w:tcBorders>
              <w:bottom w:val="single" w:sz="4" w:space="0" w:color="auto"/>
            </w:tcBorders>
            <w:shd w:val="clear" w:color="auto" w:fill="auto"/>
            <w:vAlign w:val="bottom"/>
          </w:tcPr>
          <w:p w14:paraId="48F3B8CD"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0.845</w:t>
            </w:r>
          </w:p>
        </w:tc>
        <w:tc>
          <w:tcPr>
            <w:tcW w:w="1276" w:type="dxa"/>
            <w:tcBorders>
              <w:bottom w:val="single" w:sz="4" w:space="0" w:color="auto"/>
            </w:tcBorders>
            <w:shd w:val="clear" w:color="auto" w:fill="auto"/>
            <w:vAlign w:val="bottom"/>
          </w:tcPr>
          <w:p w14:paraId="490564D7" w14:textId="77777777" w:rsidR="0052730F" w:rsidRPr="00191AD2" w:rsidRDefault="0052730F" w:rsidP="0052730F">
            <w:pPr>
              <w:spacing w:before="2" w:after="2"/>
              <w:jc w:val="center"/>
              <w:rPr>
                <w:rFonts w:ascii="Times" w:hAnsi="Times"/>
                <w:sz w:val="18"/>
                <w:szCs w:val="18"/>
              </w:rPr>
            </w:pPr>
          </w:p>
        </w:tc>
        <w:tc>
          <w:tcPr>
            <w:tcW w:w="992" w:type="dxa"/>
            <w:tcBorders>
              <w:bottom w:val="single" w:sz="4" w:space="0" w:color="auto"/>
            </w:tcBorders>
            <w:shd w:val="clear" w:color="auto" w:fill="auto"/>
            <w:vAlign w:val="bottom"/>
          </w:tcPr>
          <w:p w14:paraId="6EFA7A2C" w14:textId="77777777" w:rsidR="0052730F" w:rsidRPr="00191AD2" w:rsidRDefault="0052730F" w:rsidP="0052730F">
            <w:pPr>
              <w:spacing w:before="2" w:after="2"/>
              <w:jc w:val="center"/>
              <w:rPr>
                <w:rFonts w:ascii="Times" w:hAnsi="Times"/>
                <w:sz w:val="18"/>
                <w:szCs w:val="18"/>
              </w:rPr>
            </w:pPr>
          </w:p>
        </w:tc>
        <w:tc>
          <w:tcPr>
            <w:tcW w:w="709" w:type="dxa"/>
            <w:tcBorders>
              <w:bottom w:val="single" w:sz="4" w:space="0" w:color="auto"/>
            </w:tcBorders>
            <w:shd w:val="clear" w:color="auto" w:fill="auto"/>
            <w:vAlign w:val="bottom"/>
          </w:tcPr>
          <w:p w14:paraId="1A2DE3AC" w14:textId="77777777" w:rsidR="0052730F" w:rsidRPr="00191AD2" w:rsidRDefault="0052730F" w:rsidP="0052730F">
            <w:pPr>
              <w:spacing w:before="2" w:after="2"/>
              <w:jc w:val="center"/>
              <w:rPr>
                <w:rFonts w:ascii="Times" w:hAnsi="Times"/>
                <w:sz w:val="18"/>
                <w:szCs w:val="18"/>
              </w:rPr>
            </w:pPr>
          </w:p>
        </w:tc>
      </w:tr>
      <w:tr w:rsidR="0052730F" w:rsidRPr="00191AD2" w14:paraId="4D511EB2" w14:textId="77777777">
        <w:trPr>
          <w:trHeight w:hRule="exact" w:val="284"/>
        </w:trPr>
        <w:tc>
          <w:tcPr>
            <w:tcW w:w="1526" w:type="dxa"/>
            <w:tcBorders>
              <w:top w:val="single" w:sz="4" w:space="0" w:color="auto"/>
            </w:tcBorders>
            <w:shd w:val="clear" w:color="auto" w:fill="auto"/>
          </w:tcPr>
          <w:p w14:paraId="79A8E012" w14:textId="77777777" w:rsidR="0052730F" w:rsidRPr="00191AD2" w:rsidRDefault="0052730F" w:rsidP="0052730F">
            <w:pPr>
              <w:spacing w:before="2" w:after="2"/>
              <w:jc w:val="center"/>
              <w:rPr>
                <w:rFonts w:ascii="Times" w:hAnsi="Times"/>
                <w:sz w:val="18"/>
              </w:rPr>
            </w:pPr>
            <w:r w:rsidRPr="00191AD2">
              <w:rPr>
                <w:rFonts w:ascii="Times" w:hAnsi="Times"/>
                <w:sz w:val="18"/>
              </w:rPr>
              <w:t>Final Height</w:t>
            </w:r>
          </w:p>
        </w:tc>
        <w:tc>
          <w:tcPr>
            <w:tcW w:w="1451" w:type="dxa"/>
            <w:tcBorders>
              <w:top w:val="single" w:sz="4" w:space="0" w:color="auto"/>
            </w:tcBorders>
            <w:shd w:val="clear" w:color="auto" w:fill="auto"/>
          </w:tcPr>
          <w:p w14:paraId="5EA90D0C" w14:textId="77777777" w:rsidR="0052730F" w:rsidRPr="00191AD2" w:rsidRDefault="0052730F" w:rsidP="0052730F">
            <w:pPr>
              <w:spacing w:before="2" w:after="2"/>
              <w:jc w:val="center"/>
              <w:rPr>
                <w:rFonts w:ascii="Times" w:hAnsi="Times"/>
                <w:sz w:val="18"/>
              </w:rPr>
            </w:pPr>
            <w:r w:rsidRPr="00191AD2">
              <w:rPr>
                <w:rFonts w:ascii="Times" w:hAnsi="Times"/>
                <w:sz w:val="18"/>
              </w:rPr>
              <w:t>Latitude</w:t>
            </w:r>
          </w:p>
        </w:tc>
        <w:tc>
          <w:tcPr>
            <w:tcW w:w="709" w:type="dxa"/>
            <w:tcBorders>
              <w:top w:val="single" w:sz="4" w:space="0" w:color="auto"/>
            </w:tcBorders>
            <w:shd w:val="clear" w:color="auto" w:fill="auto"/>
            <w:vAlign w:val="bottom"/>
          </w:tcPr>
          <w:p w14:paraId="16665E9A"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w:t>
            </w:r>
          </w:p>
        </w:tc>
        <w:tc>
          <w:tcPr>
            <w:tcW w:w="1134" w:type="dxa"/>
            <w:tcBorders>
              <w:top w:val="single" w:sz="4" w:space="0" w:color="auto"/>
            </w:tcBorders>
            <w:shd w:val="clear" w:color="auto" w:fill="auto"/>
            <w:vAlign w:val="bottom"/>
          </w:tcPr>
          <w:p w14:paraId="7047FA3B"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15.34</w:t>
            </w:r>
          </w:p>
        </w:tc>
        <w:tc>
          <w:tcPr>
            <w:tcW w:w="1134" w:type="dxa"/>
            <w:tcBorders>
              <w:top w:val="single" w:sz="4" w:space="0" w:color="auto"/>
            </w:tcBorders>
            <w:shd w:val="clear" w:color="auto" w:fill="auto"/>
            <w:vAlign w:val="bottom"/>
          </w:tcPr>
          <w:p w14:paraId="1457A3CB"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15.344</w:t>
            </w:r>
          </w:p>
        </w:tc>
        <w:tc>
          <w:tcPr>
            <w:tcW w:w="1276" w:type="dxa"/>
            <w:tcBorders>
              <w:top w:val="single" w:sz="4" w:space="0" w:color="auto"/>
            </w:tcBorders>
            <w:shd w:val="clear" w:color="auto" w:fill="auto"/>
            <w:vAlign w:val="bottom"/>
          </w:tcPr>
          <w:p w14:paraId="01336E0E"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18.613</w:t>
            </w:r>
          </w:p>
        </w:tc>
        <w:tc>
          <w:tcPr>
            <w:tcW w:w="992" w:type="dxa"/>
            <w:tcBorders>
              <w:top w:val="single" w:sz="4" w:space="0" w:color="auto"/>
            </w:tcBorders>
            <w:shd w:val="clear" w:color="auto" w:fill="auto"/>
            <w:vAlign w:val="bottom"/>
          </w:tcPr>
          <w:p w14:paraId="2D11B141"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3.13E-05</w:t>
            </w:r>
          </w:p>
        </w:tc>
        <w:tc>
          <w:tcPr>
            <w:tcW w:w="709" w:type="dxa"/>
            <w:tcBorders>
              <w:top w:val="single" w:sz="4" w:space="0" w:color="auto"/>
            </w:tcBorders>
            <w:shd w:val="clear" w:color="auto" w:fill="auto"/>
            <w:vAlign w:val="bottom"/>
          </w:tcPr>
          <w:p w14:paraId="1AC9DDDD"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w:t>
            </w:r>
          </w:p>
        </w:tc>
      </w:tr>
      <w:tr w:rsidR="0052730F" w:rsidRPr="00191AD2" w14:paraId="3DA4C384" w14:textId="77777777">
        <w:trPr>
          <w:trHeight w:hRule="exact" w:val="284"/>
        </w:trPr>
        <w:tc>
          <w:tcPr>
            <w:tcW w:w="1526" w:type="dxa"/>
            <w:shd w:val="clear" w:color="auto" w:fill="auto"/>
          </w:tcPr>
          <w:p w14:paraId="3C1365B9" w14:textId="77777777" w:rsidR="0052730F" w:rsidRPr="00191AD2" w:rsidRDefault="0052730F" w:rsidP="0052730F">
            <w:pPr>
              <w:spacing w:before="2" w:after="2"/>
              <w:jc w:val="center"/>
              <w:rPr>
                <w:rFonts w:ascii="Times" w:hAnsi="Times"/>
                <w:sz w:val="18"/>
              </w:rPr>
            </w:pPr>
          </w:p>
        </w:tc>
        <w:tc>
          <w:tcPr>
            <w:tcW w:w="1451" w:type="dxa"/>
            <w:shd w:val="clear" w:color="auto" w:fill="auto"/>
          </w:tcPr>
          <w:p w14:paraId="4F323E47" w14:textId="77777777" w:rsidR="0052730F" w:rsidRPr="00191AD2" w:rsidRDefault="0052730F" w:rsidP="0052730F">
            <w:pPr>
              <w:spacing w:before="2" w:after="2"/>
              <w:jc w:val="center"/>
              <w:rPr>
                <w:rFonts w:ascii="Times" w:hAnsi="Times"/>
                <w:sz w:val="18"/>
              </w:rPr>
            </w:pPr>
            <w:r w:rsidRPr="00191AD2">
              <w:rPr>
                <w:rFonts w:ascii="Times" w:hAnsi="Times"/>
                <w:sz w:val="18"/>
              </w:rPr>
              <w:t>Generation</w:t>
            </w:r>
          </w:p>
        </w:tc>
        <w:tc>
          <w:tcPr>
            <w:tcW w:w="709" w:type="dxa"/>
            <w:shd w:val="clear" w:color="auto" w:fill="auto"/>
            <w:vAlign w:val="bottom"/>
          </w:tcPr>
          <w:p w14:paraId="558BFBFD"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w:t>
            </w:r>
          </w:p>
        </w:tc>
        <w:tc>
          <w:tcPr>
            <w:tcW w:w="1134" w:type="dxa"/>
            <w:shd w:val="clear" w:color="auto" w:fill="auto"/>
            <w:vAlign w:val="bottom"/>
          </w:tcPr>
          <w:p w14:paraId="764EFCB6"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0.01</w:t>
            </w:r>
          </w:p>
        </w:tc>
        <w:tc>
          <w:tcPr>
            <w:tcW w:w="1134" w:type="dxa"/>
            <w:shd w:val="clear" w:color="auto" w:fill="auto"/>
            <w:vAlign w:val="bottom"/>
          </w:tcPr>
          <w:p w14:paraId="4F41D039"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0.006</w:t>
            </w:r>
          </w:p>
        </w:tc>
        <w:tc>
          <w:tcPr>
            <w:tcW w:w="1276" w:type="dxa"/>
            <w:shd w:val="clear" w:color="auto" w:fill="auto"/>
            <w:vAlign w:val="bottom"/>
          </w:tcPr>
          <w:p w14:paraId="2ADDE929"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0.008</w:t>
            </w:r>
          </w:p>
        </w:tc>
        <w:tc>
          <w:tcPr>
            <w:tcW w:w="992" w:type="dxa"/>
            <w:shd w:val="clear" w:color="auto" w:fill="auto"/>
            <w:vAlign w:val="bottom"/>
          </w:tcPr>
          <w:p w14:paraId="1E468431"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0.931</w:t>
            </w:r>
          </w:p>
        </w:tc>
        <w:tc>
          <w:tcPr>
            <w:tcW w:w="709" w:type="dxa"/>
            <w:shd w:val="clear" w:color="auto" w:fill="auto"/>
            <w:vAlign w:val="bottom"/>
          </w:tcPr>
          <w:p w14:paraId="124A0B6B" w14:textId="77777777" w:rsidR="0052730F" w:rsidRPr="00191AD2" w:rsidRDefault="0052730F" w:rsidP="0052730F">
            <w:pPr>
              <w:spacing w:before="2" w:after="2"/>
              <w:jc w:val="center"/>
              <w:rPr>
                <w:rFonts w:ascii="Times" w:hAnsi="Times"/>
                <w:sz w:val="18"/>
                <w:szCs w:val="18"/>
              </w:rPr>
            </w:pPr>
          </w:p>
        </w:tc>
      </w:tr>
      <w:tr w:rsidR="0052730F" w:rsidRPr="00191AD2" w14:paraId="35698777" w14:textId="77777777">
        <w:trPr>
          <w:trHeight w:hRule="exact" w:val="284"/>
        </w:trPr>
        <w:tc>
          <w:tcPr>
            <w:tcW w:w="1526" w:type="dxa"/>
            <w:shd w:val="clear" w:color="auto" w:fill="auto"/>
          </w:tcPr>
          <w:p w14:paraId="74ED68E8" w14:textId="77777777" w:rsidR="0052730F" w:rsidRPr="00191AD2" w:rsidRDefault="0052730F" w:rsidP="0052730F">
            <w:pPr>
              <w:spacing w:before="2" w:after="2"/>
              <w:jc w:val="center"/>
              <w:rPr>
                <w:rFonts w:ascii="Times" w:hAnsi="Times"/>
                <w:sz w:val="18"/>
              </w:rPr>
            </w:pPr>
          </w:p>
        </w:tc>
        <w:tc>
          <w:tcPr>
            <w:tcW w:w="1451" w:type="dxa"/>
            <w:shd w:val="clear" w:color="auto" w:fill="auto"/>
          </w:tcPr>
          <w:p w14:paraId="52DE70D6" w14:textId="77777777" w:rsidR="0052730F" w:rsidRPr="00191AD2" w:rsidRDefault="0052730F" w:rsidP="0052730F">
            <w:pPr>
              <w:spacing w:before="2" w:after="2"/>
              <w:jc w:val="center"/>
              <w:rPr>
                <w:rFonts w:ascii="Times" w:hAnsi="Times"/>
                <w:sz w:val="18"/>
              </w:rPr>
            </w:pPr>
            <w:r w:rsidRPr="00191AD2">
              <w:rPr>
                <w:rFonts w:ascii="Times" w:hAnsi="Times"/>
                <w:sz w:val="18"/>
              </w:rPr>
              <w:t>Lat * Gen</w:t>
            </w:r>
          </w:p>
        </w:tc>
        <w:tc>
          <w:tcPr>
            <w:tcW w:w="709" w:type="dxa"/>
            <w:shd w:val="clear" w:color="auto" w:fill="auto"/>
            <w:vAlign w:val="bottom"/>
          </w:tcPr>
          <w:p w14:paraId="3A9B9297"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w:t>
            </w:r>
          </w:p>
        </w:tc>
        <w:tc>
          <w:tcPr>
            <w:tcW w:w="1134" w:type="dxa"/>
            <w:shd w:val="clear" w:color="auto" w:fill="auto"/>
            <w:vAlign w:val="bottom"/>
          </w:tcPr>
          <w:p w14:paraId="7D538451"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1.66</w:t>
            </w:r>
          </w:p>
        </w:tc>
        <w:tc>
          <w:tcPr>
            <w:tcW w:w="1134" w:type="dxa"/>
            <w:shd w:val="clear" w:color="auto" w:fill="auto"/>
            <w:vAlign w:val="bottom"/>
          </w:tcPr>
          <w:p w14:paraId="080812FC"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1.659</w:t>
            </w:r>
          </w:p>
        </w:tc>
        <w:tc>
          <w:tcPr>
            <w:tcW w:w="1276" w:type="dxa"/>
            <w:shd w:val="clear" w:color="auto" w:fill="auto"/>
            <w:vAlign w:val="bottom"/>
          </w:tcPr>
          <w:p w14:paraId="38CD1541"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2.012</w:t>
            </w:r>
          </w:p>
        </w:tc>
        <w:tc>
          <w:tcPr>
            <w:tcW w:w="992" w:type="dxa"/>
            <w:shd w:val="clear" w:color="auto" w:fill="auto"/>
            <w:vAlign w:val="bottom"/>
          </w:tcPr>
          <w:p w14:paraId="2EB531EF"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0.158</w:t>
            </w:r>
          </w:p>
        </w:tc>
        <w:tc>
          <w:tcPr>
            <w:tcW w:w="709" w:type="dxa"/>
            <w:shd w:val="clear" w:color="auto" w:fill="auto"/>
            <w:vAlign w:val="bottom"/>
          </w:tcPr>
          <w:p w14:paraId="78497710" w14:textId="77777777" w:rsidR="0052730F" w:rsidRPr="00191AD2" w:rsidRDefault="0052730F" w:rsidP="0052730F">
            <w:pPr>
              <w:spacing w:before="2" w:after="2"/>
              <w:jc w:val="center"/>
              <w:rPr>
                <w:rFonts w:ascii="Times" w:hAnsi="Times"/>
                <w:sz w:val="18"/>
                <w:szCs w:val="18"/>
              </w:rPr>
            </w:pPr>
          </w:p>
        </w:tc>
      </w:tr>
      <w:tr w:rsidR="0052730F" w:rsidRPr="00191AD2" w14:paraId="6AFD7B5A" w14:textId="77777777">
        <w:trPr>
          <w:trHeight w:hRule="exact" w:val="284"/>
        </w:trPr>
        <w:tc>
          <w:tcPr>
            <w:tcW w:w="1526" w:type="dxa"/>
            <w:tcBorders>
              <w:bottom w:val="single" w:sz="4" w:space="0" w:color="auto"/>
            </w:tcBorders>
            <w:shd w:val="clear" w:color="auto" w:fill="auto"/>
          </w:tcPr>
          <w:p w14:paraId="2C7EB460" w14:textId="77777777" w:rsidR="0052730F" w:rsidRPr="00191AD2" w:rsidRDefault="0052730F" w:rsidP="0052730F">
            <w:pPr>
              <w:spacing w:before="2" w:after="2"/>
              <w:jc w:val="center"/>
              <w:rPr>
                <w:rFonts w:ascii="Times" w:hAnsi="Times"/>
                <w:sz w:val="18"/>
              </w:rPr>
            </w:pPr>
          </w:p>
        </w:tc>
        <w:tc>
          <w:tcPr>
            <w:tcW w:w="1451" w:type="dxa"/>
            <w:tcBorders>
              <w:bottom w:val="single" w:sz="4" w:space="0" w:color="auto"/>
            </w:tcBorders>
            <w:shd w:val="clear" w:color="auto" w:fill="auto"/>
          </w:tcPr>
          <w:p w14:paraId="13DAA00B" w14:textId="77777777" w:rsidR="0052730F" w:rsidRPr="00191AD2" w:rsidRDefault="0052730F" w:rsidP="0052730F">
            <w:pPr>
              <w:spacing w:before="2" w:after="2"/>
              <w:jc w:val="center"/>
              <w:rPr>
                <w:rFonts w:ascii="Times" w:hAnsi="Times"/>
                <w:sz w:val="18"/>
              </w:rPr>
            </w:pPr>
            <w:r w:rsidRPr="00191AD2">
              <w:rPr>
                <w:rFonts w:ascii="Times" w:hAnsi="Times"/>
                <w:sz w:val="18"/>
              </w:rPr>
              <w:t>Error</w:t>
            </w:r>
          </w:p>
        </w:tc>
        <w:tc>
          <w:tcPr>
            <w:tcW w:w="709" w:type="dxa"/>
            <w:tcBorders>
              <w:bottom w:val="single" w:sz="4" w:space="0" w:color="auto"/>
            </w:tcBorders>
            <w:shd w:val="clear" w:color="auto" w:fill="auto"/>
            <w:vAlign w:val="bottom"/>
          </w:tcPr>
          <w:p w14:paraId="453A7F51"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131</w:t>
            </w:r>
          </w:p>
        </w:tc>
        <w:tc>
          <w:tcPr>
            <w:tcW w:w="1134" w:type="dxa"/>
            <w:tcBorders>
              <w:bottom w:val="single" w:sz="4" w:space="0" w:color="auto"/>
            </w:tcBorders>
            <w:shd w:val="clear" w:color="auto" w:fill="auto"/>
            <w:vAlign w:val="bottom"/>
          </w:tcPr>
          <w:p w14:paraId="70331E8A"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107.99</w:t>
            </w:r>
          </w:p>
        </w:tc>
        <w:tc>
          <w:tcPr>
            <w:tcW w:w="1134" w:type="dxa"/>
            <w:tcBorders>
              <w:bottom w:val="single" w:sz="4" w:space="0" w:color="auto"/>
            </w:tcBorders>
            <w:shd w:val="clear" w:color="auto" w:fill="auto"/>
            <w:vAlign w:val="bottom"/>
          </w:tcPr>
          <w:p w14:paraId="74278559"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0.824</w:t>
            </w:r>
          </w:p>
        </w:tc>
        <w:tc>
          <w:tcPr>
            <w:tcW w:w="1276" w:type="dxa"/>
            <w:tcBorders>
              <w:bottom w:val="single" w:sz="4" w:space="0" w:color="auto"/>
            </w:tcBorders>
            <w:shd w:val="clear" w:color="auto" w:fill="auto"/>
            <w:vAlign w:val="bottom"/>
          </w:tcPr>
          <w:p w14:paraId="2B3392DB" w14:textId="77777777" w:rsidR="0052730F" w:rsidRPr="00191AD2" w:rsidRDefault="0052730F" w:rsidP="0052730F">
            <w:pPr>
              <w:spacing w:before="2" w:after="2"/>
              <w:jc w:val="center"/>
              <w:rPr>
                <w:rFonts w:ascii="Times" w:hAnsi="Times"/>
                <w:sz w:val="18"/>
                <w:szCs w:val="18"/>
              </w:rPr>
            </w:pPr>
          </w:p>
        </w:tc>
        <w:tc>
          <w:tcPr>
            <w:tcW w:w="992" w:type="dxa"/>
            <w:tcBorders>
              <w:bottom w:val="single" w:sz="4" w:space="0" w:color="auto"/>
            </w:tcBorders>
            <w:shd w:val="clear" w:color="auto" w:fill="auto"/>
            <w:vAlign w:val="bottom"/>
          </w:tcPr>
          <w:p w14:paraId="7495A835" w14:textId="77777777" w:rsidR="0052730F" w:rsidRPr="00191AD2" w:rsidRDefault="0052730F" w:rsidP="0052730F">
            <w:pPr>
              <w:spacing w:before="2" w:after="2"/>
              <w:jc w:val="center"/>
              <w:rPr>
                <w:rFonts w:ascii="Times" w:hAnsi="Times"/>
                <w:sz w:val="18"/>
                <w:szCs w:val="18"/>
              </w:rPr>
            </w:pPr>
          </w:p>
        </w:tc>
        <w:tc>
          <w:tcPr>
            <w:tcW w:w="709" w:type="dxa"/>
            <w:tcBorders>
              <w:bottom w:val="single" w:sz="4" w:space="0" w:color="auto"/>
            </w:tcBorders>
            <w:shd w:val="clear" w:color="auto" w:fill="auto"/>
            <w:vAlign w:val="bottom"/>
          </w:tcPr>
          <w:p w14:paraId="2C62F27D" w14:textId="77777777" w:rsidR="0052730F" w:rsidRPr="00191AD2" w:rsidRDefault="0052730F" w:rsidP="0052730F">
            <w:pPr>
              <w:spacing w:before="2" w:after="2"/>
              <w:jc w:val="center"/>
              <w:rPr>
                <w:rFonts w:ascii="Times" w:hAnsi="Times"/>
                <w:sz w:val="18"/>
                <w:szCs w:val="18"/>
              </w:rPr>
            </w:pPr>
          </w:p>
        </w:tc>
      </w:tr>
      <w:tr w:rsidR="0052730F" w:rsidRPr="00191AD2" w14:paraId="64AD480C" w14:textId="77777777">
        <w:trPr>
          <w:trHeight w:hRule="exact" w:val="284"/>
        </w:trPr>
        <w:tc>
          <w:tcPr>
            <w:tcW w:w="1526" w:type="dxa"/>
            <w:tcBorders>
              <w:top w:val="single" w:sz="4" w:space="0" w:color="auto"/>
            </w:tcBorders>
            <w:shd w:val="clear" w:color="auto" w:fill="auto"/>
          </w:tcPr>
          <w:p w14:paraId="197212A6" w14:textId="77777777" w:rsidR="0052730F" w:rsidRPr="00191AD2" w:rsidRDefault="0052730F" w:rsidP="0052730F">
            <w:pPr>
              <w:spacing w:before="2" w:after="2"/>
              <w:jc w:val="center"/>
              <w:rPr>
                <w:rFonts w:ascii="Times" w:hAnsi="Times"/>
                <w:sz w:val="18"/>
              </w:rPr>
            </w:pPr>
            <w:r w:rsidRPr="00191AD2">
              <w:rPr>
                <w:rFonts w:ascii="Times" w:hAnsi="Times"/>
                <w:sz w:val="18"/>
              </w:rPr>
              <w:t>Dry Weight</w:t>
            </w:r>
          </w:p>
        </w:tc>
        <w:tc>
          <w:tcPr>
            <w:tcW w:w="1451" w:type="dxa"/>
            <w:tcBorders>
              <w:top w:val="single" w:sz="4" w:space="0" w:color="auto"/>
            </w:tcBorders>
            <w:shd w:val="clear" w:color="auto" w:fill="auto"/>
          </w:tcPr>
          <w:p w14:paraId="484233F6" w14:textId="77777777" w:rsidR="0052730F" w:rsidRPr="00191AD2" w:rsidRDefault="0052730F" w:rsidP="0052730F">
            <w:pPr>
              <w:spacing w:before="2" w:after="2"/>
              <w:jc w:val="center"/>
              <w:rPr>
                <w:rFonts w:ascii="Times" w:hAnsi="Times"/>
                <w:sz w:val="18"/>
              </w:rPr>
            </w:pPr>
            <w:r w:rsidRPr="00191AD2">
              <w:rPr>
                <w:rFonts w:ascii="Times" w:hAnsi="Times"/>
                <w:sz w:val="18"/>
              </w:rPr>
              <w:t>Latitude</w:t>
            </w:r>
          </w:p>
        </w:tc>
        <w:tc>
          <w:tcPr>
            <w:tcW w:w="709" w:type="dxa"/>
            <w:tcBorders>
              <w:top w:val="single" w:sz="4" w:space="0" w:color="auto"/>
            </w:tcBorders>
            <w:shd w:val="clear" w:color="auto" w:fill="auto"/>
            <w:vAlign w:val="bottom"/>
          </w:tcPr>
          <w:p w14:paraId="2ED02D0D"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w:t>
            </w:r>
          </w:p>
        </w:tc>
        <w:tc>
          <w:tcPr>
            <w:tcW w:w="1134" w:type="dxa"/>
            <w:tcBorders>
              <w:top w:val="single" w:sz="4" w:space="0" w:color="auto"/>
            </w:tcBorders>
            <w:shd w:val="clear" w:color="auto" w:fill="auto"/>
            <w:vAlign w:val="bottom"/>
          </w:tcPr>
          <w:p w14:paraId="035D068C"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0.24</w:t>
            </w:r>
          </w:p>
        </w:tc>
        <w:tc>
          <w:tcPr>
            <w:tcW w:w="1134" w:type="dxa"/>
            <w:tcBorders>
              <w:top w:val="single" w:sz="4" w:space="0" w:color="auto"/>
            </w:tcBorders>
            <w:shd w:val="clear" w:color="auto" w:fill="auto"/>
            <w:vAlign w:val="bottom"/>
          </w:tcPr>
          <w:p w14:paraId="22D0CC87"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0.245</w:t>
            </w:r>
          </w:p>
        </w:tc>
        <w:tc>
          <w:tcPr>
            <w:tcW w:w="1276" w:type="dxa"/>
            <w:tcBorders>
              <w:top w:val="single" w:sz="4" w:space="0" w:color="auto"/>
            </w:tcBorders>
            <w:shd w:val="clear" w:color="auto" w:fill="auto"/>
            <w:vAlign w:val="bottom"/>
          </w:tcPr>
          <w:p w14:paraId="3F431C34"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0.284</w:t>
            </w:r>
          </w:p>
        </w:tc>
        <w:tc>
          <w:tcPr>
            <w:tcW w:w="992" w:type="dxa"/>
            <w:tcBorders>
              <w:top w:val="single" w:sz="4" w:space="0" w:color="auto"/>
            </w:tcBorders>
            <w:shd w:val="clear" w:color="auto" w:fill="auto"/>
            <w:vAlign w:val="bottom"/>
          </w:tcPr>
          <w:p w14:paraId="0C9DC379"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0.59472</w:t>
            </w:r>
          </w:p>
        </w:tc>
        <w:tc>
          <w:tcPr>
            <w:tcW w:w="709" w:type="dxa"/>
            <w:tcBorders>
              <w:top w:val="single" w:sz="4" w:space="0" w:color="auto"/>
            </w:tcBorders>
            <w:shd w:val="clear" w:color="auto" w:fill="auto"/>
            <w:vAlign w:val="bottom"/>
          </w:tcPr>
          <w:p w14:paraId="1B609E80" w14:textId="77777777" w:rsidR="0052730F" w:rsidRPr="00191AD2" w:rsidRDefault="0052730F" w:rsidP="0052730F">
            <w:pPr>
              <w:spacing w:before="2" w:after="2"/>
              <w:jc w:val="center"/>
              <w:rPr>
                <w:rFonts w:ascii="Times" w:hAnsi="Times"/>
                <w:sz w:val="18"/>
                <w:szCs w:val="18"/>
              </w:rPr>
            </w:pPr>
          </w:p>
        </w:tc>
      </w:tr>
      <w:tr w:rsidR="0052730F" w:rsidRPr="00191AD2" w14:paraId="1F94D2A4" w14:textId="77777777">
        <w:trPr>
          <w:trHeight w:hRule="exact" w:val="284"/>
        </w:trPr>
        <w:tc>
          <w:tcPr>
            <w:tcW w:w="1526" w:type="dxa"/>
            <w:shd w:val="clear" w:color="auto" w:fill="auto"/>
          </w:tcPr>
          <w:p w14:paraId="66B1F35C" w14:textId="77777777" w:rsidR="0052730F" w:rsidRPr="00191AD2" w:rsidRDefault="0052730F" w:rsidP="0052730F">
            <w:pPr>
              <w:spacing w:before="2" w:after="2"/>
              <w:jc w:val="center"/>
              <w:rPr>
                <w:rFonts w:ascii="Times" w:hAnsi="Times"/>
                <w:sz w:val="18"/>
              </w:rPr>
            </w:pPr>
          </w:p>
        </w:tc>
        <w:tc>
          <w:tcPr>
            <w:tcW w:w="1451" w:type="dxa"/>
            <w:shd w:val="clear" w:color="auto" w:fill="auto"/>
          </w:tcPr>
          <w:p w14:paraId="53D20C0D" w14:textId="77777777" w:rsidR="0052730F" w:rsidRPr="00191AD2" w:rsidRDefault="0052730F" w:rsidP="0052730F">
            <w:pPr>
              <w:spacing w:before="2" w:after="2"/>
              <w:jc w:val="center"/>
              <w:rPr>
                <w:rFonts w:ascii="Times" w:hAnsi="Times"/>
                <w:sz w:val="18"/>
              </w:rPr>
            </w:pPr>
            <w:r w:rsidRPr="00191AD2">
              <w:rPr>
                <w:rFonts w:ascii="Times" w:hAnsi="Times"/>
                <w:sz w:val="18"/>
              </w:rPr>
              <w:t>Generation</w:t>
            </w:r>
          </w:p>
        </w:tc>
        <w:tc>
          <w:tcPr>
            <w:tcW w:w="709" w:type="dxa"/>
            <w:shd w:val="clear" w:color="auto" w:fill="auto"/>
            <w:vAlign w:val="bottom"/>
          </w:tcPr>
          <w:p w14:paraId="3C2543B0"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w:t>
            </w:r>
          </w:p>
        </w:tc>
        <w:tc>
          <w:tcPr>
            <w:tcW w:w="1134" w:type="dxa"/>
            <w:shd w:val="clear" w:color="auto" w:fill="auto"/>
            <w:vAlign w:val="bottom"/>
          </w:tcPr>
          <w:p w14:paraId="7CA27F2A"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w:t>
            </w:r>
          </w:p>
        </w:tc>
        <w:tc>
          <w:tcPr>
            <w:tcW w:w="1134" w:type="dxa"/>
            <w:shd w:val="clear" w:color="auto" w:fill="auto"/>
            <w:vAlign w:val="bottom"/>
          </w:tcPr>
          <w:p w14:paraId="00F5725C"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w:t>
            </w:r>
          </w:p>
        </w:tc>
        <w:tc>
          <w:tcPr>
            <w:tcW w:w="1276" w:type="dxa"/>
            <w:shd w:val="clear" w:color="auto" w:fill="auto"/>
            <w:vAlign w:val="bottom"/>
          </w:tcPr>
          <w:p w14:paraId="6330EFE3"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w:t>
            </w:r>
          </w:p>
        </w:tc>
        <w:tc>
          <w:tcPr>
            <w:tcW w:w="992" w:type="dxa"/>
            <w:shd w:val="clear" w:color="auto" w:fill="auto"/>
            <w:vAlign w:val="bottom"/>
          </w:tcPr>
          <w:p w14:paraId="676FC7B5"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0.991453</w:t>
            </w:r>
          </w:p>
        </w:tc>
        <w:tc>
          <w:tcPr>
            <w:tcW w:w="709" w:type="dxa"/>
            <w:shd w:val="clear" w:color="auto" w:fill="auto"/>
            <w:vAlign w:val="bottom"/>
          </w:tcPr>
          <w:p w14:paraId="464D53CE" w14:textId="77777777" w:rsidR="0052730F" w:rsidRPr="00191AD2" w:rsidRDefault="0052730F" w:rsidP="0052730F">
            <w:pPr>
              <w:spacing w:before="2" w:after="2"/>
              <w:jc w:val="center"/>
              <w:rPr>
                <w:rFonts w:ascii="Times" w:hAnsi="Times"/>
                <w:sz w:val="18"/>
                <w:szCs w:val="18"/>
              </w:rPr>
            </w:pPr>
          </w:p>
        </w:tc>
      </w:tr>
      <w:tr w:rsidR="0052730F" w:rsidRPr="00191AD2" w14:paraId="090920CD" w14:textId="77777777">
        <w:trPr>
          <w:trHeight w:hRule="exact" w:val="284"/>
        </w:trPr>
        <w:tc>
          <w:tcPr>
            <w:tcW w:w="1526" w:type="dxa"/>
            <w:shd w:val="clear" w:color="auto" w:fill="auto"/>
          </w:tcPr>
          <w:p w14:paraId="2B619806" w14:textId="77777777" w:rsidR="0052730F" w:rsidRPr="00191AD2" w:rsidRDefault="0052730F" w:rsidP="0052730F">
            <w:pPr>
              <w:spacing w:before="2" w:after="2"/>
              <w:jc w:val="center"/>
              <w:rPr>
                <w:rFonts w:ascii="Times" w:hAnsi="Times"/>
                <w:sz w:val="18"/>
              </w:rPr>
            </w:pPr>
          </w:p>
        </w:tc>
        <w:tc>
          <w:tcPr>
            <w:tcW w:w="1451" w:type="dxa"/>
            <w:shd w:val="clear" w:color="auto" w:fill="auto"/>
          </w:tcPr>
          <w:p w14:paraId="5A11EBBB" w14:textId="77777777" w:rsidR="0052730F" w:rsidRPr="00191AD2" w:rsidRDefault="0052730F" w:rsidP="0052730F">
            <w:pPr>
              <w:spacing w:before="2" w:after="2"/>
              <w:jc w:val="center"/>
              <w:rPr>
                <w:rFonts w:ascii="Times" w:hAnsi="Times"/>
                <w:sz w:val="18"/>
              </w:rPr>
            </w:pPr>
            <w:r w:rsidRPr="00191AD2">
              <w:rPr>
                <w:rFonts w:ascii="Times" w:hAnsi="Times"/>
                <w:sz w:val="18"/>
              </w:rPr>
              <w:t>Lat * Gen</w:t>
            </w:r>
          </w:p>
        </w:tc>
        <w:tc>
          <w:tcPr>
            <w:tcW w:w="709" w:type="dxa"/>
            <w:shd w:val="clear" w:color="auto" w:fill="auto"/>
            <w:vAlign w:val="bottom"/>
          </w:tcPr>
          <w:p w14:paraId="7C8D3EB2"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w:t>
            </w:r>
          </w:p>
        </w:tc>
        <w:tc>
          <w:tcPr>
            <w:tcW w:w="1134" w:type="dxa"/>
            <w:shd w:val="clear" w:color="auto" w:fill="auto"/>
            <w:vAlign w:val="bottom"/>
          </w:tcPr>
          <w:p w14:paraId="51AB23BB"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12.02</w:t>
            </w:r>
          </w:p>
        </w:tc>
        <w:tc>
          <w:tcPr>
            <w:tcW w:w="1134" w:type="dxa"/>
            <w:shd w:val="clear" w:color="auto" w:fill="auto"/>
            <w:vAlign w:val="bottom"/>
          </w:tcPr>
          <w:p w14:paraId="2D869A85"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12.016</w:t>
            </w:r>
          </w:p>
        </w:tc>
        <w:tc>
          <w:tcPr>
            <w:tcW w:w="1276" w:type="dxa"/>
            <w:shd w:val="clear" w:color="auto" w:fill="auto"/>
            <w:vAlign w:val="bottom"/>
          </w:tcPr>
          <w:p w14:paraId="1FE2B523"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13.963</w:t>
            </w:r>
          </w:p>
        </w:tc>
        <w:tc>
          <w:tcPr>
            <w:tcW w:w="992" w:type="dxa"/>
            <w:shd w:val="clear" w:color="auto" w:fill="auto"/>
            <w:vAlign w:val="bottom"/>
          </w:tcPr>
          <w:p w14:paraId="574BCADE"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0.000277</w:t>
            </w:r>
          </w:p>
        </w:tc>
        <w:tc>
          <w:tcPr>
            <w:tcW w:w="709" w:type="dxa"/>
            <w:shd w:val="clear" w:color="auto" w:fill="auto"/>
            <w:vAlign w:val="bottom"/>
          </w:tcPr>
          <w:p w14:paraId="11B2879C"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w:t>
            </w:r>
          </w:p>
        </w:tc>
      </w:tr>
      <w:tr w:rsidR="0052730F" w:rsidRPr="00191AD2" w14:paraId="2E5D2214" w14:textId="77777777">
        <w:trPr>
          <w:trHeight w:hRule="exact" w:val="284"/>
        </w:trPr>
        <w:tc>
          <w:tcPr>
            <w:tcW w:w="1526" w:type="dxa"/>
            <w:tcBorders>
              <w:bottom w:val="single" w:sz="4" w:space="0" w:color="auto"/>
            </w:tcBorders>
            <w:shd w:val="clear" w:color="auto" w:fill="auto"/>
          </w:tcPr>
          <w:p w14:paraId="3E3C03A2" w14:textId="77777777" w:rsidR="0052730F" w:rsidRPr="00191AD2" w:rsidRDefault="0052730F" w:rsidP="0052730F">
            <w:pPr>
              <w:spacing w:before="2" w:after="2"/>
              <w:jc w:val="center"/>
              <w:rPr>
                <w:rFonts w:ascii="Times" w:hAnsi="Times"/>
                <w:sz w:val="18"/>
              </w:rPr>
            </w:pPr>
          </w:p>
        </w:tc>
        <w:tc>
          <w:tcPr>
            <w:tcW w:w="1451" w:type="dxa"/>
            <w:tcBorders>
              <w:bottom w:val="single" w:sz="4" w:space="0" w:color="auto"/>
            </w:tcBorders>
            <w:shd w:val="clear" w:color="auto" w:fill="auto"/>
          </w:tcPr>
          <w:p w14:paraId="1F64294F" w14:textId="77777777" w:rsidR="0052730F" w:rsidRPr="00191AD2" w:rsidRDefault="0052730F" w:rsidP="0052730F">
            <w:pPr>
              <w:spacing w:before="2" w:after="2"/>
              <w:jc w:val="center"/>
              <w:rPr>
                <w:rFonts w:ascii="Times" w:hAnsi="Times"/>
                <w:sz w:val="18"/>
              </w:rPr>
            </w:pPr>
            <w:r w:rsidRPr="00191AD2">
              <w:rPr>
                <w:rFonts w:ascii="Times" w:hAnsi="Times"/>
                <w:sz w:val="18"/>
              </w:rPr>
              <w:t>Error</w:t>
            </w:r>
          </w:p>
        </w:tc>
        <w:tc>
          <w:tcPr>
            <w:tcW w:w="709" w:type="dxa"/>
            <w:tcBorders>
              <w:bottom w:val="single" w:sz="4" w:space="0" w:color="auto"/>
            </w:tcBorders>
            <w:shd w:val="clear" w:color="auto" w:fill="auto"/>
            <w:vAlign w:val="bottom"/>
          </w:tcPr>
          <w:p w14:paraId="60916BCD"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131</w:t>
            </w:r>
          </w:p>
        </w:tc>
        <w:tc>
          <w:tcPr>
            <w:tcW w:w="1134" w:type="dxa"/>
            <w:tcBorders>
              <w:bottom w:val="single" w:sz="4" w:space="0" w:color="auto"/>
            </w:tcBorders>
            <w:shd w:val="clear" w:color="auto" w:fill="auto"/>
            <w:vAlign w:val="bottom"/>
          </w:tcPr>
          <w:p w14:paraId="45E188D7"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112.74</w:t>
            </w:r>
          </w:p>
        </w:tc>
        <w:tc>
          <w:tcPr>
            <w:tcW w:w="1134" w:type="dxa"/>
            <w:tcBorders>
              <w:bottom w:val="single" w:sz="4" w:space="0" w:color="auto"/>
            </w:tcBorders>
            <w:shd w:val="clear" w:color="auto" w:fill="auto"/>
            <w:vAlign w:val="bottom"/>
          </w:tcPr>
          <w:p w14:paraId="784B731F" w14:textId="77777777" w:rsidR="0052730F" w:rsidRPr="00191AD2" w:rsidRDefault="0052730F" w:rsidP="0052730F">
            <w:pPr>
              <w:spacing w:before="2" w:after="2"/>
              <w:jc w:val="center"/>
              <w:rPr>
                <w:rFonts w:ascii="Times" w:hAnsi="Times"/>
                <w:sz w:val="18"/>
                <w:szCs w:val="18"/>
              </w:rPr>
            </w:pPr>
            <w:r w:rsidRPr="00191AD2">
              <w:rPr>
                <w:rFonts w:ascii="Times" w:hAnsi="Times"/>
                <w:sz w:val="18"/>
                <w:szCs w:val="18"/>
              </w:rPr>
              <w:t>0.861</w:t>
            </w:r>
          </w:p>
        </w:tc>
        <w:tc>
          <w:tcPr>
            <w:tcW w:w="1276" w:type="dxa"/>
            <w:tcBorders>
              <w:bottom w:val="single" w:sz="4" w:space="0" w:color="auto"/>
            </w:tcBorders>
            <w:shd w:val="clear" w:color="auto" w:fill="auto"/>
            <w:vAlign w:val="bottom"/>
          </w:tcPr>
          <w:p w14:paraId="018C765C" w14:textId="77777777" w:rsidR="0052730F" w:rsidRPr="00191AD2" w:rsidRDefault="0052730F" w:rsidP="0052730F">
            <w:pPr>
              <w:spacing w:before="2" w:after="2"/>
              <w:jc w:val="center"/>
              <w:rPr>
                <w:rFonts w:ascii="Times" w:hAnsi="Times"/>
                <w:sz w:val="18"/>
                <w:szCs w:val="18"/>
              </w:rPr>
            </w:pPr>
          </w:p>
        </w:tc>
        <w:tc>
          <w:tcPr>
            <w:tcW w:w="992" w:type="dxa"/>
            <w:tcBorders>
              <w:bottom w:val="single" w:sz="4" w:space="0" w:color="auto"/>
            </w:tcBorders>
            <w:shd w:val="clear" w:color="auto" w:fill="auto"/>
            <w:vAlign w:val="bottom"/>
          </w:tcPr>
          <w:p w14:paraId="04A551E9" w14:textId="77777777" w:rsidR="0052730F" w:rsidRPr="00191AD2" w:rsidRDefault="0052730F" w:rsidP="0052730F">
            <w:pPr>
              <w:spacing w:before="2" w:after="2"/>
              <w:jc w:val="center"/>
              <w:rPr>
                <w:rFonts w:ascii="Times" w:hAnsi="Times"/>
                <w:sz w:val="18"/>
                <w:szCs w:val="18"/>
              </w:rPr>
            </w:pPr>
          </w:p>
        </w:tc>
        <w:tc>
          <w:tcPr>
            <w:tcW w:w="709" w:type="dxa"/>
            <w:tcBorders>
              <w:bottom w:val="single" w:sz="4" w:space="0" w:color="auto"/>
            </w:tcBorders>
            <w:shd w:val="clear" w:color="auto" w:fill="auto"/>
            <w:vAlign w:val="bottom"/>
          </w:tcPr>
          <w:p w14:paraId="55440ABF" w14:textId="77777777" w:rsidR="0052730F" w:rsidRPr="00191AD2" w:rsidRDefault="0052730F" w:rsidP="0052730F">
            <w:pPr>
              <w:spacing w:before="2" w:after="2"/>
              <w:jc w:val="center"/>
              <w:rPr>
                <w:rFonts w:ascii="Times" w:hAnsi="Times"/>
                <w:sz w:val="18"/>
                <w:szCs w:val="18"/>
              </w:rPr>
            </w:pPr>
          </w:p>
        </w:tc>
      </w:tr>
    </w:tbl>
    <w:p w14:paraId="45F127F1" w14:textId="77777777" w:rsidR="0052730F" w:rsidRPr="00191AD2" w:rsidRDefault="0052730F" w:rsidP="0052730F">
      <w:pPr>
        <w:spacing w:line="360" w:lineRule="auto"/>
        <w:jc w:val="center"/>
        <w:rPr>
          <w:rFonts w:ascii="Times" w:hAnsi="Times"/>
        </w:rPr>
      </w:pPr>
    </w:p>
    <w:p w14:paraId="4F9617C0" w14:textId="77777777" w:rsidR="0052730F" w:rsidRPr="00191AD2" w:rsidRDefault="0052730F" w:rsidP="0052730F">
      <w:pPr>
        <w:spacing w:line="360" w:lineRule="auto"/>
        <w:rPr>
          <w:rFonts w:ascii="Times" w:hAnsi="Times"/>
        </w:rPr>
      </w:pPr>
    </w:p>
    <w:p w14:paraId="4C19FA5D" w14:textId="77777777" w:rsidR="0052730F" w:rsidRDefault="0052730F" w:rsidP="0052730F">
      <w:pPr>
        <w:spacing w:line="360" w:lineRule="auto"/>
        <w:rPr>
          <w:rFonts w:ascii="Times" w:hAnsi="Times"/>
          <w:b/>
          <w:sz w:val="28"/>
        </w:rPr>
      </w:pPr>
    </w:p>
    <w:p w14:paraId="1BA6A4EB" w14:textId="77777777" w:rsidR="0052730F" w:rsidRDefault="0052730F" w:rsidP="0052730F">
      <w:pPr>
        <w:spacing w:line="360" w:lineRule="auto"/>
        <w:rPr>
          <w:rFonts w:ascii="Times" w:hAnsi="Times"/>
          <w:b/>
          <w:sz w:val="28"/>
        </w:rPr>
      </w:pPr>
    </w:p>
    <w:p w14:paraId="63118AC2" w14:textId="77777777" w:rsidR="0052730F" w:rsidRDefault="0052730F" w:rsidP="0052730F">
      <w:pPr>
        <w:spacing w:line="360" w:lineRule="auto"/>
        <w:rPr>
          <w:rFonts w:ascii="Times" w:hAnsi="Times"/>
          <w:b/>
          <w:sz w:val="28"/>
        </w:rPr>
      </w:pPr>
    </w:p>
    <w:p w14:paraId="0B324624" w14:textId="77777777" w:rsidR="00DC7B26" w:rsidRDefault="00DC7B26" w:rsidP="0052730F">
      <w:pPr>
        <w:spacing w:line="360" w:lineRule="auto"/>
        <w:rPr>
          <w:rFonts w:ascii="Times" w:hAnsi="Times"/>
          <w:b/>
          <w:sz w:val="28"/>
        </w:rPr>
      </w:pPr>
    </w:p>
    <w:p w14:paraId="22B98BA7" w14:textId="77777777" w:rsidR="00DC7B26" w:rsidRDefault="00DC7B26" w:rsidP="0052730F">
      <w:pPr>
        <w:spacing w:line="360" w:lineRule="auto"/>
        <w:rPr>
          <w:rFonts w:ascii="Times" w:hAnsi="Times"/>
          <w:b/>
          <w:sz w:val="28"/>
        </w:rPr>
      </w:pPr>
    </w:p>
    <w:p w14:paraId="432F3E77" w14:textId="77777777" w:rsidR="00DC7B26" w:rsidRDefault="00DC7B26" w:rsidP="0052730F">
      <w:pPr>
        <w:spacing w:line="360" w:lineRule="auto"/>
        <w:rPr>
          <w:rFonts w:ascii="Times" w:hAnsi="Times"/>
          <w:b/>
          <w:sz w:val="28"/>
        </w:rPr>
      </w:pPr>
    </w:p>
    <w:p w14:paraId="330527F1" w14:textId="77777777" w:rsidR="0052730F" w:rsidRDefault="0052730F" w:rsidP="0052730F">
      <w:pPr>
        <w:spacing w:line="360" w:lineRule="auto"/>
        <w:rPr>
          <w:rFonts w:ascii="Times" w:hAnsi="Times"/>
          <w:b/>
          <w:sz w:val="28"/>
        </w:rPr>
      </w:pPr>
    </w:p>
    <w:p w14:paraId="67DA1EDE" w14:textId="77777777" w:rsidR="0052730F" w:rsidRDefault="0052730F" w:rsidP="0052730F">
      <w:pPr>
        <w:spacing w:line="360" w:lineRule="auto"/>
        <w:rPr>
          <w:rFonts w:ascii="Times" w:hAnsi="Times"/>
          <w:b/>
          <w:sz w:val="28"/>
        </w:rPr>
      </w:pPr>
    </w:p>
    <w:p w14:paraId="35DF0E14" w14:textId="77777777" w:rsidR="0052730F" w:rsidRPr="00191AD2" w:rsidRDefault="0052730F" w:rsidP="00DC7B26">
      <w:pPr>
        <w:pStyle w:val="SubheadingJB"/>
      </w:pPr>
      <w:bookmarkStart w:id="58" w:name="_Toc291410063"/>
      <w:r w:rsidRPr="00191AD2">
        <w:t>Discussion</w:t>
      </w:r>
      <w:bookmarkEnd w:id="58"/>
    </w:p>
    <w:p w14:paraId="492BF087" w14:textId="77777777" w:rsidR="0052730F" w:rsidRPr="00191AD2" w:rsidRDefault="0052730F" w:rsidP="00095BDC">
      <w:pPr>
        <w:pStyle w:val="BodyJB"/>
        <w:ind w:firstLine="720"/>
      </w:pPr>
      <w:r w:rsidRPr="00191AD2">
        <w:t xml:space="preserve">This study has shown that overall populations of dune annual species are significantly differentiated in phenology, morphology and reproduction across a latitudinal gradient, and differences are largely maintained between generations. The level of population differentiation depends on the trait measured and species studied, though the timing of flowering and height at flowering shows statistically highly significant differences in all species. The geographical structuring of population differentiation varies among characters. Flowering time, number of seed produced per fruit and final height were correlated with latitude of origin whereas height at flowering, number of ripe fruit, number of seed produced per plant and dry weight showed a more mosaic pattern of variation. The importance of environmental maternal effects was tested by comparing population differentiation in F1 seed directly collected in the field and in F2 seed grown under homogenous conditions. </w:t>
      </w:r>
    </w:p>
    <w:p w14:paraId="35B74E06" w14:textId="77777777" w:rsidR="0052730F" w:rsidRPr="00191AD2" w:rsidRDefault="0052730F" w:rsidP="0052730F">
      <w:pPr>
        <w:spacing w:line="360" w:lineRule="auto"/>
        <w:rPr>
          <w:rFonts w:ascii="Times" w:hAnsi="Times"/>
        </w:rPr>
      </w:pPr>
      <w:r w:rsidRPr="00191AD2">
        <w:rPr>
          <w:rFonts w:ascii="Times" w:hAnsi="Times"/>
        </w:rPr>
        <w:t xml:space="preserve">  </w:t>
      </w:r>
    </w:p>
    <w:p w14:paraId="543913FF" w14:textId="77777777" w:rsidR="0052730F" w:rsidRPr="00302560" w:rsidRDefault="0052730F" w:rsidP="00DC7B26">
      <w:pPr>
        <w:pStyle w:val="subheadingMINOR"/>
      </w:pPr>
      <w:bookmarkStart w:id="59" w:name="_Toc291410064"/>
      <w:r w:rsidRPr="00302560">
        <w:t xml:space="preserve">Population variation </w:t>
      </w:r>
      <w:r>
        <w:t>and</w:t>
      </w:r>
      <w:r w:rsidRPr="00302560">
        <w:t xml:space="preserve"> latitudinal trends</w:t>
      </w:r>
      <w:bookmarkEnd w:id="59"/>
    </w:p>
    <w:p w14:paraId="2CC0F2FB" w14:textId="77777777" w:rsidR="0052730F" w:rsidRPr="000C4DC9" w:rsidRDefault="0052730F" w:rsidP="0052730F">
      <w:pPr>
        <w:spacing w:line="360" w:lineRule="auto"/>
        <w:rPr>
          <w:rFonts w:ascii="Times" w:hAnsi="Times"/>
          <w:u w:val="single"/>
        </w:rPr>
      </w:pPr>
      <w:r w:rsidRPr="000C4DC9">
        <w:rPr>
          <w:rFonts w:ascii="Times" w:hAnsi="Times"/>
          <w:u w:val="single"/>
        </w:rPr>
        <w:t>Phenology</w:t>
      </w:r>
    </w:p>
    <w:p w14:paraId="01365CC2" w14:textId="39657FC8" w:rsidR="0052730F" w:rsidRDefault="0052730F" w:rsidP="00095BDC">
      <w:pPr>
        <w:pStyle w:val="BodyJB"/>
        <w:ind w:firstLine="720"/>
      </w:pPr>
      <w:r w:rsidRPr="00191AD2">
        <w:t xml:space="preserve">In each of the five species there were statistically highly significant differences in the flowering time between populations. The advanced flowering time in southern populations was observed in both F1 and F2 generations when grown under standardised environmental conditions. Thus, there is likely to be genetic variation between populations in respect to this trait. Similar patterns of population differentiation in flowering between north and south have been documented in both field studies </w:t>
      </w:r>
      <w:r w:rsidRPr="00191AD2">
        <w:fldChar w:fldCharType="begin" w:fldLock="1"/>
      </w:r>
      <w:r w:rsidR="007C2FF9">
        <w:instrText>ADDIN CSL_CITATION { "citationItems" : [ { "id" : "ITEM-1", "itemData" : { "DOI" : "10.1111/j.1420-9101.2007.01456.x", "ISSN" : "1420-9101", "PMID" : "18028354", "abstract" : "Range expansion during biological invasion requires that invaders adapt to geographical variation in climate, which should yield latitudinal clines in reproductive phenology. We investigated geographic variation in life history among 25 introduced populations of Lythrum salicaria, a widespread European invader of North American wetlands. We detected a strong latitudinal cline in initiation of flowering and size at flowering, which paralleled that reported among native populations. Plants from higher latitudes flowered earlier and at a smaller size than those from lower latitudes, even when raised in a uniform glasshouse. Early flowering was associated with greatly reduced reproductive output, but this was not associated with latitudinal variation in abundance, and probably did not result from a genetic correlation between time to and size at flowering. As introduction to North America c. 200 years ago, L. salicaria has re-established latitudinal clines in life history, probably as an evolutionary response to climatic selection.", "author" : [ { "dropping-particle" : "", "family" : "Montague", "given" : "J L", "non-dropping-particle" : "", "parse-names" : false, "suffix" : "" }, { "dropping-particle" : "", "family" : "Barrett", "given" : "S C H", "non-dropping-particle" : "", "parse-names" : false, "suffix" : "" }, { "dropping-particle" : "", "family" : "Eckert", "given" : "C G", "non-dropping-particle" : "", "parse-names" : false, "suffix" : "" } ], "container-title" : "Journal of evolutionary biology", "id" : "ITEM-1", "issue" : "1", "issued" : { "date-parts" : [ [ "2008", "1" ] ] }, "page" : "234-45", "title" : "Re-establishment of clinal variation in flowering time among introduced populations of purple loosestrife (Lythrum salicaria, Lythraceae).", "type" : "article-journal", "volume" : "21" }, "uris" : [ "http://www.mendeley.com/documents/?uuid=1ccc6a61-59b7-4fed-b944-3b455d65dc90" ] } ], "mendeley" : { "formattedCitation" : "(Montague et al., 2008)", "plainTextFormattedCitation" : "(Montague et al., 2008)", "previouslyFormattedCitation" : "(Montague et al., 2008)" }, "properties" : { "noteIndex" : 0 }, "schema" : "https://github.com/citation-style-language/schema/raw/master/csl-citation.json" }</w:instrText>
      </w:r>
      <w:r w:rsidRPr="00191AD2">
        <w:fldChar w:fldCharType="separate"/>
      </w:r>
      <w:r w:rsidRPr="00512143">
        <w:rPr>
          <w:noProof/>
        </w:rPr>
        <w:t xml:space="preserve">(Montague </w:t>
      </w:r>
      <w:r w:rsidRPr="00512143">
        <w:rPr>
          <w:i/>
          <w:noProof/>
        </w:rPr>
        <w:t>et al.</w:t>
      </w:r>
      <w:r w:rsidRPr="00512143">
        <w:rPr>
          <w:noProof/>
        </w:rPr>
        <w:t>, 2008)</w:t>
      </w:r>
      <w:r w:rsidRPr="00191AD2">
        <w:fldChar w:fldCharType="end"/>
      </w:r>
      <w:r w:rsidRPr="00191AD2">
        <w:t xml:space="preserve"> and greenhouse experiments </w:t>
      </w:r>
      <w:r w:rsidRPr="00191AD2">
        <w:fldChar w:fldCharType="begin" w:fldLock="1"/>
      </w:r>
      <w:r w:rsidR="007C2FF9">
        <w:instrText>ADDIN CSL_CITATION { "citationItems" : [ { "id" : "ITEM-1", "itemData" : { "DOI" : "10.1111/j.1601-5223.2000.00095.x", "ISSN" : "00180661", "author" : [ { "dropping-particle" : "", "family" : "Hauser", "given" : "Thure P.", "non-dropping-particle" : "", "parse-names" : false, "suffix" : "" }, { "dropping-particle" : "", "family" : "Weidema", "given" : "Inger R.", "non-dropping-particle" : "", "parse-names" : false, "suffix" : "" } ], "container-title" : "Hereditas", "id" : "ITEM-1", "issue" : "2", "issued" : { "date-parts" : [ [ "2000", "5", "5" ] ] }, "page" : "95-101", "title" : "Extreme Variation in Flowering Time between Populations of Silene Nutans", "type" : "article-journal", "volume" : "132" }, "uris" : [ "http://www.mendeley.com/documents/?uuid=c40d015a-4875-4afa-8e33-2087d55e2ea8" ] }, { "id" : "ITEM-2", "itemData" : { "DOI" : "10.1073/pnas.0306401101", "ISSN" : "0027-8424", "PMID" : "15070783", "abstract" : "A latitudinal cline in flowering time in accessions of Arabidopsis thaliana has been widely predicted because the environmental cues that promote flowering vary systematically with latitude, but evidence for such clines has been lacking. Here, we report evidence of a significant latitudinal cline in flowering time among 70 Northern European and Mediterranean ecotypes when grown under ecologically realistic conditions in a common garden environment. The detected cline, however, is found only in ecotypes with alleles of the flowering time gene FRIGIDA (FRI) that lack major deletions that would disrupt protein function, whereas there is no relationship between flowering time and latitude of origin among accessions with FRI alleles containing such deletions. Analysis of climatological data suggests that late flowering in accessions with putatively functional FRI was associated with reduced January precipitation at the site of origin, consistent with previous reports of a positive genetic correlation between water use efficiency and flowering time in Arabidopsis, and the pleiotropic effects of FRI of increasing water use efficiency. In accessions collected from Southern latitudes, we detected that putatively functional FRI alleles were associated with accelerated flowering relative to accessions with nonfunctional FRI under the winter conditions of our experiment. These results suggest that the ecological function of the vernalization requirement conferred by FRI differs across latitudes. More generally, our results indicate that by combining ecological and molecular genetic data, it is possible to understand the forces acting on life history transitions at the level of specific loci.", "author" : [ { "dropping-particle" : "", "family" : "Stinchcombe", "given" : "John R", "non-dropping-particle" : "", "parse-names" : false, "suffix" : "" }, { "dropping-particle" : "", "family" : "Weinig", "given" : "Cynthia", "non-dropping-particle" : "", "parse-names" : false, "suffix" : "" }, { "dropping-particle" : "", "family" : "Ungerer", "given" : "Mark", "non-dropping-particle" : "", "parse-names" : false, "suffix" : "" }, { "dropping-particle" : "", "family" : "Olsen", "given" : "Kenneth M", "non-dropping-particle" : "", "parse-names" : false, "suffix" : "" }, { "dropping-particle" : "", "family" : "Mays", "given" : "Charlotte", "non-dropping-particle" : "", "parse-names" : false, "suffix" : "" }, { "dropping-particle" : "", "family" : "Halldorsdottir", "given" : "Solveig S", "non-dropping-particle" : "", "parse-names" : false, "suffix" : "" }, { "dropping-particle" : "", "family" : "Purugganan", "given" : "Michael D", "non-dropping-particle" : "", "parse-names" : false, "suffix" : "" }, { "dropping-particle" : "", "family" : "Schmitt", "given" : "Johanna", "non-dropping-particle" : "", "parse-names" : false, "suffix" : "" } ], "container-title" : "Proceedings of the National Academy of Sciences of the United States of America", "id" : "ITEM-2", "issue" : "13", "issued" : { "date-parts" : [ [ "2004", "3", "30" ] ] }, "page" : "4712-7", "title" : "A latitudinal cline in flowering time in Arabidopsis thaliana modulated by the flowering time gene FRIGIDA.", "type" : "article-journal", "volume" : "101" }, "uris" : [ "http://www.mendeley.com/documents/?uuid=fc42b8b1-396b-48e8-bb89-174dd76997a1" ] }, { "id" : "ITEM-3", "itemData" : { "DOI" : "10.1007/s10682-006-9108-x", "ISSN" : "0269-7653", "author" : [ { "dropping-particle" : "", "family" : "Volis", "given" : "Sergei", "non-dropping-particle" : "", "parse-names" : false, "suffix" : "" } ], "container-title" : "Evolutionary Ecology", "id" : "ITEM-3", "issue" : "3", "issued" : { "date-parts" : [ [ "2007", "10", "21" ] ] }, "page" : "381-393", "title" : "Correlated patterns of variation in phenology and seed production in populations of two annual grasses along an aridity gradient", "type" : "article-journal", "volume" : "21" }, "uris" : [ "http://www.mendeley.com/documents/?uuid=ddb6ac16-6f2f-4856-99b3-7cb0eedd80c2" ] }, { "id" : "ITEM-4", "itemData" : { "DOI" : "10.1111/j.1558-5646.2010.01119.x", "ISSN" : "1558-5646", "PMID" : "20812972", "abstract" : "Selection for local adaptation results in genetic differentiation in ecologically important traits. In a perennial, outcrossing model plant Arabidopsis lyrata, several differentiated phenotypic traits contribute to local adaptation, as demonstrated by fitness advantage of the local population at each site in reciprocal transplant experiments. Here we compared fitness components, hierarchical total fitness and differentiation in putatively ecologically important traits of plants from two diverged parental populations from different continents in the native climate conditions of the populations in Norway and in North Carolina (NC, U.S.A.). Survival and number of fruits per inflorescence indicated local advantage at both sites and aster life-history models provided additional evidence for local adaptation also at the level of hierarchical total fitness. Populations were also differentiated in flowering start date and floral display. We also included reciprocal experimental F(1) and F(2) hybrids to examine the genetic basis of adaptation. Surprisingly, the F(2) hybrids showed heterosis at the study site in Norway, likely because of a combination of beneficial dominance effects from different traits. At the NC site, hybrid fitness was mostly intermediate relative to the parental populations. Local cytoplasmic origin was associated with higher fitness, indicating that cytoplasmic genomes also may contribute to the evolution of local adaptation.", "author" : [ { "dropping-particle" : "", "family" : "Leinonen", "given" : "P\u00e4ivi H", "non-dropping-particle" : "", "parse-names" : false, "suffix" : "" }, { "dropping-particle" : "", "family" : "Remington", "given" : "David L", "non-dropping-particle" : "", "parse-names" : false, "suffix" : "" }, { "dropping-particle" : "", "family" : "Savolainen", "given" : "Outi", "non-dropping-particle" : "", "parse-names" : false, "suffix" : "" } ], "container-title" : "Evolution; international journal of organic evolution", "id" : "ITEM-4", "issue" : "1", "issued" : { "date-parts" : [ [ "2011", "1" ] ] }, "page" : "90-107", "title" : "Local adaptation, phenotypic differentiation, and hybrid fitness in diverged natural populations of Arabidopsis lyrata.", "type" : "article-journal", "volume" : "65" }, "uris" : [ "http://www.mendeley.com/documents/?uuid=eaaedd17-759c-45c8-8445-069e3e437afb" ] } ], "mendeley" : { "formattedCitation" : "(Hauser and Weidema, 2000; Stinchcombe et al., 2004; Volis, 2007; Leinonen et al., 2011)", "plainTextFormattedCitation" : "(Hauser and Weidema, 2000; Stinchcombe et al., 2004; Volis, 2007; Leinonen et al., 2011)", "previouslyFormattedCitation" : "(Hauser and Weidema, 2000; Stinchcombe et al., 2004; Volis, 2007; Leinonen et al., 2011)" }, "properties" : { "noteIndex" : 0 }, "schema" : "https://github.com/citation-style-language/schema/raw/master/csl-citation.json" }</w:instrText>
      </w:r>
      <w:r w:rsidRPr="00191AD2">
        <w:fldChar w:fldCharType="separate"/>
      </w:r>
      <w:r w:rsidR="00134C22" w:rsidRPr="00134C22">
        <w:rPr>
          <w:noProof/>
        </w:rPr>
        <w:t>(Hauser and Weidema, 2000; Stinchcombe et al., 2004; Volis, 2007; Leinonen et al., 2011)</w:t>
      </w:r>
      <w:r w:rsidRPr="00191AD2">
        <w:fldChar w:fldCharType="end"/>
      </w:r>
      <w:r w:rsidRPr="00191AD2">
        <w:t xml:space="preserve">. Clines in flowering suggest adaption by natural selection to local environmental conditions. Flowering is expected to occur when environmental conditions are favourable and seeds should have time to mature before unfavourable conditions such as drought or cold temperatures occur. </w:t>
      </w:r>
      <w:r>
        <w:t xml:space="preserve">The timing of plant flowering is determined by </w:t>
      </w:r>
      <w:r w:rsidRPr="00191AD2">
        <w:t xml:space="preserve">interactions between the multiple genetic pathways that control development </w:t>
      </w:r>
      <w:r w:rsidRPr="00191AD2">
        <w:fldChar w:fldCharType="begin" w:fldLock="1"/>
      </w:r>
      <w:r w:rsidR="007C2FF9">
        <w:instrText>ADDIN CSL_CITATION { "citationItems" : [ { "id" : "ITEM-1", "itemData" : { "DOI" : "10.1073/pnas.0306401101", "ISSN" : "0027-8424", "PMID" : "15070783", "abstract" : "A latitudinal cline in flowering time in accessions of Arabidopsis thaliana has been widely predicted because the environmental cues that promote flowering vary systematically with latitude, but evidence for such clines has been lacking. Here, we report evidence of a significant latitudinal cline in flowering time among 70 Northern European and Mediterranean ecotypes when grown under ecologically realistic conditions in a common garden environment. The detected cline, however, is found only in ecotypes with alleles of the flowering time gene FRIGIDA (FRI) that lack major deletions that would disrupt protein function, whereas there is no relationship between flowering time and latitude of origin among accessions with FRI alleles containing such deletions. Analysis of climatological data suggests that late flowering in accessions with putatively functional FRI was associated with reduced January precipitation at the site of origin, consistent with previous reports of a positive genetic correlation between water use efficiency and flowering time in Arabidopsis, and the pleiotropic effects of FRI of increasing water use efficiency. In accessions collected from Southern latitudes, we detected that putatively functional FRI alleles were associated with accelerated flowering relative to accessions with nonfunctional FRI under the winter conditions of our experiment. These results suggest that the ecological function of the vernalization requirement conferred by FRI differs across latitudes. More generally, our results indicate that by combining ecological and molecular genetic data, it is possible to understand the forces acting on life history transitions at the level of specific loci.", "author" : [ { "dropping-particle" : "", "family" : "Stinchcombe", "given" : "John R", "non-dropping-particle" : "", "parse-names" : false, "suffix" : "" }, { "dropping-particle" : "", "family" : "Weinig", "given" : "Cynthia", "non-dropping-particle" : "", "parse-names" : false, "suffix" : "" }, { "dropping-particle" : "", "family" : "Ungerer", "given" : "Mark", "non-dropping-particle" : "", "parse-names" : false, "suffix" : "" }, { "dropping-particle" : "", "family" : "Olsen", "given" : "Kenneth M", "non-dropping-particle" : "", "parse-names" : false, "suffix" : "" }, { "dropping-particle" : "", "family" : "Mays", "given" : "Charlotte", "non-dropping-particle" : "", "parse-names" : false, "suffix" : "" }, { "dropping-particle" : "", "family" : "Halldorsdottir", "given" : "Solveig S", "non-dropping-particle" : "", "parse-names" : false, "suffix" : "" }, { "dropping-particle" : "", "family" : "Purugganan", "given" : "Michael D", "non-dropping-particle" : "", "parse-names" : false, "suffix" : "" }, { "dropping-particle" : "", "family" : "Schmitt", "given" : "Johanna", "non-dropping-particle" : "", "parse-names" : false, "suffix" : "" } ], "container-title" : "Proceedings of the National Academy of Sciences of the United States of America", "id" : "ITEM-1", "issue" : "13", "issued" : { "date-parts" : [ [ "2004", "3", "30" ] ] }, "page" : "4712-7", "title" : "A latitudinal cline in flowering time in Arabidopsis thaliana modulated by the flowering time gene FRIGIDA.", "type" : "article-journal", "volume" : "101" }, "uris" : [ "http://www.mendeley.com/documents/?uuid=fc42b8b1-396b-48e8-bb89-174dd76997a1" ] } ], "mendeley" : { "formattedCitation" : "(Stinchcombe et al., 2004)", "plainTextFormattedCitation" : "(Stinchcombe et al., 2004)", "previouslyFormattedCitation" : "(Stinchcombe et al., 2004)" }, "properties" : { "noteIndex" : 0 }, "schema" : "https://github.com/citation-style-language/schema/raw/master/csl-citation.json" }</w:instrText>
      </w:r>
      <w:r w:rsidRPr="00191AD2">
        <w:fldChar w:fldCharType="separate"/>
      </w:r>
      <w:r w:rsidRPr="00512143">
        <w:rPr>
          <w:noProof/>
        </w:rPr>
        <w:t xml:space="preserve">(Stinchcombe </w:t>
      </w:r>
      <w:r w:rsidRPr="00512143">
        <w:rPr>
          <w:i/>
          <w:noProof/>
        </w:rPr>
        <w:t>et al.</w:t>
      </w:r>
      <w:r w:rsidRPr="00512143">
        <w:rPr>
          <w:noProof/>
        </w:rPr>
        <w:t>, 2004)</w:t>
      </w:r>
      <w:r w:rsidRPr="00191AD2">
        <w:fldChar w:fldCharType="end"/>
      </w:r>
      <w:r>
        <w:t>;</w:t>
      </w:r>
      <w:r w:rsidRPr="00191AD2">
        <w:t xml:space="preserve"> and cues for environmental conditions such as photoperiod </w:t>
      </w:r>
      <w:r w:rsidRPr="00191AD2">
        <w:fldChar w:fldCharType="begin" w:fldLock="1"/>
      </w:r>
      <w:r w:rsidR="007C2FF9">
        <w:instrText>ADDIN CSL_CITATION { "citationItems" : [ { "id" : "ITEM-1", "itemData" : { "ISSN" : "0016-6707", "PMID" : "15881681", "abstract" : "Arabidopsis thaliana has emerged as a model organism for plant developmental genetics, but it is also now being widely used for population genetic studies. Outcrossing relatives of A. thaliana are likely to provide suitable additional or alternative species for studies of evolutionary and population genetics. We have examined patterns of adaptive flowering time variation in the outcrossing, perennial A. lyrata. In addition, we examine the distribution of variation at marker genes in populations form North America and Europe. The probability of flowering in this species differs between southern and northern populations. Northern populations are much less likely to flower in short than in long days. A significant daylength by region interaction shows that the northern and southern populations respond differently to the daylength. The timing of flowering also differs between populations, and is made shorter by long days, and in some populations, by vernalization. North American and European populations show consistent genetic differentiation over microsatellite and isozyme loci and alcohol dehydrogenase sequences. Thus, the patterns of variation are quite different from those in A. thaliana, where flowering time differences show little relationship to latitude of origin and the genealogical trees of accessions vary depending on the genomic region studied. The genetic architecture of adaptation can be compared in these species with different life histories.", "author" : [ { "dropping-particle" : "", "family" : "Riihim\u00e4ki", "given" : "Mona", "non-dropping-particle" : "", "parse-names" : false, "suffix" : "" }, { "dropping-particle" : "", "family" : "Podolsky", "given" : "Robert", "non-dropping-particle" : "", "parse-names" : false, "suffix" : "" }, { "dropping-particle" : "", "family" : "Kuittinen", "given" : "Helmi", "non-dropping-particle" : "", "parse-names" : false, "suffix" : "" }, { "dropping-particle" : "", "family" : "Koelewijn", "given" : "Hans", "non-dropping-particle" : "", "parse-names" : false, "suffix" : "" }, { "dropping-particle" : "", "family" : "Savolainen", "given" : "Outi", "non-dropping-particle" : "", "parse-names" : false, "suffix" : "" } ], "container-title" : "Genetica", "id" : "ITEM-1", "issue" : "1-2", "issued" : { "date-parts" : [ [ "2005", "3" ] ] }, "page" : "63-74", "title" : "Studying genetics of adaptive variation in model organisms: flowering time variation in Arabidopsis lyrata.", "type" : "article-journal", "volume" : "123" }, "uris" : [ "http://www.mendeley.com/documents/?uuid=63949c84-ab03-429c-aa1b-93fe5bdec6d7" ] } ], "mendeley" : { "formattedCitation" : "(Riihim\u00e4ki et al., 2005)", "plainTextFormattedCitation" : "(Riihim\u00e4ki et al., 2005)", "previouslyFormattedCitation" : "(Riihim\u00e4ki et al., 2005)" }, "properties" : { "noteIndex" : 0 }, "schema" : "https://github.com/citation-style-language/schema/raw/master/csl-citation.json" }</w:instrText>
      </w:r>
      <w:r w:rsidRPr="00191AD2">
        <w:fldChar w:fldCharType="separate"/>
      </w:r>
      <w:r w:rsidRPr="00512143">
        <w:rPr>
          <w:noProof/>
        </w:rPr>
        <w:t xml:space="preserve">(Riihimäki </w:t>
      </w:r>
      <w:r w:rsidRPr="00512143">
        <w:rPr>
          <w:i/>
          <w:noProof/>
        </w:rPr>
        <w:t>et al.</w:t>
      </w:r>
      <w:r w:rsidRPr="00512143">
        <w:rPr>
          <w:noProof/>
        </w:rPr>
        <w:t>, 2005)</w:t>
      </w:r>
      <w:r w:rsidRPr="00191AD2">
        <w:fldChar w:fldCharType="end"/>
      </w:r>
      <w:r w:rsidRPr="00191AD2">
        <w:t xml:space="preserve">, temperature </w:t>
      </w:r>
      <w:r w:rsidRPr="00191AD2">
        <w:fldChar w:fldCharType="begin" w:fldLock="1"/>
      </w:r>
      <w:r w:rsidR="007C2FF9">
        <w:instrText>ADDIN CSL_CITATION { "citationItems" : [ { "id" : "ITEM-1", "itemData" : { "ISSN" : "0014-3820", "PMID" : "15058719", "abstract" : "Both genetic differentiation and phenotypic plasticity might be expected to affect the location of geographic range limits. Co-gradient variation (CoGV), plasticity that is congruent with genetic differentiation, may enhance performance at range margins, whereas its opposite, counter-gradient variation (CnGV) may hinder performance. Here we report findings of reciprocal transplant experiments intended to tease apart the roles of differentiation and plasticity in producing phenotypic variation across a geographic border between two plant subspecies. Clarkia xantiana ssp. xantiana and C. xantiana ssp. parviflora are California-endemic annuals that replace each other along a west-east gradient of declining precipitation. We analyzed variation in floral traits, phenological traits, and vegetative morphological and developmental traits by sowing seeds of 18 populations (six of ssp. xantiana and 12 of ssp. parviflora) at three sites (one in each subspecies' exclusive range and one in the subspecies' contact zone), in two growing seasons (an exceptionally wet El Ni\u00f1o winter and a much drier La Ni\u00f1a winter). Significant genetic differences between subspecies appeared in 11 of 12 traits, and differences were of the same sign as in nature. These findings are consistent with the hypothesis that selection is responsible for subspecies differences. Geographic variation within subspecies over part of the spatial gradient mirrored between-subspecies differences present at a larger scale. All traits showed significant plasticity in response to spatial and temporal environmental variation. Plasticity patterns ranged from spatial and temporal CoGV (e.g., in node of first flower), to spatial CnGV (e.g., in flowering time), to patterns that were neither CoGV nor CnGV (the majority of traits). Instances of CoGV may reflect adaptive plasticity and may serve to increase performance under year-to-year environmental variation and at sites near the subspecies border. However, the presence of spatial CnGV in some critical traits suggests that subspecies ranges may also be constrained by patterns of plasticity.", "author" : [ { "dropping-particle" : "", "family" : "Eckhart", "given" : "Vincent M", "non-dropping-particle" : "", "parse-names" : false, "suffix" : "" }, { "dropping-particle" : "", "family" : "Geber", "given" : "Monica a", "non-dropping-particle" : "", "parse-names" : false, "suffix" : "" }, { "dropping-particle" : "", "family" : "McGuire", "given" : "Christopher M", "non-dropping-particle" : "", "parse-names" : false, "suffix" : "" } ], "container-title" : "Evolution; international journal of organic evolution", "id" : "ITEM-1", "issue" : "1", "issued" : { "date-parts" : [ [ "2004", "1" ] ] }, "page" : "59-70", "title" : "Experimental studies of adaptation in Clarkia xantiana. I. Sources of trait variation across a subspecies border.", "type" : "article-journal", "volume" : "58" }, "uris" : [ "http://www.mendeley.com/documents/?uuid=40291ff0-e1b1-41de-831c-adb962e4fd8e" ] } ], "mendeley" : { "formattedCitation" : "(Eckhart et al., 2004)", "plainTextFormattedCitation" : "(Eckhart et al., 2004)", "previouslyFormattedCitation" : "(Eckhart et al., 2004)" }, "properties" : { "noteIndex" : 0 }, "schema" : "https://github.com/citation-style-language/schema/raw/master/csl-citation.json" }</w:instrText>
      </w:r>
      <w:r w:rsidRPr="00191AD2">
        <w:fldChar w:fldCharType="separate"/>
      </w:r>
      <w:r w:rsidRPr="00512143">
        <w:rPr>
          <w:noProof/>
        </w:rPr>
        <w:t xml:space="preserve">(Eckhart </w:t>
      </w:r>
      <w:r w:rsidRPr="00512143">
        <w:rPr>
          <w:i/>
          <w:noProof/>
        </w:rPr>
        <w:t>et al.</w:t>
      </w:r>
      <w:r w:rsidRPr="00512143">
        <w:rPr>
          <w:noProof/>
        </w:rPr>
        <w:t>, 2004)</w:t>
      </w:r>
      <w:r w:rsidRPr="00191AD2">
        <w:fldChar w:fldCharType="end"/>
      </w:r>
      <w:r w:rsidRPr="00191AD2">
        <w:t xml:space="preserve">, water availability </w:t>
      </w:r>
      <w:r w:rsidRPr="00191AD2">
        <w:fldChar w:fldCharType="begin" w:fldLock="1"/>
      </w:r>
      <w:r w:rsidR="007C2FF9">
        <w:instrText>ADDIN CSL_CITATION { "citationItems" : [ { "id" : "ITEM-1", "itemData" : { "DOI" : "10.1086/497648", "ISBN" : "1058-5893&lt;p&gt;", "ISSN" : "1058-5893", "author" : [ { "dropping-particle" : "", "family" : "Franke", "given" : "Denise M.", "non-dropping-particle" : "", "parse-names" : false, "suffix" : "" }, { "dropping-particle" : "", "family" : "Ellis", "given" : "Allan G.", "non-dropping-particle" : "", "parse-names" : false, "suffix" : "" }, { "dropping-particle" : "", "family" : "Dharjwa", "given" : "Manisha", "non-dropping-particle" : "", "parse-names" : false, "suffix" : "" }, { "dropping-particle" : "", "family" : "Freshwater", "given" : "Melinda", "non-dropping-particle" : "", "parse-names" : false, "suffix" : "" }, { "dropping-particle" : "", "family" : "Fujikawa", "given" : "Miki", "non-dropping-particle" : "", "parse-names" : false, "suffix" : "" }, { "dropping-particle" : "", "family" : "Padron", "given" : "Alejandra", "non-dropping-particle" : "", "parse-names" : false, "suffix" : "" }, { "dropping-particle" : "", "family" : "Weis", "given" : "Arthur E.", "non-dropping-particle" : "", "parse-names" : false, "suffix" : "" } ], "container-title" : "International Journal of Plant Sciences", "id" : "ITEM-1", "issue" : "1", "issued" : { "date-parts" : [ [ "2006" ] ] }, "page" : "83-92", "title" : "in Southern California: Population\u2010Level Variation in the Field and the Greenhouse", "type" : "article-journal", "volume" : "167" }, "uris" : [ "http://www.mendeley.com/documents/?uuid=430d5138-833e-4b3b-9009-d2c38e93df9b" ] }, { "id" : "ITEM-2", "itemData" : { "author" : [ { "dropping-particle" : "", "family" : "Bennington", "given" : "CC", "non-dropping-particle" : "", "parse-names" : false, "suffix" : "" }, { "dropping-particle" : "", "family" : "McGraw", "given" : "JB", "non-dropping-particle" : "", "parse-names" : false, "suffix" : "" } ], "container-title" : "Ecological Monographs", "id" : "ITEM-2", "issue" : "3", "issued" : { "date-parts" : [ [ "1995" ] ] }, "page" : "303-324", "title" : "Natural Selection and Ecotypic Differentiation in Impatiens Pallida", "type" : "article-journal", "volume" : "65" }, "uris" : [ "http://www.mendeley.com/documents/?uuid=e4fe1019-5ddb-400b-a61b-68af4cd1d701" ] } ], "mendeley" : { "formattedCitation" : "(Bennington and McGraw, 1995; Franke et al., 2006)", "plainTextFormattedCitation" : "(Bennington and McGraw, 1995; Franke et al., 2006)", "previouslyFormattedCitation" : "(Bennington and McGraw, 1995; Franke et al., 2006)" }, "properties" : { "noteIndex" : 0 }, "schema" : "https://github.com/citation-style-language/schema/raw/master/csl-citation.json" }</w:instrText>
      </w:r>
      <w:r w:rsidRPr="00191AD2">
        <w:fldChar w:fldCharType="separate"/>
      </w:r>
      <w:r w:rsidR="00134C22" w:rsidRPr="00134C22">
        <w:rPr>
          <w:noProof/>
        </w:rPr>
        <w:t>(Bennington and McGraw, 1995; Franke et al., 2006)</w:t>
      </w:r>
      <w:r w:rsidRPr="00191AD2">
        <w:fldChar w:fldCharType="end"/>
      </w:r>
      <w:r w:rsidRPr="00191AD2">
        <w:t xml:space="preserve"> and nutrient level </w:t>
      </w:r>
      <w:r w:rsidRPr="00191AD2">
        <w:fldChar w:fldCharType="begin" w:fldLock="1"/>
      </w:r>
      <w:r w:rsidR="007C2FF9">
        <w:instrText>ADDIN CSL_CITATION { "citationItems" : [ { "id" : "ITEM-1", "itemData" : { "ISSN" : "0014-3820", "PMID" : "10937187", "abstract" : "Considerable debate has accompanied efforts to integrate the selective impacts of environmental stresses into models of life-history evolution. This study was designed to determine if different environmental stresses have consistent phenotypic effects on life-history characters and whether selection under different stresses leads to consistent evolutionary responses. We created lineages of a wild mustard (Sinapis arvensis) that were selected for three generations under five stress regimes (high boron, high salt, low light, low water, or low nutrients) or under near-optimal conditions (control). Full-sibling families from the six selection histories were divided among the same six experimental treatments. In that test generation, lifetime plant fecundity and six phenotypic traits were measured for each plant. Throughout this greenhouse study, plants were grown individually and stresses were applied from the early seedling stage through senescence. Although all stresses consistently reduced lifetime fecundity and most size- and growth-related traits, different stresses had contrasting effects on flowering time. On average, stress delayed flowering compared to favorable conditions, although plants experiencing low nutrient stress flowered earliest and those experiencing low light flowered latest. Contrary to expectations of Grime's triangle model of life-history evolution, this ruderal species does not respond phenotypically to poor environments by flowering earlier. Most stresses enhanced the evolutionary potential of the study population. Compared with near-optimal conditions, stresses tended to increase the opportunity for selection as well as phenotypic variance, although both of these quantities were reduced in some stresses. Rather than favoring traits characteristic of stress tolerance, such as slow growth and delayed reproduction, phenotypic selection favored stress-avoidance traits: earlier flowering in all five stress regimes and faster seedling height growth in three stresses. Phenotypic correlations reinforced direct selection on these traits under stress, leading to predicted phenotypic change under stress, but no significant selection in the control environment. As a result of these factors, selection under stress resulted in an evolutionary shift toward earlier flowering. Environmental stresses may drive populations of ruderal plant species like S. arvensis toward a stress-avoidance strategy, rather than toward stress tolerance. Further stud\u2026", "author" : [ { "dropping-particle" : "", "family" : "Stanton", "given" : "M L", "non-dropping-particle" : "", "parse-names" : false, "suffix" : "" }, { "dropping-particle" : "", "family" : "Roy", "given" : "B a", "non-dropping-particle" : "", "parse-names" : false, "suffix" : "" }, { "dropping-particle" : "", "family" : "Thiede", "given" : "D a", "non-dropping-particle" : "", "parse-names" : false, "suffix" : "" } ], "container-title" : "Evolution; international journal of organic evolution", "id" : "ITEM-1", "issue" : "1", "issued" : { "date-parts" : [ [ "2000", "2" ] ] }, "page" : "93-111", "title" : "Evolution in stressful environments. I. Phenotypic variability, phenotypic selection, and response to selection in five distinct environmental stresses.", "type" : "article-journal", "volume" : "54" }, "uris" : [ "http://www.mendeley.com/documents/?uuid=c585082c-ba57-4663-ba6a-76e569d2ce6f" ] } ], "mendeley" : { "formattedCitation" : "(Stanton et al., 2000)", "plainTextFormattedCitation" : "(Stanton et al., 2000)", "previouslyFormattedCitation" : "(Stanton et al., 2000)" }, "properties" : { "noteIndex" : 0 }, "schema" : "https://github.com/citation-style-language/schema/raw/master/csl-citation.json" }</w:instrText>
      </w:r>
      <w:r w:rsidRPr="00191AD2">
        <w:fldChar w:fldCharType="separate"/>
      </w:r>
      <w:r w:rsidRPr="00512143">
        <w:rPr>
          <w:noProof/>
        </w:rPr>
        <w:t xml:space="preserve">(Stanton </w:t>
      </w:r>
      <w:r w:rsidRPr="00512143">
        <w:rPr>
          <w:i/>
          <w:noProof/>
        </w:rPr>
        <w:t>et al.</w:t>
      </w:r>
      <w:r w:rsidRPr="00512143">
        <w:rPr>
          <w:noProof/>
        </w:rPr>
        <w:t>, 2000)</w:t>
      </w:r>
      <w:r w:rsidRPr="00191AD2">
        <w:fldChar w:fldCharType="end"/>
      </w:r>
      <w:r w:rsidRPr="00191AD2">
        <w:t xml:space="preserve">. </w:t>
      </w:r>
      <w:r>
        <w:t xml:space="preserve">The environmental conditions inducing flowering time </w:t>
      </w:r>
      <w:r w:rsidRPr="00191AD2">
        <w:t>will differ along a latitude gradient</w:t>
      </w:r>
      <w:r>
        <w:t xml:space="preserve">, therefore </w:t>
      </w:r>
      <w:r w:rsidRPr="00191AD2">
        <w:t xml:space="preserve">it is expected that populations will be adapted to local conditions and express genetic differentiation in flowering time. </w:t>
      </w:r>
    </w:p>
    <w:p w14:paraId="1D911C3A" w14:textId="50431D22" w:rsidR="0052730F" w:rsidRPr="00191AD2" w:rsidRDefault="0052730F" w:rsidP="003A4A66">
      <w:pPr>
        <w:pStyle w:val="BodyJB"/>
        <w:ind w:firstLine="720"/>
      </w:pPr>
      <w:r>
        <w:t xml:space="preserve">Instead, the results correspond to studies using species of </w:t>
      </w:r>
      <w:r w:rsidRPr="003B14D3">
        <w:rPr>
          <w:i/>
        </w:rPr>
        <w:t>Arabidopsis</w:t>
      </w:r>
      <w:r>
        <w:t xml:space="preserve"> that indicate while summer annual variants show no latitudinal clines in flowering time, winter annual variants</w:t>
      </w:r>
      <w:r w:rsidRPr="00217D80">
        <w:t xml:space="preserve"> </w:t>
      </w:r>
      <w:r>
        <w:t>are</w:t>
      </w:r>
      <w:r w:rsidRPr="00217D80">
        <w:t xml:space="preserve"> more likely to flower </w:t>
      </w:r>
      <w:r>
        <w:t>earlier</w:t>
      </w:r>
      <w:r w:rsidRPr="00217D80">
        <w:t xml:space="preserve"> than the northern ones</w:t>
      </w:r>
      <w:r>
        <w:t xml:space="preserve"> </w:t>
      </w:r>
      <w:r>
        <w:fldChar w:fldCharType="begin" w:fldLock="1"/>
      </w:r>
      <w:r w:rsidR="007C2FF9">
        <w:instrText>ADDIN CSL_CITATION { "citationItems" : [ { "id" : "ITEM-1", "itemData" : { "DOI" : "10.1073/pnas.0306401101", "ISSN" : "0027-8424", "PMID" : "15070783", "abstract" : "A latitudinal cline in flowering time in accessions of Arabidopsis thaliana has been widely predicted because the environmental cues that promote flowering vary systematically with latitude, but evidence for such clines has been lacking. Here, we report evidence of a significant latitudinal cline in flowering time among 70 Northern European and Mediterranean ecotypes when grown under ecologically realistic conditions in a common garden environment. The detected cline, however, is found only in ecotypes with alleles of the flowering time gene FRIGIDA (FRI) that lack major deletions that would disrupt protein function, whereas there is no relationship between flowering time and latitude of origin among accessions with FRI alleles containing such deletions. Analysis of climatological data suggests that late flowering in accessions with putatively functional FRI was associated with reduced January precipitation at the site of origin, consistent with previous reports of a positive genetic correlation between water use efficiency and flowering time in Arabidopsis, and the pleiotropic effects of FRI of increasing water use efficiency. In accessions collected from Southern latitudes, we detected that putatively functional FRI alleles were associated with accelerated flowering relative to accessions with nonfunctional FRI under the winter conditions of our experiment. These results suggest that the ecological function of the vernalization requirement conferred by FRI differs across latitudes. More generally, our results indicate that by combining ecological and molecular genetic data, it is possible to understand the forces acting on life history transitions at the level of specific loci.", "author" : [ { "dropping-particle" : "", "family" : "Stinchcombe", "given" : "John R", "non-dropping-particle" : "", "parse-names" : false, "suffix" : "" }, { "dropping-particle" : "", "family" : "Weinig", "given" : "Cynthia", "non-dropping-particle" : "", "parse-names" : false, "suffix" : "" }, { "dropping-particle" : "", "family" : "Ungerer", "given" : "Mark", "non-dropping-particle" : "", "parse-names" : false, "suffix" : "" }, { "dropping-particle" : "", "family" : "Olsen", "given" : "Kenneth M", "non-dropping-particle" : "", "parse-names" : false, "suffix" : "" }, { "dropping-particle" : "", "family" : "Mays", "given" : "Charlotte", "non-dropping-particle" : "", "parse-names" : false, "suffix" : "" }, { "dropping-particle" : "", "family" : "Halldorsdottir", "given" : "Solveig S", "non-dropping-particle" : "", "parse-names" : false, "suffix" : "" }, { "dropping-particle" : "", "family" : "Purugganan", "given" : "Michael D", "non-dropping-particle" : "", "parse-names" : false, "suffix" : "" }, { "dropping-particle" : "", "family" : "Schmitt", "given" : "Johanna", "non-dropping-particle" : "", "parse-names" : false, "suffix" : "" } ], "container-title" : "Proceedings of the National Academy of Sciences of the United States of America", "id" : "ITEM-1", "issue" : "13", "issued" : { "date-parts" : [ [ "2004", "3", "30" ] ] }, "page" : "4712-7", "title" : "A latitudinal cline in flowering time in Arabidopsis thaliana modulated by the flowering time gene FRIGIDA.", "type" : "article-journal", "volume" : "101" }, "uris" : [ "http://www.mendeley.com/documents/?uuid=fc42b8b1-396b-48e8-bb89-174dd76997a1" ] }, { "id" : "ITEM-2", "itemData" : { "ISSN" : "0016-6707", "PMID" : "15881681", "abstract" : "Arabidopsis thaliana has emerged as a model organism for plant developmental genetics, but it is also now being widely used for population genetic studies. Outcrossing relatives of A. thaliana are likely to provide suitable additional or alternative species for studies of evolutionary and population genetics. We have examined patterns of adaptive flowering time variation in the outcrossing, perennial A. lyrata. In addition, we examine the distribution of variation at marker genes in populations form North America and Europe. The probability of flowering in this species differs between southern and northern populations. Northern populations are much less likely to flower in short than in long days. A significant daylength by region interaction shows that the northern and southern populations respond differently to the daylength. The timing of flowering also differs between populations, and is made shorter by long days, and in some populations, by vernalization. North American and European populations show consistent genetic differentiation over microsatellite and isozyme loci and alcohol dehydrogenase sequences. Thus, the patterns of variation are quite different from those in A. thaliana, where flowering time differences show little relationship to latitude of origin and the genealogical trees of accessions vary depending on the genomic region studied. The genetic architecture of adaptation can be compared in these species with different life histories.", "author" : [ { "dropping-particle" : "", "family" : "Riihim\u00e4ki", "given" : "Mona", "non-dropping-particle" : "", "parse-names" : false, "suffix" : "" }, { "dropping-particle" : "", "family" : "Podolsky", "given" : "Robert", "non-dropping-particle" : "", "parse-names" : false, "suffix" : "" }, { "dropping-particle" : "", "family" : "Kuittinen", "given" : "Helmi", "non-dropping-particle" : "", "parse-names" : false, "suffix" : "" }, { "dropping-particle" : "", "family" : "Koelewijn", "given" : "Hans", "non-dropping-particle" : "", "parse-names" : false, "suffix" : "" }, { "dropping-particle" : "", "family" : "Savolainen", "given" : "Outi", "non-dropping-particle" : "", "parse-names" : false, "suffix" : "" } ], "container-title" : "Genetica", "id" : "ITEM-2", "issue" : "1-2", "issued" : { "date-parts" : [ [ "2005", "3" ] ] }, "page" : "63-74", "title" : "Studying genetics of adaptive variation in model organisms: flowering time variation in Arabidopsis lyrata.", "type" : "article-journal", "volume" : "123" }, "uris" : [ "http://www.mendeley.com/documents/?uuid=63949c84-ab03-429c-aa1b-93fe5bdec6d7" ] } ], "mendeley" : { "formattedCitation" : "(Stinchcombe et al., 2004; Riihim\u00e4ki et al., 2005)", "plainTextFormattedCitation" : "(Stinchcombe et al., 2004; Riihim\u00e4ki et al., 2005)", "previouslyFormattedCitation" : "(Stinchcombe et al., 2004; Riihim\u00e4ki et al., 2005)" }, "properties" : { "noteIndex" : 0 }, "schema" : "https://github.com/citation-style-language/schema/raw/master/csl-citation.json" }</w:instrText>
      </w:r>
      <w:r>
        <w:fldChar w:fldCharType="separate"/>
      </w:r>
      <w:r w:rsidRPr="00512143">
        <w:rPr>
          <w:noProof/>
        </w:rPr>
        <w:t xml:space="preserve">(Stinchcombe </w:t>
      </w:r>
      <w:r w:rsidRPr="00512143">
        <w:rPr>
          <w:i/>
          <w:noProof/>
        </w:rPr>
        <w:t>et al.</w:t>
      </w:r>
      <w:r w:rsidRPr="00512143">
        <w:rPr>
          <w:noProof/>
        </w:rPr>
        <w:t xml:space="preserve">, 2004; Riihimäki </w:t>
      </w:r>
      <w:r w:rsidRPr="00512143">
        <w:rPr>
          <w:i/>
          <w:noProof/>
        </w:rPr>
        <w:t>et al.</w:t>
      </w:r>
      <w:r w:rsidRPr="00512143">
        <w:rPr>
          <w:noProof/>
        </w:rPr>
        <w:t>, 2005)</w:t>
      </w:r>
      <w:r>
        <w:fldChar w:fldCharType="end"/>
      </w:r>
      <w:r>
        <w:t xml:space="preserve">. Population variation in flowering time of </w:t>
      </w:r>
      <w:r w:rsidRPr="003B14D3">
        <w:rPr>
          <w:i/>
        </w:rPr>
        <w:t>A. lyrata</w:t>
      </w:r>
      <w:r>
        <w:t xml:space="preserve"> is influenced by environmental factors such as day length and vernalization (the triggering of flowering after young plants are chilled </w:t>
      </w:r>
      <w:r>
        <w:fldChar w:fldCharType="begin" w:fldLock="1"/>
      </w:r>
      <w:r w:rsidR="007C2FF9">
        <w:instrText>ADDIN CSL_CITATION { "citationItems" : [ { "id" : "ITEM-1", "itemData" : { "author" : [ { "dropping-particle" : "", "family" : "Riihim\u00e4ki", "given" : "M", "non-dropping-particle" : "", "parse-names" : false, "suffix" : "" }, { "dropping-particle" : "", "family" : "Savolainen", "given" : "O", "non-dropping-particle" : "", "parse-names" : false, "suffix" : "" } ], "container-title" : "American Journal of Botany", "id" : "ITEM-1", "issue" : "7", "issued" : { "date-parts" : [ [ "2004" ] ] }, "page" : "1036-1045", "title" : "Environmental and genetic effects on flowering difference between northern and southern populations of Arabidopsis lyrata (Brassicaceae)", "type" : "article-journal", "volume" : "91" }, "uris" : [ "http://www.mendeley.com/documents/?uuid=dfc16585-de4e-4e57-991b-c93fe34f6705" ] } ], "mendeley" : { "formattedCitation" : "(Riihim\u00e4ki and Savolainen, 2004)", "plainTextFormattedCitation" : "(Riihim\u00e4ki and Savolainen, 2004)", "previouslyFormattedCitation" : "(Riihim\u00e4ki and Savolainen, 2004)" }, "properties" : { "noteIndex" : 0 }, "schema" : "https://github.com/citation-style-language/schema/raw/master/csl-citation.json" }</w:instrText>
      </w:r>
      <w:r>
        <w:fldChar w:fldCharType="separate"/>
      </w:r>
      <w:r w:rsidR="00134C22" w:rsidRPr="00134C22">
        <w:rPr>
          <w:noProof/>
        </w:rPr>
        <w:t>(Riihimäki and Savolainen, 2004)</w:t>
      </w:r>
      <w:r>
        <w:fldChar w:fldCharType="end"/>
      </w:r>
      <w:r>
        <w:t xml:space="preserve">. Winter annual species inhabiting the sand dune environment (including a species, </w:t>
      </w:r>
      <w:r w:rsidRPr="00803AE8">
        <w:rPr>
          <w:i/>
        </w:rPr>
        <w:t>Cerastium atrovirens</w:t>
      </w:r>
      <w:r>
        <w:t xml:space="preserve">, closely related to </w:t>
      </w:r>
      <w:r w:rsidRPr="00803AE8">
        <w:rPr>
          <w:i/>
        </w:rPr>
        <w:t>Cerastium diffusum</w:t>
      </w:r>
      <w:r>
        <w:t xml:space="preserve">) show strong responses in flowering time to variations in temperature and day length regimes </w:t>
      </w:r>
      <w:r>
        <w:fldChar w:fldCharType="begin" w:fldLock="1"/>
      </w:r>
      <w:r w:rsidR="007C2FF9">
        <w:instrText>ADDIN CSL_CITATION { "citationItems" : [ { "id" : "ITEM-1", "itemData" : { "ISBN" : "0022-0477", "author" : [ { "dropping-particle" : "", "family" : "Pemadasa", "given" : "Ma", "non-dropping-particle" : "", "parse-names" : false, "suffix" : "" }, { "dropping-particle" : "", "family" : "Lovell", "given" : "Ph", "non-dropping-particle" : "", "parse-names" : false, "suffix" : "" } ], "container-title" : "The Journal of Ecology", "id" : "ITEM-1", "issue" : "2", "issued" : { "date-parts" : [ [ "1974" ] ] }, "page" : "403-416", "title" : "Factors Affecting the Distribution of Some Annuals in the Dune System At Aberffraw, Anglesey", "type" : "article-journal", "volume" : "62" }, "uris" : [ "http://www.mendeley.com/documents/?uuid=83c21f02-0edf-429e-8159-9264e2e10e88" ] } ], "mendeley" : { "formattedCitation" : "(Pemadasa and Lovell, 1974b)", "plainTextFormattedCitation" : "(Pemadasa and Lovell, 1974b)", "previouslyFormattedCitation" : "(Pemadasa and Lovell, 1974b)" }, "properties" : { "noteIndex" : 0 }, "schema" : "https://github.com/citation-style-language/schema/raw/master/csl-citation.json" }</w:instrText>
      </w:r>
      <w:r>
        <w:fldChar w:fldCharType="separate"/>
      </w:r>
      <w:r w:rsidR="00134C22" w:rsidRPr="00134C22">
        <w:rPr>
          <w:noProof/>
        </w:rPr>
        <w:t>(Pemadasa and Lovell, 1974b)</w:t>
      </w:r>
      <w:r>
        <w:fldChar w:fldCharType="end"/>
      </w:r>
      <w:r>
        <w:t>. The occurrence of clines in flowering time in this study, under common environmental conditions, indicates that winter annuals may express adaptive genetic variation relating to the strength of these environmental factors in their population of origin. However further studies determining changes in flowering time between populations in response to changes in vernalization and day length are required to determine this.</w:t>
      </w:r>
    </w:p>
    <w:p w14:paraId="62F494D1" w14:textId="77777777" w:rsidR="0052730F" w:rsidRPr="00191AD2" w:rsidRDefault="0052730F" w:rsidP="0052730F">
      <w:pPr>
        <w:pStyle w:val="BodyJB"/>
      </w:pPr>
    </w:p>
    <w:p w14:paraId="5BFE00A9" w14:textId="77777777" w:rsidR="0052730F" w:rsidRPr="00191AD2" w:rsidRDefault="0052730F" w:rsidP="0052730F">
      <w:pPr>
        <w:rPr>
          <w:rFonts w:ascii="Times" w:hAnsi="Times"/>
          <w:u w:val="single"/>
        </w:rPr>
      </w:pPr>
      <w:r w:rsidRPr="00191AD2">
        <w:rPr>
          <w:rFonts w:ascii="Times" w:hAnsi="Times"/>
          <w:u w:val="single"/>
        </w:rPr>
        <w:t>Productivity</w:t>
      </w:r>
    </w:p>
    <w:p w14:paraId="3A6C36C0" w14:textId="122409F3" w:rsidR="0052730F" w:rsidRPr="00191AD2" w:rsidRDefault="0052730F" w:rsidP="003A4A66">
      <w:pPr>
        <w:pStyle w:val="BodyJB"/>
        <w:ind w:firstLine="720"/>
      </w:pPr>
      <w:r w:rsidRPr="00191AD2">
        <w:t xml:space="preserve">Population variation in final height was observed in all species with the exception of </w:t>
      </w:r>
      <w:r w:rsidRPr="00191AD2">
        <w:rPr>
          <w:i/>
        </w:rPr>
        <w:t>S. vulgaris</w:t>
      </w:r>
      <w:r w:rsidRPr="00191AD2">
        <w:t xml:space="preserve">. Variation in height and related productivity traits between populations is common in a number of species with wide distributions </w:t>
      </w:r>
      <w:r w:rsidRPr="00191AD2">
        <w:fldChar w:fldCharType="begin" w:fldLock="1"/>
      </w:r>
      <w:r w:rsidR="007C2FF9">
        <w:instrText>ADDIN CSL_CITATION { "citationItems" : [ { "id" : "ITEM-1", "itemData" : { "DOI" : "10.1046/j.1420-9101.2002.00457.x", "ISSN" : "1010061X", "author" : [ { "dropping-particle" : "", "family" : "Olsson", "given" : "K.", "non-dropping-particle" : "", "parse-names" : false, "suffix" : "" }, { "dropping-particle" : "", "family" : "Agren", "given" : "J.", "non-dropping-particle" : "", "parse-names" : false, "suffix" : "" } ], "container-title" : "Journal of Evolutionary Biology", "id" : "ITEM-1", "issue" : "6", "issued" : { "date-parts" : [ [ "2002", "10", "25" ] ] }, "page" : "983-996", "title" : "Latitudinal population differentiation in phenology, life history and flower morphology in the perennial herb Lythrum salicaria", "type" : "article-journal", "volume" : "15" }, "uris" : [ "http://www.mendeley.com/documents/?uuid=404e1889-7232-43c2-96c9-308df7be82f0" ] }, { "id" : "ITEM-2", "itemData" : { "DOI" : "10.1002/ece3.223", "ISBN" : "8659743067", "ISSN" : "2045-7758", "PMID" : "22833791", "abstract" : "Linking intraspecific variation in plant traits to ecosystem carbon uptake may allow us to better predict how shift in populations shape ecosystem function. We investigated whether plant populations of a dominant old-field plant species (Solidago altissima) differed in carbon dynamics and if variation in plant traits among genotypes and between populations predicted carbon dynamics. We established a common garden experiment with 35 genotypes from three populations of S. altissima from either Tennessee (southern populations) or Connecticut (northern populations) to ask whether: (1) southern and northern Solidago populations will differ in aboveground productivity, leaf area, flowering time and duration, and whole ecosystem carbon uptake, (2) intraspecific trait variation (growth and reproduction) will be related to intraspecific variation in gross ecosystem CO(2) exchange (GEE) and net ecosystem CO(2) exchange (NEE) within and between northern and southern populations. GEE and NEE were 4.8\u00d7 and 2\u00d7 greater in southern relative to northern populations. Moreover, southern populations produced 13\u00d7 more aboveground biomass and 1.4\u00d7 more inflorescence mass than did northern populations. Flowering dynamics (first- and last-day flowering and flowering duration) varied significantly among genotypes in both the southern and northern populations, but plant performance and ecosystem function did not. Both productivity and inflorescence mass predicted NEE and GEE between S. altissima southern and northern populations. Taken together, our data demonstrate that variation between S. altissima populations in performance and flowering traits are strong predictors of ecosystem function in a dominant old-field species and suggest that populations of the same species might differ substantially in their response to environmental perturbations.", "author" : [ { "dropping-particle" : "", "family" : "Breza", "given" : "Lauren C", "non-dropping-particle" : "", "parse-names" : false, "suffix" : "" }, { "dropping-particle" : "", "family" : "Souza", "given" : "Lara", "non-dropping-particle" : "", "parse-names" : false, "suffix" : "" }, { "dropping-particle" : "", "family" : "Sanders", "given" : "Nathan J", "non-dropping-particle" : "", "parse-names" : false, "suffix" : "" }, { "dropping-particle" : "", "family" : "Classen", "given" : "Aim\u00e9e T", "non-dropping-particle" : "", "parse-names" : false, "suffix" : "" } ], "container-title" : "Ecology and evolution", "id" : "ITEM-2", "issue" : "6", "issued" : { "date-parts" : [ [ "2012", "6" ] ] }, "page" : "1151-61", "title" : "Within and between population variation in plant traits predicts ecosystem functions associated with a dominant plant species.", "type" : "article-journal", "volume" : "2" }, "uris" : [ "http://www.mendeley.com/documents/?uuid=45f8e286-635a-4498-b8c9-4b5fd3aadbf5" ] }, { "id" : "ITEM-3", "itemData" : { "author" : [ { "dropping-particle" : "", "family" : "Production", "given" : "Biomass", "non-dropping-particle" : "", "parse-names" : false, "suffix" : "" }, { "dropping-particle" : "", "family" : "Patterns", "given" : "Reproductive", "non-dropping-particle" : "", "parse-names" : false, "suffix" : "" }, { "dropping-particle" : "Del", "family" : "Pozo", "given" : "a", "non-dropping-particle" : "", "parse-names" : false, "suffix" : "" }, { "dropping-particle" : "", "family" : "Ovalle", "given" : "C", "non-dropping-particle" : "", "parse-names" : false, "suffix" : "" }, { "dropping-particle" : "", "family" : "Aronson", "given" : "J", "non-dropping-particle" : "", "parse-names" : false, "suffix" : "" }, { "dropping-particle" : "", "family" : "Avenda\u00f1o", "given" : "J", "non-dropping-particle" : "", "parse-names" : false, "suffix" : "" }, { "dropping-particle" : "", "family" : "Ecology", "given" : "Source Plant", "non-dropping-particle" : "", "parse-names" : false, "suffix" : "" }, { "dropping-particle" : "", "family" : "Apr", "given" : "No", "non-dropping-particle" : "", "parse-names" : false, "suffix" : "" } ], "container-title" : "Production", "id" : "ITEM-3", "issue" : "Rihan 1988", "issued" : { "date-parts" : [ [ "2010" ] ] }, "page" : "119-130", "title" : "Ecotypic Differentiation in Medicago polymorpha L . along an Environmental Gradient in Stable URL : http://www.jstor.org/stable/20051217 Ecotypic in Medicago in central biomass reproductive", "type" : "article-journal", "volume" : "159" }, "uris" : [ "http://www.mendeley.com/documents/?uuid=10e29ee0-9a0b-478f-88b2-bfeff075eba6" ] } ], "mendeley" : { "formattedCitation" : "(Olsson and Agren, 2002; Production et al., 2010; Breza et al., 2012)", "plainTextFormattedCitation" : "(Olsson and Agren, 2002; Production et al., 2010; Breza et al., 2012)", "previouslyFormattedCitation" : "(Olsson and Agren, 2002; Production et al., 2010; Breza et al., 2012)" }, "properties" : { "noteIndex" : 0 }, "schema" : "https://github.com/citation-style-language/schema/raw/master/csl-citation.json" }</w:instrText>
      </w:r>
      <w:r w:rsidRPr="00191AD2">
        <w:fldChar w:fldCharType="separate"/>
      </w:r>
      <w:r w:rsidR="00134C22" w:rsidRPr="00134C22">
        <w:rPr>
          <w:noProof/>
        </w:rPr>
        <w:t>(Olsson and Agren, 2002; Production et al., 2010; Breza et al., 2012)</w:t>
      </w:r>
      <w:r w:rsidRPr="00191AD2">
        <w:fldChar w:fldCharType="end"/>
      </w:r>
      <w:r w:rsidRPr="00191AD2">
        <w:t>. As latitude of the origin of populations measured in this study decreased plants grew taller</w:t>
      </w:r>
      <w:r>
        <w:t xml:space="preserve"> (Fig. 3.1)</w:t>
      </w:r>
      <w:r w:rsidRPr="00191AD2">
        <w:t xml:space="preserve">. This pattern follows trends in global vegetation that show steep relationships between latitude and height </w:t>
      </w:r>
      <w:r w:rsidRPr="00191AD2">
        <w:fldChar w:fldCharType="begin" w:fldLock="1"/>
      </w:r>
      <w:r w:rsidR="007C2FF9">
        <w:instrText>ADDIN CSL_CITATION { "citationItems" : [ { "id" : "ITEM-1", "itemData" : { "DOI" : "10.1111/j.1365-2745.2009.01526.x", "ISSN" : "00220477", "author" : [ { "dropping-particle" : "", "family" : "Moles", "given" : "Angela T.", "non-dropping-particle" : "", "parse-names" : false, "suffix" : "" }, { "dropping-particle" : "", "family" : "Warton", "given" : "David I.", "non-dropping-particle" : "", "parse-names" : false, "suffix" : "" }, { "dropping-particle" : "", "family" : "Warman", "given" : "Laura", "non-dropping-particle" : "", "parse-names" : false, "suffix" : "" }, { "dropping-particle" : "", "family" : "Swenson", "given" : "Nathan G.", "non-dropping-particle" : "", "parse-names" : false, "suffix" : "" }, { "dropping-particle" : "", "family" : "Laffan", "given" : "Shawn W.", "non-dropping-particle" : "", "parse-names" : false, "suffix" : "" }, { "dropping-particle" : "", "family" : "Zanne", "given" : "Amy E.", "non-dropping-particle" : "", "parse-names" : false, "suffix" : "" }, { "dropping-particle" : "", "family" : "Pitman", "given" : "Andy", "non-dropping-particle" : "", "parse-names" : false, "suffix" : "" }, { "dropping-particle" : "", "family" : "Hemmings", "given" : "Frank a.", "non-dropping-particle" : "", "parse-names" : false, "suffix" : "" }, { "dropping-particle" : "", "family" : "Leishman", "given" : "Michelle R.", "non-dropping-particle" : "", "parse-names" : false, "suffix" : "" } ], "container-title" : "Journal of Ecology", "id" : "ITEM-1", "issue" : "5", "issued" : { "date-parts" : [ [ "2009", "9" ] ] }, "page" : "923-932", "title" : "Global patterns in plant height", "type" : "article-journal", "volume" : "97" }, "uris" : [ "http://www.mendeley.com/documents/?uuid=3380a401-766c-4a50-b614-147f2fc68a59" ] } ], "mendeley" : { "formattedCitation" : "(Moles et al., 2009)", "plainTextFormattedCitation" : "(Moles et al., 2009)", "previouslyFormattedCitation" : "(Moles et al., 2009)" }, "properties" : { "noteIndex" : 0 }, "schema" : "https://github.com/citation-style-language/schema/raw/master/csl-citation.json" }</w:instrText>
      </w:r>
      <w:r w:rsidRPr="00191AD2">
        <w:fldChar w:fldCharType="separate"/>
      </w:r>
      <w:r w:rsidRPr="00512143">
        <w:rPr>
          <w:noProof/>
        </w:rPr>
        <w:t xml:space="preserve">(Moles </w:t>
      </w:r>
      <w:r w:rsidRPr="00512143">
        <w:rPr>
          <w:i/>
          <w:noProof/>
        </w:rPr>
        <w:t>et al.</w:t>
      </w:r>
      <w:r w:rsidRPr="00512143">
        <w:rPr>
          <w:noProof/>
        </w:rPr>
        <w:t>, 2009)</w:t>
      </w:r>
      <w:r w:rsidRPr="00191AD2">
        <w:fldChar w:fldCharType="end"/>
      </w:r>
      <w:r w:rsidRPr="00191AD2">
        <w:t xml:space="preserve">. Such patterns in plant growth are likely driven by environmental factors such as temperature and water availability that correlate with latitude. </w:t>
      </w:r>
    </w:p>
    <w:p w14:paraId="647D380B" w14:textId="69CE80BC" w:rsidR="0052730F" w:rsidRPr="00191AD2" w:rsidRDefault="0052730F" w:rsidP="003A4A66">
      <w:pPr>
        <w:pStyle w:val="BodyJB"/>
        <w:ind w:firstLine="720"/>
      </w:pPr>
      <w:r w:rsidRPr="00191AD2">
        <w:t xml:space="preserve">Plant height is an important trait that plays a key role in a plant’s ecological strategy. The ability to compete for light is largely determined by plant height, and correlations with other life-history traits such as seed mass, longevity and the number of seeds a plant can produce </w:t>
      </w:r>
      <w:r w:rsidRPr="00191AD2">
        <w:fldChar w:fldCharType="begin" w:fldLock="1"/>
      </w:r>
      <w:r w:rsidR="007C2FF9">
        <w:instrText>ADDIN CSL_CITATION { "citationItems" : [ { "id" : "ITEM-1", "itemData" : { "DOI" : "10.1111/j.1365-2745.2011.01830.x", "ISSN" : "00220477", "author" : [ { "dropping-particle" : "", "family" : "Sun", "given" : "Shucun", "non-dropping-particle" : "", "parse-names" : false, "suffix" : "" }, { "dropping-particle" : "", "family" : "Frelich", "given" : "Lee E.", "non-dropping-particle" : "", "parse-names" : false, "suffix" : "" } ], "container-title" : "Journal of Ecology", "id" : "ITEM-1", "issue" : "4", "issued" : { "date-parts" : [ [ "2011", "7", "16" ] ] }, "page" : "991-1000", "title" : "Flowering phenology and height growth pattern are associated with maximum plant height, relative growth rate and stem tissue mass density in herbaceous grassland species", "type" : "article-journal", "volume" : "99" }, "uris" : [ "http://www.mendeley.com/documents/?uuid=d5f3e35d-a1da-4718-a282-c03969e56f7b" ] }, { "id" : "ITEM-2", "itemData" : { "DOI" : "10.1126/science.1063656", "ISSN" : "0036-8075", "PMID" : "11588260", "abstract" : "We characterized the genetic architecture of three populations of a native North American prairie plant in field conditions that simulate the warmer and more arid climates predicted by global climate models. Despite genetic variance for traits under selection, among-trait genetic correlations that are antagonistic to the direction of selection limit adaptive evolution within these populations. Predicted rates of evolutionary response are much slower than the predicted rate of climate change.", "author" : [ { "dropping-particle" : "", "family" : "Etterson", "given" : "J R", "non-dropping-particle" : "", "parse-names" : false, "suffix" : "" }, { "dropping-particle" : "", "family" : "Shaw", "given" : "R G", "non-dropping-particle" : "", "parse-names" : false, "suffix" : "" } ], "container-title" : "Science (New York, N.Y.)", "id" : "ITEM-2", "issue" : "5540", "issued" : { "date-parts" : [ [ "2001", "10", "5" ] ] }, "page" : "151-4", "title" : "Constraint to adaptive evolution in response to global warming.", "type" : "article-journal", "volume" : "294" }, "uris" : [ "http://www.mendeley.com/documents/?uuid=cfed61f5-e6cd-4bbd-ac91-d85abe840ba1" ] } ], "mendeley" : { "formattedCitation" : "(Etterson and Shaw, 2001; Sun and Frelich, 2011)", "plainTextFormattedCitation" : "(Etterson and Shaw, 2001; Sun and Frelich, 2011)", "previouslyFormattedCitation" : "(Etterson and Shaw, 2001; Sun and Frelich, 2011)" }, "properties" : { "noteIndex" : 0 }, "schema" : "https://github.com/citation-style-language/schema/raw/master/csl-citation.json" }</w:instrText>
      </w:r>
      <w:r w:rsidRPr="00191AD2">
        <w:fldChar w:fldCharType="separate"/>
      </w:r>
      <w:r w:rsidR="00134C22" w:rsidRPr="00134C22">
        <w:rPr>
          <w:noProof/>
        </w:rPr>
        <w:t>(Etterson and Shaw, 2001; Sun and Frelich, 2011)</w:t>
      </w:r>
      <w:r w:rsidRPr="00191AD2">
        <w:fldChar w:fldCharType="end"/>
      </w:r>
      <w:r w:rsidRPr="00191AD2">
        <w:t xml:space="preserve">, which ensures that this trait is central to determining how a species lives, grows and reproduces. </w:t>
      </w:r>
    </w:p>
    <w:p w14:paraId="32DBE519" w14:textId="42061CA4" w:rsidR="0052730F" w:rsidRPr="00191AD2" w:rsidRDefault="003A4A66" w:rsidP="0052730F">
      <w:pPr>
        <w:pStyle w:val="BodyJB"/>
      </w:pPr>
      <w:r>
        <w:tab/>
      </w:r>
      <w:r w:rsidR="0052730F" w:rsidRPr="00191AD2">
        <w:t xml:space="preserve">One of the most striking features of this study is the vast difference in height achieved in laboratory conditions compared with that of plants growing in the field environment (personal observation). Average height of the grey dune community composing of these five species along with other annuals is around 5cm </w:t>
      </w:r>
      <w:r w:rsidR="0052730F" w:rsidRPr="00191AD2">
        <w:fldChar w:fldCharType="begin" w:fldLock="1"/>
      </w:r>
      <w:r w:rsidR="007C2FF9">
        <w:instrText>ADDIN CSL_CITATION { "citationItems" : [ { "id" : "ITEM-1", "itemData" : { "author" : [ { "dropping-particle" : "", "family" : "Willis", "given" : "AJ", "non-dropping-particle" : "", "parse-names" : false, "suffix" : "" } ], "container-title" : "The Journal of Ecology", "id" : "ITEM-1", "issue" : "2", "issued" : { "date-parts" : [ [ "1963" ] ] }, "page" : "353-374", "title" : "Braunton Burrows: the effects on the vegetation of the addition of mineral nutrients to the dune soils", "type" : "article-journal", "volume" : "51" }, "uris" : [ "http://www.mendeley.com/documents/?uuid=40a5ea16-66bf-4135-9f48-477ee7b5a1e3" ] } ], "mendeley" : { "formattedCitation" : "(Willis, 1963)", "manualFormatting" : "(Willis 1963, personal observation)", "plainTextFormattedCitation" : "(Willis, 1963)", "previouslyFormattedCitation" : "(Willis, 1963)" }, "properties" : { "noteIndex" : 0 }, "schema" : "https://github.com/citation-style-language/schema/raw/master/csl-citation.json" }</w:instrText>
      </w:r>
      <w:r w:rsidR="0052730F" w:rsidRPr="00191AD2">
        <w:fldChar w:fldCharType="separate"/>
      </w:r>
      <w:r w:rsidR="0052730F" w:rsidRPr="009355DB">
        <w:rPr>
          <w:noProof/>
        </w:rPr>
        <w:t>(Willis 1963, personal observation)</w:t>
      </w:r>
      <w:r w:rsidR="0052730F" w:rsidRPr="00191AD2">
        <w:fldChar w:fldCharType="end"/>
      </w:r>
      <w:r w:rsidR="0052730F" w:rsidRPr="00191AD2">
        <w:t xml:space="preserve"> Laboratory environmental conditions have resulted in species growing between 20 and 30 times taller. Dune species growing in the field are severely limited by the supply of mineral nutrients </w:t>
      </w:r>
      <w:r w:rsidR="0052730F" w:rsidRPr="00191AD2">
        <w:fldChar w:fldCharType="begin" w:fldLock="1"/>
      </w:r>
      <w:r w:rsidR="007C2FF9">
        <w:instrText>ADDIN CSL_CITATION { "citationItems" : [ { "id" : "ITEM-1", "itemData" : { "author" : [ { "dropping-particle" : "", "family" : "Willis", "given" : "AJ", "non-dropping-particle" : "", "parse-names" : false, "suffix" : "" } ], "container-title" : "The Journal of Ecology", "id" : "ITEM-1", "issue" : "2", "issued" : { "date-parts" : [ [ "1963" ] ] }, "page" : "353-374", "title" : "Braunton Burrows: the effects on the vegetation of the addition of mineral nutrients to the dune soils", "type" : "article-journal", "volume" : "51" }, "uris" : [ "http://www.mendeley.com/documents/?uuid=40a5ea16-66bf-4135-9f48-477ee7b5a1e3" ] } ], "mendeley" : { "formattedCitation" : "(Willis, 1963)", "manualFormatting" : "(Willis 1963, personal observation)", "plainTextFormattedCitation" : "(Willis, 1963)", "previouslyFormattedCitation" : "(Willis, 1963)" }, "properties" : { "noteIndex" : 0 }, "schema" : "https://github.com/citation-style-language/schema/raw/master/csl-citation.json" }</w:instrText>
      </w:r>
      <w:r w:rsidR="0052730F" w:rsidRPr="00191AD2">
        <w:fldChar w:fldCharType="separate"/>
      </w:r>
      <w:r w:rsidR="0052730F" w:rsidRPr="009355DB">
        <w:rPr>
          <w:noProof/>
        </w:rPr>
        <w:t>(Willis 1963, personal observation)</w:t>
      </w:r>
      <w:r w:rsidR="0052730F" w:rsidRPr="00191AD2">
        <w:fldChar w:fldCharType="end"/>
      </w:r>
      <w:r w:rsidR="0052730F" w:rsidRPr="00191AD2">
        <w:t>, the addition of compost in the substrate mix allowed the plants studied here to reach their full growth potential. This observation highlights that while this study indicates plant height in dune species had a strong genetic basis, environment also exerts strong controls.</w:t>
      </w:r>
    </w:p>
    <w:p w14:paraId="38F0C786" w14:textId="77777777" w:rsidR="0052730F" w:rsidRPr="00191AD2" w:rsidRDefault="0052730F" w:rsidP="0052730F">
      <w:pPr>
        <w:pStyle w:val="BodyJB"/>
      </w:pPr>
    </w:p>
    <w:p w14:paraId="0823388C" w14:textId="77777777" w:rsidR="0052730F" w:rsidRPr="00191AD2" w:rsidRDefault="0052730F" w:rsidP="0052730F">
      <w:pPr>
        <w:pStyle w:val="BodyJB"/>
      </w:pPr>
    </w:p>
    <w:p w14:paraId="4A3D16AB" w14:textId="77777777" w:rsidR="0052730F" w:rsidRPr="00191AD2" w:rsidRDefault="0052730F" w:rsidP="0052730F">
      <w:pPr>
        <w:spacing w:line="360" w:lineRule="auto"/>
        <w:rPr>
          <w:rFonts w:ascii="Times" w:hAnsi="Times"/>
          <w:u w:val="single"/>
        </w:rPr>
      </w:pPr>
      <w:r w:rsidRPr="00191AD2">
        <w:rPr>
          <w:rFonts w:ascii="Times" w:hAnsi="Times"/>
          <w:u w:val="single"/>
        </w:rPr>
        <w:t>Reproductive output</w:t>
      </w:r>
    </w:p>
    <w:p w14:paraId="249B86B9" w14:textId="26CC9D9A" w:rsidR="0052730F" w:rsidRPr="00191AD2" w:rsidRDefault="0052730F" w:rsidP="0052730F">
      <w:pPr>
        <w:pStyle w:val="BodyJB"/>
      </w:pPr>
      <w:r w:rsidRPr="00191AD2">
        <w:tab/>
        <w:t xml:space="preserve">In this study I observed that reproductive output traits vary significantly between populations depending on the species analysed. The occurrence of population variation in various measures of reproductive output has been demonstrated in both greenhouse </w:t>
      </w:r>
      <w:r w:rsidRPr="00191AD2">
        <w:fldChar w:fldCharType="begin" w:fldLock="1"/>
      </w:r>
      <w:r w:rsidR="007C2FF9">
        <w:instrText>ADDIN CSL_CITATION { "citationItems" : [ { "id" : "ITEM-1", "itemData" : { "DOI" : "10.1007/s10682-006-9108-x", "ISSN" : "0269-7653", "author" : [ { "dropping-particle" : "", "family" : "Volis", "given" : "Sergei", "non-dropping-particle" : "", "parse-names" : false, "suffix" : "" } ], "container-title" : "Evolutionary Ecology", "id" : "ITEM-1", "issue" : "3", "issued" : { "date-parts" : [ [ "2007", "10", "21" ] ] }, "page" : "381-393", "title" : "Correlated patterns of variation in phenology and seed production in populations of two annual grasses along an aridity gradient", "type" : "article-journal", "volume" : "21" }, "uris" : [ "http://www.mendeley.com/documents/?uuid=ddb6ac16-6f2f-4856-99b3-7cb0eedd80c2" ] }, { "id" : "ITEM-2", "itemData" : { "DOI" : "10.1111/j.1469-8137.2007.02157.x", "ISSN" : "0028-646X", "PMID" : "17803645", "abstract" : "Here, patterns of phenotypic plasticity and trait integration of leaf characteristics in six geographically discrete populations of the perennial herb Pelargonium australe were compared. It was hypothesized that populations would show local adaptation in trait means, but similar patterns of plasticity and trait integration. Further, it was questioned whether phenotypic plasticity was positively correlated with environmental heterogeneity and whether plasticity for water-use traits in particular was adaptive. Seedlings were grown in a glasshouse at six combinations of water and nutrient availability. Leaf anatomical, morphological and gas exchange traits were measured. High amounts of plasticity in leaf traits were found in response to changes in growth conditions and there was evidence of local adaptation among the populations. While there were significant correlations between plasticity and environmental heterogeneity, not all were positive. Notably, patterns of plasticity and trait integration varied significantly among populations. Despite that variation, some of the observed plasticity was adaptive: fitness was correlated with conservative water use when water was limiting. Pelargonium arrived in Australia approximately 5 million yr ago. It is concluded here that high amounts of plasticity, in some cases adaptive, and weak integration among traits may be key to the spread and success of this species.", "author" : [ { "dropping-particle" : "", "family" : "Nicotra", "given" : "Adrienne B", "non-dropping-particle" : "", "parse-names" : false, "suffix" : "" }, { "dropping-particle" : "", "family" : "Hermes", "given" : "Jacob P", "non-dropping-particle" : "", "parse-names" : false, "suffix" : "" }, { "dropping-particle" : "", "family" : "Jones", "given" : "Cynthia S", "non-dropping-particle" : "", "parse-names" : false, "suffix" : "" }, { "dropping-particle" : "", "family" : "Schlichting", "given" : "Carl D", "non-dropping-particle" : "", "parse-names" : false, "suffix" : "" } ], "container-title" : "The New phytologist", "id" : "ITEM-2", "issue" : "1", "issued" : { "date-parts" : [ [ "2007", "1" ] ] }, "page" : "136-49", "title" : "Geographic variation and plasticity to water and nutrients in Pelargonium australe.", "type" : "article-journal", "volume" : "176" }, "uris" : [ "http://www.mendeley.com/documents/?uuid=e6324f4d-1fd3-4a3e-8eb2-b358b3d12f0f" ] } ], "mendeley" : { "formattedCitation" : "(Nicotra et al., 2007; Volis, 2007)", "plainTextFormattedCitation" : "(Nicotra et al., 2007; Volis, 2007)", "previouslyFormattedCitation" : "(Nicotra et al., 2007; Volis, 2007)" }, "properties" : { "noteIndex" : 0 }, "schema" : "https://github.com/citation-style-language/schema/raw/master/csl-citation.json" }</w:instrText>
      </w:r>
      <w:r w:rsidRPr="00191AD2">
        <w:fldChar w:fldCharType="separate"/>
      </w:r>
      <w:r w:rsidRPr="00512143">
        <w:rPr>
          <w:noProof/>
        </w:rPr>
        <w:t xml:space="preserve">(Nicotra </w:t>
      </w:r>
      <w:r w:rsidRPr="00512143">
        <w:rPr>
          <w:i/>
          <w:noProof/>
        </w:rPr>
        <w:t>et al.</w:t>
      </w:r>
      <w:r w:rsidRPr="00512143">
        <w:rPr>
          <w:noProof/>
        </w:rPr>
        <w:t>, 2007; Volis, 2007)</w:t>
      </w:r>
      <w:r w:rsidRPr="00191AD2">
        <w:fldChar w:fldCharType="end"/>
      </w:r>
      <w:r w:rsidRPr="00191AD2">
        <w:t xml:space="preserve"> and field studies </w:t>
      </w:r>
      <w:r w:rsidRPr="00191AD2">
        <w:fldChar w:fldCharType="begin" w:fldLock="1"/>
      </w:r>
      <w:r w:rsidR="007C2FF9">
        <w:instrText>ADDIN CSL_CITATION { "citationItems" : [ { "id" : "ITEM-1", "itemData" : { "DOI" : "10.1111/j.1558-5646.2010.01119.x", "ISSN" : "1558-5646", "PMID" : "20812972", "abstract" : "Selection for local adaptation results in genetic differentiation in ecologically important traits. In a perennial, outcrossing model plant Arabidopsis lyrata, several differentiated phenotypic traits contribute to local adaptation, as demonstrated by fitness advantage of the local population at each site in reciprocal transplant experiments. Here we compared fitness components, hierarchical total fitness and differentiation in putatively ecologically important traits of plants from two diverged parental populations from different continents in the native climate conditions of the populations in Norway and in North Carolina (NC, U.S.A.). Survival and number of fruits per inflorescence indicated local advantage at both sites and aster life-history models provided additional evidence for local adaptation also at the level of hierarchical total fitness. Populations were also differentiated in flowering start date and floral display. We also included reciprocal experimental F(1) and F(2) hybrids to examine the genetic basis of adaptation. Surprisingly, the F(2) hybrids showed heterosis at the study site in Norway, likely because of a combination of beneficial dominance effects from different traits. At the NC site, hybrid fitness was mostly intermediate relative to the parental populations. Local cytoplasmic origin was associated with higher fitness, indicating that cytoplasmic genomes also may contribute to the evolution of local adaptation.", "author" : [ { "dropping-particle" : "", "family" : "Leinonen", "given" : "P\u00e4ivi H", "non-dropping-particle" : "", "parse-names" : false, "suffix" : "" }, { "dropping-particle" : "", "family" : "Remington", "given" : "David L", "non-dropping-particle" : "", "parse-names" : false, "suffix" : "" }, { "dropping-particle" : "", "family" : "Savolainen", "given" : "Outi", "non-dropping-particle" : "", "parse-names" : false, "suffix" : "" } ], "container-title" : "Evolution; international journal of organic evolution", "id" : "ITEM-1", "issue" : "1", "issued" : { "date-parts" : [ [ "2011", "1" ] ] }, "page" : "90-107", "title" : "Local adaptation, phenotypic differentiation, and hybrid fitness in diverged natural populations of Arabidopsis lyrata.", "type" : "article-journal", "volume" : "65" }, "uris" : [ "http://www.mendeley.com/documents/?uuid=eaaedd17-759c-45c8-8445-069e3e437afb" ] }, { "id" : "ITEM-2", "itemData" : { "ISSN" : "0014-3820", "PMID" : "11005286", "abstract" : "Studies of many plants species have demonstrated adaptive genetic differentiation to local environmental conditions. Typically these studies are conducted to evaluate adaptation to contrasting environments. As a consequence, although local adaptation has been frequently demonstrated, we have little information as to the spatial scale of adaptive evolution. We evaluated adaptive differentiation between populations of the annual legume Chamaecrista fasciculata using a replicated common-garden design. Study sites were established in three field locations that are home to native populations of C. fasciculata. Each location was planted for two years with seed from the population native to the study site (home population) and populations located six distances (0.1-2000 km) from each site (transplanted populations). Seeds were planted into the study sites with minimum disturbance to determine the scale of local adaptation, as measured by a home-site fitness advantage, for five fitness components: germination, survival, vegetative biomass, fruit production, and the number of fruit produced per seed planted (an estimate of cumulative fitness). For all characters there was little evidence for local adaptation, except at the furthest spatial scales. Patterns of adaptive differentiation were fairly consistent in two of the three sites, but varied between years. Little genetic variation was expressed at the third site. These results, combined with previous estimates of limited gene flow, suggest that metapopulation processes and temporal environmental variation act together to reduce local adaptation, except over long distances.", "author" : [ { "dropping-particle" : "", "family" : "Galloway", "given" : "L F", "non-dropping-particle" : "", "parse-names" : false, "suffix" : "" }, { "dropping-particle" : "", "family" : "Fenster", "given" : "C B", "non-dropping-particle" : "", "parse-names" : false, "suffix" : "" } ], "container-title" : "Evolution; international journal of organic evolution", "id" : "ITEM-2", "issue" : "4", "issued" : { "date-parts" : [ [ "2000", "8" ] ] }, "page" : "1173-81", "title" : "Population differentiation in an annual legume: local adaptation.", "type" : "article-journal", "volume" : "54" }, "uris" : [ "http://www.mendeley.com/documents/?uuid=66719885-feca-49a8-b1e9-c5550493fbb8" ] }, { "id" : "ITEM-3", "itemData" : { "DOI" : "10.1111/1365-2745.12074", "ISSN" : "00220477", "author" : [ { "dropping-particle" : "", "family" : "Frenne", "given" : "Pieter", "non-dropping-particle" : "De", "parse-names" : false, "suffix" : "" }, { "dropping-particle" : "", "family" : "Graae", "given" : "Bente J.", "non-dropping-particle" : "", "parse-names" : false, "suffix" : "" }, { "dropping-particle" : "", "family" : "Rodr\u00edguez-S\u00e1nchez", "given" : "Francisco", "non-dropping-particle" : "", "parse-names" : false, "suffix" : "" }, { "dropping-particle" : "", "family" : "Kolb", "given" : "Annette", "non-dropping-particle" : "", "parse-names" : false, "suffix" : "" }, { "dropping-particle" : "", "family" : "Chabrerie", "given" : "Olivier", "non-dropping-particle" : "", "parse-names" : false, "suffix" : "" }, { "dropping-particle" : "", "family" : "Decocq", "given" : "Guillaume", "non-dropping-particle" : "", "parse-names" : false, "suffix" : "" }, { "dropping-particle" : "", "family" : "Kort", "given" : "Hanne", "non-dropping-particle" : "De", "parse-names" : false, "suffix" : "" }, { "dropping-particle" : "", "family" : "Schrijver", "given" : "An", "non-dropping-particle" : "De", "parse-names" : false, "suffix" : "" }, { "dropping-particle" : "", "family" : "Diekmann", "given" : "Martin", "non-dropping-particle" : "", "parse-names" : false, "suffix" : "" }, { "dropping-particle" : "", "family" : "Eriksson", "given" : "Ove", "non-dropping-particle" : "", "parse-names" : false, "suffix" : "" }, { "dropping-particle" : "", "family" : "Gruwez", "given" : "Robert", "non-dropping-particle" : "", "parse-names" : false, "suffix" : "" }, { "dropping-particle" : "", "family" : "Hermy", "given" : "Martin", "non-dropping-particle" : "", "parse-names" : false, "suffix" : "" }, { "dropping-particle" : "", "family" : "Lenoir", "given" : "Jonathan", "non-dropping-particle" : "", "parse-names" : false, "suffix" : "" }, { "dropping-particle" : "", "family" : "Plue", "given" : "Jan", "non-dropping-particle" : "", "parse-names" : false, "suffix" : "" }, { "dropping-particle" : "", "family" : "Coomes", "given" : "David a.", "non-dropping-particle" : "", "parse-names" : false, "suffix" : "" }, { "dropping-particle" : "", "family" : "Verheyen", "given" : "Kris", "non-dropping-particle" : "", "parse-names" : false, "suffix" : "" } ], "container-title" : "Journal of Ecology", "editor" : [ { "dropping-particle" : "", "family" : "Gilliam", "given" : "Frank", "non-dropping-particle" : "", "parse-names" : false, "suffix" : "" } ], "id" : "ITEM-3", "issue" : "3", "issued" : { "date-parts" : [ [ "2013", "5", "25" ] ] }, "page" : "784-795", "title" : "Latitudinal gradients as natural laboratories to infer species' responses to temperature", "type" : "article-journal", "volume" : "101" }, "uris" : [ "http://www.mendeley.com/documents/?uuid=76aa5380-9089-46a7-b47f-15811dd1c3d4" ] } ], "mendeley" : { "formattedCitation" : "(Galloway and Fenster, 2000; Leinonen et al., 2011; De Frenne et al., 2013)", "plainTextFormattedCitation" : "(Galloway and Fenster, 2000; Leinonen et al., 2011; De Frenne et al., 2013)", "previouslyFormattedCitation" : "(Galloway and Fenster, 2000; Leinonen et al., 2011; De Frenne et al., 2013)" }, "properties" : { "noteIndex" : 0 }, "schema" : "https://github.com/citation-style-language/schema/raw/master/csl-citation.json" }</w:instrText>
      </w:r>
      <w:r w:rsidRPr="00191AD2">
        <w:fldChar w:fldCharType="separate"/>
      </w:r>
      <w:r w:rsidR="00134C22" w:rsidRPr="00134C22">
        <w:rPr>
          <w:noProof/>
        </w:rPr>
        <w:t>(Galloway and Fenster, 2000; Leinonen et al., 2011; De Frenne et al., 2013)</w:t>
      </w:r>
      <w:r w:rsidRPr="00191AD2">
        <w:fldChar w:fldCharType="end"/>
      </w:r>
      <w:r w:rsidRPr="00191AD2">
        <w:t xml:space="preserve">. The geographical structuring of reproductive traits between and within species follows patterns in other phenotypes measured in this study, most notably productivity traits. Correlations between trait patterns may indicate a causative relationship, for example flowering time directly influences reproductive output </w:t>
      </w:r>
      <w:r w:rsidRPr="00191AD2">
        <w:fldChar w:fldCharType="begin" w:fldLock="1"/>
      </w:r>
      <w:r w:rsidR="007C2FF9">
        <w:instrText>ADDIN CSL_CITATION { "citationItems" : [ { "id" : "ITEM-1", "itemData" : { "DOI" : "10.1016/j.aquabot.2004.07.007", "ISSN" : "03043770", "author" : [ { "dropping-particle" : "", "family" : "Fang", "given" : "Xiaobing", "non-dropping-particle" : "", "parse-names" : false, "suffix" : "" }, { "dropping-particle" : "", "family" : "Subudhi", "given" : "Prasanta K.", "non-dropping-particle" : "", "parse-names" : false, "suffix" : "" }, { "dropping-particle" : "", "family" : "Venuto", "given" : "Bradley C.", "non-dropping-particle" : "", "parse-names" : false, "suffix" : "" }, { "dropping-particle" : "", "family" : "Harrison", "given" : "Stephen a.", "non-dropping-particle" : "", "parse-names" : false, "suffix" : "" }, { "dropping-particle" : "", "family" : "Ryan", "given" : "Alicia B.", "non-dropping-particle" : "", "parse-names" : false, "suffix" : "" } ], "container-title" : "Aquatic Botany", "id" : "ITEM-1", "issue" : "2", "issued" : { "date-parts" : [ [ "2004", "10" ] ] }, "page" : "139-151", "title" : "Influence of flowering phenology on seed production in smooth cordgrass (Spartina alterniflora Loisel.)", "type" : "article-journal", "volume" : "80" }, "uris" : [ "http://www.mendeley.com/documents/?uuid=7a89a9ef-b8d8-49bc-a94b-352ae5d949f4" ] }, { "id" : "ITEM-2", "itemData" : { "DOI" : "10.1086/598492", "ISSN" : "1537-5323", "PMID" : "19335224", "abstract" : "The timing of reproduction influences how organisms interact with the environment and can have important fitness effects. In plants, the evolution of flowering phenology is often interpreted as the response to selection from mutualists, although antagonistic interactions may also be important. We examined direct and indirect phenotypic selection on the start of flowering via mutualistic and antagonistic interactions in the perennial herb Lathyrus vernus over 7 years. Flowering start influenced seed set, predispersal seed predation, and risk of grazing. These effects were in opposed directions and partly influenced different components of fitness. Combining information about effects on fitness components with information about links between fitness components and average lifetime fitness, in terms of population growth rate, showed that earlier flowering was associated with higher lifetime fitness in all years. These relationships were, however, mediated largely by variation in flower number, and direct selection on first flowering date was more variable among years. We conclude that long-term studies correcting for indirect selection and environmental covariance are needed to understand selection on reproductive phenology and that demographic approaches are necessary to assess selection mediated by several agents and influencing several components of fitness.", "author" : [ { "dropping-particle" : "", "family" : "Ehrl\u00e9n", "given" : "Johan", "non-dropping-particle" : "", "parse-names" : false, "suffix" : "" }, { "dropping-particle" : "", "family" : "M\u00fcnzbergov\u00e1", "given" : "Zuzana", "non-dropping-particle" : "", "parse-names" : false, "suffix" : "" } ], "container-title" : "The American naturalist", "id" : "ITEM-2", "issue" : "6", "issued" : { "date-parts" : [ [ "2009", "6" ] ] }, "page" : "819-30", "title" : "Timing of flowering: opposed selection on different fitness components and trait covariation.", "type" : "article-journal", "volume" : "173" }, "uris" : [ "http://www.mendeley.com/documents/?uuid=5151679d-9e0e-42b5-ab8e-b84e819f829c" ] } ], "mendeley" : { "formattedCitation" : "(Fang et al., 2004; Ehrl\u00e9n and M\u00fcnzbergov\u00e1, 2009b)", "plainTextFormattedCitation" : "(Fang et al., 2004; Ehrl\u00e9n and M\u00fcnzbergov\u00e1, 2009b)", "previouslyFormattedCitation" : "(Fang et al., 2004; Ehrl\u00e9n and M\u00fcnzbergov\u00e1, 2009b)" }, "properties" : { "noteIndex" : 0 }, "schema" : "https://github.com/citation-style-language/schema/raw/master/csl-citation.json" }</w:instrText>
      </w:r>
      <w:r w:rsidRPr="00191AD2">
        <w:fldChar w:fldCharType="separate"/>
      </w:r>
      <w:r w:rsidR="00134C22" w:rsidRPr="00134C22">
        <w:rPr>
          <w:noProof/>
        </w:rPr>
        <w:t>(Fang et al., 2004; Ehrlén and Münzbergová, 2009b)</w:t>
      </w:r>
      <w:r w:rsidRPr="00191AD2">
        <w:fldChar w:fldCharType="end"/>
      </w:r>
      <w:r w:rsidRPr="00191AD2">
        <w:t xml:space="preserve">. Alternatively correlations may exist as a product of multiple traits being impacted by the same environmental factors such as drought </w:t>
      </w:r>
      <w:r w:rsidRPr="00191AD2">
        <w:fldChar w:fldCharType="begin" w:fldLock="1"/>
      </w:r>
      <w:r w:rsidR="007C2FF9">
        <w:instrText>ADDIN CSL_CITATION { "citationItems" : [ { "id" : "ITEM-1", "itemData" : { "DOI" : "10.1007/s10682-006-9108-x", "ISSN" : "0269-7653", "author" : [ { "dropping-particle" : "", "family" : "Volis", "given" : "Sergei", "non-dropping-particle" : "", "parse-names" : false, "suffix" : "" } ], "container-title" : "Evolutionary Ecology", "id" : "ITEM-1", "issue" : "3", "issued" : { "date-parts" : [ [ "2007", "10", "21" ] ] }, "page" : "381-393", "title" : "Correlated patterns of variation in phenology and seed production in populations of two annual grasses along an aridity gradient", "type" : "article-journal", "volume" : "21" }, "uris" : [ "http://www.mendeley.com/documents/?uuid=ddb6ac16-6f2f-4856-99b3-7cb0eedd80c2" ] } ], "mendeley" : { "formattedCitation" : "(Volis, 2007)", "plainTextFormattedCitation" : "(Volis, 2007)", "previouslyFormattedCitation" : "(Volis, 2007)" }, "properties" : { "noteIndex" : 0 }, "schema" : "https://github.com/citation-style-language/schema/raw/master/csl-citation.json" }</w:instrText>
      </w:r>
      <w:r w:rsidRPr="00191AD2">
        <w:fldChar w:fldCharType="separate"/>
      </w:r>
      <w:r w:rsidRPr="00EB70D5">
        <w:rPr>
          <w:noProof/>
        </w:rPr>
        <w:t>(Volis, 2007)</w:t>
      </w:r>
      <w:r w:rsidRPr="00191AD2">
        <w:fldChar w:fldCharType="end"/>
      </w:r>
      <w:r w:rsidRPr="00191AD2">
        <w:t xml:space="preserve"> </w:t>
      </w:r>
    </w:p>
    <w:p w14:paraId="7D8C308F" w14:textId="2F406A8E" w:rsidR="0052730F" w:rsidRPr="00302560" w:rsidRDefault="0052730F" w:rsidP="003A4A66">
      <w:pPr>
        <w:pStyle w:val="BodyJB"/>
        <w:ind w:firstLine="720"/>
      </w:pPr>
      <w:r w:rsidRPr="00191AD2">
        <w:t xml:space="preserve">The allocation strategy of seed varied between populations and species. This was most notable in </w:t>
      </w:r>
      <w:r w:rsidRPr="00191AD2">
        <w:rPr>
          <w:i/>
        </w:rPr>
        <w:t>P. arenaria</w:t>
      </w:r>
      <w:r w:rsidRPr="00191AD2">
        <w:t xml:space="preserve">, southerly populations Fr1 and Fr2 produced one or two inflorescences that contained hundreds of </w:t>
      </w:r>
      <w:r>
        <w:t>caryopses</w:t>
      </w:r>
      <w:r w:rsidRPr="00191AD2">
        <w:t xml:space="preserve">, while populations at more northerly latitudes produced up to around 12 inflorescences containing tens of </w:t>
      </w:r>
      <w:r>
        <w:t>caryopses</w:t>
      </w:r>
      <w:r w:rsidRPr="00191AD2">
        <w:t xml:space="preserve">. These patterns also correlate with height, tall plant populations produce few inflorescences with many </w:t>
      </w:r>
      <w:r>
        <w:t>caryopses</w:t>
      </w:r>
      <w:r w:rsidRPr="00191AD2">
        <w:t xml:space="preserve"> while, and populations producing many inflorescences containing fewer </w:t>
      </w:r>
      <w:r>
        <w:t>caryopses</w:t>
      </w:r>
      <w:r w:rsidRPr="00191AD2">
        <w:t xml:space="preserve"> are shorter. The patterns in population differentiation of these three traits correlate with patterns of grazing intensity along the latitudinal gradient, suggesting that this species has locally adapted morphological and reproductive strategies to reduce the fitness costs of grazing. Descriptive analyses of </w:t>
      </w:r>
      <w:r w:rsidRPr="00191AD2">
        <w:rPr>
          <w:i/>
        </w:rPr>
        <w:t>P. arenaria</w:t>
      </w:r>
      <w:r w:rsidRPr="00191AD2">
        <w:t xml:space="preserve"> indicate that grazing stimulates the formation of new and more tillers </w:t>
      </w:r>
      <w:r w:rsidRPr="00191AD2">
        <w:fldChar w:fldCharType="begin" w:fldLock="1"/>
      </w:r>
      <w:r w:rsidR="007C2FF9">
        <w:instrText>ADDIN CSL_CITATION { "citationItems" : [ { "id" : "ITEM-1", "itemData" : { "author" : [ { "dropping-particle" : "", "family" : "Ernst", "given" : "WHO", "non-dropping-particle" : "", "parse-names" : false, "suffix" : "" }, { "dropping-particle" : "", "family" : "Malloch", "given" : "AJC", "non-dropping-particle" : "", "parse-names" : false, "suffix" : "" } ], "container-title" : "Journal of Ecology", "id" : "ITEM-1", "issue" : "2", "issued" : { "date-parts" : [ [ "1994" ] ] }, "page" : "403-413", "title" : "Phleum arenaria L.", "type" : "article-journal", "volume" : "82" }, "uris" : [ "http://www.mendeley.com/documents/?uuid=9bc0703e-515e-48f2-a640-2e04dc2b520a" ] } ], "mendeley" : { "formattedCitation" : "(Ernst and Malloch, 1994)", "plainTextFormattedCitation" : "(Ernst and Malloch, 1994)", "previouslyFormattedCitation" : "(Ernst and Malloch, 1994)" }, "properties" : { "noteIndex" : 0 }, "schema" : "https://github.com/citation-style-language/schema/raw/master/csl-citation.json" }</w:instrText>
      </w:r>
      <w:r w:rsidRPr="00191AD2">
        <w:fldChar w:fldCharType="separate"/>
      </w:r>
      <w:r w:rsidR="00134C22" w:rsidRPr="00134C22">
        <w:rPr>
          <w:noProof/>
        </w:rPr>
        <w:t>(Ernst and Malloch, 1994)</w:t>
      </w:r>
      <w:r w:rsidRPr="00191AD2">
        <w:fldChar w:fldCharType="end"/>
      </w:r>
      <w:r w:rsidRPr="00191AD2">
        <w:t xml:space="preserve">. I suggest that the high grazing intensity at northerly locations has exerted very strong selection pressures, resulting in genetic traits expressing </w:t>
      </w:r>
      <w:r w:rsidRPr="00302560">
        <w:t>increased tiller/inflorescence production becoming fixed within the population</w:t>
      </w:r>
    </w:p>
    <w:p w14:paraId="062FD77D" w14:textId="77777777" w:rsidR="0052730F" w:rsidRPr="00302560" w:rsidRDefault="0052730F" w:rsidP="0052730F"/>
    <w:p w14:paraId="746A7B7F" w14:textId="77777777" w:rsidR="0052730F" w:rsidRPr="00302560" w:rsidRDefault="0052730F" w:rsidP="003A4A66">
      <w:pPr>
        <w:pStyle w:val="subheadingMINOR"/>
      </w:pPr>
      <w:bookmarkStart w:id="60" w:name="_Toc291410065"/>
      <w:r w:rsidRPr="00302560">
        <w:t>Inter-generation variation</w:t>
      </w:r>
      <w:bookmarkEnd w:id="60"/>
    </w:p>
    <w:p w14:paraId="3410B3F8" w14:textId="77777777" w:rsidR="0052730F" w:rsidRDefault="0052730F" w:rsidP="003A4A66">
      <w:pPr>
        <w:pStyle w:val="BodyJB"/>
        <w:ind w:firstLine="720"/>
      </w:pPr>
      <w:r w:rsidRPr="00302560">
        <w:t>Population variation in trait values was largely maintained between the F1 and F2 generation analysed. This maintenance in the absence of the influence of differences in environmental factors</w:t>
      </w:r>
      <w:r w:rsidRPr="00191AD2">
        <w:t xml:space="preserve"> indicated that traits have a strong genetic basis. </w:t>
      </w:r>
    </w:p>
    <w:p w14:paraId="7FD4FC3E" w14:textId="6044B902" w:rsidR="0052730F" w:rsidRPr="00707BA9" w:rsidRDefault="0052730F" w:rsidP="0052730F">
      <w:pPr>
        <w:pStyle w:val="BodyJB"/>
      </w:pPr>
      <w:r w:rsidRPr="00191AD2">
        <w:t xml:space="preserve">Traits in certain species showed population-by-generation interactions in trait values.  </w:t>
      </w:r>
      <w:r>
        <w:t>I</w:t>
      </w:r>
      <w:r w:rsidRPr="00191AD2">
        <w:t>n some species by trait combinations significant population-by-generation interactions resulted from</w:t>
      </w:r>
      <w:r>
        <w:t xml:space="preserve"> a change in population ranking. </w:t>
      </w:r>
      <w:r w:rsidRPr="00191AD2">
        <w:t xml:space="preserve">When these interactions are coupled with a result of decreasing CV from F1 to F2 generation it </w:t>
      </w:r>
      <w:r>
        <w:t xml:space="preserve">indicates </w:t>
      </w:r>
      <w:r w:rsidRPr="00191AD2">
        <w:t xml:space="preserve">environmental maternal </w:t>
      </w:r>
      <w:r>
        <w:t xml:space="preserve">effects </w:t>
      </w:r>
      <w:r w:rsidRPr="00191AD2">
        <w:t xml:space="preserve">are likely to be </w:t>
      </w:r>
      <w:r>
        <w:t>controlling the expression of these</w:t>
      </w:r>
      <w:r w:rsidRPr="00191AD2">
        <w:t xml:space="preserve"> traits </w:t>
      </w:r>
      <w:r w:rsidRPr="00191AD2">
        <w:fldChar w:fldCharType="begin" w:fldLock="1"/>
      </w:r>
      <w:r w:rsidR="007C2FF9">
        <w:instrText>ADDIN CSL_CITATION { "citationItems" : [ { "id" : "ITEM-1", "itemData" : { "author" : [ { "dropping-particle" : "", "family" : "Bischoff", "given" : "Armin", "non-dropping-particle" : "", "parse-names" : false, "suffix" : "" }, { "dropping-particle" : "", "family" : "M\u00fcller\u00e2-Sch\u00e4rer", "given" : "H", "non-dropping-particle" : "", "parse-names" : false, "suffix" : "" } ], "container-title" : "Oikos", "id" : "ITEM-1", "issue" : "3", "issued" : { "date-parts" : [ [ "2010" ] ] }, "page" : "445-454", "title" : "Testing population differentiation in plant species \u2013 how important are environmental maternal effects", "type" : "article-journal", "volume" : "119" }, "uris" : [ "http://www.mendeley.com/documents/?uuid=f0ed8124-04ea-4b41-8004-d3471551391a" ] } ], "mendeley" : { "formattedCitation" : "(Bischoff and M\u00fcller\u00e2-Sch\u00e4rer, 2010)", "plainTextFormattedCitation" : "(Bischoff and M\u00fcller\u00e2-Sch\u00e4rer, 2010)", "previouslyFormattedCitation" : "(Bischoff and M\u00fcller\u00e2-Sch\u00e4rer, 2010)" }, "properties" : { "noteIndex" : 0 }, "schema" : "https://github.com/citation-style-language/schema/raw/master/csl-citation.json" }</w:instrText>
      </w:r>
      <w:r w:rsidRPr="00191AD2">
        <w:fldChar w:fldCharType="separate"/>
      </w:r>
      <w:r w:rsidR="00134C22" w:rsidRPr="00134C22">
        <w:rPr>
          <w:noProof/>
        </w:rPr>
        <w:t>(Bischoff and Müllerâ-Schärer, 2010)</w:t>
      </w:r>
      <w:r w:rsidRPr="00191AD2">
        <w:fldChar w:fldCharType="end"/>
      </w:r>
      <w:r w:rsidRPr="00191AD2">
        <w:t xml:space="preserve">. The size of variation between populations is reduced in the F2 generation because their mothers grew in a homogenous </w:t>
      </w:r>
      <w:r w:rsidRPr="00707BA9">
        <w:t xml:space="preserve">environment, which influenced provisioning to the next generation. </w:t>
      </w:r>
    </w:p>
    <w:p w14:paraId="28DDDDD8" w14:textId="167CDDB4" w:rsidR="0052730F" w:rsidRPr="00307A45" w:rsidRDefault="0052730F" w:rsidP="003A4A66">
      <w:pPr>
        <w:pStyle w:val="BodyJB"/>
        <w:ind w:firstLine="720"/>
      </w:pPr>
      <w:r w:rsidRPr="00707BA9">
        <w:t xml:space="preserve">Maternal effects typically influence seed based traits such as seed size </w:t>
      </w:r>
      <w:r w:rsidRPr="00707BA9">
        <w:fldChar w:fldCharType="begin" w:fldLock="1"/>
      </w:r>
      <w:r w:rsidR="007C2FF9">
        <w:instrText>ADDIN CSL_CITATION { "citationItems" : [ { "id" : "ITEM-1", "itemData" : { "author" : [ { "dropping-particle" : "", "family" : "Waller", "given" : "DM", "non-dropping-particle" : "", "parse-names" : false, "suffix" : "" } ], "container-title" : "American journal of botany", "id" : "ITEM-1", "issue" : "9", "issued" : { "date-parts" : [ [ "1982" ] ] }, "page" : "1470-1475", "title" : "FACTORS INFLUENCING SEED WEIGHT IN IMPATIENS CAPENSIS (BALSAMINACEAE", "type" : "article-journal", "volume" : "69" }, "uris" : [ "http://www.mendeley.com/documents/?uuid=3b356dbf-a0da-4687-8a92-506ed25be1fd", "http://www.mendeley.com/documents/?uuid=873677ee-fc2d-46e3-9488-3ff39462452f" ] } ], "mendeley" : { "formattedCitation" : "(Waller, 1982)", "plainTextFormattedCitation" : "(Waller, 1982)", "previouslyFormattedCitation" : "(Waller, 1982)" }, "properties" : { "noteIndex" : 0 }, "schema" : "https://github.com/citation-style-language/schema/raw/master/csl-citation.json" }</w:instrText>
      </w:r>
      <w:r w:rsidRPr="00707BA9">
        <w:fldChar w:fldCharType="separate"/>
      </w:r>
      <w:r w:rsidRPr="00EB70D5">
        <w:rPr>
          <w:noProof/>
        </w:rPr>
        <w:t>(Waller, 1982)</w:t>
      </w:r>
      <w:r w:rsidRPr="00707BA9">
        <w:fldChar w:fldCharType="end"/>
      </w:r>
      <w:r w:rsidRPr="00707BA9">
        <w:t xml:space="preserve"> and germination </w:t>
      </w:r>
      <w:r w:rsidRPr="00707BA9">
        <w:fldChar w:fldCharType="begin" w:fldLock="1"/>
      </w:r>
      <w:r w:rsidR="007C2FF9">
        <w:instrText>ADDIN CSL_CITATION { "citationItems" : [ { "id" : "ITEM-1", "itemData" : { "DOI" : "10.1614/WS-D-09-00006.1", "ISSN" : "0043-1745", "author" : [ { "dropping-particle" : "", "family" : "Figueroa", "given" : "Rodrigo", "non-dropping-particle" : "", "parse-names" : false, "suffix" : "" }, { "dropping-particle" : "", "family" : "Herms", "given" : "Daniel a.", "non-dropping-particle" : "", "parse-names" : false, "suffix" : "" }, { "dropping-particle" : "", "family" : "Cardina", "given" : "John", "non-dropping-particle" : "", "parse-names" : false, "suffix" : "" }, { "dropping-particle" : "", "family" : "Doohan", "given" : "Doug", "non-dropping-particle" : "", "parse-names" : false, "suffix" : "" } ], "container-title" : "Weed Science", "id" : "ITEM-1", "issue" : "2", "issued" : { "date-parts" : [ [ "2010", "4" ] ] }, "page" : "160-166", "title" : "Maternal Environment Effects on Common Groundsel (Senecio vulgaris) Seed Dormancy", "type" : "article-journal", "volume" : "58" }, "uris" : [ "http://www.mendeley.com/documents/?uuid=90d2dfe6-c910-4fd5-b4fc-ffdb15efb419" ] } ], "mendeley" : { "formattedCitation" : "(Figueroa et al., 2010)", "plainTextFormattedCitation" : "(Figueroa et al., 2010)", "previouslyFormattedCitation" : "(Figueroa et al., 2010)" }, "properties" : { "noteIndex" : 0 }, "schema" : "https://github.com/citation-style-language/schema/raw/master/csl-citation.json" }</w:instrText>
      </w:r>
      <w:r w:rsidRPr="00707BA9">
        <w:fldChar w:fldCharType="separate"/>
      </w:r>
      <w:r w:rsidRPr="00512143">
        <w:rPr>
          <w:noProof/>
        </w:rPr>
        <w:t xml:space="preserve">(Figueroa </w:t>
      </w:r>
      <w:r w:rsidRPr="00512143">
        <w:rPr>
          <w:i/>
          <w:noProof/>
        </w:rPr>
        <w:t>et al.</w:t>
      </w:r>
      <w:r w:rsidRPr="00512143">
        <w:rPr>
          <w:noProof/>
        </w:rPr>
        <w:t>, 2010)</w:t>
      </w:r>
      <w:r w:rsidRPr="00707BA9">
        <w:fldChar w:fldCharType="end"/>
      </w:r>
      <w:r w:rsidRPr="00707BA9">
        <w:t xml:space="preserve">. Though there are a number of studies that indicate the influence of maternal effects on traits in adults such as leaf length </w:t>
      </w:r>
      <w:r w:rsidRPr="00707BA9">
        <w:fldChar w:fldCharType="begin" w:fldLock="1"/>
      </w:r>
      <w:r w:rsidR="007C2FF9">
        <w:instrText>ADDIN CSL_CITATION { "citationItems" : [ { "id" : "ITEM-1", "itemData" : { "author" : [ { "dropping-particle" : "", "family" : "Schmid", "given" : "B", "non-dropping-particle" : "", "parse-names" : false, "suffix" : "" }, { "dropping-particle" : "", "family" : "Dolt", "given" : "C", "non-dropping-particle" : "", "parse-names" : false, "suffix" : "" } ], "container-title" : "Evolution", "id" : "ITEM-1", "issue" : "5", "issued" : { "date-parts" : [ [ "1994" ] ] }, "page" : "1525-1549", "title" : "Effects of maternal and paternal environment and genotype on offspring phenotype in Solidago altissima L.", "type" : "article-journal", "volume" : "48" }, "uris" : [ "http://www.mendeley.com/documents/?uuid=b8c0ada4-f5f0-4394-866c-2510ee72ce47" ] } ], "mendeley" : { "formattedCitation" : "(Schmid and Dolt, 1994)", "plainTextFormattedCitation" : "(Schmid and Dolt, 1994)", "previouslyFormattedCitation" : "(Schmid and Dolt, 1994)" }, "properties" : { "noteIndex" : 0 }, "schema" : "https://github.com/citation-style-language/schema/raw/master/csl-citation.json" }</w:instrText>
      </w:r>
      <w:r w:rsidRPr="00707BA9">
        <w:fldChar w:fldCharType="separate"/>
      </w:r>
      <w:r w:rsidR="00134C22" w:rsidRPr="00134C22">
        <w:rPr>
          <w:noProof/>
        </w:rPr>
        <w:t>(Schmid and Dolt, 1994)</w:t>
      </w:r>
      <w:r w:rsidRPr="00707BA9">
        <w:fldChar w:fldCharType="end"/>
      </w:r>
      <w:r w:rsidRPr="00707BA9">
        <w:t xml:space="preserve">, reproductive output </w:t>
      </w:r>
      <w:r w:rsidRPr="00707BA9">
        <w:fldChar w:fldCharType="begin" w:fldLock="1"/>
      </w:r>
      <w:r w:rsidR="007C2FF9">
        <w:instrText>ADDIN CSL_CITATION { "citationItems" : [ { "id" : "ITEM-1", "itemData" : { "author" : [ { "dropping-particle" : "", "family" : "Hayward", "given" : "MD", "non-dropping-particle" : "", "parse-names" : false, "suffix" : "" } ], "container-title" : "Heredity", "id" : "ITEM-1", "issue" : "I", "issued" : { "date-parts" : [ [ "1967" ] ] }, "title" : "The genetic organisation of natural populations of Lolium perenne. II. Inflorescence production", "type" : "article-journal" }, "uris" : [ "http://www.mendeley.com/documents/?uuid=53daf61f-ec0f-4ad5-b5dc-5d7bff88e403" ] } ], "mendeley" : { "formattedCitation" : "(Hayward, 1967)", "plainTextFormattedCitation" : "(Hayward, 1967)", "previouslyFormattedCitation" : "(Hayward, 1967)" }, "properties" : { "noteIndex" : 0 }, "schema" : "https://github.com/citation-style-language/schema/raw/master/csl-citation.json" }</w:instrText>
      </w:r>
      <w:r w:rsidRPr="00707BA9">
        <w:fldChar w:fldCharType="separate"/>
      </w:r>
      <w:r w:rsidRPr="00EB70D5">
        <w:rPr>
          <w:noProof/>
        </w:rPr>
        <w:t>(Hayward, 1967)</w:t>
      </w:r>
      <w:r w:rsidRPr="00707BA9">
        <w:fldChar w:fldCharType="end"/>
      </w:r>
      <w:r w:rsidRPr="00707BA9">
        <w:t xml:space="preserve"> and metabolism </w:t>
      </w:r>
      <w:r w:rsidRPr="00707BA9">
        <w:fldChar w:fldCharType="begin" w:fldLock="1"/>
      </w:r>
      <w:r w:rsidR="007C2FF9">
        <w:instrText>ADDIN CSL_CITATION { "citationItems" : [ { "id" : "ITEM-1", "itemData" : { "DOI" : "10.1016/j.phytochem.2011.04.008", "ISSN" : "1873-3700", "PMID" : "21601898", "abstract" : "Differences between the metabolic content of cultivars and their related wild species not only have implications for breeding and food quality, but also for the increasingly studied area of crop to wild introgression. Wild and cultivated western carrots belong to the same outcrossing species and hybridize under natural conditions. The metabolic fingerprinting of Dutch wild carrot and of western orange carrot cultivar shoots using (1)H NMR showed only quantitative differences in chemical content, indicating relatively low divergence after domestication. Main differences reside in the primary metabolite content and in the concentrations of chlorogenic acid and feruloyl quinic acid in the shoots of the different carrot types. Wild\u00d7cultivar hybrids cannot be distinguished from wild plants based on the metabolome, suggesting maternal, maternal environment, or dominance effects, and indicating high hybrid fitness in wild conditions. Considering these similarities, introgression is a real possibility in carrots, but understanding its consequences would require further studies using backcrosses in a multiple environments.", "author" : [ { "dropping-particle" : "", "family" : "Grebenstein", "given" : "C", "non-dropping-particle" : "", "parse-names" : false, "suffix" : "" }, { "dropping-particle" : "", "family" : "Choi", "given" : "Y H", "non-dropping-particle" : "", "parse-names" : false, "suffix" : "" }, { "dropping-particle" : "", "family" : "Rong", "given" : "J", "non-dropping-particle" : "", "parse-names" : false, "suffix" : "" }, { "dropping-particle" : "", "family" : "Jong", "given" : "T J", "non-dropping-particle" : "de", "parse-names" : false, "suffix" : "" }, { "dropping-particle" : "", "family" : "Tamis", "given" : "W L M", "non-dropping-particle" : "", "parse-names" : false, "suffix" : "" } ], "container-title" : "Phytochemistry", "id" : "ITEM-1", "issue" : "11-12", "issued" : { "date-parts" : [ [ "2011", "8" ] ] }, "page" : "1341-7", "publisher" : "Elsevier Ltd", "title" : "Metabolic fingerprinting reveals differences between shoots of wild and cultivated carrot (Daucus carota L.) and suggests maternal inheritance or wild trait dominance in hybrids.", "type" : "article-journal", "volume" : "72" }, "uris" : [ "http://www.mendeley.com/documents/?uuid=c51fe148-e978-4766-bab0-bff85c754667" ] }, { "id" : "ITEM-2", "itemData" : { "author" : [ { "dropping-particle" : "", "family" : "Orians", "given" : "CM", "non-dropping-particle" : "", "parse-names" : false, "suffix" : "" } ], "container-title" : "American Journal of Botany", "id" : "ITEM-2", "issue" : "12", "issued" : { "date-parts" : [ [ "2000" ] ] }, "page" : "1749-1756", "title" : "The Effects of Hybridization in Plants on Secondary Chemistry : Implications for the Ecology and Evolution of Plant-Herbivore Interactions", "type" : "article-journal", "volume" : "87" }, "uris" : [ "http://www.mendeley.com/documents/?uuid=44db25a2-0798-4c63-b4d7-306762a9a527", "http://www.mendeley.com/documents/?uuid=4ce87e9a-caea-416a-b624-c10ea8d6c628" ] } ], "mendeley" : { "formattedCitation" : "(Orians, 2000; Grebenstein et al., 2011)", "plainTextFormattedCitation" : "(Orians, 2000; Grebenstein et al., 2011)", "previouslyFormattedCitation" : "(Orians, 2000; Grebenstein et al., 2011)" }, "properties" : { "noteIndex" : 0 }, "schema" : "https://github.com/citation-style-language/schema/raw/master/csl-citation.json" }</w:instrText>
      </w:r>
      <w:r w:rsidRPr="00707BA9">
        <w:fldChar w:fldCharType="separate"/>
      </w:r>
      <w:r w:rsidRPr="00512143">
        <w:rPr>
          <w:noProof/>
        </w:rPr>
        <w:t xml:space="preserve">(Orians, 2000; Grebenstein </w:t>
      </w:r>
      <w:r w:rsidRPr="00512143">
        <w:rPr>
          <w:i/>
          <w:noProof/>
        </w:rPr>
        <w:t>et al.</w:t>
      </w:r>
      <w:r w:rsidRPr="00512143">
        <w:rPr>
          <w:noProof/>
        </w:rPr>
        <w:t>, 2011)</w:t>
      </w:r>
      <w:r w:rsidRPr="00707BA9">
        <w:fldChar w:fldCharType="end"/>
      </w:r>
      <w:r w:rsidRPr="00707BA9">
        <w:t xml:space="preserve">. </w:t>
      </w:r>
      <w:r>
        <w:t xml:space="preserve">Our research finds trait patterns that can be indicative of maternal effects, this supports suggestions by </w:t>
      </w:r>
      <w:r w:rsidRPr="00191AD2">
        <w:rPr>
          <w:noProof/>
        </w:rPr>
        <w:t>Bischoff &amp; Müllerâ-Schärer</w:t>
      </w:r>
      <w:r>
        <w:rPr>
          <w:noProof/>
        </w:rPr>
        <w:t xml:space="preserve"> that many more studies of genetic and environmental effects on plant traits need to account for maternal effects in their experimental design or in the analysis of the data. </w:t>
      </w:r>
    </w:p>
    <w:p w14:paraId="02B49EF9" w14:textId="77777777" w:rsidR="00494486" w:rsidRDefault="00494486">
      <w:pPr>
        <w:rPr>
          <w:rFonts w:ascii="Times" w:hAnsi="Times"/>
          <w:b/>
          <w:sz w:val="36"/>
        </w:rPr>
      </w:pPr>
      <w:r>
        <w:br w:type="page"/>
      </w:r>
    </w:p>
    <w:p w14:paraId="7C2F2379" w14:textId="04E28FD5" w:rsidR="0052730F" w:rsidRPr="00A911EB" w:rsidRDefault="0052730F" w:rsidP="0052730F">
      <w:pPr>
        <w:pStyle w:val="HeadingJB"/>
      </w:pPr>
      <w:bookmarkStart w:id="61" w:name="_Toc291410066"/>
      <w:r w:rsidRPr="00A911EB">
        <w:t>Chapter 4- Metabolic variation in dune species</w:t>
      </w:r>
      <w:bookmarkEnd w:id="61"/>
    </w:p>
    <w:p w14:paraId="3770DCD5" w14:textId="77777777" w:rsidR="0052730F" w:rsidRPr="00A911EB" w:rsidRDefault="0052730F" w:rsidP="0052730F">
      <w:pPr>
        <w:pStyle w:val="BodyJB"/>
      </w:pPr>
    </w:p>
    <w:p w14:paraId="7FD4A53A" w14:textId="68D7F7E6" w:rsidR="0052730F" w:rsidRPr="00A911EB" w:rsidRDefault="0052730F" w:rsidP="0052730F">
      <w:pPr>
        <w:pStyle w:val="SubheadingJB"/>
      </w:pPr>
      <w:bookmarkStart w:id="62" w:name="_Toc291410067"/>
      <w:r w:rsidRPr="00A911EB">
        <w:t>4.1- Introduction</w:t>
      </w:r>
      <w:bookmarkEnd w:id="62"/>
    </w:p>
    <w:p w14:paraId="1BD397B6" w14:textId="77777777" w:rsidR="0052730F" w:rsidRPr="00A911EB" w:rsidRDefault="0052730F" w:rsidP="003A4A66">
      <w:pPr>
        <w:pStyle w:val="BodyJB"/>
        <w:ind w:firstLine="720"/>
      </w:pPr>
      <w:r w:rsidRPr="00A911EB">
        <w:t xml:space="preserve">The focus of this thesis is to understand how plants respond to environmental variation. Responses mediated via phenotypic plasticity and adaptive genetic evolution will be expressed in plant traits at the individual (e.g. phenology, growth) and molecular level (e.g. genetic, metabolomic). Chapter 3 studies the relative importance of adaptive plasticity and local adaptation while focussing on individual level traits. Under controlled environmental growth conditions, strong ecotypic differentiation can be viewed in traits such as flowering time. Chapter 5 focuses on assessing whether plant biochemistry shows similar patterns of ecotypic variation. Before applying the metabolomics approach to address the influence of plasticity and adaptive genetic control on biochemical traits it is first important to introduce the application of this method in this study system. </w:t>
      </w:r>
    </w:p>
    <w:p w14:paraId="1F6FDB7D" w14:textId="468D1521" w:rsidR="0052730F" w:rsidRPr="00A911EB" w:rsidRDefault="0052730F" w:rsidP="0052730F">
      <w:pPr>
        <w:pStyle w:val="BodyJB"/>
      </w:pPr>
      <w:r w:rsidRPr="00A911EB">
        <w:t>During their life-time plants are typically rooted in one location and cannot simply move location to escape unfavourable environmental changes relating to factors such as temperature, drought, light intensity, mineral nutrition. In order to survive, plants have a capacity to alter the way they express patterns of growth and development, these process</w:t>
      </w:r>
      <w:r w:rsidR="003A4A66">
        <w:t>es are mediated by metabolites</w:t>
      </w:r>
      <w:r w:rsidRPr="00A911EB">
        <w:t>.</w:t>
      </w:r>
    </w:p>
    <w:p w14:paraId="214410FF" w14:textId="7B95508B" w:rsidR="0052730F" w:rsidRPr="00A911EB" w:rsidRDefault="0052730F" w:rsidP="003A4A66">
      <w:pPr>
        <w:pStyle w:val="BodyJB"/>
        <w:ind w:firstLine="720"/>
      </w:pPr>
      <w:r w:rsidRPr="003A4A66">
        <w:t xml:space="preserve">Plants exhibit vast biochemical diversity, particularly in relation to secondary metabolites (compounds that aid plant growth but are not required for the plant to survive). These metabolites have a vast array of functions including defence against herbivores and pathogens </w:t>
      </w:r>
      <w:r w:rsidRPr="003A4A66">
        <w:fldChar w:fldCharType="begin" w:fldLock="1"/>
      </w:r>
      <w:r w:rsidR="007C2FF9">
        <w:instrText>ADDIN CSL_CITATION { "citationItems" : [ { "id" : "ITEM-1", "itemData" : { "DOI" : "Doi 10.1055/S-2005-865831", "ISBN" : "1435-8603", "abstract" : "Population dynamics of the annual plant Arabidopsis thaliana (L.) Heynh. were studied in a natural habitat of this species on the coastal dunes of the Netherlands. The main objective was to elucidate factors controlling population dynamics and the relative importance of factors affecting final population density. Permanent plots were established and plants were mapped to obtain data on survival and reproductive performance of each individual, with special attention to herbivore damage. In experimental plots we studied how watering, addition of nutrients, artificial disturbance, and natural herbivores affected survival and growth. Mortality was low during autumn and early winter and high at the time of stem elongation, between February and April. A key factor analysis showed a high correlation between mortality from February to April and total mortality. The specialist weevils Ceutorhyncus otornus and C. contractus (Curculionidae) were identified as the major insect herbivores on A. thaliana, reducing seed production by more than 40%. These herbivores acted in a plant size-dependent manner, attacking a greater fraction of the fruits on large plants. While mortality rates were not affected by density, fecundity decreased with density, although the effect was small. Adding water reduced mortality in rosette and flowering plant stages. Soil disturbance did not increase seed germination, but did have a significant positive effect on survival of rosette and flowering plants. Seed production of A. thaliana populations varied greatly between years, leading to population fluctuations, with a small role for density-dependent fecundity and plant size-dependent herbivory.", "author" : [ { "dropping-particle" : "", "family" : "Arany", "given" : "A M", "non-dropping-particle" : "", "parse-names" : false, "suffix" : "" }, { "dropping-particle" : "", "family" : "Jong", "given" : "T J", "non-dropping-particle" : "de", "parse-names" : false, "suffix" : "" }, { "dropping-particle" : "", "family" : "Meijden", "given" : "E", "non-dropping-particle" : "van der", "parse-names" : false, "suffix" : "" } ], "container-title" : "Plant Biology", "id" : "ITEM-1", "issue" : "5", "issued" : { "date-parts" : [ [ "2005" ] ] }, "language" : "English", "page" : "549-555", "title" : "Herbivory and abiotic factors affect population dynamics of Arabidopsis thaliana in a sand dune area", "type" : "article-journal", "volume" : "7" }, "uris" : [ "http://www.mendeley.com/documents/?uuid=c21324f8-5e10-4e2b-97d2-d7ef4119aa66" ] } ], "mendeley" : { "formattedCitation" : "(Arany et al., 2005)", "plainTextFormattedCitation" : "(Arany et al., 2005)", "previouslyFormattedCitation" : "(Arany et al., 2005)" }, "properties" : { "noteIndex" : 0 }, "schema" : "https://github.com/citation-style-language/schema/raw/master/csl-citation.json" }</w:instrText>
      </w:r>
      <w:r w:rsidRPr="003A4A66">
        <w:fldChar w:fldCharType="separate"/>
      </w:r>
      <w:r w:rsidRPr="003A4A66">
        <w:rPr>
          <w:noProof/>
        </w:rPr>
        <w:t xml:space="preserve">(Arany </w:t>
      </w:r>
      <w:r w:rsidRPr="003A4A66">
        <w:rPr>
          <w:i/>
          <w:noProof/>
        </w:rPr>
        <w:t>et al.</w:t>
      </w:r>
      <w:r w:rsidRPr="003A4A66">
        <w:rPr>
          <w:noProof/>
        </w:rPr>
        <w:t>, 2005)</w:t>
      </w:r>
      <w:r w:rsidRPr="003A4A66">
        <w:fldChar w:fldCharType="end"/>
      </w:r>
      <w:r w:rsidRPr="003A4A66">
        <w:t>, UV protection, pollinator attractants.</w:t>
      </w:r>
      <w:r w:rsidRPr="00A911EB">
        <w:t xml:space="preserve"> </w:t>
      </w:r>
    </w:p>
    <w:p w14:paraId="4B4CBE29" w14:textId="6176E3A3" w:rsidR="0052730F" w:rsidRPr="00A911EB" w:rsidRDefault="0052730F" w:rsidP="0052730F">
      <w:pPr>
        <w:pStyle w:val="BodyJB"/>
      </w:pPr>
      <w:r w:rsidRPr="00A911EB">
        <w:tab/>
        <w:t xml:space="preserve">Primary metabolism comprises of the network of pathways with roles in energy production, assimilation of nutrients such as nitrogen, formation of precursors for the synthesis of macromolecules. These are essential processes for plant functioning and survival and therefore should considered to be common in all plants. There is however a certain degree of variability in the types of pathway, their relative activity and in the major end-products of carbon and nitrogen assimilation in different species under different environmental conditions </w:t>
      </w:r>
      <w:r w:rsidRPr="00A911EB">
        <w:fldChar w:fldCharType="begin" w:fldLock="1"/>
      </w:r>
      <w:r w:rsidR="007C2FF9">
        <w:instrText>ADDIN CSL_CITATION { "citationItems" : [ { "id" : "ITEM-1", "itemData" : { "author" : [ { "dropping-particle" : "", "family" : "Smirnoff", "given" : "N", "non-dropping-particle" : "", "parse-names" : false, "suffix" : "" } ], "container-title" : "Environment and Plant Metabolism: Flexibility and Acclimation", "id" : "ITEM-1", "issued" : { "date-parts" : [ [ "1995" ] ] }, "page" : "1-13", "publisher" : "BIOS Scientific Publishers LTD", "title" : "Metabolic flexibility in relation to the environment", "type" : "chapter" }, "uris" : [ "http://www.mendeley.com/documents/?uuid=1ae3af90-84d9-4f6d-a735-dbb912ca721c", "http://www.mendeley.com/documents/?uuid=1796ef58-36bf-4efd-b79b-a19aa58b2777" ] } ], "mendeley" : { "formattedCitation" : "(Smirnoff, 1995)", "plainTextFormattedCitation" : "(Smirnoff, 1995)", "previouslyFormattedCitation" : "(Smirnoff, 1995)" }, "properties" : { "noteIndex" : 0 }, "schema" : "https://github.com/citation-style-language/schema/raw/master/csl-citation.json" }</w:instrText>
      </w:r>
      <w:r w:rsidRPr="00A911EB">
        <w:fldChar w:fldCharType="separate"/>
      </w:r>
      <w:r w:rsidRPr="00A911EB">
        <w:rPr>
          <w:noProof/>
        </w:rPr>
        <w:t>(Smirnoff, 1995)</w:t>
      </w:r>
      <w:r w:rsidRPr="00A911EB">
        <w:fldChar w:fldCharType="end"/>
      </w:r>
      <w:r w:rsidRPr="00A911EB">
        <w:t xml:space="preserve">. </w:t>
      </w:r>
    </w:p>
    <w:p w14:paraId="5A27F539" w14:textId="600E3E3A" w:rsidR="0052730F" w:rsidRPr="00A911EB" w:rsidRDefault="0052730F" w:rsidP="003A4A66">
      <w:pPr>
        <w:pStyle w:val="BodyJB"/>
        <w:ind w:firstLine="720"/>
      </w:pPr>
      <w:r w:rsidRPr="00A911EB">
        <w:t xml:space="preserve">There are many metabolic traits associated with tolerance and amelioration of environmental stresses. Metabolomic techniques have been used to detect phenotypic variability at the metabolic level in response to environmental changes in drought </w:t>
      </w:r>
      <w:r w:rsidRPr="00A911EB">
        <w:fldChar w:fldCharType="begin" w:fldLock="1"/>
      </w:r>
      <w:r w:rsidR="007C2FF9">
        <w:instrText>ADDIN CSL_CITATION { "citationItems" : [ { "id" : "ITEM-1", "itemData" : { "DOI" : "10.1111/j.1365-3040.2011.02423.x", "ISSN" : "1365-3040", "PMID" : "21902697", "abstract" : "Water limitation has become a major concern for agriculture. Such constraints reinforce the urgent need to understand mechanisms by which plants cope with water deprivation. We used a non-targeted metabolomic approach to explore plastic systems responses to non-lethal drought in model and forage legume species of the Lotus genus. In the model legume Lotus. japonicus, increased water stress caused gradual increases of most of the soluble small molecules profiled, reflecting a global and progressive reprogramming of metabolic pathways. The comparative metabolomic approach between Lotus species revealed conserved and unique metabolic responses to drought stress. Importantly, only few drought-responsive metabolites were conserved among all species. Thus we highlight a potential impediment to translational approaches that aim to engineer traits linked to the accumulation of compatible solutes. Finally, a broad comparison of the metabolic changes elicited by drought and salt acclimation revealed partial conservation of these metabolic stress responses within each of the Lotus species, but only few salt- and drought-responsive metabolites were shared between all. The implications of these results are discussed with regard to the current insights into legume water stress physiology.", "author" : [ { "dropping-particle" : "", "family" : "Sanchez", "given" : "Diego H", "non-dropping-particle" : "", "parse-names" : false, "suffix" : "" }, { "dropping-particle" : "", "family" : "Schwabe", "given" : "Franziska", "non-dropping-particle" : "", "parse-names" : false, "suffix" : "" }, { "dropping-particle" : "", "family" : "Erban", "given" : "Alexander", "non-dropping-particle" : "", "parse-names" : false, "suffix" : "" }, { "dropping-particle" : "", "family" : "Udvardi", "given" : "Michael K", "non-dropping-particle" : "", "parse-names" : false, "suffix" : "" }, { "dropping-particle" : "", "family" : "Kopka", "given" : "Joachim", "non-dropping-particle" : "", "parse-names" : false, "suffix" : "" } ], "container-title" : "Plant, cell &amp; environment", "id" : "ITEM-1", "issue" : "1", "issued" : { "date-parts" : [ [ "2012", "1" ] ] }, "page" : "136-49", "title" : "Comparative metabolomics of drought acclimation in model and forage legumes.", "type" : "article-journal", "volume" : "35" }, "uris" : [ "http://www.mendeley.com/documents/?uuid=ab64a0dd-33b9-4cc5-832c-63b07a6f340a" ] }, { "id" : "ITEM-2", "itemData" : { "DOI" : "10.1007/s11306-011-0299-y", "ISBN" : "1130601102", "ISSN" : "1573-3882", "author" : [ { "dropping-particle" : "", "family" : "Warren", "given" : "Charles R.", "non-dropping-particle" : "", "parse-names" : false, "suffix" : "" }, { "dropping-particle" : "", "family" : "Aranda", "given" : "Ismael", "non-dropping-particle" : "", "parse-names" : false, "suffix" : "" }, { "dropping-particle" : "", "family" : "Cano", "given" : "F. Javier", "non-dropping-particle" : "", "parse-names" : false, "suffix" : "" } ], "container-title" : "Metabolomics", "id" : "ITEM-2", "issue" : "2", "issued" : { "date-parts" : [ [ "2011", "3", "19" ] ] }, "page" : "186-200", "title" : "Metabolomics demonstrates divergent responses of two Eucalyptus species to water stress", "type" : "article-journal", "volume" : "8" }, "uris" : [ "http://www.mendeley.com/documents/?uuid=8896dbdf-2da1-483c-a58f-7dd8c0de07e2" ] }, { "id" : "ITEM-3", "itemData" : { "DOI" : "10.1093/mp/ssr114", "ISSN" : "1752-9867", "PMID" : "22207720", "abstract" : "Drought has serious effects on the physiology of cereal crops. At the cellular and specifically the metabolite level, many individual compounds are increased to provide osmoprotective functions, prevent the dissociation of enzymes, and to decrease the number of reactive oxygen species present in the cell. We have used a targeted GC-MS approach to identify compounds that differ in three different cultivars of bread wheat characterized by different levels of tolerance to drought under drought stress (Kukri, intolerant; Excalibur and RAC875, tolerant). Levels of amino acids, most notably proline, tryptophan, and the branched chain amino acids leucine, isoleucine, and valine were increased under drought stress in all cultivars. In the two tolerant cultivars, a small decrease in a large number of organic acids was also evident. Excalibur, a cultivar genotypically related to Kukri, showed a pattern of response that was more similar to Kukri under well-watered conditions. Under drought stress, Excalibur and RAC875 had a similar response; however, Excalibur did not have the same magnitude of response as RAC875. Here, the results are discussed in the context of previous work in physiological and proteomic analyses of these cultivars under drought stress.", "author" : [ { "dropping-particle" : "", "family" : "Bowne", "given" : "Jairus B", "non-dropping-particle" : "", "parse-names" : false, "suffix" : "" }, { "dropping-particle" : "", "family" : "Erwin", "given" : "Tim a", "non-dropping-particle" : "", "parse-names" : false, "suffix" : "" }, { "dropping-particle" : "", "family" : "Juttner", "given" : "Juan", "non-dropping-particle" : "", "parse-names" : false, "suffix" : "" }, { "dropping-particle" : "", "family" : "Schnurbusch", "given" : "Thorsten", "non-dropping-particle" : "", "parse-names" : false, "suffix" : "" }, { "dropping-particle" : "", "family" : "Langridge", "given" : "Peter", "non-dropping-particle" : "", "parse-names" : false, "suffix" : "" }, { "dropping-particle" : "", "family" : "Bacic", "given" : "Antony", "non-dropping-particle" : "", "parse-names" : false, "suffix" : "" }, { "dropping-particle" : "", "family" : "Roessner", "given" : "Ute", "non-dropping-particle" : "", "parse-names" : false, "suffix" : "" } ], "container-title" : "Molecular plant", "id" : "ITEM-3", "issue" : "2", "issued" : { "date-parts" : [ [ "2012", "3" ] ] }, "page" : "418-29", "title" : "Drought responses of leaf tissues from wheat cultivars of differing drought tolerance at the metabolite level.", "type" : "article-journal", "volume" : "5" }, "uris" : [ "http://www.mendeley.com/documents/?uuid=75d83b7d-816d-4f3e-86d8-40cd3594d2e3" ] } ], "mendeley" : { "formattedCitation" : "(Warren et al., 2011; Bowne et al., 2012; Sanchez et al., 2012)", "plainTextFormattedCitation" : "(Warren et al., 2011; Bowne et al., 2012; Sanchez et al., 2012)", "previouslyFormattedCitation" : "(Warren et al., 2011; Bowne et al., 2012; Sanchez et al., 2012)" }, "properties" : { "noteIndex" : 0 }, "schema" : "https://github.com/citation-style-language/schema/raw/master/csl-citation.json" }</w:instrText>
      </w:r>
      <w:r w:rsidRPr="00A911EB">
        <w:fldChar w:fldCharType="separate"/>
      </w:r>
      <w:r w:rsidR="00134C22" w:rsidRPr="00134C22">
        <w:rPr>
          <w:noProof/>
        </w:rPr>
        <w:t>(Warren et al., 2011; Bowne et al., 2012; Sanchez et al., 2012)</w:t>
      </w:r>
      <w:r w:rsidRPr="00A911EB">
        <w:fldChar w:fldCharType="end"/>
      </w:r>
      <w:r w:rsidRPr="00A911EB">
        <w:t xml:space="preserve"> , temperature </w:t>
      </w:r>
      <w:r w:rsidRPr="00A911EB">
        <w:fldChar w:fldCharType="begin" w:fldLock="1"/>
      </w:r>
      <w:r w:rsidR="007C2FF9">
        <w:instrText>ADDIN CSL_CITATION { "citationItems" : [ { "id" : "ITEM-1", "itemData" : { "DOI" : "10.1111/j.1399-3054.2005.00507.x", "ISSN" : "0031-9317", "author" : [ { "dropping-particle" : "", "family" : "Gray", "given" : "Gordon R.", "non-dropping-particle" : "", "parse-names" : false, "suffix" : "" }, { "dropping-particle" : "", "family" : "Heath", "given" : "Doug", "non-dropping-particle" : "", "parse-names" : false, "suffix" : "" } ], "container-title" : "Physiologia Plantarum", "id" : "ITEM-1", "issue" : "2", "issued" : { "date-parts" : [ [ "2005", "6" ] ] }, "page" : "236-248", "title" : "A global reorganization of the metabolome in Arabidopsis during cold acclimation is revealed by metabolic fingerprinting", "type" : "article-journal", "volume" : "124" }, "uris" : [ "http://www.mendeley.com/documents/?uuid=13ae7866-faa1-4f08-adaa-d8e2abe7f31e" ] }, { "id" : "ITEM-2", "itemData" : { "DOI" : "10.1007/s11306-008-0127-1", "ISSN" : "1573-3882", "author" : [ { "dropping-particle" : "", "family" : "Davey", "given" : "Matthew P.", "non-dropping-particle" : "", "parse-names" : false, "suffix" : "" }, { "dropping-particle" : "", "family" : "Ian Woodward", "given" : "F.", "non-dropping-particle" : "", "parse-names" : false, "suffix" : "" }, { "dropping-particle" : "", "family" : "Paul Quick", "given" : "W.", "non-dropping-particle" : "", "parse-names" : false, "suffix" : "" } ], "container-title" : "Metabolomics", "id" : "ITEM-2", "issue" : "1", "issued" : { "date-parts" : [ [ "2008", "9", "2" ] ] }, "page" : "138-149", "title" : "Intraspecfic variation in cold-temperature metabolic phenotypes of Arabidopsis lyrata ssp. petraea", "type" : "article-journal", "volume" : "5" }, "uris" : [ "http://www.mendeley.com/documents/?uuid=23390ae3-b215-454d-88b9-0139808db8df" ] }, { "id" : "ITEM-3", "itemData" : { "DOI" : "Doi 10.1111/J.1399-3054.2007.00999.X", "ISBN" : "0031-9317", "abstract" : "Plants possess inducible tolerance mechanisms that extend the temperature range for survival during acute temperature stress. The inducible mechanisms of cold acclimation and acquired thermotolerance involve highly complex processes. These include perception and signal transduction of non-optimal temperatures or their physical consequences on cellular components that program extensive modification of the transcriptome, proteome, metabolome and composition and physical structure of the cytoplasm, membranes and cell walls. Therefore, a systems biology approach will be necessary to advance the understanding of plant stress responses and tolerance mechanisms. One promise of systems biology is that it will greatly enhance our understanding of individual and collective functions and thereby provide a more holistic view of plant stress responses. Past studies have found that several metabolites that could functionally contribute to induced stress tolerance have been associated with stress responses. Recent metabolite-profiling studies have refocused attention on these and other potentially important components found in the 'temperature-stress metabolome'. These metabolomic studies have demonstrated that active reconfiguration of the metabolome is regulated in part by changes in gene expression initiated by temperature-stress-activated signaling and stress-related transcription factors. One aspect of metabolism that is consistent across all of the temperature-stress metabolomic studies to date is the prominent role of central carbohydrate metabolism, which seems to be a major feature of the reprogramming of the metabolome during temperature stress. Future metabolomic studies of plant temperature-stress responses should reveal additional metabolic pathways that have important functions in temperature-stress tolerance mechanisms.", "author" : [ { "dropping-particle" : "", "family" : "Guy", "given" : "C", "non-dropping-particle" : "", "parse-names" : false, "suffix" : "" }, { "dropping-particle" : "", "family" : "Kaplan", "given" : "F", "non-dropping-particle" : "", "parse-names" : false, "suffix" : "" }, { "dropping-particle" : "", "family" : "Kopka", "given" : "J", "non-dropping-particle" : "", "parse-names" : false, "suffix" : "" }, { "dropping-particle" : "", "family" : "Selbig", "given" : "J", "non-dropping-particle" : "", "parse-names" : false, "suffix" : "" }, { "dropping-particle" : "", "family" : "Hincha", "given" : "D K", "non-dropping-particle" : "", "parse-names" : false, "suffix" : "" } ], "container-title" : "Physiologia Plantarum", "id" : "ITEM-3", "issue" : "2", "issued" : { "date-parts" : [ [ "2008" ] ] }, "language" : "English", "page" : "220-235", "title" : "Metabolomics of temperature stress", "type" : "article-journal", "volume" : "132" }, "uris" : [ "http://www.mendeley.com/documents/?uuid=fbd425ec-a6b7-42b6-893f-f91ebde17ec7" ] } ], "mendeley" : { "formattedCitation" : "(Gray and Heath, 2005; Guy et al., 2008; Davey et al., 2008b)", "plainTextFormattedCitation" : "(Gray and Heath, 2005; Guy et al., 2008; Davey et al., 2008b)", "previouslyFormattedCitation" : "(Gray and Heath, 2005; Guy et al., 2008; Davey et al., 2008b)" }, "properties" : { "noteIndex" : 0 }, "schema" : "https://github.com/citation-style-language/schema/raw/master/csl-citation.json" }</w:instrText>
      </w:r>
      <w:r w:rsidRPr="00A911EB">
        <w:fldChar w:fldCharType="separate"/>
      </w:r>
      <w:r w:rsidR="00134C22" w:rsidRPr="00134C22">
        <w:rPr>
          <w:noProof/>
        </w:rPr>
        <w:t>(Gray and Heath, 2005; Guy et al., 2008; Davey et al., 2008b)</w:t>
      </w:r>
      <w:r w:rsidRPr="00A911EB">
        <w:fldChar w:fldCharType="end"/>
      </w:r>
      <w:r w:rsidRPr="00A911EB">
        <w:t xml:space="preserve">,  salinity </w:t>
      </w:r>
      <w:r w:rsidRPr="00A911EB">
        <w:fldChar w:fldCharType="begin" w:fldLock="1"/>
      </w:r>
      <w:r w:rsidR="007C2FF9">
        <w:instrText>ADDIN CSL_CITATION { "citationItems" : [ { "id" : "ITEM-1", "itemData" : { "author" : [ { "dropping-particle" : "", "family" : "Zhang", "given" : "Jingtao", "non-dropping-particle" : "", "parse-names" : false, "suffix" : "" }, { "dropping-particle" : "", "family" : "Zhang", "given" : "Yong", "non-dropping-particle" : "", "parse-names" : false, "suffix" : "" }, { "dropping-particle" : "", "family" : "Du", "given" : "Yuanyuan", "non-dropping-particle" : "", "parse-names" : false, "suffix" : "" }, { "dropping-particle" : "", "family" : "Chen", "given" : "Shiyun", "non-dropping-particle" : "", "parse-names" : false, "suffix" : "" }, { "dropping-particle" : "", "family" : "Tang", "given" : "Huiru", "non-dropping-particle" : "", "parse-names" : false, "suffix" : "" } ], "id" : "ITEM-1", "issued" : { "date-parts" : [ [ "2011" ] ] }, "page" : "1904-1914", "title" : "Dynamic Metabonomic Responses of Tobacco ( Nicotiana tabacum ) Plants to Salt Stress", "type" : "article-journal" }, "uris" : [ "http://www.mendeley.com/documents/?uuid=e8fb7a9b-0aa0-42b5-be42-da7d94f181cd" ] }, { "id" : "ITEM-2", "itemData" : { "DOI" : "10.1186/gb-2005-6-12-r101", "ISSN" : "1465-6914", "PMID" : "16356264", "abstract" : "Plants growing in their natural habitat represent a valuable resource for elucidating mechanisms of acclimation to environmental constraints. Populus euphratica is a salt-tolerant tree species growing in saline semi-arid areas. To identify genes involved in abiotic stress responses under natural conditions we constructed several normalized and subtracted cDNA libraries from control, stress-exposed and desert-grown P. euphratica trees. In addition, we identified several metabolites in desert-grown P. euphratica trees.", "author" : [ { "dropping-particle" : "", "family" : "Brosch\u00e9", "given" : "Mikael", "non-dropping-particle" : "", "parse-names" : false, "suffix" : "" }, { "dropping-particle" : "", "family" : "Vinocur", "given" : "Basia", "non-dropping-particle" : "", "parse-names" : false, "suffix" : "" }, { "dropping-particle" : "", "family" : "Alatalo", "given" : "Edward R", "non-dropping-particle" : "", "parse-names" : false, "suffix" : "" }, { "dropping-particle" : "", "family" : "Lamminm\u00e4ki", "given" : "Airi", "non-dropping-particle" : "", "parse-names" : false, "suffix" : "" }, { "dropping-particle" : "", "family" : "Teichmann", "given" : "Thomas", "non-dropping-particle" : "", "parse-names" : false, "suffix" : "" }, { "dropping-particle" : "", "family" : "Ottow", "given" : "Eric a", "non-dropping-particle" : "", "parse-names" : false, "suffix" : "" }, { "dropping-particle" : "", "family" : "Djilianov", "given" : "Dimitar", "non-dropping-particle" : "", "parse-names" : false, "suffix" : "" }, { "dropping-particle" : "", "family" : "Afif", "given" : "Dany", "non-dropping-particle" : "", "parse-names" : false, "suffix" : "" }, { "dropping-particle" : "", "family" : "Bogeat-Triboulot", "given" : "Marie-B\u00e9atrice", "non-dropping-particle" : "", "parse-names" : false, "suffix" : "" }, { "dropping-particle" : "", "family" : "Altman", "given" : "Arie", "non-dropping-particle" : "", "parse-names" : false, "suffix" : "" }, { "dropping-particle" : "", "family" : "Polle", "given" : "Andrea", "non-dropping-particle" : "", "parse-names" : false, "suffix" : "" }, { "dropping-particle" : "", "family" : "Dreyer", "given" : "Erwin", "non-dropping-particle" : "", "parse-names" : false, "suffix" : "" }, { "dropping-particle" : "", "family" : "Rudd", "given" : "Stephen", "non-dropping-particle" : "", "parse-names" : false, "suffix" : "" }, { "dropping-particle" : "", "family" : "Paulin", "given" : "Lars", "non-dropping-particle" : "", "parse-names" : false, "suffix" : "" }, { "dropping-particle" : "", "family" : "Auvinen", "given" : "Petri", "non-dropping-particle" : "", "parse-names" : false, "suffix" : "" }, { "dropping-particle" : "", "family" : "Kangasj\u00e4rvi", "given" : "Jaakko", "non-dropping-particle" : "", "parse-names" : false, "suffix" : "" } ], "container-title" : "Genome biology", "id" : "ITEM-2", "issue" : "12", "issued" : { "date-parts" : [ [ "2005", "1" ] ] }, "page" : "R101", "title" : "Gene expression and metabolite profiling of Populus euphratica growing in the Negev desert.", "type" : "article-journal", "volume" : "6" }, "uris" : [ "http://www.mendeley.com/documents/?uuid=160ef6e1-85da-40cd-9ce0-06d7b343cf91" ] } ], "mendeley" : { "formattedCitation" : "(Brosch\u00e9 et al., 2005; Zhang et al., 2011)", "plainTextFormattedCitation" : "(Brosch\u00e9 et al., 2005; Zhang et al., 2011)", "previouslyFormattedCitation" : "(Brosch\u00e9 et al., 2005; Zhang et al., 2011)" }, "properties" : { "noteIndex" : 0 }, "schema" : "https://github.com/citation-style-language/schema/raw/master/csl-citation.json" }</w:instrText>
      </w:r>
      <w:r w:rsidRPr="00A911EB">
        <w:fldChar w:fldCharType="separate"/>
      </w:r>
      <w:r w:rsidRPr="00040B6D">
        <w:rPr>
          <w:noProof/>
          <w:lang w:val="fr-FR"/>
        </w:rPr>
        <w:t xml:space="preserve">(Brosché </w:t>
      </w:r>
      <w:r w:rsidRPr="00040B6D">
        <w:rPr>
          <w:i/>
          <w:noProof/>
          <w:lang w:val="fr-FR"/>
        </w:rPr>
        <w:t>et al.</w:t>
      </w:r>
      <w:r w:rsidRPr="00040B6D">
        <w:rPr>
          <w:noProof/>
          <w:lang w:val="fr-FR"/>
        </w:rPr>
        <w:t xml:space="preserve">, 2005; Zhang </w:t>
      </w:r>
      <w:r w:rsidRPr="00040B6D">
        <w:rPr>
          <w:i/>
          <w:noProof/>
          <w:lang w:val="fr-FR"/>
        </w:rPr>
        <w:t>et al.</w:t>
      </w:r>
      <w:r w:rsidRPr="00040B6D">
        <w:rPr>
          <w:noProof/>
          <w:lang w:val="fr-FR"/>
        </w:rPr>
        <w:t>, 2011)</w:t>
      </w:r>
      <w:r w:rsidRPr="00A911EB">
        <w:fldChar w:fldCharType="end"/>
      </w:r>
      <w:r w:rsidRPr="00A911EB">
        <w:rPr>
          <w:lang w:val="fr-FR"/>
        </w:rPr>
        <w:t xml:space="preserve"> , nutrient availability </w:t>
      </w:r>
      <w:r w:rsidRPr="00A911EB">
        <w:fldChar w:fldCharType="begin" w:fldLock="1"/>
      </w:r>
      <w:r w:rsidR="007C2FF9">
        <w:rPr>
          <w:lang w:val="fr-FR"/>
        </w:rPr>
        <w:instrText>ADDIN CSL_CITATION { "citationItems" : [ { "id" : "ITEM-1", "itemData" : { "DOI" : "Doi 10.1073/Pnas.0403218101", "ISBN" : "0027-8424", "abstract" : "Plant metabolism is a complex set of processes that produce a wide diversity of foods, woods, and medicines. With the genome sequences of Arabidopsis and rice in hands, postgenomics studies integrating all \"omics\" sciences can depict precise pictures of a whole-cellular process. Here, we present, to our knowledge, the first report of investigation for gene-to-metabolite networks regulating sulfur and nitrogen nutrition and secondary metabolism in Arabidopsis, with integration of metabolomics and transcriptomics. Transcriptome and metabolome analyses were carried out, respectively, with DNA macroarray and several chemical analytical methods, including ultra high-resolution Fourier transform-ion cyclotron MS. Mathematical analyses, including principal component analysis and batch-learning self-organizing map analysis of transcriptome and metabolome data suggested the presence of general responses to sulfur and nitrogen deficiencies. In addition, specific responses to either sulfur or nitrogen deficiency were observed in several metabolic pathways: in particular, the genes and metabolites involved in glucosinolate metabolism were shown to be coordinately modulated. Understanding such gene-to-metabolite networks in primary and secondary metabolism through integration of transcriptomics and metabolomics can lead to identification of gene function and subsequent improvement of production of useful compounds in plants.", "author" : [ { "dropping-particle" : "", "family" : "Hirai", "given" : "M Y", "non-dropping-particle" : "", "parse-names" : false, "suffix" : "" }, { "dropping-particle" : "", "family" : "Yano", "given" : "M", "non-dropping-particle" : "", "parse-names" : false, "suffix" : "" }, { "dropping-particle" : "", "family" : "Goodenowe", "given" : "D B", "non-dropping-particle" : "", "parse-names" : false, "suffix" : "" }, { "dropping-particle" : "", "family" : "Kanaya", "given" : "S", "non-dropping-particle" : "", "parse-names" : false, "suffix" : "" }, { "dropping-particle" : "", "family" : "Kimura", "given" : "T", "non-dropping-particle" : "", "parse-names" : false, "suffix" : "" }, { "dropping-particle" : "", "family" : "Awazuhara", "given" : "M", "non-dropping-particle" : "", "parse-names" : false, "suffix" : "" }, { "dropping-particle" : "", "family" : "Arita", "given" : "M", "non-dropping-particle" : "", "parse-names" : false, "suffix" : "" }, { "dropping-particle" : "", "family" : "Fujiwara", "given" : "T", "non-dropping-particle" : "", "parse-names" : false, "suffix" : "" }, { "dropping-particle" : "", "family" : "Saito", "given" : "K", "non-dropping-particle" : "", "parse-names" : false, "suffix" : "" } ], "container-title" : "Proceedings of the National Academy of Sciences of the United States of America", "id" : "ITEM-1", "issue" : "27", "issued" : { "date-parts" : [ [ "2004" ] ] }, "language" : "English", "page" : "10205-10210", "title" : "Integration of transcriptomics and metabolomics for understanding of global responses to nutritional stresses in Arabidopsis thaliana", "type" : "article-journal", "volume" : "101" }, "uris" : [ "http://www.mendeley.com/documents/?uuid=04e5771c-f09d-4f3c-b4e6-bd3d16942150" ] }, { "id" : "ITEM-2", "itemData" : { "DOI" : "10.1104/pp.105.071589.2", "abstract" : "A metabolite profiling technique for Chlamydomonas reinhardtii cells for multiparallel analysis of low-molecular weight polar compounds was developed. The experimental protocol was optimized to quickly inactivate enzymatic activity, achieve maximum extraction capacity, and process large sample quantities. As a result of the rapid sampling, extraction, and analysis by gas chromatography coupled to time-of-flight mass spectrometry, more than 800 analytes from a single sample could be measured, of which more than 100 could be identified. Analyte responses could be determined mostly with SEs less than 10%. Wild-type cells of C. reinhardtii strain CC-125 subjected to nitrogen-, phosphorus-, sulfur-, or iron-depleted growth conditions develop highly distinctive metabolite profiles. Individual metabolites undergo marked changes in their steady-state levels. Compared to control conditions, sulfur-depleted cells accumulated 4-hydroxyproline more than 50-fold, whereas the amount of 2-ketovaline was reduced to 2% of control levels. The contribution of each compound to the differences observed in the metabolic phenotypes is summarized in a quantitatively rigorous way by principal component analysis, which clearly discriminates the cells from different growth regimes and indicates that phosphorus-depleted conditions induce a deficiency syndrome quite different from the response to nitrogen, sulfur, or iron starvation.", "author" : [ { "dropping-particle" : "", "family" : "B\u00f6lling", "given" : "Christian", "non-dropping-particle" : "", "parse-names" : false, "suffix" : "" }, { "dropping-particle" : "", "family" : "Fiehn", "given" : "Oliver", "non-dropping-particle" : "", "parse-names" : false, "suffix" : "" } ], "container-title" : "Plant Physiology", "id" : "ITEM-2", "issue" : "4", "issued" : { "date-parts" : [ [ "2005" ] ] }, "page" : "1995-2005", "title" : "Metabolite profiling of &lt;i&gt;Chlamydomonas reinhardti&lt;/i&gt; under nutrient deprivation", "type" : "article-journal", "volume" : "139" }, "uris" : [ "http://www.mendeley.com/documents/?uuid=3d4e0b4a-a13c-4ec9-b002-08385ac4c930" ] } ], "mendeley" : { "formattedCitation" : "(Hirai et al., 2004; B\u00f6lling and Fiehn, 2005)", "plainTextFormattedCitation" : "(Hirai et al., 2004; B\u00f6lling and Fiehn, 2005)", "previouslyFormattedCitation" : "(Hirai et al., 2004; B\u00f6lling and Fiehn, 2005)" }, "properties" : { "noteIndex" : 0 }, "schema" : "https://github.com/citation-style-language/schema/raw/master/csl-citation.json" }</w:instrText>
      </w:r>
      <w:r w:rsidRPr="00A911EB">
        <w:fldChar w:fldCharType="separate"/>
      </w:r>
      <w:r w:rsidR="00134C22" w:rsidRPr="00134C22">
        <w:rPr>
          <w:noProof/>
        </w:rPr>
        <w:t>(Hirai et al., 2004; Bölling and Fiehn, 2005)</w:t>
      </w:r>
      <w:r w:rsidRPr="00A911EB">
        <w:fldChar w:fldCharType="end"/>
      </w:r>
      <w:r w:rsidRPr="00A911EB">
        <w:t xml:space="preserve">, and pollutants </w:t>
      </w:r>
      <w:r w:rsidRPr="00A911EB">
        <w:fldChar w:fldCharType="begin" w:fldLock="1"/>
      </w:r>
      <w:r w:rsidR="007C2FF9">
        <w:instrText>ADDIN CSL_CITATION { "citationItems" : [ { "id" : "ITEM-1", "itemData" : { "DOI" : "10.1016/j.chemosphere.2009.11.045", "ISSN" : "1879-1298", "PMID" : "20044121", "abstract" : "The metabolic responses of Arabidopsis thaliana to cadmium exposure was characterized in this study. A. thaliana was cultivated in medium contaminated with different cadmium concentrations (0, 5 and 50microM, respectively) for 2weeks. Metabolite analyses were performed using gas chromatography-mass spectrometry. More than 80 metabolites characterized by retention time indices and specific mass fragments were identified. The levels of carbohydrates, organic acids, amino acids, and other stress-responsive metabolites changed under cadmium stress. Treated plants showed increased levels of Ala, beta-ala, Pro, Ser, putrescine, Suc and other metabolites with compatible solute-like properties, notably 4-aminobutyric acid, glycerol, raffinose and trehalose, compared to control (untreated) plants. Studies indicated that concentrations of antioxidants (alfa-tocopherol, campesterol, beta-sitosterol and isoflavone) also increased significantly. These results confirm the important role of antioxidant defences in the mechanisms of plant-resistance to cadmium stress. Our results suggested that metabolic profiling is a powerful tool that can rapidly classify environmentally modified plants and simplify the process of cadmium-stress responses. These data will be helpful for better understanding of mechanisms of plant adaptation to cadmium stress at the metabolite level.", "author" : [ { "dropping-particle" : "", "family" : "Sun", "given" : "Xiumei", "non-dropping-particle" : "", "parse-names" : false, "suffix" : "" }, { "dropping-particle" : "", "family" : "Zhang", "given" : "Jixiu", "non-dropping-particle" : "", "parse-names" : false, "suffix" : "" }, { "dropping-particle" : "", "family" : "Zhang", "given" : "Haijun", "non-dropping-particle" : "", "parse-names" : false, "suffix" : "" }, { "dropping-particle" : "", "family" : "Ni", "given" : "Yuwen", "non-dropping-particle" : "", "parse-names" : false, "suffix" : "" }, { "dropping-particle" : "", "family" : "Zhang", "given" : "Qing", "non-dropping-particle" : "", "parse-names" : false, "suffix" : "" }, { "dropping-particle" : "", "family" : "Chen", "given" : "Jiping", "non-dropping-particle" : "", "parse-names" : false, "suffix" : "" }, { "dropping-particle" : "", "family" : "Guan", "given" : "Yafeng", "non-dropping-particle" : "", "parse-names" : false, "suffix" : "" } ], "container-title" : "Chemosphere", "id" : "ITEM-1", "issue" : "7", "issued" : { "date-parts" : [ [ "2010", "2" ] ] }, "page" : "840-5", "publisher" : "Elsevier Ltd", "title" : "The responses of Arabidopsis thaliana to cadmium exposure explored via metabolite profiling.", "type" : "article-journal", "volume" : "78" }, "uris" : [ "http://www.mendeley.com/documents/?uuid=3ca4f55f-6097-451e-9932-3f62e271beb1" ] } ], "mendeley" : { "formattedCitation" : "(Sun et al., 2010)", "plainTextFormattedCitation" : "(Sun et al., 2010)", "previouslyFormattedCitation" : "(Sun et al., 2010)" }, "properties" : { "noteIndex" : 0 }, "schema" : "https://github.com/citation-style-language/schema/raw/master/csl-citation.json" }</w:instrText>
      </w:r>
      <w:r w:rsidRPr="00A911EB">
        <w:fldChar w:fldCharType="separate"/>
      </w:r>
      <w:r w:rsidRPr="00040B6D">
        <w:rPr>
          <w:noProof/>
        </w:rPr>
        <w:t xml:space="preserve">(Sun </w:t>
      </w:r>
      <w:r w:rsidRPr="00040B6D">
        <w:rPr>
          <w:i/>
          <w:noProof/>
        </w:rPr>
        <w:t>et al.</w:t>
      </w:r>
      <w:r w:rsidRPr="00040B6D">
        <w:rPr>
          <w:noProof/>
        </w:rPr>
        <w:t>, 2010)</w:t>
      </w:r>
      <w:r w:rsidRPr="00A911EB">
        <w:fldChar w:fldCharType="end"/>
      </w:r>
      <w:r w:rsidRPr="00A911EB">
        <w:t>. These studies highlight the importance alterations of plant metabolism, both in relation to flux through pathways and the production of end-products, in relation to improved performance and survival.</w:t>
      </w:r>
    </w:p>
    <w:p w14:paraId="49F76CBD" w14:textId="77777777" w:rsidR="0052730F" w:rsidRPr="00A911EB" w:rsidRDefault="0052730F" w:rsidP="0052730F">
      <w:pPr>
        <w:pStyle w:val="BodyJB"/>
      </w:pPr>
    </w:p>
    <w:p w14:paraId="68E7594C" w14:textId="66C16CA6" w:rsidR="0052730F" w:rsidRPr="00A911EB" w:rsidRDefault="0052730F" w:rsidP="003A4A66">
      <w:pPr>
        <w:pStyle w:val="BodyJB"/>
        <w:ind w:firstLine="720"/>
      </w:pPr>
      <w:r w:rsidRPr="00A911EB">
        <w:t xml:space="preserve">This thesis aims to determine metabolite this </w:t>
      </w:r>
      <w:r w:rsidRPr="005D60E0">
        <w:t>kind of metabolic variation in relation to plant-environment interactions, however the role of phylogenetic constraints to variation must first be considered.</w:t>
      </w:r>
      <w:r w:rsidR="003A4A66" w:rsidRPr="005D60E0">
        <w:t xml:space="preserve"> Compounds, typically secondary metabolites can</w:t>
      </w:r>
      <w:r w:rsidRPr="005D60E0">
        <w:t xml:space="preserve"> show strong associations with particular genera or families</w:t>
      </w:r>
      <w:r w:rsidR="003A4A66" w:rsidRPr="005D60E0">
        <w:t xml:space="preserve"> </w:t>
      </w:r>
      <w:r w:rsidR="003A4A66" w:rsidRPr="005D60E0">
        <w:fldChar w:fldCharType="begin" w:fldLock="1"/>
      </w:r>
      <w:r w:rsidR="007C2FF9">
        <w:instrText>ADDIN CSL_CITATION { "citationItems" : [ { "id" : "ITEM-1", "itemData" : { "DOI" : "10.1111/j.1365-3040.2008.01910.x", "ISSN" : "1365-3040", "PMID" : "19021888", "abstract" : "Behaviour is in part the ability to respond rapidly and reversibly in response to environmental stimuli during the lifetime of an individual. Plants and animals both exhibit behaviour, but plant behaviour is most often examined in the context of morphologically plastic growth. Rapid and reversible secondary metabolite production and release is also a key mechanism by which plants behave. Here, we review plant biochemical plasticity as plant behaviour, and explicitly focus on evidence for responses that display rapid induction, reversibility and ecological relevance. Rapid induction and attenuation of plant secondary metabolites occur as chemically mediated root foraging, plant defence, allelochemistry and to regulate mutualistic relationships. We describe a wealth of information on the induction of various plant biochemical responses to environmental stimuli but found a limited body of literature on the reversibility of induced biochemical responses. Understanding the full cycle of dynamic plasticity in secondary metabolites is an important niche for future research. Biochemical behaviours extend beyond the plant kingdom; however, they clearly illustrate the capacity for plants to behave in ways that closely mirror the classic definitions and research approaches applied to behaviour in animals.", "author" : [ { "dropping-particle" : "", "family" : "Metlen", "given" : "Kerry L", "non-dropping-particle" : "", "parse-names" : false, "suffix" : "" }, { "dropping-particle" : "", "family" : "Aschehoug", "given" : "Erik T", "non-dropping-particle" : "", "parse-names" : false, "suffix" : "" }, { "dropping-particle" : "", "family" : "Callaway", "given" : "Ragan M", "non-dropping-particle" : "", "parse-names" : false, "suffix" : "" } ], "container-title" : "Plant, cell &amp; environment", "id" : "ITEM-1", "issue" : "6", "issued" : { "date-parts" : [ [ "2009", "6" ] ] }, "page" : "641-53", "title" : "Plant behavioural ecology: dynamic plasticity in secondary metabolites.", "type" : "article-journal", "volume" : "32" }, "uris" : [ "http://www.mendeley.com/documents/?uuid=f03dbd51-843b-498f-b2a8-a324ce4e0801" ] } ], "mendeley" : { "formattedCitation" : "(Metlen et al., 2009)", "plainTextFormattedCitation" : "(Metlen et al., 2009)", "previouslyFormattedCitation" : "(Metlen et al., 2009)" }, "properties" : { "noteIndex" : 0 }, "schema" : "https://github.com/citation-style-language/schema/raw/master/csl-citation.json" }</w:instrText>
      </w:r>
      <w:r w:rsidR="003A4A66" w:rsidRPr="005D60E0">
        <w:fldChar w:fldCharType="separate"/>
      </w:r>
      <w:r w:rsidR="003A4A66" w:rsidRPr="005D60E0">
        <w:rPr>
          <w:noProof/>
        </w:rPr>
        <w:t>(Metlen et al., 2009)</w:t>
      </w:r>
      <w:r w:rsidR="003A4A66" w:rsidRPr="005D60E0">
        <w:fldChar w:fldCharType="end"/>
      </w:r>
      <w:r w:rsidRPr="005D60E0">
        <w:t xml:space="preserve">. Diversity </w:t>
      </w:r>
      <w:r w:rsidR="003A4A66" w:rsidRPr="005D60E0">
        <w:t>in the expression of compounds may</w:t>
      </w:r>
      <w:r w:rsidRPr="005D60E0">
        <w:t xml:space="preserve"> exist because the same function can be f</w:t>
      </w:r>
      <w:r w:rsidR="005D60E0" w:rsidRPr="005D60E0">
        <w:t>ulfilled by different compounds</w:t>
      </w:r>
      <w:r w:rsidRPr="005D60E0">
        <w:t>.</w:t>
      </w:r>
      <w:r w:rsidRPr="00A911EB">
        <w:t xml:space="preserve"> </w:t>
      </w:r>
    </w:p>
    <w:p w14:paraId="0E59AACE" w14:textId="77777777" w:rsidR="0052730F" w:rsidRPr="00D14996" w:rsidRDefault="0052730F" w:rsidP="00D14996">
      <w:pPr>
        <w:pStyle w:val="BodyJB"/>
        <w:ind w:firstLine="720"/>
      </w:pPr>
      <w:r w:rsidRPr="00A911EB">
        <w:t xml:space="preserve">Studies employing metabolomic techniques to address questions about the organisation of plant communities remain rare. Scherling et al. (2010) analysed the physiological responses of individual plant species to increasing plant diversity. These were documented by employing untargeted metabolic profiling. The study found metabolic response signatures differing between small-statured species and tall-statured species relating to varying levels of species diversity within an experimental plot. The mechanistic basis behind the decreasing </w:t>
      </w:r>
      <w:r w:rsidRPr="00D14996">
        <w:t xml:space="preserve">performance of small-statured species under treatments of increasing plant diversity was identified by key metabolites indicating C- and N- limitation. </w:t>
      </w:r>
    </w:p>
    <w:p w14:paraId="786366E4" w14:textId="593B84A8" w:rsidR="00D14996" w:rsidRPr="00D14996" w:rsidRDefault="0052730F" w:rsidP="00D14996">
      <w:pPr>
        <w:pStyle w:val="NormalWeb"/>
        <w:spacing w:before="2" w:after="2" w:line="360" w:lineRule="auto"/>
        <w:rPr>
          <w:sz w:val="24"/>
          <w:szCs w:val="24"/>
          <w:lang w:eastAsia="en-US"/>
        </w:rPr>
      </w:pPr>
      <w:r w:rsidRPr="00D14996">
        <w:rPr>
          <w:sz w:val="24"/>
          <w:szCs w:val="24"/>
        </w:rPr>
        <w:t xml:space="preserve">Abiotic factors such as environmental climatic stresses, resource availability and disturbance, together with biotic factors such as competition and mutualisms, constrain which species and traits can persist in a particular location </w:t>
      </w:r>
      <w:r w:rsidRPr="00D14996">
        <w:rPr>
          <w:sz w:val="24"/>
          <w:szCs w:val="24"/>
        </w:rPr>
        <w:fldChar w:fldCharType="begin" w:fldLock="1"/>
      </w:r>
      <w:r w:rsidR="007C2FF9" w:rsidRPr="00D14996">
        <w:rPr>
          <w:sz w:val="24"/>
          <w:szCs w:val="24"/>
        </w:rPr>
        <w:instrText>ADDIN CSL_CITATION { "citationItems" : [ { "id" : "ITEM-1", "itemData" : { "author" : [ { "dropping-particle" : "", "family" : "Lavorel", "given" : "S", "non-dropping-particle" : "", "parse-names" : false, "suffix" : "" }, { "dropping-particle" : "", "family" : "Garnier", "given" : "E", "non-dropping-particle" : "", "parse-names" : false, "suffix" : "" } ], "container-title" : "Functional Ecology", "id" : "ITEM-1", "issued" : { "date-parts" : [ [ "2002" ] ] }, "page" : "545-556", "title" : "Predicting changes in community composition and ecosystem functioning from plant traits : revisiting the holy grail", "type" : "article-journal" }, "uris" : [ "http://www.mendeley.com/documents/?uuid=fe55530a-5e3b-46cb-921f-25718efd8009" ] } ], "mendeley" : { "formattedCitation" : "(Lavorel and Garnier, 2002)", "plainTextFormattedCitation" : "(Lavorel and Garnier, 2002)", "previouslyFormattedCitation" : "(Lavorel and Garnier, 2002)" }, "properties" : { "noteIndex" : 0 }, "schema" : "https://github.com/citation-style-language/schema/raw/master/csl-citation.json" }</w:instrText>
      </w:r>
      <w:r w:rsidRPr="00D14996">
        <w:rPr>
          <w:sz w:val="24"/>
          <w:szCs w:val="24"/>
        </w:rPr>
        <w:fldChar w:fldCharType="separate"/>
      </w:r>
      <w:r w:rsidR="00134C22" w:rsidRPr="00D14996">
        <w:rPr>
          <w:noProof/>
          <w:sz w:val="24"/>
          <w:szCs w:val="24"/>
        </w:rPr>
        <w:t>(Lavorel and Garnier, 2002)</w:t>
      </w:r>
      <w:r w:rsidRPr="00D14996">
        <w:rPr>
          <w:sz w:val="24"/>
          <w:szCs w:val="24"/>
        </w:rPr>
        <w:fldChar w:fldCharType="end"/>
      </w:r>
      <w:r w:rsidRPr="00D14996">
        <w:rPr>
          <w:sz w:val="24"/>
          <w:szCs w:val="24"/>
        </w:rPr>
        <w:t xml:space="preserve">. Therefore understanding physiological responses to environmental stress and determining the key differences between species in a community can potentially shed new insights into ecological questions relating to community composition.  </w:t>
      </w:r>
      <w:r w:rsidR="00D14996" w:rsidRPr="00D14996">
        <w:rPr>
          <w:rFonts w:cs="Arial"/>
          <w:color w:val="000000"/>
          <w:sz w:val="24"/>
          <w:szCs w:val="24"/>
          <w:lang w:eastAsia="en-US"/>
        </w:rPr>
        <w:t>Analysis of</w:t>
      </w:r>
      <w:r w:rsidR="00D14996">
        <w:rPr>
          <w:rFonts w:cs="Arial"/>
          <w:color w:val="000000"/>
          <w:sz w:val="24"/>
          <w:szCs w:val="24"/>
          <w:lang w:eastAsia="en-US"/>
        </w:rPr>
        <w:t xml:space="preserve"> </w:t>
      </w:r>
      <w:r w:rsidR="00D14996" w:rsidRPr="00D14996">
        <w:rPr>
          <w:rFonts w:cs="Arial"/>
          <w:color w:val="000000"/>
          <w:sz w:val="24"/>
          <w:szCs w:val="24"/>
          <w:lang w:eastAsia="en-US"/>
        </w:rPr>
        <w:t>the key metabolic differences between species from the same community is yet to be</w:t>
      </w:r>
      <w:r w:rsidR="00D14996">
        <w:rPr>
          <w:rFonts w:cs="Arial"/>
          <w:color w:val="000000"/>
          <w:sz w:val="24"/>
          <w:szCs w:val="24"/>
          <w:lang w:eastAsia="en-US"/>
        </w:rPr>
        <w:t xml:space="preserve"> </w:t>
      </w:r>
      <w:r w:rsidR="00D14996" w:rsidRPr="00D14996">
        <w:rPr>
          <w:rFonts w:cs="Arial"/>
          <w:color w:val="000000"/>
          <w:sz w:val="24"/>
          <w:szCs w:val="24"/>
          <w:lang w:eastAsia="en-US"/>
        </w:rPr>
        <w:t xml:space="preserve">studied. In this chapter I determine the main metabolic differences between species in a community. I analyse the metabolism of five dune annual species growing under controlled environmental conditions to minimise the impacts of varying environmental conditions on metabolic traits. I address the following questions; </w:t>
      </w:r>
      <w:r w:rsidR="00D14996" w:rsidRPr="00D14996">
        <w:rPr>
          <w:rFonts w:cs="Arial"/>
          <w:b/>
          <w:bCs/>
          <w:color w:val="000000"/>
          <w:sz w:val="24"/>
          <w:szCs w:val="24"/>
          <w:lang w:eastAsia="en-US"/>
        </w:rPr>
        <w:t>1. Do patterns of metabolic variation between species of the dune annual community? 2. What are the compounds relating to species metabolic variation?</w:t>
      </w:r>
    </w:p>
    <w:p w14:paraId="186F3E6E" w14:textId="77777777" w:rsidR="00D14996" w:rsidRPr="00D14996" w:rsidRDefault="00D14996" w:rsidP="00D14996">
      <w:pPr>
        <w:spacing w:line="360" w:lineRule="auto"/>
        <w:rPr>
          <w:rFonts w:ascii="Times" w:eastAsia="Times New Roman" w:hAnsi="Times" w:cs="Times New Roman"/>
          <w:lang w:eastAsia="en-US"/>
        </w:rPr>
      </w:pPr>
    </w:p>
    <w:p w14:paraId="6101C1BE" w14:textId="77777777" w:rsidR="0052730F" w:rsidRPr="00D14996" w:rsidRDefault="0052730F" w:rsidP="00D14996">
      <w:pPr>
        <w:pStyle w:val="BodyJB"/>
        <w:rPr>
          <w:color w:val="FF66FF"/>
        </w:rPr>
      </w:pPr>
    </w:p>
    <w:p w14:paraId="1B728E83" w14:textId="77777777" w:rsidR="0052730F" w:rsidRPr="00A911EB" w:rsidRDefault="0052730F" w:rsidP="0052730F">
      <w:pPr>
        <w:pStyle w:val="SubheadingJB"/>
      </w:pPr>
      <w:bookmarkStart w:id="63" w:name="_Toc291410068"/>
      <w:r w:rsidRPr="00A911EB">
        <w:t>4.2- Methods</w:t>
      </w:r>
      <w:bookmarkEnd w:id="63"/>
      <w:r w:rsidRPr="00A911EB">
        <w:t xml:space="preserve"> </w:t>
      </w:r>
    </w:p>
    <w:p w14:paraId="14D1EE11" w14:textId="77777777" w:rsidR="0052730F" w:rsidRPr="0012623F" w:rsidRDefault="0052730F" w:rsidP="005D60E0">
      <w:pPr>
        <w:pStyle w:val="subheadingMINOR"/>
      </w:pPr>
      <w:bookmarkStart w:id="64" w:name="_Toc291410069"/>
      <w:r w:rsidRPr="0012623F">
        <w:t>Experimental Design</w:t>
      </w:r>
      <w:bookmarkEnd w:id="64"/>
    </w:p>
    <w:p w14:paraId="54A6B7AC" w14:textId="77777777" w:rsidR="0052730F" w:rsidRPr="00A911EB" w:rsidRDefault="0052730F" w:rsidP="005D60E0">
      <w:pPr>
        <w:pStyle w:val="BodyJB"/>
        <w:ind w:firstLine="720"/>
      </w:pPr>
      <w:r w:rsidRPr="00A911EB">
        <w:t>See Methods ‘2.2.2- Details of Controlled Growth Experiment’ for details.</w:t>
      </w:r>
    </w:p>
    <w:p w14:paraId="1AE135DA" w14:textId="77777777" w:rsidR="0052730F" w:rsidRPr="00A911EB" w:rsidRDefault="0052730F" w:rsidP="0052730F">
      <w:pPr>
        <w:pStyle w:val="BodyJB"/>
        <w:rPr>
          <w:b/>
        </w:rPr>
      </w:pPr>
    </w:p>
    <w:p w14:paraId="4CDBA30B" w14:textId="77777777" w:rsidR="0052730F" w:rsidRPr="0012623F" w:rsidRDefault="0052730F" w:rsidP="005D60E0">
      <w:pPr>
        <w:pStyle w:val="subheadingMINOR"/>
      </w:pPr>
      <w:bookmarkStart w:id="65" w:name="_Toc291410070"/>
      <w:r w:rsidRPr="0012623F">
        <w:t>Study Species</w:t>
      </w:r>
      <w:bookmarkEnd w:id="65"/>
    </w:p>
    <w:p w14:paraId="210AB557" w14:textId="77777777" w:rsidR="0052730F" w:rsidRPr="00A911EB" w:rsidRDefault="0052730F" w:rsidP="005D60E0">
      <w:pPr>
        <w:pStyle w:val="BodyJB"/>
        <w:ind w:firstLine="720"/>
      </w:pPr>
      <w:r w:rsidRPr="00A911EB">
        <w:t xml:space="preserve">Five species of winter annual were used in this experiment, </w:t>
      </w:r>
      <w:r w:rsidRPr="00A911EB">
        <w:rPr>
          <w:i/>
        </w:rPr>
        <w:t>Arenaria serpyllifolia, Cerastium diffusum, Phleum arenarium, Senecio vulgaris and Veronica arevensis</w:t>
      </w:r>
      <w:r w:rsidRPr="00A911EB">
        <w:t xml:space="preserve">. In this study plants belonging to the F1 generation were sampled for metabolomic analysis. </w:t>
      </w:r>
    </w:p>
    <w:p w14:paraId="32DB8400" w14:textId="77777777" w:rsidR="0052730F" w:rsidRPr="00A911EB" w:rsidRDefault="0052730F" w:rsidP="0052730F">
      <w:pPr>
        <w:pStyle w:val="BodyJB"/>
      </w:pPr>
    </w:p>
    <w:p w14:paraId="2A63D316" w14:textId="77777777" w:rsidR="0052730F" w:rsidRPr="0012623F" w:rsidRDefault="0052730F" w:rsidP="005D60E0">
      <w:pPr>
        <w:pStyle w:val="subheadingMINOR"/>
      </w:pPr>
      <w:bookmarkStart w:id="66" w:name="_Toc291410071"/>
      <w:r w:rsidRPr="0012623F">
        <w:t>Study Samples</w:t>
      </w:r>
      <w:bookmarkEnd w:id="66"/>
    </w:p>
    <w:p w14:paraId="52A5B9B9" w14:textId="77777777" w:rsidR="0052730F" w:rsidRPr="00A911EB" w:rsidRDefault="0052730F" w:rsidP="005D60E0">
      <w:pPr>
        <w:pStyle w:val="BodyJB"/>
        <w:ind w:firstLine="720"/>
      </w:pPr>
      <w:r w:rsidRPr="00A911EB">
        <w:t>5 plants were sampled from each replicate pot (3 pots per population per species). Each sample was extracted individually according to protocol in Methods (2.2.3.2 Metabolite Extraction). These were then pooled according to replicate pot, producing 54 analytical samples (18-</w:t>
      </w:r>
      <w:r w:rsidRPr="00A911EB">
        <w:rPr>
          <w:i/>
        </w:rPr>
        <w:t xml:space="preserve">Arenaria serpyllifolia, </w:t>
      </w:r>
      <w:r w:rsidRPr="00A911EB">
        <w:t>9-</w:t>
      </w:r>
      <w:r w:rsidRPr="00A911EB">
        <w:rPr>
          <w:i/>
        </w:rPr>
        <w:t xml:space="preserve">Cerastium diffusum, </w:t>
      </w:r>
      <w:r w:rsidRPr="00A911EB">
        <w:t>15-</w:t>
      </w:r>
      <w:r w:rsidRPr="00A911EB">
        <w:rPr>
          <w:i/>
        </w:rPr>
        <w:t xml:space="preserve">Phleum arenarium, </w:t>
      </w:r>
      <w:r w:rsidRPr="00A911EB">
        <w:t>6-</w:t>
      </w:r>
      <w:r w:rsidRPr="00A911EB">
        <w:rPr>
          <w:i/>
        </w:rPr>
        <w:t xml:space="preserve">Senecio vulgaris and </w:t>
      </w:r>
      <w:r w:rsidRPr="00A911EB">
        <w:t>6-</w:t>
      </w:r>
      <w:r w:rsidRPr="00A911EB">
        <w:rPr>
          <w:i/>
        </w:rPr>
        <w:t>Veronica arevensis</w:t>
      </w:r>
      <w:r w:rsidRPr="00A911EB">
        <w:t xml:space="preserve">) for mass spectrometry analysis. </w:t>
      </w:r>
    </w:p>
    <w:p w14:paraId="3AD2DA08" w14:textId="77777777" w:rsidR="0052730F" w:rsidRPr="002125ED" w:rsidRDefault="0052730F" w:rsidP="0052730F">
      <w:pPr>
        <w:pStyle w:val="BodyJB"/>
      </w:pPr>
      <w:r w:rsidRPr="00A911EB">
        <w:tab/>
      </w:r>
      <w:r w:rsidRPr="00A911EB">
        <w:rPr>
          <w:rFonts w:cs="Times"/>
        </w:rPr>
        <w:t xml:space="preserve"> </w:t>
      </w:r>
    </w:p>
    <w:p w14:paraId="460326FE" w14:textId="77777777" w:rsidR="0052730F" w:rsidRPr="0012623F" w:rsidRDefault="0052730F" w:rsidP="005D60E0">
      <w:pPr>
        <w:pStyle w:val="subheadingMINOR"/>
      </w:pPr>
      <w:bookmarkStart w:id="67" w:name="_Toc291410072"/>
      <w:r w:rsidRPr="0012623F">
        <w:t>Mass Spectrometry Analysis</w:t>
      </w:r>
      <w:bookmarkEnd w:id="67"/>
    </w:p>
    <w:p w14:paraId="01FBC00F" w14:textId="77777777" w:rsidR="0052730F" w:rsidRPr="00A911EB" w:rsidRDefault="0052730F" w:rsidP="005D60E0">
      <w:pPr>
        <w:pStyle w:val="BodyJB"/>
        <w:ind w:firstLine="720"/>
        <w:rPr>
          <w:b/>
          <w:i/>
        </w:rPr>
      </w:pPr>
      <w:r w:rsidRPr="00A911EB">
        <w:t>See Methods ‘2.2.3.3- Mass Spectrometry Analysis’, for details.</w:t>
      </w:r>
    </w:p>
    <w:p w14:paraId="3203B480" w14:textId="77777777" w:rsidR="0052730F" w:rsidRPr="00A911EB" w:rsidRDefault="0052730F" w:rsidP="0052730F">
      <w:pPr>
        <w:pStyle w:val="BodyJB"/>
      </w:pPr>
    </w:p>
    <w:p w14:paraId="53305D0E" w14:textId="77777777" w:rsidR="0052730F" w:rsidRPr="0012623F" w:rsidRDefault="0052730F" w:rsidP="005D60E0">
      <w:pPr>
        <w:pStyle w:val="subheadingMINOR"/>
      </w:pPr>
      <w:bookmarkStart w:id="68" w:name="_Toc291410073"/>
      <w:r w:rsidRPr="0012623F">
        <w:t>Data Analysis</w:t>
      </w:r>
      <w:bookmarkEnd w:id="68"/>
    </w:p>
    <w:p w14:paraId="016EC8AB" w14:textId="77777777" w:rsidR="0052730F" w:rsidRPr="00A911EB" w:rsidRDefault="0052730F" w:rsidP="005D60E0">
      <w:pPr>
        <w:pStyle w:val="BodyJB"/>
        <w:ind w:firstLine="720"/>
      </w:pPr>
      <w:r w:rsidRPr="00A911EB">
        <w:t xml:space="preserve">See Methods ‘2.2.3.4- Metabolomic Data Analysis’ for details of metabolomic data analysis. In line with the hypothesis of this chapter, during Principal Component Analysis samples were labelled according to species to visualise key metabolomic differences and species was used at the factor when performing analysis of variance on each mass bin. </w:t>
      </w:r>
    </w:p>
    <w:p w14:paraId="1214EECA" w14:textId="77777777" w:rsidR="0052730F" w:rsidRPr="00A911EB" w:rsidRDefault="0052730F" w:rsidP="0052730F">
      <w:pPr>
        <w:pStyle w:val="BodyJB"/>
        <w:rPr>
          <w:b/>
        </w:rPr>
      </w:pPr>
    </w:p>
    <w:p w14:paraId="4819645F" w14:textId="77777777" w:rsidR="0052730F" w:rsidRDefault="0052730F" w:rsidP="0052730F">
      <w:pPr>
        <w:pStyle w:val="BodyJB"/>
        <w:rPr>
          <w:b/>
        </w:rPr>
      </w:pPr>
    </w:p>
    <w:p w14:paraId="112C5D34" w14:textId="77777777" w:rsidR="0052730F" w:rsidRPr="00A911EB" w:rsidRDefault="0052730F" w:rsidP="0052730F">
      <w:pPr>
        <w:pStyle w:val="BodyJB"/>
        <w:rPr>
          <w:b/>
        </w:rPr>
      </w:pPr>
    </w:p>
    <w:p w14:paraId="6E005706" w14:textId="77777777" w:rsidR="0052730F" w:rsidRPr="00A911EB" w:rsidRDefault="0052730F" w:rsidP="005D60E0">
      <w:pPr>
        <w:pStyle w:val="SubheadingJB"/>
      </w:pPr>
      <w:bookmarkStart w:id="69" w:name="_Toc291410074"/>
      <w:r w:rsidRPr="00A911EB">
        <w:t>4.3- Results</w:t>
      </w:r>
      <w:bookmarkEnd w:id="69"/>
    </w:p>
    <w:p w14:paraId="1E1777CB" w14:textId="1EF5CE4B" w:rsidR="0052730F" w:rsidRPr="00A911EB" w:rsidRDefault="0052730F" w:rsidP="005D60E0">
      <w:pPr>
        <w:pStyle w:val="BodyJB"/>
        <w:ind w:firstLine="720"/>
      </w:pPr>
      <w:r w:rsidRPr="00A911EB">
        <w:t>Masses detected within the aqueous phase analysed in positive ionisation mode showed separate clustering of each species (Fig. 4.1a, 4.1b</w:t>
      </w:r>
      <w:r w:rsidRPr="00A911EB">
        <w:rPr>
          <w:i/>
        </w:rPr>
        <w:t xml:space="preserve">). </w:t>
      </w:r>
      <w:r w:rsidRPr="00A911EB">
        <w:t xml:space="preserve">PCA scores plots indicate that </w:t>
      </w:r>
      <w:r w:rsidR="001737B9">
        <w:rPr>
          <w:i/>
        </w:rPr>
        <w:t>V. arvensis</w:t>
      </w:r>
      <w:r w:rsidRPr="00A911EB">
        <w:t xml:space="preserve"> and </w:t>
      </w:r>
      <w:r w:rsidR="00FD79D6">
        <w:rPr>
          <w:i/>
        </w:rPr>
        <w:t>A. serpyllifolia</w:t>
      </w:r>
      <w:r w:rsidRPr="00A911EB">
        <w:t xml:space="preserve"> samples both cluster away from other species along PC2 and PC1 respectively (Fig. 4.1a). </w:t>
      </w:r>
      <w:r w:rsidR="001737B9">
        <w:rPr>
          <w:i/>
        </w:rPr>
        <w:t>S. vulgaris</w:t>
      </w:r>
      <w:r w:rsidRPr="00A911EB">
        <w:t xml:space="preserve"> and </w:t>
      </w:r>
      <w:r w:rsidR="00065F92">
        <w:rPr>
          <w:i/>
        </w:rPr>
        <w:t>C. diffusum</w:t>
      </w:r>
      <w:r w:rsidRPr="00A911EB">
        <w:t xml:space="preserve"> cluster along PC3 and PC4 respectively, while </w:t>
      </w:r>
      <w:r w:rsidR="00065F92">
        <w:rPr>
          <w:i/>
        </w:rPr>
        <w:t>P. arenarium</w:t>
      </w:r>
      <w:r w:rsidRPr="00A911EB">
        <w:t xml:space="preserve"> clusters between these two components (Fig. 4.1b). The first axis PC1 explains 24.1% of the variance and separated </w:t>
      </w:r>
      <w:r w:rsidR="00FD79D6">
        <w:rPr>
          <w:i/>
        </w:rPr>
        <w:t>A. serpyllifolia</w:t>
      </w:r>
      <w:r w:rsidRPr="00A911EB">
        <w:t xml:space="preserve"> from the rest of the species. PC2 explains 14.1% separating </w:t>
      </w:r>
      <w:r w:rsidR="001737B9">
        <w:rPr>
          <w:i/>
        </w:rPr>
        <w:t>V. arvensis</w:t>
      </w:r>
      <w:r w:rsidRPr="00A911EB">
        <w:t xml:space="preserve">, while PC3 explains 10.7% and separated </w:t>
      </w:r>
      <w:r w:rsidR="001737B9">
        <w:rPr>
          <w:i/>
        </w:rPr>
        <w:t>S. vulgaris</w:t>
      </w:r>
      <w:r w:rsidRPr="00A911EB">
        <w:t xml:space="preserve">. PC4 explains 10.2% and separates </w:t>
      </w:r>
      <w:r w:rsidR="00065F92">
        <w:rPr>
          <w:i/>
        </w:rPr>
        <w:t>P. arenarium</w:t>
      </w:r>
      <w:r w:rsidRPr="00A911EB">
        <w:t xml:space="preserve">. An alternative view of these species clusters is presented in dendogram format in Figure 4.2.a. The measures of similarity (based on Euclidean distance) indicate that metabolism in </w:t>
      </w:r>
      <w:r w:rsidR="00FD79D6">
        <w:rPr>
          <w:i/>
        </w:rPr>
        <w:t>A. serpyllifolia</w:t>
      </w:r>
      <w:r w:rsidRPr="00A911EB">
        <w:t xml:space="preserve"> is the most distinctive when compared with the other four species. And as Fig 4.1.a. shows, the metabolic profile of </w:t>
      </w:r>
      <w:r w:rsidR="00065F92">
        <w:rPr>
          <w:i/>
        </w:rPr>
        <w:t>P. arenarium</w:t>
      </w:r>
      <w:r w:rsidRPr="00A911EB">
        <w:t xml:space="preserve"> and </w:t>
      </w:r>
      <w:r w:rsidR="00065F92">
        <w:rPr>
          <w:i/>
        </w:rPr>
        <w:t>C. diffusum</w:t>
      </w:r>
      <w:r w:rsidRPr="00A911EB">
        <w:t xml:space="preserve"> share a number of similarities as they cluster closely together (Fig 4.2.a.).</w:t>
      </w:r>
    </w:p>
    <w:p w14:paraId="055B6EE8" w14:textId="77777777" w:rsidR="0052730F" w:rsidRPr="00A911EB" w:rsidRDefault="0052730F" w:rsidP="0052730F">
      <w:pPr>
        <w:rPr>
          <w:noProof/>
        </w:rPr>
      </w:pPr>
      <w:r w:rsidRPr="00A911EB">
        <w:rPr>
          <w:noProof/>
          <w:lang w:val="en-US" w:eastAsia="en-US"/>
        </w:rPr>
        <w:drawing>
          <wp:inline distT="0" distB="0" distL="0" distR="0" wp14:anchorId="34FF778A" wp14:editId="4799B4A9">
            <wp:extent cx="4801447" cy="6856733"/>
            <wp:effectExtent l="0" t="0" r="0" b="1270"/>
            <wp:docPr id="18" name="Picture 17" descr="fig 4.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1.pdf"/>
                    <pic:cNvPicPr/>
                  </pic:nvPicPr>
                  <pic:blipFill>
                    <a:blip r:embed="rId31"/>
                    <a:srcRect t="3365"/>
                    <a:stretch>
                      <a:fillRect/>
                    </a:stretch>
                  </pic:blipFill>
                  <pic:spPr>
                    <a:xfrm>
                      <a:off x="0" y="0"/>
                      <a:ext cx="4801447" cy="6856733"/>
                    </a:xfrm>
                    <a:prstGeom prst="rect">
                      <a:avLst/>
                    </a:prstGeom>
                  </pic:spPr>
                </pic:pic>
              </a:graphicData>
            </a:graphic>
          </wp:inline>
        </w:drawing>
      </w:r>
    </w:p>
    <w:p w14:paraId="1FBA6AB0" w14:textId="77777777" w:rsidR="0052730F" w:rsidRPr="00A911EB" w:rsidRDefault="0052730F" w:rsidP="0052730F">
      <w:pPr>
        <w:pStyle w:val="BodyJB"/>
        <w:spacing w:line="240" w:lineRule="auto"/>
      </w:pPr>
      <w:r w:rsidRPr="00A911EB">
        <w:t xml:space="preserve">Fig. 4.1. Analysis of m/z values (binned to 0.2 Da) obtained by metabolic fingerprinting of five species, of </w:t>
      </w:r>
      <w:r w:rsidRPr="00A911EB">
        <w:rPr>
          <w:i/>
        </w:rPr>
        <w:t>Arenaria serpyllifolia</w:t>
      </w:r>
      <w:r w:rsidRPr="00A911EB">
        <w:t xml:space="preserve"> (red triangles)</w:t>
      </w:r>
      <w:r w:rsidRPr="00A911EB">
        <w:rPr>
          <w:i/>
        </w:rPr>
        <w:t xml:space="preserve">, Cerastium diffusum </w:t>
      </w:r>
      <w:r w:rsidRPr="00A911EB">
        <w:t>(blue squares)</w:t>
      </w:r>
      <w:r w:rsidRPr="00A911EB">
        <w:rPr>
          <w:i/>
        </w:rPr>
        <w:t xml:space="preserve">, Phleum arenarium </w:t>
      </w:r>
      <w:r w:rsidRPr="00A911EB">
        <w:t>(green stars)</w:t>
      </w:r>
      <w:r w:rsidRPr="00A911EB">
        <w:rPr>
          <w:i/>
        </w:rPr>
        <w:t xml:space="preserve">, Senecio vulgaris </w:t>
      </w:r>
      <w:r w:rsidRPr="00A911EB">
        <w:t xml:space="preserve">(purple diamonds) </w:t>
      </w:r>
      <w:r w:rsidRPr="00A911EB">
        <w:rPr>
          <w:i/>
        </w:rPr>
        <w:t xml:space="preserve">and Veronica arvensis </w:t>
      </w:r>
      <w:r w:rsidRPr="00A911EB">
        <w:t xml:space="preserve">(orange crosses). Data from principal component analysis is expressed in score plot form showing data spread along PC1 and PC2 (Fig. 4.1.a) and PC3 and PC4 (Fig. 4.1.b)(percent of the variation of the data explained by each component is provided). </w:t>
      </w:r>
    </w:p>
    <w:p w14:paraId="4D9BA273" w14:textId="77777777" w:rsidR="0052730F" w:rsidRPr="00A911EB" w:rsidRDefault="0052730F" w:rsidP="0052730F">
      <w:r w:rsidRPr="00A911EB">
        <w:rPr>
          <w:noProof/>
          <w:lang w:val="en-US" w:eastAsia="en-US"/>
        </w:rPr>
        <w:drawing>
          <wp:inline distT="0" distB="0" distL="0" distR="0" wp14:anchorId="6EB494D4" wp14:editId="20BE7643">
            <wp:extent cx="5448300" cy="8308747"/>
            <wp:effectExtent l="25400" t="0" r="0" b="0"/>
            <wp:docPr id="16" name="Picture 8" descr="Chapter 3- figure 2- part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ter 3- figure 2- part 1.pdf"/>
                    <pic:cNvPicPr/>
                  </pic:nvPicPr>
                  <pic:blipFill>
                    <a:blip r:embed="rId32"/>
                    <a:stretch>
                      <a:fillRect/>
                    </a:stretch>
                  </pic:blipFill>
                  <pic:spPr>
                    <a:xfrm>
                      <a:off x="0" y="0"/>
                      <a:ext cx="5448300" cy="8308747"/>
                    </a:xfrm>
                    <a:prstGeom prst="rect">
                      <a:avLst/>
                    </a:prstGeom>
                  </pic:spPr>
                </pic:pic>
              </a:graphicData>
            </a:graphic>
          </wp:inline>
        </w:drawing>
      </w:r>
    </w:p>
    <w:p w14:paraId="66B3FEAD" w14:textId="77777777" w:rsidR="0052730F" w:rsidRPr="00A911EB" w:rsidRDefault="0052730F" w:rsidP="0052730F">
      <w:r w:rsidRPr="00A911EB">
        <w:rPr>
          <w:noProof/>
          <w:lang w:val="en-US" w:eastAsia="en-US"/>
        </w:rPr>
        <w:drawing>
          <wp:inline distT="0" distB="0" distL="0" distR="0" wp14:anchorId="45CBBBE3" wp14:editId="33F3BB3F">
            <wp:extent cx="5372100" cy="5395306"/>
            <wp:effectExtent l="25400" t="0" r="0" b="0"/>
            <wp:docPr id="17" name="Picture 10" descr="Chapter 3- figure 2- part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ter 3- figure 2- part 2.pdf"/>
                    <pic:cNvPicPr/>
                  </pic:nvPicPr>
                  <pic:blipFill>
                    <a:blip r:embed="rId33"/>
                    <a:stretch>
                      <a:fillRect/>
                    </a:stretch>
                  </pic:blipFill>
                  <pic:spPr>
                    <a:xfrm>
                      <a:off x="0" y="0"/>
                      <a:ext cx="5373644" cy="5396857"/>
                    </a:xfrm>
                    <a:prstGeom prst="rect">
                      <a:avLst/>
                    </a:prstGeom>
                  </pic:spPr>
                </pic:pic>
              </a:graphicData>
            </a:graphic>
          </wp:inline>
        </w:drawing>
      </w:r>
    </w:p>
    <w:p w14:paraId="223E1814" w14:textId="77777777" w:rsidR="0052730F" w:rsidRPr="00A911EB" w:rsidRDefault="0052730F" w:rsidP="0052730F"/>
    <w:p w14:paraId="432E79F4" w14:textId="77777777" w:rsidR="0052730F" w:rsidRPr="00A911EB" w:rsidRDefault="0052730F" w:rsidP="0052730F">
      <w:pPr>
        <w:pStyle w:val="BodyJB"/>
        <w:spacing w:line="240" w:lineRule="auto"/>
      </w:pPr>
      <w:r w:rsidRPr="00A911EB">
        <w:t xml:space="preserve">Fig 4.2. Score contribution plots relating to principal component analysis of m/z values (binned to 0.2 Da) obtained by DIMs of aqueous phase. Plots indicate which bins are in high abundance (more positive) and low abundance (more negative) in a. </w:t>
      </w:r>
      <w:r w:rsidRPr="00A911EB">
        <w:rPr>
          <w:i/>
        </w:rPr>
        <w:t>Arenaria serpyllifolia,</w:t>
      </w:r>
      <w:r w:rsidRPr="00A911EB">
        <w:t xml:space="preserve"> b.</w:t>
      </w:r>
      <w:r w:rsidRPr="00A911EB">
        <w:rPr>
          <w:i/>
        </w:rPr>
        <w:t xml:space="preserve"> Cerastium diffusum,</w:t>
      </w:r>
      <w:r w:rsidRPr="00A911EB">
        <w:t xml:space="preserve"> c.</w:t>
      </w:r>
      <w:r w:rsidRPr="00A911EB">
        <w:rPr>
          <w:i/>
        </w:rPr>
        <w:t xml:space="preserve"> Phleum arenarium, </w:t>
      </w:r>
      <w:r w:rsidRPr="00A911EB">
        <w:t xml:space="preserve">d. </w:t>
      </w:r>
      <w:r w:rsidRPr="00A911EB">
        <w:rPr>
          <w:i/>
        </w:rPr>
        <w:t>Senecio vulgaris</w:t>
      </w:r>
      <w:r w:rsidRPr="00A911EB">
        <w:t xml:space="preserve"> and e. </w:t>
      </w:r>
      <w:r w:rsidRPr="00A911EB">
        <w:rPr>
          <w:i/>
        </w:rPr>
        <w:t>Veronica arvensis</w:t>
      </w:r>
      <w:r w:rsidRPr="00A911EB">
        <w:t xml:space="preserve"> along the principal components shown to correspond to species separation (Fig 4.1.a and b). Note differences in x-axis scale.</w:t>
      </w:r>
    </w:p>
    <w:p w14:paraId="69095271" w14:textId="77777777" w:rsidR="0052730F" w:rsidRPr="00A911EB" w:rsidRDefault="0052730F" w:rsidP="0052730F">
      <w:pPr>
        <w:pStyle w:val="BodyJB"/>
      </w:pPr>
    </w:p>
    <w:p w14:paraId="25AC99DC" w14:textId="77777777" w:rsidR="0052730F" w:rsidRPr="00A911EB" w:rsidRDefault="0052730F" w:rsidP="0052730F">
      <w:pPr>
        <w:pStyle w:val="BodyJB"/>
      </w:pPr>
    </w:p>
    <w:p w14:paraId="69975A78" w14:textId="77777777" w:rsidR="0052730F" w:rsidRPr="00A911EB" w:rsidRDefault="0052730F" w:rsidP="0052730F">
      <w:pPr>
        <w:pStyle w:val="BodyJB"/>
      </w:pPr>
    </w:p>
    <w:p w14:paraId="6E76ADB8" w14:textId="77777777" w:rsidR="0052730F" w:rsidRPr="00A911EB" w:rsidRDefault="0052730F" w:rsidP="0052730F">
      <w:pPr>
        <w:pStyle w:val="BodyJB"/>
      </w:pPr>
    </w:p>
    <w:p w14:paraId="59F35CE9" w14:textId="77777777" w:rsidR="0052730F" w:rsidRPr="00A911EB" w:rsidRDefault="0052730F" w:rsidP="0052730F">
      <w:pPr>
        <w:pStyle w:val="BodyJB"/>
      </w:pPr>
    </w:p>
    <w:p w14:paraId="6840343A" w14:textId="77777777" w:rsidR="0052730F" w:rsidRPr="00A911EB" w:rsidRDefault="0052730F" w:rsidP="0052730F">
      <w:pPr>
        <w:pStyle w:val="BodyJB"/>
      </w:pPr>
    </w:p>
    <w:p w14:paraId="02209042" w14:textId="77777777" w:rsidR="0052730F" w:rsidRPr="00A911EB" w:rsidRDefault="0052730F" w:rsidP="0052730F">
      <w:pPr>
        <w:pStyle w:val="BodyJB"/>
      </w:pPr>
    </w:p>
    <w:p w14:paraId="364AD8C4" w14:textId="7EF08670" w:rsidR="0052730F" w:rsidRPr="00A911EB" w:rsidRDefault="0052730F" w:rsidP="005D60E0">
      <w:pPr>
        <w:pStyle w:val="BodyJB"/>
        <w:ind w:firstLine="720"/>
      </w:pPr>
      <w:r w:rsidRPr="00A911EB">
        <w:t xml:space="preserve">The scores contribution plots (that correspond directly to the PCA plots shown in Fig 4.1.) indicate which bins are in high abundance (more positive) and low abundance (more negative) for each species (clustering along different PC axes) in relation to all other samples analysed (Fig. 4.2.a-e). In all species, except </w:t>
      </w:r>
      <w:r w:rsidR="00065F92">
        <w:rPr>
          <w:i/>
        </w:rPr>
        <w:t>C. diffusum</w:t>
      </w:r>
      <w:r w:rsidRPr="00A911EB">
        <w:t xml:space="preserve">, there are a number of bins with large positive score contributions, these key bins are present in the respective species in large quantities (Fig. 4.2.a-e). The mass bin 352.2 is found in large quantities in </w:t>
      </w:r>
      <w:r w:rsidR="001737B9">
        <w:rPr>
          <w:i/>
        </w:rPr>
        <w:t>S. vulgaris</w:t>
      </w:r>
      <w:r w:rsidRPr="00A911EB">
        <w:t xml:space="preserve"> (Fig. 4.2.d) and low quantities in </w:t>
      </w:r>
      <w:r w:rsidR="00065F92">
        <w:rPr>
          <w:i/>
        </w:rPr>
        <w:t>C. diffusum</w:t>
      </w:r>
      <w:r w:rsidRPr="00A911EB">
        <w:t xml:space="preserve"> and </w:t>
      </w:r>
      <w:r w:rsidR="00065F92">
        <w:rPr>
          <w:i/>
        </w:rPr>
        <w:t>P. arenarium</w:t>
      </w:r>
      <w:r w:rsidRPr="00A911EB">
        <w:t xml:space="preserve"> (Fig. 4.2.b and 4.2.c). </w:t>
      </w:r>
      <w:r w:rsidR="00065F92">
        <w:rPr>
          <w:i/>
        </w:rPr>
        <w:t>C. diffusum</w:t>
      </w:r>
      <w:r w:rsidRPr="00A911EB">
        <w:t xml:space="preserve"> and </w:t>
      </w:r>
      <w:r w:rsidR="001737B9">
        <w:rPr>
          <w:i/>
        </w:rPr>
        <w:t>V. arvensis</w:t>
      </w:r>
      <w:r w:rsidRPr="00A911EB">
        <w:t xml:space="preserve"> are typified by large quantities of low-mid range masses (between 150 and 200 </w:t>
      </w:r>
      <w:r w:rsidRPr="00A911EB">
        <w:rPr>
          <w:i/>
        </w:rPr>
        <w:t>m/z</w:t>
      </w:r>
      <w:r w:rsidRPr="00A911EB">
        <w:t xml:space="preserve">)(Fig. 4.3.b and 4.3.e), while </w:t>
      </w:r>
      <w:r w:rsidR="00065F92">
        <w:rPr>
          <w:i/>
        </w:rPr>
        <w:t>P. arenarium</w:t>
      </w:r>
      <w:r w:rsidRPr="00A911EB">
        <w:t xml:space="preserve"> samples have high quantities of masses in the high range (&gt;500 </w:t>
      </w:r>
      <w:r w:rsidRPr="00A911EB">
        <w:rPr>
          <w:i/>
        </w:rPr>
        <w:t>m/z</w:t>
      </w:r>
      <w:r w:rsidRPr="00A911EB">
        <w:t>)(Fig. 4.2.d).</w:t>
      </w:r>
    </w:p>
    <w:p w14:paraId="706AB829" w14:textId="1901D45F" w:rsidR="0052730F" w:rsidRPr="00A911EB" w:rsidRDefault="0052730F" w:rsidP="005D60E0">
      <w:pPr>
        <w:pStyle w:val="BodyJB"/>
        <w:ind w:firstLine="720"/>
        <w:rPr>
          <w:color w:val="FF0000"/>
        </w:rPr>
      </w:pPr>
      <w:r w:rsidRPr="00A911EB">
        <w:t>There were 523 bins (0.2 Da range bins) that had significantly different average ion counts between all species, with a P value below 0.05 (</w:t>
      </w:r>
      <w:r w:rsidRPr="005D60E0">
        <w:t>FDR</w:t>
      </w:r>
      <w:r w:rsidRPr="00A911EB">
        <w:t xml:space="preserve"> corrected p-value). Tukey tests were then applied and bins subset according to whether multi-species comparisons showed that the bin value for one species was higher than the other four species. </w:t>
      </w:r>
      <w:r w:rsidR="001737B9">
        <w:rPr>
          <w:i/>
        </w:rPr>
        <w:t>V. arvensis</w:t>
      </w:r>
      <w:r w:rsidRPr="00A911EB">
        <w:t xml:space="preserve"> had the most uniquely higher bins, 222; 70, 51, 38 and 43 bins were uniquely higher in </w:t>
      </w:r>
      <w:r w:rsidR="00065F92">
        <w:rPr>
          <w:i/>
        </w:rPr>
        <w:t>P. arenarium</w:t>
      </w:r>
      <w:r w:rsidRPr="00A911EB">
        <w:t xml:space="preserve">, </w:t>
      </w:r>
      <w:r w:rsidR="001737B9">
        <w:rPr>
          <w:i/>
        </w:rPr>
        <w:t>S. vulgaris</w:t>
      </w:r>
      <w:r w:rsidRPr="00A911EB">
        <w:t xml:space="preserve">, </w:t>
      </w:r>
      <w:r w:rsidR="00065F92">
        <w:rPr>
          <w:i/>
        </w:rPr>
        <w:t>C. diffusum</w:t>
      </w:r>
      <w:r w:rsidRPr="00A911EB">
        <w:t xml:space="preserve"> and </w:t>
      </w:r>
      <w:r w:rsidR="00FD79D6">
        <w:rPr>
          <w:i/>
        </w:rPr>
        <w:t>A. serpyllifolia</w:t>
      </w:r>
      <w:r w:rsidRPr="00A911EB">
        <w:t xml:space="preserve"> respectively. </w:t>
      </w:r>
    </w:p>
    <w:p w14:paraId="4927EF62" w14:textId="77777777" w:rsidR="0052730F" w:rsidRPr="00A911EB" w:rsidRDefault="0052730F" w:rsidP="005D60E0">
      <w:pPr>
        <w:pStyle w:val="BodyJB"/>
        <w:ind w:firstLine="720"/>
      </w:pPr>
      <w:r w:rsidRPr="00A911EB">
        <w:t xml:space="preserve">The list of significantly different bins according to species was combined with the list of masses positively contributing to species separation in PCA. Putative identifications of these compounds specifically expressed in each species were calculated based on the average accurate mass detected within each bin for the species of interest. </w:t>
      </w:r>
    </w:p>
    <w:p w14:paraId="1C17716C" w14:textId="5EE6EDE8" w:rsidR="0052730F" w:rsidRPr="00A911EB" w:rsidRDefault="0052730F" w:rsidP="0052730F">
      <w:pPr>
        <w:pStyle w:val="BodyJB"/>
      </w:pPr>
      <w:r w:rsidRPr="00A911EB">
        <w:t xml:space="preserve">Three mass bins positively expressed in </w:t>
      </w:r>
      <w:r w:rsidR="001737B9">
        <w:rPr>
          <w:i/>
        </w:rPr>
        <w:t>S. vulgaris</w:t>
      </w:r>
      <w:r w:rsidRPr="00A911EB">
        <w:t xml:space="preserve">, 336.2, 350.2 and 352.2 (Table 4.1.) were putatively identified as pyrrolizidine alkaloids, senecione, riddelline and retrorsine, which are toxic compounds that function to protect against grazing and naturally occur in the genus Senecio </w:t>
      </w:r>
      <w:r w:rsidRPr="00A911EB">
        <w:fldChar w:fldCharType="begin" w:fldLock="1"/>
      </w:r>
      <w:r w:rsidR="007C2FF9">
        <w:instrText>ADDIN CSL_CITATION { "citationItems" : [ { "id" : "ITEM-1", "itemData" : { "DOI" : "10.1016/0305-1978(93)90098-C", "ISBN" : "0748406204", "ISSN" : "03051978", "abstract" : "Phytochemical Dictionary, A Handbook of Bioactive Compounds from Plants, Second Edition, Herbert Baxter, J.B. Harborne, Gerald P. Moss, Botany, Biology", "author" : [ { "dropping-particle" : "", "family" : "Waterman", "given" : "Peter G.", "non-dropping-particle" : "", "parse-names" : false, "suffix" : "" } ], "container-title" : "Biochemical Systematics and Ecology", "edition" : "Second", "id" : "ITEM-1", "issued" : { "date-parts" : [ [ "1993" ] ] }, "number-of-pages" : "849", "publisher" : "Taylor and Francis LTD, One Gunpowder Square, London", "title" : "Phytochemical Dictionary. A Handbook of Bioactive Compounds from Plants", "type" : "book", "volume" : "21" }, "uris" : [ "http://www.mendeley.com/documents/?uuid=363ddecd-4ab6-4198-a3ce-fc80d126b5bc" ] } ], "mendeley" : { "formattedCitation" : "(Waterman, 1993)", "plainTextFormattedCitation" : "(Waterman, 1993)", "previouslyFormattedCitation" : "(Waterman, 1993)" }, "properties" : { "noteIndex" : 0 }, "schema" : "https://github.com/citation-style-language/schema/raw/master/csl-citation.json" }</w:instrText>
      </w:r>
      <w:r w:rsidRPr="00A911EB">
        <w:fldChar w:fldCharType="separate"/>
      </w:r>
      <w:r w:rsidRPr="00A911EB">
        <w:rPr>
          <w:noProof/>
        </w:rPr>
        <w:t>(Waterman, 1993)</w:t>
      </w:r>
      <w:r w:rsidRPr="00A911EB">
        <w:fldChar w:fldCharType="end"/>
      </w:r>
      <w:r w:rsidRPr="00A911EB">
        <w:t xml:space="preserve">. </w:t>
      </w:r>
    </w:p>
    <w:p w14:paraId="4A670883" w14:textId="77777777" w:rsidR="0052730F" w:rsidRPr="00A911EB" w:rsidRDefault="0052730F" w:rsidP="0052730F">
      <w:pPr>
        <w:pStyle w:val="BodyJB"/>
      </w:pPr>
    </w:p>
    <w:p w14:paraId="6DBE5FFB" w14:textId="77777777" w:rsidR="0052730F" w:rsidRPr="00A911EB" w:rsidRDefault="0052730F" w:rsidP="0052730F">
      <w:pPr>
        <w:pStyle w:val="BodyJB"/>
      </w:pPr>
    </w:p>
    <w:p w14:paraId="3B750A95" w14:textId="77777777" w:rsidR="0052730F" w:rsidRPr="00A911EB" w:rsidRDefault="0052730F" w:rsidP="0052730F">
      <w:pPr>
        <w:pStyle w:val="BodyJB"/>
      </w:pPr>
    </w:p>
    <w:p w14:paraId="1423CD46" w14:textId="77777777" w:rsidR="0052730F" w:rsidRPr="00A911EB" w:rsidRDefault="0052730F" w:rsidP="0052730F">
      <w:pPr>
        <w:pStyle w:val="BodyJB"/>
      </w:pPr>
    </w:p>
    <w:p w14:paraId="3C86B36C" w14:textId="77777777" w:rsidR="0052730F" w:rsidRPr="00A911EB" w:rsidRDefault="0052730F" w:rsidP="0052730F">
      <w:pPr>
        <w:pStyle w:val="BodyJB"/>
      </w:pPr>
    </w:p>
    <w:p w14:paraId="169E0A88" w14:textId="77777777" w:rsidR="0052730F" w:rsidRPr="00A911EB" w:rsidRDefault="0052730F" w:rsidP="0052730F">
      <w:pPr>
        <w:pStyle w:val="BodyJB"/>
      </w:pPr>
    </w:p>
    <w:p w14:paraId="4806C425" w14:textId="77777777" w:rsidR="0052730F" w:rsidRPr="00A911EB" w:rsidRDefault="0052730F" w:rsidP="0052730F">
      <w:pPr>
        <w:pStyle w:val="BodyJB"/>
        <w:sectPr w:rsidR="0052730F" w:rsidRPr="00A911EB" w:rsidSect="000612B7">
          <w:footerReference w:type="even" r:id="rId34"/>
          <w:footerReference w:type="default" r:id="rId35"/>
          <w:pgSz w:w="12240" w:h="15840"/>
          <w:pgMar w:top="1361" w:right="1134" w:bottom="1361" w:left="2268" w:header="709" w:footer="851" w:gutter="0"/>
          <w:cols w:space="708"/>
        </w:sectPr>
      </w:pPr>
    </w:p>
    <w:p w14:paraId="469F96E2" w14:textId="77777777" w:rsidR="0052730F" w:rsidRDefault="0052730F" w:rsidP="0052730F">
      <w:pPr>
        <w:pStyle w:val="BodyJB"/>
        <w:spacing w:line="240" w:lineRule="auto"/>
      </w:pPr>
      <w:r w:rsidRPr="00A911EB">
        <w:t>Table 4.1. Summary of putative identifications for mass bin values that positively and negatively contribute to species separation as shown in Fig 4.1. Putative identifications are based on accurate mass, calculated as mass values falling within a bin, averaged according to species of interest. Identifications highlighted here are chosen based on similarity to the average mass value and known occurrence in plants.</w:t>
      </w:r>
    </w:p>
    <w:p w14:paraId="57A6EDCC" w14:textId="77777777" w:rsidR="00F120EE" w:rsidRPr="00A911EB" w:rsidRDefault="00F120EE" w:rsidP="0052730F">
      <w:pPr>
        <w:pStyle w:val="BodyJB"/>
        <w:spacing w:line="240" w:lineRule="auto"/>
      </w:pPr>
    </w:p>
    <w:p w14:paraId="736C34F7" w14:textId="53CECCE6" w:rsidR="0052730F" w:rsidRPr="00A911EB" w:rsidRDefault="00481837" w:rsidP="00494486">
      <w:pPr>
        <w:ind w:left="720"/>
        <w:rPr>
          <w:color w:val="FF0000"/>
        </w:rPr>
      </w:pPr>
      <w:r w:rsidRPr="00481837">
        <w:rPr>
          <w:noProof/>
          <w:color w:val="FF0000"/>
          <w:lang w:val="en-US" w:eastAsia="en-US"/>
        </w:rPr>
        <w:drawing>
          <wp:inline distT="0" distB="0" distL="0" distR="0" wp14:anchorId="3F9775A3" wp14:editId="43204513">
            <wp:extent cx="8003963" cy="3839090"/>
            <wp:effectExtent l="0" t="0" r="0" b="0"/>
            <wp:docPr id="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003963" cy="3839090"/>
                    </a:xfrm>
                    <a:prstGeom prst="rect">
                      <a:avLst/>
                    </a:prstGeom>
                    <a:noFill/>
                    <a:ln>
                      <a:noFill/>
                    </a:ln>
                  </pic:spPr>
                </pic:pic>
              </a:graphicData>
            </a:graphic>
          </wp:inline>
        </w:drawing>
      </w:r>
    </w:p>
    <w:p w14:paraId="1938D1E8" w14:textId="43015EEC" w:rsidR="0052730F" w:rsidRPr="00A911EB" w:rsidRDefault="0052730F" w:rsidP="0052730F">
      <w:pPr>
        <w:rPr>
          <w:color w:val="FF0000"/>
        </w:rPr>
      </w:pPr>
    </w:p>
    <w:p w14:paraId="38345E8B" w14:textId="4E7A3E59" w:rsidR="0052730F" w:rsidRPr="00A911EB" w:rsidRDefault="0052730F" w:rsidP="0052730F">
      <w:pPr>
        <w:rPr>
          <w:color w:val="FF0000"/>
        </w:rPr>
      </w:pPr>
    </w:p>
    <w:p w14:paraId="4C1BC98C" w14:textId="77777777" w:rsidR="0052730F" w:rsidRPr="00A911EB" w:rsidRDefault="0052730F" w:rsidP="0052730F">
      <w:pPr>
        <w:rPr>
          <w:color w:val="FF0000"/>
        </w:rPr>
      </w:pPr>
    </w:p>
    <w:p w14:paraId="610FCB89" w14:textId="77777777" w:rsidR="0052730F" w:rsidRPr="00A911EB" w:rsidRDefault="0052730F" w:rsidP="0052730F">
      <w:pPr>
        <w:rPr>
          <w:color w:val="FF0000"/>
        </w:rPr>
      </w:pPr>
    </w:p>
    <w:p w14:paraId="36003225" w14:textId="77777777" w:rsidR="0052730F" w:rsidRDefault="0052730F" w:rsidP="0052730F">
      <w:pPr>
        <w:rPr>
          <w:color w:val="FF0000"/>
        </w:rPr>
      </w:pPr>
    </w:p>
    <w:p w14:paraId="7DD10519" w14:textId="77777777" w:rsidR="00481837" w:rsidRDefault="00481837" w:rsidP="0052730F">
      <w:pPr>
        <w:rPr>
          <w:color w:val="FF0000"/>
        </w:rPr>
      </w:pPr>
    </w:p>
    <w:p w14:paraId="1AFF6896" w14:textId="1C58B43E" w:rsidR="0052730F" w:rsidRPr="00481837" w:rsidRDefault="00481837" w:rsidP="0052730F">
      <w:pPr>
        <w:rPr>
          <w:rFonts w:ascii="Times" w:hAnsi="Times"/>
          <w:color w:val="000000" w:themeColor="text1"/>
        </w:rPr>
      </w:pPr>
      <w:r w:rsidRPr="00481837">
        <w:rPr>
          <w:rFonts w:ascii="Times" w:hAnsi="Times"/>
          <w:color w:val="000000" w:themeColor="text1"/>
        </w:rPr>
        <w:t>Table 4.1. Continued</w:t>
      </w:r>
    </w:p>
    <w:p w14:paraId="535C1450" w14:textId="26CF4410" w:rsidR="0052730F" w:rsidRDefault="00F120EE" w:rsidP="00494486">
      <w:pPr>
        <w:ind w:left="720"/>
        <w:rPr>
          <w:color w:val="FF0000"/>
        </w:rPr>
      </w:pPr>
      <w:r>
        <w:rPr>
          <w:noProof/>
          <w:color w:val="FF0000"/>
          <w:lang w:val="en-US" w:eastAsia="en-US"/>
        </w:rPr>
        <w:drawing>
          <wp:inline distT="0" distB="0" distL="0" distR="0" wp14:anchorId="6D3CEDE5" wp14:editId="0EEE3C27">
            <wp:extent cx="7775363" cy="5324095"/>
            <wp:effectExtent l="0" t="0" r="0" b="10160"/>
            <wp:docPr id="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775433" cy="5324143"/>
                    </a:xfrm>
                    <a:prstGeom prst="rect">
                      <a:avLst/>
                    </a:prstGeom>
                    <a:noFill/>
                    <a:ln>
                      <a:noFill/>
                    </a:ln>
                  </pic:spPr>
                </pic:pic>
              </a:graphicData>
            </a:graphic>
          </wp:inline>
        </w:drawing>
      </w:r>
    </w:p>
    <w:p w14:paraId="0E8433E5" w14:textId="370777CC" w:rsidR="0052730F" w:rsidRDefault="0052730F" w:rsidP="0052730F">
      <w:pPr>
        <w:rPr>
          <w:color w:val="FF0000"/>
        </w:rPr>
      </w:pPr>
    </w:p>
    <w:p w14:paraId="38F0C241" w14:textId="77777777" w:rsidR="0052730F" w:rsidRPr="00A911EB" w:rsidRDefault="0052730F" w:rsidP="0052730F">
      <w:pPr>
        <w:rPr>
          <w:color w:val="FF0000"/>
        </w:rPr>
        <w:sectPr w:rsidR="0052730F" w:rsidRPr="00A911EB" w:rsidSect="007F0529">
          <w:footerReference w:type="default" r:id="rId38"/>
          <w:pgSz w:w="16840" w:h="11901" w:orient="landscape"/>
          <w:pgMar w:top="1701" w:right="1418" w:bottom="1134" w:left="1134" w:header="709" w:footer="851" w:gutter="0"/>
          <w:cols w:space="708"/>
        </w:sectPr>
      </w:pPr>
    </w:p>
    <w:p w14:paraId="07590192" w14:textId="77777777" w:rsidR="0052730F" w:rsidRPr="00A911EB" w:rsidRDefault="0052730F" w:rsidP="0052730F">
      <w:pPr>
        <w:pStyle w:val="BodyJB"/>
      </w:pPr>
      <w:r w:rsidRPr="00A911EB">
        <w:t xml:space="preserve"> </w:t>
      </w:r>
      <w:r w:rsidRPr="00A911EB">
        <w:tab/>
        <w:t xml:space="preserve"> </w:t>
      </w:r>
    </w:p>
    <w:p w14:paraId="7C9DFC3A" w14:textId="77777777" w:rsidR="0052730F" w:rsidRPr="00A911EB" w:rsidRDefault="0052730F" w:rsidP="005D60E0">
      <w:pPr>
        <w:pStyle w:val="BodyJB"/>
        <w:ind w:firstLine="720"/>
      </w:pPr>
      <w:r w:rsidRPr="00A911EB">
        <w:t xml:space="preserve">Putative identifications of all of the bins found using ANOVA to show an effect of species, along with average count data were uploaded to MetaboAnalyst to identify species-specific up-regulation of metabolite pathways (Table 4.2.).  </w:t>
      </w:r>
    </w:p>
    <w:p w14:paraId="53E23421" w14:textId="1B80018D" w:rsidR="0052730F" w:rsidRPr="00A911EB" w:rsidRDefault="0052730F" w:rsidP="00F812C7">
      <w:pPr>
        <w:pStyle w:val="BodyJB"/>
        <w:ind w:firstLine="720"/>
      </w:pPr>
      <w:r w:rsidRPr="00A911EB">
        <w:t xml:space="preserve">Compounds responsible for causing species-specific metabolic patterns in </w:t>
      </w:r>
      <w:r w:rsidR="00065F92">
        <w:rPr>
          <w:i/>
        </w:rPr>
        <w:t>C. diffusum</w:t>
      </w:r>
      <w:r w:rsidRPr="00A911EB">
        <w:t xml:space="preserve"> most frequently mapped onto pathways relating to carbohydrate metabolism (4 out of 5 pathways featured in Table 4.2.). While pathways relating to amino acid metabolism typically summarised the compounds positively discriminating </w:t>
      </w:r>
      <w:r w:rsidR="001737B9">
        <w:rPr>
          <w:i/>
        </w:rPr>
        <w:t>V. arvensis</w:t>
      </w:r>
      <w:r w:rsidRPr="00A911EB">
        <w:t xml:space="preserve"> (3 out of 5 pathways featured in Table 4.2.). </w:t>
      </w:r>
      <w:r w:rsidRPr="00A911EB">
        <w:rPr>
          <w:i/>
        </w:rPr>
        <w:t>Phleum arenarium</w:t>
      </w:r>
      <w:r w:rsidRPr="00A911EB">
        <w:t xml:space="preserve"> was the only species in which it’s discriminatory metabolites mapped onto pathways involved in terpene and polyketoid metabolism, e.g. zeatin biosynthesis and terpenoid backbone biosynthesis (Table 4.2.). </w:t>
      </w:r>
    </w:p>
    <w:p w14:paraId="27F6C7F5" w14:textId="73B859E2" w:rsidR="0052730F" w:rsidRPr="00A911EB" w:rsidRDefault="0052730F" w:rsidP="005D60E0">
      <w:pPr>
        <w:pStyle w:val="BodyJB"/>
        <w:ind w:firstLine="720"/>
      </w:pPr>
      <w:r w:rsidRPr="00A911EB">
        <w:t xml:space="preserve">The compounds discovered to be causing the overriding species-specific patterns in metabolism did show some similarities between species. For example, some of the compounds relating to the metabolic discrimination of </w:t>
      </w:r>
      <w:r w:rsidR="00FD79D6">
        <w:rPr>
          <w:i/>
        </w:rPr>
        <w:t>A. serpyllifolia</w:t>
      </w:r>
      <w:r w:rsidRPr="00A911EB">
        <w:t xml:space="preserve"> mapped onto the pathway arginine and proline metabolism (Table 4.2.), compounds relating to </w:t>
      </w:r>
      <w:r w:rsidR="00065F92">
        <w:rPr>
          <w:i/>
        </w:rPr>
        <w:t>P. arenarium</w:t>
      </w:r>
      <w:r w:rsidRPr="00A911EB">
        <w:t xml:space="preserve"> and </w:t>
      </w:r>
      <w:r w:rsidR="001737B9">
        <w:rPr>
          <w:i/>
        </w:rPr>
        <w:t>V. arvensis</w:t>
      </w:r>
      <w:r w:rsidRPr="00A911EB">
        <w:t xml:space="preserve"> also mapped onto this pathway. Other instances of shared pathways include alanine, aspartate and glutamate metabolism discriminating both </w:t>
      </w:r>
      <w:r w:rsidR="00FD79D6">
        <w:rPr>
          <w:i/>
        </w:rPr>
        <w:t>A. serpyllifolia</w:t>
      </w:r>
      <w:r w:rsidRPr="00A911EB">
        <w:t xml:space="preserve"> and </w:t>
      </w:r>
      <w:r w:rsidR="001737B9">
        <w:rPr>
          <w:i/>
        </w:rPr>
        <w:t>V. arvensis</w:t>
      </w:r>
      <w:r w:rsidRPr="00A911EB">
        <w:t xml:space="preserve">, and amino sugar metabolism discriminating both </w:t>
      </w:r>
      <w:r w:rsidR="00065F92">
        <w:rPr>
          <w:i/>
        </w:rPr>
        <w:t>C. diffusum</w:t>
      </w:r>
      <w:r w:rsidRPr="00A911EB">
        <w:t xml:space="preserve"> and </w:t>
      </w:r>
      <w:r w:rsidR="00065F92">
        <w:rPr>
          <w:i/>
        </w:rPr>
        <w:t>P. arenarium</w:t>
      </w:r>
      <w:r w:rsidRPr="00A911EB">
        <w:t>.</w:t>
      </w:r>
    </w:p>
    <w:p w14:paraId="4161C00B" w14:textId="4905316F" w:rsidR="0052730F" w:rsidRPr="00A911EB" w:rsidRDefault="0052730F" w:rsidP="0052730F">
      <w:pPr>
        <w:pStyle w:val="BodyJB"/>
      </w:pPr>
      <w:r w:rsidRPr="00A911EB">
        <w:t xml:space="preserve">The lists of discriminatory compounds that could not be mapped using MetabAnalyst were then consulted to determine any further patterns in metabolism. The putative identifications of four mass bins, 385.2, 371.2, 355.2, 339.2, found in significantly higher concentrations in </w:t>
      </w:r>
      <w:r w:rsidR="001737B9">
        <w:rPr>
          <w:i/>
        </w:rPr>
        <w:t>V. arvensis</w:t>
      </w:r>
      <w:r w:rsidRPr="00A911EB">
        <w:t xml:space="preserve">, included Giberellins (GAs). While prostaglandins were found among the putative identifications of three mass bins 375.4, 391.2, 391.4 that related to metabolism within </w:t>
      </w:r>
      <w:r w:rsidR="00FD79D6">
        <w:rPr>
          <w:i/>
        </w:rPr>
        <w:t>A. serpyllifolia</w:t>
      </w:r>
      <w:r w:rsidRPr="00A911EB">
        <w:t xml:space="preserve">.  </w:t>
      </w:r>
      <w:r w:rsidRPr="00A911EB">
        <w:tab/>
        <w:t xml:space="preserve"> </w:t>
      </w:r>
    </w:p>
    <w:p w14:paraId="5E114F1E" w14:textId="77777777" w:rsidR="0052730F" w:rsidRPr="00A911EB" w:rsidRDefault="0052730F" w:rsidP="0052730F">
      <w:pPr>
        <w:pStyle w:val="BodyJB"/>
      </w:pPr>
    </w:p>
    <w:p w14:paraId="59152C08" w14:textId="77777777" w:rsidR="0052730F" w:rsidRPr="00A911EB" w:rsidRDefault="0052730F" w:rsidP="0052730F">
      <w:pPr>
        <w:pStyle w:val="BodyJB"/>
      </w:pPr>
    </w:p>
    <w:p w14:paraId="1C470B98" w14:textId="77777777" w:rsidR="0052730F" w:rsidRPr="00A911EB" w:rsidRDefault="0052730F" w:rsidP="0052730F">
      <w:pPr>
        <w:pStyle w:val="BodyJB"/>
      </w:pPr>
    </w:p>
    <w:p w14:paraId="6C949424" w14:textId="77777777" w:rsidR="0052730F" w:rsidRPr="00A911EB" w:rsidRDefault="0052730F" w:rsidP="0052730F">
      <w:pPr>
        <w:pStyle w:val="BodyJB"/>
      </w:pPr>
    </w:p>
    <w:p w14:paraId="1B0425B0" w14:textId="77777777" w:rsidR="0052730F" w:rsidRPr="00A911EB" w:rsidRDefault="0052730F" w:rsidP="0052730F">
      <w:pPr>
        <w:pStyle w:val="BodyJB"/>
      </w:pPr>
    </w:p>
    <w:p w14:paraId="0926871D" w14:textId="77777777" w:rsidR="0052730F" w:rsidRPr="00A911EB" w:rsidRDefault="0052730F" w:rsidP="0052730F">
      <w:pPr>
        <w:pStyle w:val="BodyJB"/>
      </w:pPr>
    </w:p>
    <w:p w14:paraId="53D1AA2A" w14:textId="77777777" w:rsidR="0052730F" w:rsidRPr="00A911EB" w:rsidRDefault="0052730F" w:rsidP="0052730F">
      <w:pPr>
        <w:pStyle w:val="BodyJB"/>
      </w:pPr>
    </w:p>
    <w:p w14:paraId="2D79E8F9" w14:textId="77777777" w:rsidR="0052730F" w:rsidRPr="00A911EB" w:rsidRDefault="0052730F" w:rsidP="0052730F">
      <w:pPr>
        <w:pStyle w:val="BodyJB"/>
      </w:pPr>
    </w:p>
    <w:p w14:paraId="38EB5885" w14:textId="77777777" w:rsidR="0052730F" w:rsidRPr="00A911EB" w:rsidRDefault="0052730F" w:rsidP="0052730F">
      <w:pPr>
        <w:pStyle w:val="BodyJB"/>
        <w:sectPr w:rsidR="0052730F" w:rsidRPr="00A911EB" w:rsidSect="000612B7">
          <w:footerReference w:type="default" r:id="rId39"/>
          <w:pgSz w:w="11899" w:h="16840"/>
          <w:pgMar w:top="1418" w:right="1134" w:bottom="1418" w:left="2268" w:header="709" w:footer="851" w:gutter="0"/>
          <w:cols w:space="708"/>
        </w:sectPr>
      </w:pPr>
    </w:p>
    <w:p w14:paraId="37AFCBC5" w14:textId="26DB3103" w:rsidR="0052730F" w:rsidRDefault="0052730F" w:rsidP="00494486">
      <w:pPr>
        <w:pStyle w:val="BodyJB"/>
        <w:spacing w:line="240" w:lineRule="auto"/>
        <w:ind w:left="720"/>
        <w:rPr>
          <w:sz w:val="20"/>
          <w:szCs w:val="20"/>
        </w:rPr>
      </w:pPr>
      <w:r w:rsidRPr="00494486">
        <w:rPr>
          <w:sz w:val="21"/>
          <w:szCs w:val="21"/>
        </w:rPr>
        <w:t>Table 4.2. Pathways of interest based on the most discriminatory mass bins determined by ANOVA. Putative identifications of the accurate mass contained within each mass bin was first determined and then uploaded onto MetabolAnalyst mapping software.</w:t>
      </w:r>
      <w:r w:rsidR="00494486" w:rsidRPr="00494486">
        <w:rPr>
          <w:noProof/>
          <w:lang w:val="en-US" w:eastAsia="en-US"/>
        </w:rPr>
        <w:t xml:space="preserve"> </w:t>
      </w:r>
      <w:r w:rsidR="00494486" w:rsidRPr="00A911EB">
        <w:rPr>
          <w:noProof/>
          <w:lang w:val="en-US" w:eastAsia="en-US"/>
        </w:rPr>
        <w:drawing>
          <wp:inline distT="0" distB="0" distL="0" distR="0" wp14:anchorId="265796CF" wp14:editId="09413D59">
            <wp:extent cx="8307917" cy="4842784"/>
            <wp:effectExtent l="0" t="0" r="0" b="889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307917" cy="4842784"/>
                    </a:xfrm>
                    <a:prstGeom prst="rect">
                      <a:avLst/>
                    </a:prstGeom>
                    <a:noFill/>
                    <a:ln>
                      <a:noFill/>
                    </a:ln>
                  </pic:spPr>
                </pic:pic>
              </a:graphicData>
            </a:graphic>
          </wp:inline>
        </w:drawing>
      </w:r>
    </w:p>
    <w:p w14:paraId="41612051" w14:textId="77777777" w:rsidR="00494486" w:rsidRDefault="00494486" w:rsidP="0052730F">
      <w:pPr>
        <w:pStyle w:val="BodyJB"/>
        <w:spacing w:line="240" w:lineRule="auto"/>
        <w:rPr>
          <w:sz w:val="20"/>
          <w:szCs w:val="20"/>
        </w:rPr>
      </w:pPr>
    </w:p>
    <w:p w14:paraId="35A62EF6" w14:textId="77777777" w:rsidR="00494486" w:rsidRPr="0012623F" w:rsidRDefault="00494486" w:rsidP="0052730F">
      <w:pPr>
        <w:pStyle w:val="BodyJB"/>
        <w:spacing w:line="240" w:lineRule="auto"/>
        <w:rPr>
          <w:sz w:val="20"/>
          <w:szCs w:val="20"/>
        </w:rPr>
        <w:sectPr w:rsidR="00494486" w:rsidRPr="0012623F" w:rsidSect="00FA5E0C">
          <w:footerReference w:type="default" r:id="rId41"/>
          <w:pgSz w:w="16840" w:h="11901" w:orient="landscape"/>
          <w:pgMar w:top="2268" w:right="1418" w:bottom="1134" w:left="1134" w:header="709" w:footer="851" w:gutter="0"/>
          <w:cols w:space="708"/>
        </w:sectPr>
      </w:pPr>
    </w:p>
    <w:p w14:paraId="6E291C28" w14:textId="77777777" w:rsidR="0052730F" w:rsidRPr="00A911EB" w:rsidRDefault="0052730F" w:rsidP="0052730F">
      <w:pPr>
        <w:pStyle w:val="SubheadingJB"/>
      </w:pPr>
      <w:bookmarkStart w:id="70" w:name="_Toc291410075"/>
      <w:r w:rsidRPr="00A911EB">
        <w:t>4.4- Discussion</w:t>
      </w:r>
      <w:bookmarkEnd w:id="70"/>
    </w:p>
    <w:p w14:paraId="3A2A1155" w14:textId="77777777" w:rsidR="0052730F" w:rsidRPr="00A911EB" w:rsidRDefault="0052730F" w:rsidP="0052730F">
      <w:pPr>
        <w:pStyle w:val="BodyJB"/>
      </w:pPr>
    </w:p>
    <w:p w14:paraId="7AE7CBCF" w14:textId="77777777" w:rsidR="0052730F" w:rsidRPr="00502C9B" w:rsidRDefault="0052730F" w:rsidP="005D60E0">
      <w:pPr>
        <w:pStyle w:val="subheadingMINOR"/>
      </w:pPr>
      <w:bookmarkStart w:id="71" w:name="_Toc291410076"/>
      <w:r w:rsidRPr="00502C9B">
        <w:t>Overview of Metabolic Differentiation Relating to Species</w:t>
      </w:r>
      <w:bookmarkEnd w:id="71"/>
    </w:p>
    <w:p w14:paraId="2982AD8D" w14:textId="0CA2EDC2" w:rsidR="0052730F" w:rsidRDefault="0052730F" w:rsidP="0052730F">
      <w:pPr>
        <w:pStyle w:val="BodyJB"/>
        <w:rPr>
          <w:iCs/>
        </w:rPr>
      </w:pPr>
      <w:r w:rsidRPr="00A911EB">
        <w:tab/>
        <w:t>Analysis of the aqueous phase of extracts taken from plants grown under common environmental conditions indicates that metabolism varies between species. By analysing the different layers within the multi-dimensional Principal Component Analysis, along with statistically determining species differences by ANOVA, we can determine specific areas of metabolism that differ.</w:t>
      </w:r>
      <w:r>
        <w:t xml:space="preserve"> </w:t>
      </w:r>
      <w:r w:rsidRPr="00A911EB">
        <w:t xml:space="preserve">The PCA score plots (Fig. 4.1) summarising metabolic relatedness between samples indicates a clear pattern, species differentiation. About 24% of the variation between plant samples explains the separation of </w:t>
      </w:r>
      <w:r w:rsidR="00FD79D6">
        <w:rPr>
          <w:i/>
          <w:iCs/>
        </w:rPr>
        <w:t>A. serpyllifolia</w:t>
      </w:r>
      <w:r w:rsidRPr="00A911EB">
        <w:rPr>
          <w:iCs/>
        </w:rPr>
        <w:t xml:space="preserve"> from the other species (see PC1, Fig 4.1.a). </w:t>
      </w:r>
      <w:r w:rsidR="001737B9">
        <w:rPr>
          <w:iCs/>
        </w:rPr>
        <w:t>V. arvensis</w:t>
      </w:r>
      <w:r w:rsidRPr="00A911EB">
        <w:rPr>
          <w:iCs/>
        </w:rPr>
        <w:t xml:space="preserve"> also shows distinctive differences in metabolism, separating along a principle component explaining 14% of the modelled variation (Fig. 4.1.a). The metabolic variation causing separation of </w:t>
      </w:r>
      <w:r w:rsidR="001737B9">
        <w:rPr>
          <w:i/>
          <w:iCs/>
        </w:rPr>
        <w:t>S. vulgaris</w:t>
      </w:r>
      <w:r w:rsidRPr="00A911EB">
        <w:rPr>
          <w:iCs/>
        </w:rPr>
        <w:t xml:space="preserve">, </w:t>
      </w:r>
      <w:r w:rsidR="00065F92">
        <w:rPr>
          <w:i/>
          <w:iCs/>
        </w:rPr>
        <w:t>C. diffusum</w:t>
      </w:r>
      <w:r w:rsidRPr="00A911EB">
        <w:rPr>
          <w:iCs/>
        </w:rPr>
        <w:t xml:space="preserve"> and </w:t>
      </w:r>
      <w:r w:rsidR="00065F92">
        <w:rPr>
          <w:i/>
          <w:iCs/>
        </w:rPr>
        <w:t>P. arenarium</w:t>
      </w:r>
      <w:r w:rsidRPr="00A911EB">
        <w:rPr>
          <w:iCs/>
        </w:rPr>
        <w:t xml:space="preserve"> is about 10% (see PC3 and PC4, Fig 4.1.b). </w:t>
      </w:r>
    </w:p>
    <w:p w14:paraId="227B63D6" w14:textId="77777777" w:rsidR="0052730F" w:rsidRPr="00A911EB" w:rsidRDefault="0052730F" w:rsidP="0052730F">
      <w:pPr>
        <w:pStyle w:val="BodyJB"/>
        <w:rPr>
          <w:iCs/>
        </w:rPr>
      </w:pPr>
    </w:p>
    <w:p w14:paraId="72B1CF8C" w14:textId="77777777" w:rsidR="0052730F" w:rsidRPr="00502C9B" w:rsidRDefault="0052730F" w:rsidP="005D60E0">
      <w:pPr>
        <w:pStyle w:val="subheadingMINOR"/>
      </w:pPr>
      <w:bookmarkStart w:id="72" w:name="_Toc291410077"/>
      <w:r w:rsidRPr="00502C9B">
        <w:t>Details of Metabolic Differentiation</w:t>
      </w:r>
      <w:bookmarkEnd w:id="72"/>
    </w:p>
    <w:p w14:paraId="2A7420A7" w14:textId="77777777" w:rsidR="0052730F" w:rsidRDefault="0052730F" w:rsidP="005D60E0">
      <w:pPr>
        <w:pStyle w:val="BodyJB"/>
        <w:ind w:firstLine="720"/>
      </w:pPr>
      <w:r>
        <w:t xml:space="preserve">Mapping putative identifications of detected compounds indicated that although species are up-regulating different compounds (Table 4.1), there are similarities in the pathways these compounds are related to (Table 4.2). Many of the compounds that could be analysed by MetaboAnalyst mapped onto pathways relating to primary metabolism. For example, the majority of pathways showing compounds up-regulated in </w:t>
      </w:r>
      <w:r w:rsidRPr="0034753F">
        <w:rPr>
          <w:i/>
        </w:rPr>
        <w:t>C. diffusum</w:t>
      </w:r>
      <w:r>
        <w:t xml:space="preserve">, are involved in carbohydrate metabolism, and the identified pathways for </w:t>
      </w:r>
      <w:r w:rsidRPr="0034753F">
        <w:rPr>
          <w:i/>
        </w:rPr>
        <w:t>V. arvensis</w:t>
      </w:r>
      <w:r>
        <w:t xml:space="preserve"> are associated with amino acid metabolism. Primary metabolism, involving the assimilation of carbon and nitrogen, will show basic similarities across all species because these are essential functions enabling plants to live and grow. Species differentiation of compounds within these essential pathways may be indicating that species express different fluxes through these pathways. </w:t>
      </w:r>
      <w:r w:rsidRPr="00DF4AE8">
        <w:rPr>
          <w:i/>
        </w:rPr>
        <w:t>A. serpyllifolia</w:t>
      </w:r>
      <w:r>
        <w:t xml:space="preserve">, </w:t>
      </w:r>
      <w:r w:rsidRPr="00DF4AE8">
        <w:rPr>
          <w:i/>
        </w:rPr>
        <w:t>P. arenarium</w:t>
      </w:r>
      <w:r>
        <w:t xml:space="preserve"> and </w:t>
      </w:r>
      <w:r w:rsidRPr="00DF4AE8">
        <w:rPr>
          <w:i/>
        </w:rPr>
        <w:t>V. arvensis</w:t>
      </w:r>
      <w:r>
        <w:t xml:space="preserve"> all up-regulate different compounds that function in arginine and proline metabolism, however the metabolite mass bins arginine and proline would be detected within (m/z values of 175.2, 197.2, 213 for arginine, 116, 138, 154 for proline), show no statistically significant up-regulation in these species. </w:t>
      </w:r>
    </w:p>
    <w:p w14:paraId="441564A2" w14:textId="374ED2A7" w:rsidR="0052730F" w:rsidRPr="00A911EB" w:rsidRDefault="0052730F" w:rsidP="005D60E0">
      <w:pPr>
        <w:pStyle w:val="BodyJB"/>
        <w:ind w:firstLine="720"/>
        <w:rPr>
          <w:sz w:val="20"/>
          <w:szCs w:val="20"/>
        </w:rPr>
      </w:pPr>
      <w:r w:rsidRPr="00A911EB">
        <w:t xml:space="preserve">A number of compounds causing positive discrimination of </w:t>
      </w:r>
      <w:r w:rsidR="001737B9">
        <w:rPr>
          <w:i/>
          <w:iCs/>
        </w:rPr>
        <w:t>V. arvensis</w:t>
      </w:r>
      <w:r w:rsidRPr="00A911EB">
        <w:rPr>
          <w:i/>
          <w:iCs/>
        </w:rPr>
        <w:t xml:space="preserve"> </w:t>
      </w:r>
      <w:r w:rsidRPr="00A911EB">
        <w:t>were putatively identified as Gibberellins</w:t>
      </w:r>
      <w:r>
        <w:t xml:space="preserve"> (Table 4.1)</w:t>
      </w:r>
      <w:r w:rsidRPr="00A911EB">
        <w:t xml:space="preserve">. Gibberellins (GAs) are a group of terpenes that typically act as growth promotors and regulators </w:t>
      </w:r>
      <w:r>
        <w:fldChar w:fldCharType="begin" w:fldLock="1"/>
      </w:r>
      <w:r w:rsidR="007C2FF9">
        <w:instrText>ADDIN CSL_CITATION { "citationItems" : [ { "id" : "ITEM-1", "itemData" : { "DOI" : "10.1111/gfs.12035", "ISSN" : "01425242", "author" : [ { "dropping-particle" : "", "family" : "Parsons", "given" : "a. J.", "non-dropping-particle" : "", "parse-names" : false, "suffix" : "" }, { "dropping-particle" : "", "family" : "Rasmussen", "given" : "S.", "non-dropping-particle" : "", "parse-names" : false, "suffix" : "" }, { "dropping-particle" : "", "family" : "Liu", "given" : "Q.", "non-dropping-particle" : "", "parse-names" : false, "suffix" : "" }, { "dropping-particle" : "", "family" : "Xue", "given" : "H.", "non-dropping-particle" : "", "parse-names" : false, "suffix" : "" }, { "dropping-particle" : "", "family" : "Ball", "given" : "C.", "non-dropping-particle" : "", "parse-names" : false, "suffix" : "" }, { "dropping-particle" : "", "family" : "Shaw", "given" : "C.", "non-dropping-particle" : "", "parse-names" : false, "suffix" : "" } ], "container-title" : "Grass and Forage Science", "id" : "ITEM-1", "issue" : "4", "issued" : { "date-parts" : [ [ "2013", "12", "21" ] ] }, "page" : "577-588", "title" : "Plant growth - resource or strategy limited: insights from responses to gibberellin", "type" : "article-journal", "volume" : "68" }, "uris" : [ "http://www.mendeley.com/documents/?uuid=c52f4883-6b18-4130-8a57-776b5b6eb9db" ] }, { "id" : "ITEM-2", "itemData" : { "DOI" : "10.1007/s11101-005-4248-0", "ISSN" : "1568-7767", "author" : [ { "dropping-particle" : "", "family" : "Yamaguchi", "given" : "Shinjiro", "non-dropping-particle" : "", "parse-names" : false, "suffix" : "" } ], "container-title" : "Phytochemistry Reviews", "id" : "ITEM-2", "issue" : "1", "issued" : { "date-parts" : [ [ "2006", "6", "17" ] ] }, "page" : "39-47", "title" : "Gibberellin Biosynthesis in Arabidopsis", "type" : "article-journal", "volume" : "5" }, "uris" : [ "http://www.mendeley.com/documents/?uuid=36faf34b-3862-4de7-95fb-a73a68717688" ] } ], "mendeley" : { "formattedCitation" : "(Yamaguchi, 2006; Parsons et al., 2013)", "plainTextFormattedCitation" : "(Yamaguchi, 2006; Parsons et al., 2013)", "previouslyFormattedCitation" : "(Yamaguchi, 2006; Parsons et al., 2013)" }, "properties" : { "noteIndex" : 0 }, "schema" : "https://github.com/citation-style-language/schema/raw/master/csl-citation.json" }</w:instrText>
      </w:r>
      <w:r>
        <w:fldChar w:fldCharType="separate"/>
      </w:r>
      <w:r w:rsidRPr="00040B6D">
        <w:rPr>
          <w:noProof/>
        </w:rPr>
        <w:t xml:space="preserve">(Yamaguchi, 2006; Parsons </w:t>
      </w:r>
      <w:r w:rsidRPr="00040B6D">
        <w:rPr>
          <w:i/>
          <w:noProof/>
        </w:rPr>
        <w:t>et al.</w:t>
      </w:r>
      <w:r w:rsidRPr="00040B6D">
        <w:rPr>
          <w:noProof/>
        </w:rPr>
        <w:t>, 2013)</w:t>
      </w:r>
      <w:r>
        <w:fldChar w:fldCharType="end"/>
      </w:r>
      <w:r>
        <w:t>.</w:t>
      </w:r>
      <w:r w:rsidRPr="00A911EB">
        <w:t xml:space="preserve"> Abiotic factors such as low temperature, salt stress, and high temperature are known to cause differential expression of gibberellin oxidase genes that encode gibberellin compounds </w:t>
      </w:r>
      <w:r>
        <w:fldChar w:fldCharType="begin" w:fldLock="1"/>
      </w:r>
      <w:r w:rsidR="007C2FF9">
        <w:instrText>ADDIN CSL_CITATION { "citationItems" : [ { "id" : "ITEM-1", "itemData" : { "DOI" : "10.2478/s11756-012-0048-3", "ISBN" : "1175601200483", "ISSN" : "0006-3088", "author" : [ { "dropping-particle" : "", "family" : "Dai", "given" : "Xiaomei", "non-dropping-particle" : "", "parse-names" : false, "suffix" : "" }, { "dropping-particle" : "", "family" : "Cheng", "given" : "Xiaoxia", "non-dropping-particle" : "", "parse-names" : false, "suffix" : "" }, { "dropping-particle" : "", "family" : "Li", "given" : "Yunxia", "non-dropping-particle" : "", "parse-names" : false, "suffix" : "" }, { "dropping-particle" : "", "family" : "Tang", "given" : "Wei", "non-dropping-particle" : "", "parse-names" : false, "suffix" : "" }, { "dropping-particle" : "", "family" : "Han", "given" : "Liebao", "non-dropping-particle" : "", "parse-names" : false, "suffix" : "" } ], "container-title" : "Biologia", "id" : "ITEM-1", "issue" : "4", "issued" : { "date-parts" : [ [ "2012", "6", "30" ] ] }, "page" : "681-688", "title" : "Differential expression of gibberellin 20 oxidase gene induced by abiotic stresses in Zoysiagrass (Zoysia japonica)", "type" : "article-journal", "volume" : "67" }, "uris" : [ "http://www.mendeley.com/documents/?uuid=2ae0f548-245c-43d2-bf33-4c8c769d7808" ] } ], "mendeley" : { "formattedCitation" : "(Dai et al., 2012)", "plainTextFormattedCitation" : "(Dai et al., 2012)", "previouslyFormattedCitation" : "(Dai et al., 2012)" }, "properties" : { "noteIndex" : 0 }, "schema" : "https://github.com/citation-style-language/schema/raw/master/csl-citation.json" }</w:instrText>
      </w:r>
      <w:r>
        <w:fldChar w:fldCharType="separate"/>
      </w:r>
      <w:r w:rsidRPr="00040B6D">
        <w:rPr>
          <w:noProof/>
        </w:rPr>
        <w:t xml:space="preserve">(Dai </w:t>
      </w:r>
      <w:r w:rsidRPr="00040B6D">
        <w:rPr>
          <w:i/>
          <w:noProof/>
        </w:rPr>
        <w:t>et al.</w:t>
      </w:r>
      <w:r w:rsidRPr="00040B6D">
        <w:rPr>
          <w:noProof/>
        </w:rPr>
        <w:t>, 2012)</w:t>
      </w:r>
      <w:r>
        <w:fldChar w:fldCharType="end"/>
      </w:r>
      <w:r>
        <w:t>.</w:t>
      </w:r>
      <w:r w:rsidRPr="00A911EB">
        <w:t xml:space="preserve"> Investigations of plants with impaired GA production indicate that gibberellins play a role in initiating flowering </w:t>
      </w:r>
      <w:r>
        <w:fldChar w:fldCharType="begin" w:fldLock="1"/>
      </w:r>
      <w:r w:rsidR="007C2FF9">
        <w:instrText>ADDIN CSL_CITATION { "citationItems" : [ { "id" : "ITEM-1", "itemData" : { "ISSN" : "0032-0889", "PMID" : "16652976", "abstract" : "Mutants of Arabidopsis thaliana deficient in gibberellin synthesis (ga1-3 and ga1-6), and a gibberellin-insensitive mutant (gai) were compared to the wild-type (WT) Landsberg erecta line for flowering time and leaf number when grown in either short days (SD) or continuous light (CL). The ga1-3 mutant, which is severely defective in ent-kaurene synthesis because it lacks most of the GA1 gene, never flowered in SD unless treated with exogenous gibberellin. After a prolonged period of vegetative growth, this mutant eventually underwent senescence without having produced flower buds. The gai mutant and the \"leaky\" ga1-6 mutant did flower in SD, but took somewhat longer than WT. All the mutants flowered readily in CL, although the ga1-3 mutant showed some delay. Unlike WT and ga1-3, the gai mutant failed to respond to gibberellin treatment by accelerating flowering in SD. A cold treatment promoted flowering in the WT and gai, but failed to induce flowering in ga1-3. From these results, it appears that gibberellin normally plays a role in initiating flowering of Arabidopsis.", "author" : [ { "dropping-particle" : "", "family" : "Wilson", "given" : "R N", "non-dropping-particle" : "", "parse-names" : false, "suffix" : "" }, { "dropping-particle" : "", "family" : "Heckman", "given" : "J W", "non-dropping-particle" : "", "parse-names" : false, "suffix" : "" }, { "dropping-particle" : "", "family" : "Somerville", "given" : "C R", "non-dropping-particle" : "", "parse-names" : false, "suffix" : "" } ], "container-title" : "Plant physiology", "id" : "ITEM-1", "issue" : "1", "issued" : { "date-parts" : [ [ "1992", "9" ] ] }, "page" : "403-8", "title" : "Gibberellin Is Required for Flowering in Arabidopsis thaliana under Short Days.", "type" : "article-journal", "volume" : "100" }, "uris" : [ "http://www.mendeley.com/documents/?uuid=060741c1-c3e4-48f1-93f2-e08cdf9c9662" ] } ], "mendeley" : { "formattedCitation" : "(Wilson et al., 1992)", "plainTextFormattedCitation" : "(Wilson et al., 1992)", "previouslyFormattedCitation" : "(Wilson et al., 1992)" }, "properties" : { "noteIndex" : 0 }, "schema" : "https://github.com/citation-style-language/schema/raw/master/csl-citation.json" }</w:instrText>
      </w:r>
      <w:r>
        <w:fldChar w:fldCharType="separate"/>
      </w:r>
      <w:r w:rsidRPr="00040B6D">
        <w:rPr>
          <w:noProof/>
        </w:rPr>
        <w:t xml:space="preserve">(Wilson </w:t>
      </w:r>
      <w:r w:rsidRPr="00040B6D">
        <w:rPr>
          <w:i/>
          <w:noProof/>
        </w:rPr>
        <w:t>et al.</w:t>
      </w:r>
      <w:r w:rsidRPr="00040B6D">
        <w:rPr>
          <w:noProof/>
        </w:rPr>
        <w:t>, 1992)</w:t>
      </w:r>
      <w:r>
        <w:fldChar w:fldCharType="end"/>
      </w:r>
      <w:r>
        <w:t>.</w:t>
      </w:r>
      <w:r w:rsidRPr="00A911EB">
        <w:t xml:space="preserve"> In </w:t>
      </w:r>
      <w:r w:rsidR="001737B9">
        <w:rPr>
          <w:i/>
          <w:iCs/>
        </w:rPr>
        <w:t>V. arvensis</w:t>
      </w:r>
      <w:r w:rsidRPr="00A911EB">
        <w:rPr>
          <w:i/>
          <w:iCs/>
        </w:rPr>
        <w:t>,</w:t>
      </w:r>
      <w:r w:rsidRPr="00A911EB">
        <w:t xml:space="preserve"> leaf samples for metabolomic analysis were collected one week after initial flowering. Analysis of height of these plants in the previous chapter indicates that flowering coincides with a rapid increase in growth in </w:t>
      </w:r>
      <w:r w:rsidR="001737B9">
        <w:rPr>
          <w:i/>
          <w:iCs/>
        </w:rPr>
        <w:t>V. arvensis</w:t>
      </w:r>
      <w:r w:rsidRPr="00A911EB">
        <w:t>, which may explain why the growth promoting compounds, GAs, positively discriminate this species.  </w:t>
      </w:r>
    </w:p>
    <w:p w14:paraId="03C27D03" w14:textId="77777777" w:rsidR="0052730F" w:rsidRDefault="0052730F" w:rsidP="005D60E0">
      <w:pPr>
        <w:pStyle w:val="BodyJB"/>
        <w:ind w:firstLine="720"/>
      </w:pPr>
      <w:r w:rsidRPr="00A911EB">
        <w:t xml:space="preserve">Many of the important m/z value bins statistically separating </w:t>
      </w:r>
      <w:r w:rsidRPr="00A911EB">
        <w:rPr>
          <w:i/>
          <w:iCs/>
        </w:rPr>
        <w:t>Senecio vulgaris</w:t>
      </w:r>
      <w:r w:rsidRPr="00A911EB">
        <w:t xml:space="preserve"> from the other species had putative identifications that fell into the class of compounds known at the pyrrolizidine alkaloids (PAs). These secondary compounds are particularly numerous and diverse in the </w:t>
      </w:r>
      <w:r w:rsidRPr="00A911EB">
        <w:rPr>
          <w:i/>
          <w:iCs/>
        </w:rPr>
        <w:t>Senecio</w:t>
      </w:r>
      <w:r w:rsidRPr="00A911EB">
        <w:t xml:space="preserve"> genus (Langal </w:t>
      </w:r>
      <w:r w:rsidRPr="00A911EB">
        <w:rPr>
          <w:i/>
          <w:iCs/>
        </w:rPr>
        <w:t>et al.</w:t>
      </w:r>
      <w:r w:rsidRPr="00A911EB">
        <w:t xml:space="preserve">, 2011), and have been widely studied due to their hepatoxic effect on livestock and humans (Macel &amp; Klinkhamer, 2010). Hartmann and Zimmer (Hartmann &amp; Zimmer, 1986) used metabolic techniques to determine the distribution and accumulation of PAs within </w:t>
      </w:r>
      <w:r w:rsidRPr="00A911EB">
        <w:rPr>
          <w:i/>
          <w:iCs/>
        </w:rPr>
        <w:t>Senecio vulgaris</w:t>
      </w:r>
      <w:r w:rsidRPr="00A911EB">
        <w:t>. While 90% of total alkaloids were found in the flower heads, the main PAs in the leaves were senecio</w:t>
      </w:r>
      <w:r>
        <w:t>ni</w:t>
      </w:r>
      <w:r w:rsidRPr="00A911EB">
        <w:t>ne, followed by seneciphylline, integerrimine, and retrorsine, the masses of both senecion</w:t>
      </w:r>
      <w:r>
        <w:t>in</w:t>
      </w:r>
      <w:r w:rsidRPr="00A911EB">
        <w:t xml:space="preserve">e and retrosine matched masses detected in the leaves of the plants analysed in this study. </w:t>
      </w:r>
    </w:p>
    <w:p w14:paraId="57428D9E" w14:textId="77EAE1D6" w:rsidR="0052730F" w:rsidRDefault="0052730F" w:rsidP="0052730F">
      <w:pPr>
        <w:pStyle w:val="BodyJB"/>
      </w:pPr>
      <w:r>
        <w:tab/>
        <w:t xml:space="preserve">The putative identification of </w:t>
      </w:r>
      <w:r w:rsidRPr="00A911EB">
        <w:t>pyrrolizidine alkaloids</w:t>
      </w:r>
      <w:r>
        <w:t xml:space="preserve"> up-regulated in </w:t>
      </w:r>
      <w:r w:rsidRPr="005C0C68">
        <w:rPr>
          <w:i/>
        </w:rPr>
        <w:t>S. vulgaris</w:t>
      </w:r>
      <w:r>
        <w:t xml:space="preserve"> corroborates other evidence that there can be strong phylogenetic cons</w:t>
      </w:r>
      <w:r w:rsidR="005D60E0">
        <w:t>traints on metabolic variation</w:t>
      </w:r>
      <w:r>
        <w:t xml:space="preserve">. It has however, been more difficult to attribute metabolic variation in the other species to patterns of relatedness according to their phylogeny (Fig. 2.8.). Generally though, the most related species </w:t>
      </w:r>
      <w:r w:rsidRPr="00CB4919">
        <w:rPr>
          <w:i/>
        </w:rPr>
        <w:t>A. serpyllifolia</w:t>
      </w:r>
      <w:r>
        <w:t xml:space="preserve"> and </w:t>
      </w:r>
      <w:r w:rsidRPr="00CB4919">
        <w:rPr>
          <w:i/>
        </w:rPr>
        <w:t>C. diffusum</w:t>
      </w:r>
      <w:r>
        <w:t xml:space="preserve"> (both belonging to the Caryophyllacaea) up-regulate compounds falling mostly into pathways relating to primary metabolism (Table 4.2). While the other three species show up-regulation of compounds and pathways that function within secondary metabolism (</w:t>
      </w:r>
      <w:r w:rsidRPr="00CB4919">
        <w:rPr>
          <w:i/>
        </w:rPr>
        <w:t>P. arenarium</w:t>
      </w:r>
      <w:r>
        <w:t xml:space="preserve"> expression of terpenoid and zeatine biosynthesis, </w:t>
      </w:r>
      <w:r w:rsidRPr="00CB4919">
        <w:rPr>
          <w:i/>
        </w:rPr>
        <w:t>S. vulgaris</w:t>
      </w:r>
      <w:r>
        <w:t xml:space="preserve"> expression of PA compounds and </w:t>
      </w:r>
      <w:r w:rsidRPr="00CB4919">
        <w:rPr>
          <w:i/>
        </w:rPr>
        <w:t>V. arvensis</w:t>
      </w:r>
      <w:r>
        <w:t xml:space="preserve"> expression of Giberrellins).  </w:t>
      </w:r>
    </w:p>
    <w:p w14:paraId="2F3FC2B6" w14:textId="77777777" w:rsidR="0052730F" w:rsidRPr="00A911EB" w:rsidRDefault="0052730F" w:rsidP="0052730F">
      <w:pPr>
        <w:pStyle w:val="BodyJB"/>
      </w:pPr>
    </w:p>
    <w:p w14:paraId="41B14095" w14:textId="77777777" w:rsidR="00325489" w:rsidRDefault="00325489" w:rsidP="0052730F"/>
    <w:p w14:paraId="48076E44" w14:textId="77777777" w:rsidR="00325489" w:rsidRDefault="00325489" w:rsidP="0052730F"/>
    <w:p w14:paraId="601E143F" w14:textId="77777777" w:rsidR="00325489" w:rsidRDefault="00325489" w:rsidP="0052730F"/>
    <w:p w14:paraId="7CFBA427" w14:textId="77777777" w:rsidR="00325489" w:rsidRDefault="00325489" w:rsidP="0052730F"/>
    <w:p w14:paraId="5CD56241" w14:textId="77777777" w:rsidR="00325489" w:rsidRDefault="00325489" w:rsidP="0052730F"/>
    <w:p w14:paraId="01273BA6" w14:textId="77777777" w:rsidR="00325489" w:rsidRDefault="00325489" w:rsidP="0052730F"/>
    <w:p w14:paraId="5927EF39" w14:textId="77777777" w:rsidR="00325489" w:rsidRDefault="00325489" w:rsidP="0052730F"/>
    <w:p w14:paraId="6C114615" w14:textId="77777777" w:rsidR="00325489" w:rsidRDefault="00325489" w:rsidP="0052730F"/>
    <w:p w14:paraId="2639A1E4" w14:textId="77777777" w:rsidR="00B925E3" w:rsidRDefault="00B925E3" w:rsidP="0052730F"/>
    <w:p w14:paraId="3C1D9191" w14:textId="77777777" w:rsidR="0052730F" w:rsidRPr="00A911EB" w:rsidRDefault="0052730F" w:rsidP="009C1505">
      <w:pPr>
        <w:ind w:left="720"/>
      </w:pPr>
      <w:r w:rsidRPr="00502C9B">
        <w:rPr>
          <w:noProof/>
          <w:lang w:val="en-US" w:eastAsia="en-US"/>
        </w:rPr>
        <w:drawing>
          <wp:inline distT="0" distB="0" distL="0" distR="0" wp14:anchorId="12FA48C6" wp14:editId="26C68B74">
            <wp:extent cx="3951605" cy="2669215"/>
            <wp:effectExtent l="0" t="0" r="1079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4171.png"/>
                    <pic:cNvPicPr/>
                  </pic:nvPicPr>
                  <pic:blipFill rotWithShape="1">
                    <a:blip r:embed="rId42">
                      <a:extLst>
                        <a:ext uri="{28A0092B-C50C-407E-A947-70E740481C1C}">
                          <a14:useLocalDpi xmlns:a14="http://schemas.microsoft.com/office/drawing/2010/main" val="0"/>
                        </a:ext>
                      </a:extLst>
                    </a:blip>
                    <a:srcRect l="8256" t="64625"/>
                    <a:stretch/>
                  </pic:blipFill>
                  <pic:spPr bwMode="auto">
                    <a:xfrm>
                      <a:off x="0" y="0"/>
                      <a:ext cx="3952817" cy="2670034"/>
                    </a:xfrm>
                    <a:prstGeom prst="rect">
                      <a:avLst/>
                    </a:prstGeom>
                    <a:ln>
                      <a:noFill/>
                    </a:ln>
                    <a:extLst>
                      <a:ext uri="{53640926-AAD7-44d8-BBD7-CCE9431645EC}">
                        <a14:shadowObscured xmlns:a14="http://schemas.microsoft.com/office/drawing/2010/main"/>
                      </a:ext>
                    </a:extLst>
                  </pic:spPr>
                </pic:pic>
              </a:graphicData>
            </a:graphic>
          </wp:inline>
        </w:drawing>
      </w:r>
    </w:p>
    <w:p w14:paraId="55662C29" w14:textId="77777777" w:rsidR="0052730F" w:rsidRPr="00A911EB" w:rsidRDefault="0052730F" w:rsidP="0052730F">
      <w:pPr>
        <w:pStyle w:val="BodyJB"/>
        <w:spacing w:line="240" w:lineRule="auto"/>
      </w:pPr>
      <w:r w:rsidRPr="00A911EB">
        <w:t xml:space="preserve">Fig </w:t>
      </w:r>
      <w:r>
        <w:t>2.8. P</w:t>
      </w:r>
      <w:r w:rsidRPr="00A911EB">
        <w:t>hylogenetic summary of species, branch lengths correspond to the evolutionary divergence time (b).</w:t>
      </w:r>
    </w:p>
    <w:p w14:paraId="4BB8FB7C" w14:textId="77777777" w:rsidR="0052730F" w:rsidRPr="00A911EB" w:rsidRDefault="0052730F" w:rsidP="0052730F">
      <w:pPr>
        <w:pStyle w:val="BodyJB"/>
      </w:pPr>
    </w:p>
    <w:p w14:paraId="12948EAE" w14:textId="77777777" w:rsidR="0052730F" w:rsidRDefault="0052730F" w:rsidP="0052730F">
      <w:pPr>
        <w:pStyle w:val="BodyJB"/>
      </w:pPr>
    </w:p>
    <w:p w14:paraId="68325963" w14:textId="77777777" w:rsidR="0052730F" w:rsidRDefault="0052730F" w:rsidP="0052730F">
      <w:pPr>
        <w:pStyle w:val="BodyJB"/>
      </w:pPr>
    </w:p>
    <w:p w14:paraId="6E9C234C" w14:textId="77777777" w:rsidR="0052730F" w:rsidRPr="00A911EB" w:rsidRDefault="0052730F" w:rsidP="0052730F">
      <w:pPr>
        <w:pStyle w:val="BodyJB"/>
      </w:pPr>
    </w:p>
    <w:p w14:paraId="77030FDE" w14:textId="77777777" w:rsidR="0052730F" w:rsidRDefault="0052730F" w:rsidP="0052730F">
      <w:pPr>
        <w:pStyle w:val="BodyJB"/>
      </w:pPr>
    </w:p>
    <w:p w14:paraId="4B84C231" w14:textId="77777777" w:rsidR="0052730F" w:rsidRDefault="0052730F" w:rsidP="0052730F">
      <w:pPr>
        <w:pStyle w:val="BodyJB"/>
      </w:pPr>
    </w:p>
    <w:p w14:paraId="3F1AA618" w14:textId="77777777" w:rsidR="0052730F" w:rsidRDefault="0052730F" w:rsidP="0052730F">
      <w:pPr>
        <w:pStyle w:val="BodyJB"/>
      </w:pPr>
    </w:p>
    <w:p w14:paraId="08E6C50F" w14:textId="77777777" w:rsidR="005D60E0" w:rsidRDefault="005D60E0" w:rsidP="0052730F">
      <w:pPr>
        <w:pStyle w:val="BodyJB"/>
      </w:pPr>
    </w:p>
    <w:p w14:paraId="18227CBC" w14:textId="77777777" w:rsidR="005D60E0" w:rsidRDefault="005D60E0" w:rsidP="0052730F">
      <w:pPr>
        <w:pStyle w:val="BodyJB"/>
      </w:pPr>
    </w:p>
    <w:p w14:paraId="7E17F92E" w14:textId="77777777" w:rsidR="005D60E0" w:rsidRDefault="005D60E0" w:rsidP="0052730F">
      <w:pPr>
        <w:pStyle w:val="BodyJB"/>
      </w:pPr>
    </w:p>
    <w:p w14:paraId="2F7D091F" w14:textId="77777777" w:rsidR="0052730F" w:rsidRDefault="0052730F" w:rsidP="0052730F">
      <w:pPr>
        <w:rPr>
          <w:rFonts w:cs="Times New Roman"/>
          <w:color w:val="000000"/>
        </w:rPr>
      </w:pPr>
    </w:p>
    <w:p w14:paraId="6AD3C3CC" w14:textId="77777777" w:rsidR="0052730F" w:rsidRDefault="0052730F" w:rsidP="0052730F">
      <w:pPr>
        <w:rPr>
          <w:rFonts w:cs="Times New Roman"/>
          <w:color w:val="000000"/>
        </w:rPr>
      </w:pPr>
    </w:p>
    <w:p w14:paraId="590B6BA2" w14:textId="77777777" w:rsidR="0052730F" w:rsidRDefault="0052730F" w:rsidP="0052730F">
      <w:pPr>
        <w:rPr>
          <w:rFonts w:cs="Times New Roman"/>
          <w:color w:val="000000"/>
        </w:rPr>
      </w:pPr>
    </w:p>
    <w:p w14:paraId="262D0FE1" w14:textId="77777777" w:rsidR="0052730F" w:rsidRDefault="0052730F" w:rsidP="0052730F">
      <w:pPr>
        <w:rPr>
          <w:rFonts w:cs="Times New Roman"/>
          <w:color w:val="000000"/>
        </w:rPr>
      </w:pPr>
    </w:p>
    <w:p w14:paraId="29C6DF0A" w14:textId="77777777" w:rsidR="0052730F" w:rsidRDefault="0052730F" w:rsidP="0052730F">
      <w:pPr>
        <w:rPr>
          <w:rFonts w:cs="Times New Roman"/>
          <w:color w:val="000000"/>
        </w:rPr>
      </w:pPr>
    </w:p>
    <w:p w14:paraId="4D67543B" w14:textId="77777777" w:rsidR="0052730F" w:rsidRDefault="0052730F" w:rsidP="0052730F">
      <w:pPr>
        <w:rPr>
          <w:rFonts w:cs="Times New Roman"/>
          <w:color w:val="000000"/>
        </w:rPr>
      </w:pPr>
    </w:p>
    <w:p w14:paraId="10172DDC" w14:textId="77777777" w:rsidR="0052730F" w:rsidRDefault="0052730F" w:rsidP="0052730F">
      <w:pPr>
        <w:rPr>
          <w:rFonts w:cs="Times New Roman"/>
          <w:color w:val="000000"/>
        </w:rPr>
      </w:pPr>
    </w:p>
    <w:p w14:paraId="6446FCE7" w14:textId="77777777" w:rsidR="0052730F" w:rsidRDefault="0052730F" w:rsidP="0052730F">
      <w:pPr>
        <w:rPr>
          <w:rFonts w:cs="Times New Roman"/>
          <w:color w:val="000000"/>
        </w:rPr>
      </w:pPr>
    </w:p>
    <w:p w14:paraId="12611BAA" w14:textId="77777777" w:rsidR="0052730F" w:rsidRDefault="0052730F" w:rsidP="0052730F">
      <w:pPr>
        <w:rPr>
          <w:rFonts w:cs="Times New Roman"/>
          <w:color w:val="000000"/>
        </w:rPr>
      </w:pPr>
    </w:p>
    <w:p w14:paraId="326EF1E5" w14:textId="77777777" w:rsidR="0052730F" w:rsidRPr="00502C9B" w:rsidRDefault="0052730F" w:rsidP="005D60E0">
      <w:pPr>
        <w:pStyle w:val="subheadingMINOR"/>
      </w:pPr>
      <w:bookmarkStart w:id="73" w:name="_Toc291410078"/>
      <w:r w:rsidRPr="00502C9B">
        <w:t>Control of Metabolism</w:t>
      </w:r>
      <w:bookmarkEnd w:id="73"/>
    </w:p>
    <w:p w14:paraId="6542AD50" w14:textId="714C60BD" w:rsidR="0052730F" w:rsidRDefault="0052730F" w:rsidP="005D60E0">
      <w:pPr>
        <w:pStyle w:val="BodyJB"/>
        <w:ind w:firstLine="720"/>
      </w:pPr>
      <w:r w:rsidRPr="00A911EB">
        <w:t>At the most basic level, the expression of metabolites will result from the interplay between genes and the environment. The plants in this study have been grown under standardised, ambient, environmental conditions in order to remove the impact of environment</w:t>
      </w:r>
      <w:r>
        <w:t>;</w:t>
      </w:r>
      <w:r w:rsidRPr="00A911EB">
        <w:t xml:space="preserve"> thus providing </w:t>
      </w:r>
      <w:r>
        <w:t>an indication that the differential expression of compounds between species has a substantial genetic basis</w:t>
      </w:r>
      <w:r w:rsidRPr="00A911EB">
        <w:t xml:space="preserve">. Metabolomic studies conducted under standardised environmental conditions, such as this, have been used in the past to infer genetic differences between populations of Arabidopsis </w:t>
      </w:r>
      <w:r w:rsidRPr="00A911EB">
        <w:fldChar w:fldCharType="begin" w:fldLock="1"/>
      </w:r>
      <w:r w:rsidR="007C2FF9">
        <w:instrText>ADDIN CSL_CITATION { "citationItems" : [ { "id" : "ITEM-1", "itemData" : { "DOI" : "10.1007/s11306-008-0127-1", "ISSN" : "1573-3882", "author" : [ { "dropping-particle" : "", "family" : "Davey", "given" : "Matthew P.", "non-dropping-particle" : "", "parse-names" : false, "suffix" : "" }, { "dropping-particle" : "", "family" : "Ian Woodward", "given" : "F.", "non-dropping-particle" : "", "parse-names" : false, "suffix" : "" }, { "dropping-particle" : "", "family" : "Paul Quick", "given" : "W.", "non-dropping-particle" : "", "parse-names" : false, "suffix" : "" } ], "container-title" : "Metabolomics", "id" : "ITEM-1", "issue" : "1", "issued" : { "date-parts" : [ [ "2008", "9", "2" ] ] }, "page" : "138-149", "title" : "Intraspecfic variation in cold-temperature metabolic phenotypes of Arabidopsis lyrata ssp. petraea", "type" : "article-journal", "volume" : "5" }, "uris" : [ "http://www.mendeley.com/documents/?uuid=23390ae3-b215-454d-88b9-0139808db8df" ] } ], "mendeley" : { "formattedCitation" : "(Davey et al., 2008b)", "plainTextFormattedCitation" : "(Davey et al., 2008b)", "previouslyFormattedCitation" : "(Davey et al., 2008b)" }, "properties" : { "noteIndex" : 0 }, "schema" : "https://github.com/citation-style-language/schema/raw/master/csl-citation.json" }</w:instrText>
      </w:r>
      <w:r w:rsidRPr="00A911EB">
        <w:fldChar w:fldCharType="separate"/>
      </w:r>
      <w:r w:rsidR="00134C22" w:rsidRPr="00134C22">
        <w:rPr>
          <w:noProof/>
        </w:rPr>
        <w:t>(Davey et al., 2008b)</w:t>
      </w:r>
      <w:r w:rsidRPr="00A911EB">
        <w:fldChar w:fldCharType="end"/>
      </w:r>
      <w:r w:rsidRPr="00A911EB">
        <w:t>.</w:t>
      </w:r>
      <w:r>
        <w:t xml:space="preserve"> </w:t>
      </w:r>
    </w:p>
    <w:p w14:paraId="49FFCF12" w14:textId="61A3E3D6" w:rsidR="0052730F" w:rsidRPr="00A911EB" w:rsidRDefault="0052730F" w:rsidP="00A11DEA">
      <w:pPr>
        <w:pStyle w:val="BodyJB"/>
        <w:rPr>
          <w:iCs/>
        </w:rPr>
      </w:pPr>
      <w:r>
        <w:t>There are however, a number of non-genetic controllers of trait expression that could explain metabolic variation under common environmental conditions</w:t>
      </w:r>
      <w:r w:rsidR="005D60E0">
        <w:t xml:space="preserve"> such as maternal effects and epigenetic factors.</w:t>
      </w:r>
      <w:r>
        <w:t xml:space="preserve"> </w:t>
      </w:r>
    </w:p>
    <w:p w14:paraId="75B7CCCA" w14:textId="77777777" w:rsidR="0052730F" w:rsidRDefault="0052730F" w:rsidP="00A11DEA">
      <w:pPr>
        <w:pStyle w:val="BodyJB"/>
      </w:pPr>
    </w:p>
    <w:p w14:paraId="273846C3" w14:textId="70EC95B5" w:rsidR="0052730F" w:rsidRPr="0012623F" w:rsidRDefault="0052730F" w:rsidP="00A11DEA">
      <w:pPr>
        <w:pStyle w:val="BodyJB"/>
        <w:rPr>
          <w:sz w:val="20"/>
          <w:szCs w:val="20"/>
        </w:rPr>
      </w:pPr>
      <w:r w:rsidRPr="00A911EB">
        <w:tab/>
      </w:r>
      <w:r>
        <w:t>To conclude, t</w:t>
      </w:r>
      <w:r w:rsidRPr="00A911EB">
        <w:t xml:space="preserve">he data suggest that these five species that grow together in a habitat, experiencing similar biotic and abiotic stresses, prioritise different metabolic functions at a similar life history stage. Many of the metabolites that positively discriminate each species are associated with responses to stress. Abiotic factors such as environmental climatic stresses, resource availability and disturbance, together with biotic factors such as competition and mutualisms, constrain which species and traits can persist in a particular location </w:t>
      </w:r>
      <w:r w:rsidR="00A11DEA">
        <w:fldChar w:fldCharType="begin" w:fldLock="1"/>
      </w:r>
      <w:r w:rsidR="00E26ED7">
        <w:instrText>ADDIN CSL_CITATION { "citationItems" : [ { "id" : "ITEM-1", "itemData" : { "author" : [ { "dropping-particle" : "", "family" : "Lavorel", "given" : "S", "non-dropping-particle" : "", "parse-names" : false, "suffix" : "" }, { "dropping-particle" : "", "family" : "Garnier", "given" : "E", "non-dropping-particle" : "", "parse-names" : false, "suffix" : "" } ], "container-title" : "Functional Ecology", "id" : "ITEM-1", "issued" : { "date-parts" : [ [ "2002" ] ] }, "page" : "545-556", "title" : "Predicting changes in community composition and ecosystem functioning from plant traits : revisiting the holy grail", "type" : "article-journal" }, "uris" : [ "http://www.mendeley.com/documents/?uuid=fe55530a-5e3b-46cb-921f-25718efd8009" ] } ], "mendeley" : { "formattedCitation" : "(Lavorel and Garnier, 2002)", "plainTextFormattedCitation" : "(Lavorel and Garnier, 2002)", "previouslyFormattedCitation" : "(Lavorel and Garnier, 2002)" }, "properties" : { "noteIndex" : 0 }, "schema" : "https://github.com/citation-style-language/schema/raw/master/csl-citation.json" }</w:instrText>
      </w:r>
      <w:r w:rsidR="00A11DEA">
        <w:fldChar w:fldCharType="separate"/>
      </w:r>
      <w:r w:rsidR="00A11DEA" w:rsidRPr="00A11DEA">
        <w:rPr>
          <w:noProof/>
        </w:rPr>
        <w:t>(Lavorel and Garnier, 2002)</w:t>
      </w:r>
      <w:r w:rsidR="00A11DEA">
        <w:fldChar w:fldCharType="end"/>
      </w:r>
      <w:r w:rsidRPr="00A911EB">
        <w:t>. These species may be filling different metabolic niches in order to allo</w:t>
      </w:r>
      <w:r>
        <w:t>w coexistence in the community.</w:t>
      </w:r>
    </w:p>
    <w:p w14:paraId="601C2AC0" w14:textId="77777777" w:rsidR="009C1505" w:rsidRDefault="009C1505">
      <w:pPr>
        <w:rPr>
          <w:rFonts w:ascii="Times" w:hAnsi="Times"/>
          <w:b/>
          <w:sz w:val="36"/>
        </w:rPr>
      </w:pPr>
      <w:r>
        <w:br w:type="page"/>
      </w:r>
    </w:p>
    <w:p w14:paraId="1B988651" w14:textId="1DB5BCE4" w:rsidR="0052730F" w:rsidRPr="009A5A0E" w:rsidRDefault="0052730F" w:rsidP="0052730F">
      <w:pPr>
        <w:pStyle w:val="HeadingJB"/>
      </w:pPr>
      <w:bookmarkStart w:id="74" w:name="_Toc291410079"/>
      <w:r w:rsidRPr="009A5A0E">
        <w:t>Chapter 5- Population Differentiation in Metabolic Traits</w:t>
      </w:r>
      <w:bookmarkEnd w:id="74"/>
      <w:r w:rsidRPr="009A5A0E">
        <w:t xml:space="preserve"> </w:t>
      </w:r>
    </w:p>
    <w:p w14:paraId="45658F8B" w14:textId="77777777" w:rsidR="0052730F" w:rsidRPr="009A5A0E" w:rsidRDefault="0052730F" w:rsidP="0052730F">
      <w:pPr>
        <w:pStyle w:val="BodyJB"/>
      </w:pPr>
    </w:p>
    <w:p w14:paraId="64409139" w14:textId="77777777" w:rsidR="0052730F" w:rsidRPr="009A5A0E" w:rsidRDefault="0052730F" w:rsidP="0052730F">
      <w:pPr>
        <w:pStyle w:val="SubheadingJB"/>
        <w:rPr>
          <w:color w:val="3366FF"/>
        </w:rPr>
      </w:pPr>
      <w:bookmarkStart w:id="75" w:name="_Toc291410080"/>
      <w:r w:rsidRPr="009A5A0E">
        <w:t>Introduction</w:t>
      </w:r>
      <w:bookmarkEnd w:id="75"/>
      <w:r w:rsidRPr="009A5A0E">
        <w:t xml:space="preserve"> </w:t>
      </w:r>
    </w:p>
    <w:p w14:paraId="33B6C8E8" w14:textId="77777777" w:rsidR="0052730F" w:rsidRPr="009A5A0E" w:rsidRDefault="0052730F" w:rsidP="005D60E0">
      <w:pPr>
        <w:pStyle w:val="BodyJB"/>
        <w:ind w:firstLine="720"/>
      </w:pPr>
      <w:r w:rsidRPr="009A5A0E">
        <w:t xml:space="preserve">Chapter 3 sets out in detail, how the assessment of phenotypic traits in plant populations can be used to determine the mechanistic basis of plant responses to current environmental variation. It is important to assess the relative importance of plastic, maternal, and genetic contributions phenotypic variation when predicting ecological and evolutionary responses to environmental change. Metabolomic methods are now applied to assess how plant traits at the biochemical level of plant organisation are influenced by environmental variation. </w:t>
      </w:r>
    </w:p>
    <w:p w14:paraId="32DE63A1" w14:textId="77777777" w:rsidR="00450E64" w:rsidRDefault="00450E64" w:rsidP="00450E64">
      <w:pPr>
        <w:pStyle w:val="BodyJB"/>
      </w:pPr>
    </w:p>
    <w:p w14:paraId="18A0F706" w14:textId="691F47B9" w:rsidR="00450E64" w:rsidRDefault="00450E64" w:rsidP="00450E64">
      <w:pPr>
        <w:pStyle w:val="BodyJB"/>
        <w:ind w:firstLine="720"/>
      </w:pPr>
      <w:r>
        <w:t xml:space="preserve">In their natural environment, individual plants experience </w:t>
      </w:r>
      <w:r w:rsidR="009C1E96">
        <w:t>large</w:t>
      </w:r>
      <w:r>
        <w:t xml:space="preserve"> variability </w:t>
      </w:r>
      <w:r w:rsidR="009C1E96">
        <w:t xml:space="preserve">in </w:t>
      </w:r>
      <w:r>
        <w:t xml:space="preserve">biotic and abiotic factors to which they must respond appropriately to in order to function and survive. These factors such as </w:t>
      </w:r>
      <w:r w:rsidR="0025058C">
        <w:t>temperature, drought, salinity, nutrient availability, herbivory,</w:t>
      </w:r>
      <w:r>
        <w:t xml:space="preserve"> vary on spatial scales ranging from metres to entire landscapes</w:t>
      </w:r>
      <w:r w:rsidR="0025058C">
        <w:t xml:space="preserve"> </w:t>
      </w:r>
      <w:r w:rsidR="002D26F2">
        <w:fldChar w:fldCharType="begin" w:fldLock="1"/>
      </w:r>
      <w:r w:rsidR="00D149E6">
        <w:instrText>ADDIN CSL_CITATION { "citationItems" : [ { "id" : "ITEM-1", "itemData" : { "author" : [ { "dropping-particle" : "", "family" : "Hartgerink", "given" : "A P", "non-dropping-particle" : "", "parse-names" : false, "suffix" : "" }, { "dropping-particle" : "", "family" : "Bazzaz", "given" : "F A", "non-dropping-particle" : "", "parse-names" : false, "suffix" : "" }, { "dropping-particle" : "", "family" : "Feb", "given" : "No", "non-dropping-particle" : "", "parse-names" : false, "suffix" : "" } ], "container-title" : "Population (English Edition)", "id" : "ITEM-1", "issue" : "1", "issued" : { "date-parts" : [ [ "1984" ] ] }, "page" : "198-206", "title" : "Seedling-Scale Environmental Heterogeneity Influences Individual Fitness and Population Structure SEEDLING-SCALE ENVIRONMENTAL HETEROGENEITY INFLUENCES INDIVIDUAL FITNESS AND POPULATION STRUCTURE1", "type" : "article-journal", "volume" : "65" }, "uris" : [ "http://www.mendeley.com/documents/?uuid=cb299f8f-8c3f-4fbf-ac4d-30138288f0ba" ] }, { "id" : "ITEM-2", "itemData" : { "DOI" : "10.1007/s00442-012-2349-1", "ISSN" : "1432-1939", "PMID" : "22707035", "abstract" : "The ability of plant species to colonize new habitats and persist in changing environments depends on their ability to respond plastically to environmental variation and on the presence of genetic variation, thus allowing adaptation to new conditions. For invasive species in particular, the relationship between phenotypic trait expression, demography, and the quantitative genetic variation that is available to respond to selection are likely to be important determinants of the successful establishment and persistence of populations. However, the magnitude and sources of individual demographic variation in exotic plant populations remain poorly understood. How important is plasticity versus adaptability in populations of invasive species? Among environmental factors, is temperature, soil nutrients, or competition most influential, and at what scales and life stages do they affect the plants? To investigate these questions we planted seeds of the exotic annual plant Erodium brachycarpum into typical pasture habitat in a spatially nested design. Seeds were drawn from 30 inbred lines to enable quantification of genetic effects. Despite a positive population growth rate, a few plants (0.1 %) produced &gt;50 % of the seeds, suggesting a low effective population size. Emergence and early growth varied by genotype, but as in previous studies on native plants, environmental effects greatly exceeded genetic effects, and survival was unrelated to genotype. Environmental influences shifted from microscale soil compaction and litter depth at emergence through to larger-scale soil nutrient gradients during growth and to competition during later survival and seed production. Temperature had no effect. Most demographic rates were positively correlated, but emergence was negatively correlated with other rates.", "author" : [ { "dropping-particle" : "", "family" : "Latimer", "given" : "Andrew M", "non-dropping-particle" : "", "parse-names" : false, "suffix" : "" }, { "dropping-particle" : "", "family" : "Jacobs", "given" : "Brooke S", "non-dropping-particle" : "", "parse-names" : false, "suffix" : "" } ], "container-title" : "Oecologia", "id" : "ITEM-2", "issue" : "3", "issued" : { "date-parts" : [ [ "2012", "11" ] ] }, "page" : "659-67", "title" : "Quantifying how fine-grained environmental heterogeneity and genetic variation affect demography in an annual plant population.", "type" : "article-journal", "volume" : "170" }, "uris" : [ "http://www.mendeley.com/documents/?uuid=ac9cf4b8-f378-4f9a-ac1f-884b08cf8762" ] }, { "id" : "ITEM-3", "itemData" : { "DOI" : "Doi 10.1007/S10682-005-2220-5", "ISBN" : "0269-7653", "abstract" : "Plant populations may show differentiation in phenotypic plasticity, and theory predicts that greater levels of environmental heterogeneity should select for higher magnitudes of phenotypic plasticity. We evaluated phenotypic responses to reduced soil moisture in plants of Convolvulus chilensis grown in a greenhouse from seeds collected in three natural populations that differ in environmental heterogeneity (precipitation regime). Among several morphological and ecophysiological traits evaluated, only four traits showed differentiation among populations in plasticity to soil moisture: leaf area, leaf shape, leaf area ratio (LAR), and foliar trichome density. In all of these traits plasticity to drought was greatest in plants from the population with the highest interannual variation in precipitation. We further tested the adaptive nature of these plastic responses by evaluating the relationship between phenotypic traits and total biomass, as a proxy for plant fitness, in the low water environment. Foliar trichome density appears to be the only trait that shows adaptive patterns of plasticity to drought. Plants from populations showing plasticity had higher trichome density when growing in soils with reduced moisture, and foliar trichome density was positively associated with total biomass.", "author" : [ { "dropping-particle" : "", "family" : "Gianoli", "given" : "E", "non-dropping-particle" : "", "parse-names" : false, "suffix" : "" }, { "dropping-particle" : "", "family" : "Gonzalez-Teuber", "given" : "M", "non-dropping-particle" : "", "parse-names" : false, "suffix" : "" } ], "container-title" : "Evolutionary Ecology", "id" : "ITEM-3", "issue" : "6", "issued" : { "date-parts" : [ [ "2005" ] ] }, "language" : "English", "page" : "603-613", "title" : "Environmental heterogeneity and population differentiation in plasticity to drought in Convolvulus chilensis (Convolvulaceae)", "type" : "article-journal", "volume" : "19" }, "uris" : [ "http://www.mendeley.com/documents/?uuid=397d6dd8-2a1d-48eb-80d0-e99616957bf8" ] } ], "mendeley" : { "formattedCitation" : "(Hartgerink et al., 1984; Gianoli and Gonzalez-Teuber, 2005; Latimer and Jacobs, 2012)", "plainTextFormattedCitation" : "(Hartgerink et al., 1984; Gianoli and Gonzalez-Teuber, 2005; Latimer and Jacobs, 2012)", "previouslyFormattedCitation" : "(Hartgerink et al., 1984; Gianoli and Gonzalez-Teuber, 2005; Latimer and Jacobs, 2012)" }, "properties" : { "noteIndex" : 0 }, "schema" : "https://github.com/citation-style-language/schema/raw/master/csl-citation.json" }</w:instrText>
      </w:r>
      <w:r w:rsidR="002D26F2">
        <w:fldChar w:fldCharType="separate"/>
      </w:r>
      <w:r w:rsidR="002D26F2" w:rsidRPr="002D26F2">
        <w:rPr>
          <w:noProof/>
        </w:rPr>
        <w:t>(Hartgerink et al., 1984; Gianoli and Gonzalez-Teuber, 2005; Latimer and Jacobs, 2012)</w:t>
      </w:r>
      <w:r w:rsidR="002D26F2">
        <w:fldChar w:fldCharType="end"/>
      </w:r>
      <w:r w:rsidR="002D26F2">
        <w:t xml:space="preserve">, </w:t>
      </w:r>
      <w:r>
        <w:t>an</w:t>
      </w:r>
      <w:r w:rsidR="00A11DEA">
        <w:t>d temporal scales from minutes to decades.</w:t>
      </w:r>
    </w:p>
    <w:p w14:paraId="72316B5B" w14:textId="0F0404FD" w:rsidR="00450E64" w:rsidRPr="00437D74" w:rsidRDefault="00450E64" w:rsidP="00450E64">
      <w:pPr>
        <w:pStyle w:val="BodyJB"/>
        <w:ind w:firstLine="720"/>
        <w:rPr>
          <w:color w:val="000000" w:themeColor="text1"/>
        </w:rPr>
      </w:pPr>
      <w:r>
        <w:t xml:space="preserve">Plants can ameliorate the impacts of environmental variation via </w:t>
      </w:r>
      <w:r w:rsidRPr="00191AD2">
        <w:t>environmentally induced changes in the phenotype, a response known as phenotypic plasticity</w:t>
      </w:r>
      <w:r>
        <w:t xml:space="preserve"> </w:t>
      </w:r>
      <w:r>
        <w:fldChar w:fldCharType="begin" w:fldLock="1"/>
      </w:r>
      <w:r w:rsidR="004723CF">
        <w:instrText>ADDIN CSL_CITATION { "citationItems" : [ { "id" : "ITEM-1", "itemData" : { "author" : [ { "dropping-particle" : "", "family" : "Bradshaw", "given" : "A. D.", "non-dropping-particle" : "", "parse-names" : false, "suffix" : "" } ], "container-title" : "Advances in Genetics", "id" : "ITEM-1", "issued" : { "date-parts" : [ [ "1965" ] ] }, "page" : "115-155", "title" : "Evolutionary significance of phenotypic plasticity in plants", "type" : "article-journal", "volume" : "13" }, "uris" : [ "http://www.mendeley.com/documents/?uuid=9f177905-37bd-410f-af44-ad52586c237b" ] } ], "mendeley" : { "formattedCitation" : "(Bradshaw, 1965)", "plainTextFormattedCitation" : "(Bradshaw, 1965)", "previouslyFormattedCitation" : "(Bradshaw, 1965)" }, "properties" : { "noteIndex" : 0 }, "schema" : "https://github.com/citation-style-language/schema/raw/master/csl-citation.json" }</w:instrText>
      </w:r>
      <w:r>
        <w:fldChar w:fldCharType="separate"/>
      </w:r>
      <w:r w:rsidRPr="00512143">
        <w:rPr>
          <w:noProof/>
        </w:rPr>
        <w:t>(Bradshaw, 1965)</w:t>
      </w:r>
      <w:r>
        <w:fldChar w:fldCharType="end"/>
      </w:r>
      <w:r w:rsidRPr="00191AD2">
        <w:t>.</w:t>
      </w:r>
      <w:r>
        <w:t xml:space="preserve"> </w:t>
      </w:r>
      <w:r w:rsidRPr="00191AD2">
        <w:t xml:space="preserve">Plasticity can be observed at all levels of organization within a plant, from physiological and biochemical characteristics of photosynthesis, to anatomy and morphology, to whole organism growth </w:t>
      </w:r>
      <w:r w:rsidRPr="00191AD2">
        <w:fldChar w:fldCharType="begin" w:fldLock="1"/>
      </w:r>
      <w:r w:rsidR="004723CF">
        <w:instrText>ADDIN CSL_CITATION { "citationItems" : [ { "id" : "ITEM-1", "itemData" : { "DOI" : "10.1111/j.1365-2435.2012.01985.x", "ISSN" : "02698463", "author" : [ { "dropping-particle" : "", "family" : "Colinet", "given" : "Herv\u00e9", "non-dropping-particle" : "", "parse-names" : false, "suffix" : "" }, { "dropping-particle" : "", "family" : "Larvor", "given" : "Vanessa", "non-dropping-particle" : "", "parse-names" : false, "suffix" : "" }, { "dropping-particle" : "", "family" : "Laparie", "given" : "Mathieu", "non-dropping-particle" : "", "parse-names" : false, "suffix" : "" }, { "dropping-particle" : "", "family" : "Renault", "given" : "David", "non-dropping-particle" : "", "parse-names" : false, "suffix" : "" } ], "container-title" : "Functional Ecology", "id" : "ITEM-1", "issue" : "3", "issued" : { "date-parts" : [ [ "2012", "6", "27" ] ] }, "page" : "711-722", "title" : "Exploring the plastic response to cold acclimation through metabolomics", "type" : "article-journal", "volume" : "26" }, "uris" : [ "http://www.mendeley.com/documents/?uuid=4376e8e5-9fa9-4555-b4a3-ff5215c25510" ] } ], "mendeley" : { "formattedCitation" : "(Colinet et al., 2012)", "plainTextFormattedCitation" : "(Colinet et al., 2012)", "previouslyFormattedCitation" : "(Colinet et al., 2012)" }, "properties" : { "noteIndex" : 0 }, "schema" : "https://github.com/citation-style-language/schema/raw/master/csl-citation.json" }</w:instrText>
      </w:r>
      <w:r w:rsidRPr="00191AD2">
        <w:fldChar w:fldCharType="separate"/>
      </w:r>
      <w:r w:rsidRPr="004723CF">
        <w:rPr>
          <w:noProof/>
        </w:rPr>
        <w:t>(Colinet et al., 2012)</w:t>
      </w:r>
      <w:r w:rsidRPr="00191AD2">
        <w:fldChar w:fldCharType="end"/>
      </w:r>
      <w:r w:rsidRPr="00191AD2">
        <w:t>.</w:t>
      </w:r>
      <w:r>
        <w:t xml:space="preserve"> </w:t>
      </w:r>
      <w:r w:rsidRPr="009A5A0E">
        <w:t>The metabolic responses of individuals to a variety of environmental factors have been widely documented including</w:t>
      </w:r>
      <w:r>
        <w:t>,</w:t>
      </w:r>
      <w:r w:rsidRPr="009A5A0E">
        <w:t xml:space="preserve"> drought </w:t>
      </w:r>
      <w:r w:rsidRPr="00437D74">
        <w:rPr>
          <w:color w:val="000000" w:themeColor="text1"/>
        </w:rPr>
        <w:fldChar w:fldCharType="begin" w:fldLock="1"/>
      </w:r>
      <w:r w:rsidR="004723CF">
        <w:rPr>
          <w:color w:val="000000" w:themeColor="text1"/>
        </w:rPr>
        <w:instrText>ADDIN CSL_CITATION { "citationItems" : [ { "id" : "ITEM-1", "itemData" : { "DOI" : "10.1111/j.1365-3040.2011.02423.x", "ISSN" : "1365-3040", "PMID" : "21902697", "abstract" : "Water limitation has become a major concern for agriculture. Such constraints reinforce the urgent need to understand mechanisms by which plants cope with water deprivation. We used a non-targeted metabolomic approach to explore plastic systems responses to non-lethal drought in model and forage legume species of the Lotus genus. In the model legume Lotus. japonicus, increased water stress caused gradual increases of most of the soluble small molecules profiled, reflecting a global and progressive reprogramming of metabolic pathways. The comparative metabolomic approach between Lotus species revealed conserved and unique metabolic responses to drought stress. Importantly, only few drought-responsive metabolites were conserved among all species. Thus we highlight a potential impediment to translational approaches that aim to engineer traits linked to the accumulation of compatible solutes. Finally, a broad comparison of the metabolic changes elicited by drought and salt acclimation revealed partial conservation of these metabolic stress responses within each of the Lotus species, but only few salt- and drought-responsive metabolites were shared between all. The implications of these results are discussed with regard to the current insights into legume water stress physiology.", "author" : [ { "dropping-particle" : "", "family" : "Sanchez", "given" : "Diego H", "non-dropping-particle" : "", "parse-names" : false, "suffix" : "" }, { "dropping-particle" : "", "family" : "Schwabe", "given" : "Franziska", "non-dropping-particle" : "", "parse-names" : false, "suffix" : "" }, { "dropping-particle" : "", "family" : "Erban", "given" : "Alexander", "non-dropping-particle" : "", "parse-names" : false, "suffix" : "" }, { "dropping-particle" : "", "family" : "Udvardi", "given" : "Michael K", "non-dropping-particle" : "", "parse-names" : false, "suffix" : "" }, { "dropping-particle" : "", "family" : "Kopka", "given" : "Joachim", "non-dropping-particle" : "", "parse-names" : false, "suffix" : "" } ], "container-title" : "Plant, cell &amp; environment", "id" : "ITEM-1", "issue" : "1", "issued" : { "date-parts" : [ [ "2012", "1" ] ] }, "page" : "136-49", "title" : "Comparative metabolomics of drought acclimation in model and forage legumes.", "type" : "article-journal", "volume" : "35" }, "uris" : [ "http://www.mendeley.com/documents/?uuid=ab64a0dd-33b9-4cc5-832c-63b07a6f340a" ] }, { "id" : "ITEM-2", "itemData" : { "DOI" : "10.1007/s11306-011-0299-y", "ISBN" : "1130601102", "ISSN" : "1573-3882", "author" : [ { "dropping-particle" : "", "family" : "Warren", "given" : "Charles R.", "non-dropping-particle" : "", "parse-names" : false, "suffix" : "" }, { "dropping-particle" : "", "family" : "Aranda", "given" : "Ismael", "non-dropping-particle" : "", "parse-names" : false, "suffix" : "" }, { "dropping-particle" : "", "family" : "Cano", "given" : "F. Javier", "non-dropping-particle" : "", "parse-names" : false, "suffix" : "" } ], "container-title" : "Metabolomics", "id" : "ITEM-2", "issue" : "2", "issued" : { "date-parts" : [ [ "2011", "3", "19" ] ] }, "page" : "186-200", "title" : "Metabolomics demonstrates divergent responses of two Eucalyptus species to water stress", "type" : "article-journal", "volume" : "8" }, "uris" : [ "http://www.mendeley.com/documents/?uuid=8896dbdf-2da1-483c-a58f-7dd8c0de07e2" ] }, { "id" : "ITEM-3", "itemData" : { "DOI" : "10.1093/mp/ssr114", "ISSN" : "1752-9867", "PMID" : "22207720", "abstract" : "Drought has serious effects on the physiology of cereal crops. At the cellular and specifically the metabolite level, many individual compounds are increased to provide osmoprotective functions, prevent the dissociation of enzymes, and to decrease the number of reactive oxygen species present in the cell. We have used a targeted GC-MS approach to identify compounds that differ in three different cultivars of bread wheat characterized by different levels of tolerance to drought under drought stress (Kukri, intolerant; Excalibur and RAC875, tolerant). Levels of amino acids, most notably proline, tryptophan, and the branched chain amino acids leucine, isoleucine, and valine were increased under drought stress in all cultivars. In the two tolerant cultivars, a small decrease in a large number of organic acids was also evident. Excalibur, a cultivar genotypically related to Kukri, showed a pattern of response that was more similar to Kukri under well-watered conditions. Under drought stress, Excalibur and RAC875 had a similar response; however, Excalibur did not have the same magnitude of response as RAC875. Here, the results are discussed in the context of previous work in physiological and proteomic analyses of these cultivars under drought stress.", "author" : [ { "dropping-particle" : "", "family" : "Bowne", "given" : "Jairus B", "non-dropping-particle" : "", "parse-names" : false, "suffix" : "" }, { "dropping-particle" : "", "family" : "Erwin", "given" : "Tim a", "non-dropping-particle" : "", "parse-names" : false, "suffix" : "" }, { "dropping-particle" : "", "family" : "Juttner", "given" : "Juan", "non-dropping-particle" : "", "parse-names" : false, "suffix" : "" }, { "dropping-particle" : "", "family" : "Schnurbusch", "given" : "Thorsten", "non-dropping-particle" : "", "parse-names" : false, "suffix" : "" }, { "dropping-particle" : "", "family" : "Langridge", "given" : "Peter", "non-dropping-particle" : "", "parse-names" : false, "suffix" : "" }, { "dropping-particle" : "", "family" : "Bacic", "given" : "Antony", "non-dropping-particle" : "", "parse-names" : false, "suffix" : "" }, { "dropping-particle" : "", "family" : "Roessner", "given" : "Ute", "non-dropping-particle" : "", "parse-names" : false, "suffix" : "" } ], "container-title" : "Molecular plant", "id" : "ITEM-3", "issue" : "2", "issued" : { "date-parts" : [ [ "2012", "3" ] ] }, "page" : "418-29", "title" : "Drought responses of leaf tissues from wheat cultivars of differing drought tolerance at the metabolite level.", "type" : "article-journal", "volume" : "5" }, "uris" : [ "http://www.mendeley.com/documents/?uuid=75d83b7d-816d-4f3e-86d8-40cd3594d2e3" ] } ], "mendeley" : { "formattedCitation" : "(Warren et al., 2011; Bowne et al., 2012; Sanchez et al., 2012)", "plainTextFormattedCitation" : "(Warren et al., 2011; Bowne et al., 2012; Sanchez et al., 2012)", "previouslyFormattedCitation" : "(Warren et al., 2011; Bowne et al., 2012; Sanchez et al., 2012)" }, "properties" : { "noteIndex" : 0 }, "schema" : "https://github.com/citation-style-language/schema/raw/master/csl-citation.json" }</w:instrText>
      </w:r>
      <w:r w:rsidRPr="00437D74">
        <w:rPr>
          <w:color w:val="000000" w:themeColor="text1"/>
        </w:rPr>
        <w:fldChar w:fldCharType="separate"/>
      </w:r>
      <w:r w:rsidR="004723CF" w:rsidRPr="004723CF">
        <w:rPr>
          <w:noProof/>
          <w:color w:val="000000" w:themeColor="text1"/>
        </w:rPr>
        <w:t>(Warren et al., 2011; Bowne et al., 2012; Sanchez et al., 2012)</w:t>
      </w:r>
      <w:r w:rsidRPr="00437D74">
        <w:rPr>
          <w:color w:val="000000" w:themeColor="text1"/>
        </w:rPr>
        <w:fldChar w:fldCharType="end"/>
      </w:r>
      <w:r w:rsidRPr="00437D74">
        <w:rPr>
          <w:color w:val="000000" w:themeColor="text1"/>
        </w:rPr>
        <w:t xml:space="preserve"> , temperature </w:t>
      </w:r>
      <w:r w:rsidRPr="00437D74">
        <w:rPr>
          <w:color w:val="000000" w:themeColor="text1"/>
        </w:rPr>
        <w:fldChar w:fldCharType="begin" w:fldLock="1"/>
      </w:r>
      <w:r w:rsidR="004723CF">
        <w:rPr>
          <w:color w:val="000000" w:themeColor="text1"/>
        </w:rPr>
        <w:instrText>ADDIN CSL_CITATION { "citationItems" : [ { "id" : "ITEM-1", "itemData" : { "DOI" : "10.1111/j.1399-3054.2005.00507.x", "ISSN" : "0031-9317", "author" : [ { "dropping-particle" : "", "family" : "Gray", "given" : "Gordon R.", "non-dropping-particle" : "", "parse-names" : false, "suffix" : "" }, { "dropping-particle" : "", "family" : "Heath", "given" : "Doug", "non-dropping-particle" : "", "parse-names" : false, "suffix" : "" } ], "container-title" : "Physiologia Plantarum", "id" : "ITEM-1", "issue" : "2", "issued" : { "date-parts" : [ [ "2005", "6" ] ] }, "page" : "236-248", "title" : "A global reorganization of the metabolome in Arabidopsis during cold acclimation is revealed by metabolic fingerprinting", "type" : "article-journal", "volume" : "124" }, "uris" : [ "http://www.mendeley.com/documents/?uuid=13ae7866-faa1-4f08-adaa-d8e2abe7f31e" ] }, { "id" : "ITEM-2", "itemData" : { "DOI" : "10.1007/s11306-008-0127-1", "ISSN" : "1573-3882", "author" : [ { "dropping-particle" : "", "family" : "Davey", "given" : "Matthew P.", "non-dropping-particle" : "", "parse-names" : false, "suffix" : "" }, { "dropping-particle" : "", "family" : "Ian Woodward", "given" : "F.", "non-dropping-particle" : "", "parse-names" : false, "suffix" : "" }, { "dropping-particle" : "", "family" : "Paul Quick", "given" : "W.", "non-dropping-particle" : "", "parse-names" : false, "suffix" : "" } ], "container-title" : "Metabolomics", "id" : "ITEM-2", "issue" : "1", "issued" : { "date-parts" : [ [ "2008", "9", "2" ] ] }, "page" : "138-149", "title" : "Intraspecfic variation in cold-temperature metabolic phenotypes of Arabidopsis lyrata ssp. petraea", "type" : "article-journal", "volume" : "5" }, "uris" : [ "http://www.mendeley.com/documents/?uuid=23390ae3-b215-454d-88b9-0139808db8df" ] }, { "id" : "ITEM-3", "itemData" : { "DOI" : "Doi 10.1111/J.1399-3054.2007.00999.X", "ISBN" : "0031-9317", "abstract" : "Plants possess inducible tolerance mechanisms that extend the temperature range for survival during acute temperature stress. The inducible mechanisms of cold acclimation and acquired thermotolerance involve highly complex processes. These include perception and signal transduction of non-optimal temperatures or their physical consequences on cellular components that program extensive modification of the transcriptome, proteome, metabolome and composition and physical structure of the cytoplasm, membranes and cell walls. Therefore, a systems biology approach will be necessary to advance the understanding of plant stress responses and tolerance mechanisms. One promise of systems biology is that it will greatly enhance our understanding of individual and collective functions and thereby provide a more holistic view of plant stress responses. Past studies have found that several metabolites that could functionally contribute to induced stress tolerance have been associated with stress responses. Recent metabolite-profiling studies have refocused attention on these and other potentially important components found in the 'temperature-stress metabolome'. These metabolomic studies have demonstrated that active reconfiguration of the metabolome is regulated in part by changes in gene expression initiated by temperature-stress-activated signaling and stress-related transcription factors. One aspect of metabolism that is consistent across all of the temperature-stress metabolomic studies to date is the prominent role of central carbohydrate metabolism, which seems to be a major feature of the reprogramming of the metabolome during temperature stress. Future metabolomic studies of plant temperature-stress responses should reveal additional metabolic pathways that have important functions in temperature-stress tolerance mechanisms.", "author" : [ { "dropping-particle" : "", "family" : "Guy", "given" : "C", "non-dropping-particle" : "", "parse-names" : false, "suffix" : "" }, { "dropping-particle" : "", "family" : "Kaplan", "given" : "F", "non-dropping-particle" : "", "parse-names" : false, "suffix" : "" }, { "dropping-particle" : "", "family" : "Kopka", "given" : "J", "non-dropping-particle" : "", "parse-names" : false, "suffix" : "" }, { "dropping-particle" : "", "family" : "Selbig", "given" : "J", "non-dropping-particle" : "", "parse-names" : false, "suffix" : "" }, { "dropping-particle" : "", "family" : "Hincha", "given" : "D K", "non-dropping-particle" : "", "parse-names" : false, "suffix" : "" } ], "container-title" : "Physiologia Plantarum", "id" : "ITEM-3", "issue" : "2", "issued" : { "date-parts" : [ [ "2008" ] ] }, "language" : "English", "page" : "220-235", "title" : "Metabolomics of temperature stress", "type" : "article-journal", "volume" : "132" }, "uris" : [ "http://www.mendeley.com/documents/?uuid=fbd425ec-a6b7-42b6-893f-f91ebde17ec7" ] } ], "mendeley" : { "formattedCitation" : "(Gray and Heath, 2005; Guy et al., 2008; Davey et al., 2008b)", "plainTextFormattedCitation" : "(Gray and Heath, 2005; Guy et al., 2008; Davey et al., 2008b)", "previouslyFormattedCitation" : "(Gray and Heath, 2005; Guy et al., 2008; Davey et al., 2008b)" }, "properties" : { "noteIndex" : 0 }, "schema" : "https://github.com/citation-style-language/schema/raw/master/csl-citation.json" }</w:instrText>
      </w:r>
      <w:r w:rsidRPr="00437D74">
        <w:rPr>
          <w:color w:val="000000" w:themeColor="text1"/>
        </w:rPr>
        <w:fldChar w:fldCharType="separate"/>
      </w:r>
      <w:r w:rsidR="004723CF" w:rsidRPr="004723CF">
        <w:rPr>
          <w:noProof/>
          <w:color w:val="000000" w:themeColor="text1"/>
        </w:rPr>
        <w:t>(Gray and Heath, 2005; Guy et al., 2008; Davey et al., 2008b)</w:t>
      </w:r>
      <w:r w:rsidRPr="00437D74">
        <w:rPr>
          <w:color w:val="000000" w:themeColor="text1"/>
        </w:rPr>
        <w:fldChar w:fldCharType="end"/>
      </w:r>
      <w:r w:rsidRPr="00437D74">
        <w:rPr>
          <w:color w:val="000000" w:themeColor="text1"/>
        </w:rPr>
        <w:t xml:space="preserve">,  salinity </w:t>
      </w:r>
      <w:r w:rsidRPr="00437D74">
        <w:rPr>
          <w:color w:val="000000" w:themeColor="text1"/>
        </w:rPr>
        <w:fldChar w:fldCharType="begin" w:fldLock="1"/>
      </w:r>
      <w:r w:rsidR="004723CF">
        <w:rPr>
          <w:color w:val="000000" w:themeColor="text1"/>
        </w:rPr>
        <w:instrText>ADDIN CSL_CITATION { "citationItems" : [ { "id" : "ITEM-1", "itemData" : { "author" : [ { "dropping-particle" : "", "family" : "Zhang", "given" : "Jingtao", "non-dropping-particle" : "", "parse-names" : false, "suffix" : "" }, { "dropping-particle" : "", "family" : "Zhang", "given" : "Yong", "non-dropping-particle" : "", "parse-names" : false, "suffix" : "" }, { "dropping-particle" : "", "family" : "Du", "given" : "Yuanyuan", "non-dropping-particle" : "", "parse-names" : false, "suffix" : "" }, { "dropping-particle" : "", "family" : "Chen", "given" : "Shiyun", "non-dropping-particle" : "", "parse-names" : false, "suffix" : "" }, { "dropping-particle" : "", "family" : "Tang", "given" : "Huiru", "non-dropping-particle" : "", "parse-names" : false, "suffix" : "" } ], "id" : "ITEM-1", "issued" : { "date-parts" : [ [ "2011" ] ] }, "page" : "1904-1914", "title" : "Dynamic Metabonomic Responses of Tobacco ( Nicotiana tabacum ) Plants to Salt Stress", "type" : "article-journal" }, "uris" : [ "http://www.mendeley.com/documents/?uuid=e8fb7a9b-0aa0-42b5-be42-da7d94f181cd" ] }, { "id" : "ITEM-2", "itemData" : { "DOI" : "10.1186/gb-2005-6-12-r101", "ISSN" : "1465-6914", "PMID" : "16356264", "abstract" : "Plants growing in their natural habitat represent a valuable resource for elucidating mechanisms of acclimation to environmental constraints. Populus euphratica is a salt-tolerant tree species growing in saline semi-arid areas. To identify genes involved in abiotic stress responses under natural conditions we constructed several normalized and subtracted cDNA libraries from control, stress-exposed and desert-grown P. euphratica trees. In addition, we identified several metabolites in desert-grown P. euphratica trees.", "author" : [ { "dropping-particle" : "", "family" : "Brosch\u00e9", "given" : "Mikael", "non-dropping-particle" : "", "parse-names" : false, "suffix" : "" }, { "dropping-particle" : "", "family" : "Vinocur", "given" : "Basia", "non-dropping-particle" : "", "parse-names" : false, "suffix" : "" }, { "dropping-particle" : "", "family" : "Alatalo", "given" : "Edward R", "non-dropping-particle" : "", "parse-names" : false, "suffix" : "" }, { "dropping-particle" : "", "family" : "Lamminm\u00e4ki", "given" : "Airi", "non-dropping-particle" : "", "parse-names" : false, "suffix" : "" }, { "dropping-particle" : "", "family" : "Teichmann", "given" : "Thomas", "non-dropping-particle" : "", "parse-names" : false, "suffix" : "" }, { "dropping-particle" : "", "family" : "Ottow", "given" : "Eric a", "non-dropping-particle" : "", "parse-names" : false, "suffix" : "" }, { "dropping-particle" : "", "family" : "Djilianov", "given" : "Dimitar", "non-dropping-particle" : "", "parse-names" : false, "suffix" : "" }, { "dropping-particle" : "", "family" : "Afif", "given" : "Dany", "non-dropping-particle" : "", "parse-names" : false, "suffix" : "" }, { "dropping-particle" : "", "family" : "Bogeat-Triboulot", "given" : "Marie-B\u00e9atrice", "non-dropping-particle" : "", "parse-names" : false, "suffix" : "" }, { "dropping-particle" : "", "family" : "Altman", "given" : "Arie", "non-dropping-particle" : "", "parse-names" : false, "suffix" : "" }, { "dropping-particle" : "", "family" : "Polle", "given" : "Andrea", "non-dropping-particle" : "", "parse-names" : false, "suffix" : "" }, { "dropping-particle" : "", "family" : "Dreyer", "given" : "Erwin", "non-dropping-particle" : "", "parse-names" : false, "suffix" : "" }, { "dropping-particle" : "", "family" : "Rudd", "given" : "Stephen", "non-dropping-particle" : "", "parse-names" : false, "suffix" : "" }, { "dropping-particle" : "", "family" : "Paulin", "given" : "Lars", "non-dropping-particle" : "", "parse-names" : false, "suffix" : "" }, { "dropping-particle" : "", "family" : "Auvinen", "given" : "Petri", "non-dropping-particle" : "", "parse-names" : false, "suffix" : "" }, { "dropping-particle" : "", "family" : "Kangasj\u00e4rvi", "given" : "Jaakko", "non-dropping-particle" : "", "parse-names" : false, "suffix" : "" } ], "container-title" : "Genome biology", "id" : "ITEM-2", "issue" : "12", "issued" : { "date-parts" : [ [ "2005", "1" ] ] }, "page" : "R101", "title" : "Gene expression and metabolite profiling of Populus euphratica growing in the Negev desert.", "type" : "article-journal", "volume" : "6" }, "uris" : [ "http://www.mendeley.com/documents/?uuid=160ef6e1-85da-40cd-9ce0-06d7b343cf91" ] } ], "mendeley" : { "formattedCitation" : "(Brosch\u00e9 et al., 2005; Zhang et al., 2011)", "plainTextFormattedCitation" : "(Brosch\u00e9 et al., 2005; Zhang et al., 2011)", "previouslyFormattedCitation" : "(Brosch\u00e9 et al., 2005; Zhang et al., 2011)" }, "properties" : { "noteIndex" : 0 }, "schema" : "https://github.com/citation-style-language/schema/raw/master/csl-citation.json" }</w:instrText>
      </w:r>
      <w:r w:rsidRPr="00437D74">
        <w:rPr>
          <w:color w:val="000000" w:themeColor="text1"/>
        </w:rPr>
        <w:fldChar w:fldCharType="separate"/>
      </w:r>
      <w:r w:rsidRPr="004723CF">
        <w:rPr>
          <w:noProof/>
          <w:color w:val="000000" w:themeColor="text1"/>
          <w:lang w:val="fr-FR"/>
        </w:rPr>
        <w:t>(Brosché et al., 2005; Zhang et al., 2011)</w:t>
      </w:r>
      <w:r w:rsidRPr="00437D74">
        <w:rPr>
          <w:color w:val="000000" w:themeColor="text1"/>
        </w:rPr>
        <w:fldChar w:fldCharType="end"/>
      </w:r>
      <w:r w:rsidRPr="00437D74">
        <w:rPr>
          <w:color w:val="000000" w:themeColor="text1"/>
          <w:lang w:val="fr-FR"/>
        </w:rPr>
        <w:t xml:space="preserve">, nutrient availability </w:t>
      </w:r>
      <w:r w:rsidRPr="00437D74">
        <w:rPr>
          <w:color w:val="000000" w:themeColor="text1"/>
        </w:rPr>
        <w:fldChar w:fldCharType="begin" w:fldLock="1"/>
      </w:r>
      <w:r w:rsidR="004723CF">
        <w:rPr>
          <w:color w:val="000000" w:themeColor="text1"/>
          <w:lang w:val="fr-FR"/>
        </w:rPr>
        <w:instrText>ADDIN CSL_CITATION { "citationItems" : [ { "id" : "ITEM-1", "itemData" : { "DOI" : "Doi 10.1073/Pnas.0403218101", "ISBN" : "0027-8424", "abstract" : "Plant metabolism is a complex set of processes that produce a wide diversity of foods, woods, and medicines. With the genome sequences of Arabidopsis and rice in hands, postgenomics studies integrating all \"omics\" sciences can depict precise pictures of a whole-cellular process. Here, we present, to our knowledge, the first report of investigation for gene-to-metabolite networks regulating sulfur and nitrogen nutrition and secondary metabolism in Arabidopsis, with integration of metabolomics and transcriptomics. Transcriptome and metabolome analyses were carried out, respectively, with DNA macroarray and several chemical analytical methods, including ultra high-resolution Fourier transform-ion cyclotron MS. Mathematical analyses, including principal component analysis and batch-learning self-organizing map analysis of transcriptome and metabolome data suggested the presence of general responses to sulfur and nitrogen deficiencies. In addition, specific responses to either sulfur or nitrogen deficiency were observed in several metabolic pathways: in particular, the genes and metabolites involved in glucosinolate metabolism were shown to be coordinately modulated. Understanding such gene-to-metabolite networks in primary and secondary metabolism through integration of transcriptomics and metabolomics can lead to identification of gene function and subsequent improvement of production of useful compounds in plants.", "author" : [ { "dropping-particle" : "", "family" : "Hirai", "given" : "M Y", "non-dropping-particle" : "", "parse-names" : false, "suffix" : "" }, { "dropping-particle" : "", "family" : "Yano", "given" : "M", "non-dropping-particle" : "", "parse-names" : false, "suffix" : "" }, { "dropping-particle" : "", "family" : "Goodenowe", "given" : "D B", "non-dropping-particle" : "", "parse-names" : false, "suffix" : "" }, { "dropping-particle" : "", "family" : "Kanaya", "given" : "S", "non-dropping-particle" : "", "parse-names" : false, "suffix" : "" }, { "dropping-particle" : "", "family" : "Kimura", "given" : "T", "non-dropping-particle" : "", "parse-names" : false, "suffix" : "" }, { "dropping-particle" : "", "family" : "Awazuhara", "given" : "M", "non-dropping-particle" : "", "parse-names" : false, "suffix" : "" }, { "dropping-particle" : "", "family" : "Arita", "given" : "M", "non-dropping-particle" : "", "parse-names" : false, "suffix" : "" }, { "dropping-particle" : "", "family" : "Fujiwara", "given" : "T", "non-dropping-particle" : "", "parse-names" : false, "suffix" : "" }, { "dropping-particle" : "", "family" : "Saito", "given" : "K", "non-dropping-particle" : "", "parse-names" : false, "suffix" : "" } ], "container-title" : "Proceedings of the National Academy of Sciences of the United States of America", "id" : "ITEM-1", "issue" : "27", "issued" : { "date-parts" : [ [ "2004" ] ] }, "language" : "English", "page" : "10205-10210", "title" : "Integration of transcriptomics and metabolomics for understanding of global responses to nutritional stresses in Arabidopsis thaliana", "type" : "article-journal", "volume" : "101" }, "uris" : [ "http://www.mendeley.com/documents/?uuid=04e5771c-f09d-4f3c-b4e6-bd3d16942150" ] }, { "id" : "ITEM-2", "itemData" : { "DOI" : "10.1104/pp.105.071589.2", "abstract" : "A metabolite profiling technique for Chlamydomonas reinhardtii cells for multiparallel analysis of low-molecular weight polar compounds was developed. The experimental protocol was optimized to quickly inactivate enzymatic activity, achieve maximum extraction capacity, and process large sample quantities. As a result of the rapid sampling, extraction, and analysis by gas chromatography coupled to time-of-flight mass spectrometry, more than 800 analytes from a single sample could be measured, of which more than 100 could be identified. Analyte responses could be determined mostly with SEs less than 10%. Wild-type cells of C. reinhardtii strain CC-125 subjected to nitrogen-, phosphorus-, sulfur-, or iron-depleted growth conditions develop highly distinctive metabolite profiles. Individual metabolites undergo marked changes in their steady-state levels. Compared to control conditions, sulfur-depleted cells accumulated 4-hydroxyproline more than 50-fold, whereas the amount of 2-ketovaline was reduced to 2% of control levels. The contribution of each compound to the differences observed in the metabolic phenotypes is summarized in a quantitatively rigorous way by principal component analysis, which clearly discriminates the cells from different growth regimes and indicates that phosphorus-depleted conditions induce a deficiency syndrome quite different from the response to nitrogen, sulfur, or iron starvation.", "author" : [ { "dropping-particle" : "", "family" : "B\u00f6lling", "given" : "Christian", "non-dropping-particle" : "", "parse-names" : false, "suffix" : "" }, { "dropping-particle" : "", "family" : "Fiehn", "given" : "Oliver", "non-dropping-particle" : "", "parse-names" : false, "suffix" : "" } ], "container-title" : "Plant Physiology", "id" : "ITEM-2", "issue" : "4", "issued" : { "date-parts" : [ [ "2005" ] ] }, "page" : "1995-2005", "title" : "Metabolite profiling of &lt;i&gt;Chlamydomonas reinhardti&lt;/i&gt; under nutrient deprivation", "type" : "article-journal", "volume" : "139" }, "uris" : [ "http://www.mendeley.com/documents/?uuid=3d4e0b4a-a13c-4ec9-b002-08385ac4c930" ] } ], "mendeley" : { "formattedCitation" : "(Hirai et al., 2004; B\u00f6lling and Fiehn, 2005)", "plainTextFormattedCitation" : "(Hirai et al., 2004; B\u00f6lling and Fiehn, 2005)", "previouslyFormattedCitation" : "(Hirai et al., 2004; B\u00f6lling and Fiehn, 2005)" }, "properties" : { "noteIndex" : 0 }, "schema" : "https://github.com/citation-style-language/schema/raw/master/csl-citation.json" }</w:instrText>
      </w:r>
      <w:r w:rsidRPr="00437D74">
        <w:rPr>
          <w:color w:val="000000" w:themeColor="text1"/>
        </w:rPr>
        <w:fldChar w:fldCharType="separate"/>
      </w:r>
      <w:r w:rsidR="004723CF" w:rsidRPr="004723CF">
        <w:rPr>
          <w:noProof/>
          <w:color w:val="000000" w:themeColor="text1"/>
        </w:rPr>
        <w:t>(Hirai et al., 2004; Bölling and Fiehn, 2005)</w:t>
      </w:r>
      <w:r w:rsidRPr="00437D74">
        <w:rPr>
          <w:color w:val="000000" w:themeColor="text1"/>
        </w:rPr>
        <w:fldChar w:fldCharType="end"/>
      </w:r>
      <w:r w:rsidRPr="00437D74">
        <w:rPr>
          <w:color w:val="000000" w:themeColor="text1"/>
        </w:rPr>
        <w:t xml:space="preserve">, and pollutants </w:t>
      </w:r>
      <w:r w:rsidRPr="00437D74">
        <w:rPr>
          <w:color w:val="000000" w:themeColor="text1"/>
        </w:rPr>
        <w:fldChar w:fldCharType="begin" w:fldLock="1"/>
      </w:r>
      <w:r w:rsidR="004723CF">
        <w:rPr>
          <w:color w:val="000000" w:themeColor="text1"/>
        </w:rPr>
        <w:instrText>ADDIN CSL_CITATION { "citationItems" : [ { "id" : "ITEM-1", "itemData" : { "DOI" : "10.1016/j.chemosphere.2009.11.045", "ISSN" : "1879-1298", "PMID" : "20044121", "abstract" : "The metabolic responses of Arabidopsis thaliana to cadmium exposure was characterized in this study. A. thaliana was cultivated in medium contaminated with different cadmium concentrations (0, 5 and 50microM, respectively) for 2weeks. Metabolite analyses were performed using gas chromatography-mass spectrometry. More than 80 metabolites characterized by retention time indices and specific mass fragments were identified. The levels of carbohydrates, organic acids, amino acids, and other stress-responsive metabolites changed under cadmium stress. Treated plants showed increased levels of Ala, beta-ala, Pro, Ser, putrescine, Suc and other metabolites with compatible solute-like properties, notably 4-aminobutyric acid, glycerol, raffinose and trehalose, compared to control (untreated) plants. Studies indicated that concentrations of antioxidants (alfa-tocopherol, campesterol, beta-sitosterol and isoflavone) also increased significantly. These results confirm the important role of antioxidant defences in the mechanisms of plant-resistance to cadmium stress. Our results suggested that metabolic profiling is a powerful tool that can rapidly classify environmentally modified plants and simplify the process of cadmium-stress responses. These data will be helpful for better understanding of mechanisms of plant adaptation to cadmium stress at the metabolite level.", "author" : [ { "dropping-particle" : "", "family" : "Sun", "given" : "Xiumei", "non-dropping-particle" : "", "parse-names" : false, "suffix" : "" }, { "dropping-particle" : "", "family" : "Zhang", "given" : "Jixiu", "non-dropping-particle" : "", "parse-names" : false, "suffix" : "" }, { "dropping-particle" : "", "family" : "Zhang", "given" : "Haijun", "non-dropping-particle" : "", "parse-names" : false, "suffix" : "" }, { "dropping-particle" : "", "family" : "Ni", "given" : "Yuwen", "non-dropping-particle" : "", "parse-names" : false, "suffix" : "" }, { "dropping-particle" : "", "family" : "Zhang", "given" : "Qing", "non-dropping-particle" : "", "parse-names" : false, "suffix" : "" }, { "dropping-particle" : "", "family" : "Chen", "given" : "Jiping", "non-dropping-particle" : "", "parse-names" : false, "suffix" : "" }, { "dropping-particle" : "", "family" : "Guan", "given" : "Yafeng", "non-dropping-particle" : "", "parse-names" : false, "suffix" : "" } ], "container-title" : "Chemosphere", "id" : "ITEM-1", "issue" : "7", "issued" : { "date-parts" : [ [ "2010", "2" ] ] }, "page" : "840-5", "publisher" : "Elsevier Ltd", "title" : "The responses of Arabidopsis thaliana to cadmium exposure explored via metabolite profiling.", "type" : "article-journal", "volume" : "78" }, "uris" : [ "http://www.mendeley.com/documents/?uuid=3ca4f55f-6097-451e-9932-3f62e271beb1" ] } ], "mendeley" : { "formattedCitation" : "(Sun et al., 2010)", "plainTextFormattedCitation" : "(Sun et al., 2010)", "previouslyFormattedCitation" : "(Sun et al., 2010)" }, "properties" : { "noteIndex" : 0 }, "schema" : "https://github.com/citation-style-language/schema/raw/master/csl-citation.json" }</w:instrText>
      </w:r>
      <w:r w:rsidRPr="00437D74">
        <w:rPr>
          <w:color w:val="000000" w:themeColor="text1"/>
        </w:rPr>
        <w:fldChar w:fldCharType="separate"/>
      </w:r>
      <w:r w:rsidRPr="004723CF">
        <w:rPr>
          <w:noProof/>
          <w:color w:val="000000" w:themeColor="text1"/>
        </w:rPr>
        <w:t>(Sun et al., 2010)</w:t>
      </w:r>
      <w:r w:rsidRPr="00437D74">
        <w:rPr>
          <w:color w:val="000000" w:themeColor="text1"/>
        </w:rPr>
        <w:fldChar w:fldCharType="end"/>
      </w:r>
      <w:r w:rsidRPr="00437D74">
        <w:rPr>
          <w:color w:val="000000" w:themeColor="text1"/>
        </w:rPr>
        <w:t>.</w:t>
      </w:r>
    </w:p>
    <w:p w14:paraId="6CF07B84" w14:textId="17FF652C" w:rsidR="00450E64" w:rsidRPr="00437D74" w:rsidRDefault="00450E64" w:rsidP="00450E64">
      <w:pPr>
        <w:pStyle w:val="BodyJB"/>
        <w:ind w:firstLine="720"/>
        <w:rPr>
          <w:color w:val="000000" w:themeColor="text1"/>
        </w:rPr>
      </w:pPr>
      <w:r w:rsidRPr="00437D74">
        <w:rPr>
          <w:color w:val="000000" w:themeColor="text1"/>
        </w:rPr>
        <w:t xml:space="preserve">Over time, traits that are relevant to the range of conditions within </w:t>
      </w:r>
      <w:r w:rsidR="00821A6F">
        <w:rPr>
          <w:color w:val="000000" w:themeColor="text1"/>
        </w:rPr>
        <w:t>a species habitat and distribution</w:t>
      </w:r>
      <w:r w:rsidRPr="00437D74">
        <w:rPr>
          <w:color w:val="000000" w:themeColor="text1"/>
        </w:rPr>
        <w:t>, can be favoured through evolutionary processes of natural selection. Thi</w:t>
      </w:r>
      <w:r w:rsidRPr="00437D74">
        <w:t>s selection may result in genetic differentiation between populations of widespread</w:t>
      </w:r>
      <w:r w:rsidRPr="00E9130F">
        <w:t xml:space="preserve"> species subjected to </w:t>
      </w:r>
      <w:r w:rsidRPr="00437D74">
        <w:rPr>
          <w:color w:val="000000" w:themeColor="text1"/>
        </w:rPr>
        <w:t xml:space="preserve">different environmental conditions </w:t>
      </w:r>
      <w:r w:rsidRPr="00437D74">
        <w:rPr>
          <w:color w:val="000000" w:themeColor="text1"/>
        </w:rPr>
        <w:fldChar w:fldCharType="begin" w:fldLock="1"/>
      </w:r>
      <w:r w:rsidR="004723CF">
        <w:rPr>
          <w:color w:val="000000" w:themeColor="text1"/>
        </w:rPr>
        <w:instrText>ADDIN CSL_CITATION { "citationItems" : [ { "id" : "ITEM-1", "itemData" : { "DOI" : "10.1111/j.1469-8137.2011.03799.x", "ISSN" : "1469-8137", "PMID" : "21729087", "abstract" : "\u2022 Both genetic drift and natural selection result in genetic/phenotypic differentiation over space. I analyzed the role of local adaptation in the genetic differentiation of populations of the annual grass Hordeum spontaneum sampled along an aridity gradient. \u2022 The study included the introduction of plants having desert vs nondesert origin into natural (desert) environment, analysis of population differentiation in allozymes and random amplified polymorphic DNA (RAPD) markers vs phenotypic traits (Q(ST) -F(ST) comparison), and planting interpopulation hybrids under simulated desert conditions in a glasshouse. \u2022 The results of the home advantage test, Q(ST) -F(ST) comparison and crossbreeding were consistent with local adaptation; that is, that differentiation of the desert plants from plants of nondesert origin in phenotypic traits was adaptive, giving them home advantage. Each method used provided additional, otherwise unavailable, information, meaning that they should be viewed as complementary rather than alternative approaches. \u2022 Gene flow from adjacent populations (i.e. populations experiencing the desert environment) via seeds (but not pollen) had a positive effect on fitness by enhancing natural selection and counteracting drift. At the same time, the effect of genes from the species distributional core (nondesert plants) by either seed or pollen had a negative fitness effect despite its enriching effect on neutral diversity. The pattern of outbreeding depression observed in interpopulation hybrids (F(1) ) and their segregating progeny (F(2) ) was inconsistent with underdominance, but indicated the presence of additive, dominance and epistatic effects.", "author" : [ { "dropping-particle" : "", "family" : "Volis", "given" : "S", "non-dropping-particle" : "", "parse-names" : false, "suffix" : "" } ], "container-title" : "The New phytologist", "id" : "ITEM-1", "issue" : "1", "issued" : { "date-parts" : [ [ "2011", "10" ] ] }, "page" : "237-48", "title" : "Adaptive genetic differentiation in a predominantly self-pollinating species analyzed by transplanting into natural environment, crossbreeding and Q(ST)-F(ST) test.", "type" : "article-journal", "volume" : "192" }, "uris" : [ "http://www.mendeley.com/documents/?uuid=38f0bbe6-c127-41b2-9a31-f7f25cef5818" ] }, { "id" : "ITEM-2", "itemData" : { "DOI" : "Doi 10.1111/J.1469-8137.2007.02282.X", "ISBN" : "0028-646X", "abstract" : "Plant populations growing at the margin of their range may exhibit traits that indicate genetic differentiation and adaptation to their local abiotic environment. Here, it was investigated whether geographically separated marginal populations of Arabidopsis lyrata ssp. petraea have distinct metabolic phenotypes within the plant foliage. Seeds of A. petraea were obtained from populations along a latitudinal gradient (49-64 degrees N), namely Germany, Wales, Sweden and Iceland and grown in a controlled cabinet environment. Targeted metabolic profiles and fingerprints were obtained at the same initial developmental stage. The free amino acid compositions were population specific, with fold differences in arginine, aspartic acid, asparagines, glycine, phenylalanine, alanine, threonine, histidine, serine and gamma-aminobutyric acid (GABA) concentrations. Sucrose, mannose and fructose concentrations were also different between populations but polyhydric alcohol concentrations were not. Principal component analysis (PCA) of metabolite fingerprints revealed metabolic phenotypes for each population. It is suggested that glucosinolates were responsible for discriminating populations within the PCA. Metabolite fingerprinting and profiling has proved to be sufficiently sensitive to identify metabolic differences between plant populations. These findings show that there is significant natural variation in metabolism among populations of A. petraea.", "author" : [ { "dropping-particle" : "", "family" : "Davey", "given" : "M P", "non-dropping-particle" : "", "parse-names" : false, "suffix" : "" }, { "dropping-particle" : "", "family" : "Burrell", "given" : "M M", "non-dropping-particle" : "", "parse-names" : false, "suffix" : "" }, { "dropping-particle" : "", "family" : "Woodward", "given" : "F I", "non-dropping-particle" : "", "parse-names" : false, "suffix" : "" }, { "dropping-particle" : "", "family" : "Quick", "given" : "W P", "non-dropping-particle" : "", "parse-names" : false, "suffix" : "" } ], "container-title" : "New Phytologist", "id" : "ITEM-2", "issue" : "2", "issued" : { "date-parts" : [ [ "2008" ] ] }, "language" : "English", "page" : "380-388", "title" : "Population-specific metabolic phenotypes of Arabidopsis lyrata ssp petraea", "type" : "article-journal", "volume" : "177" }, "uris" : [ "http://www.mendeley.com/documents/?uuid=92e9c872-fc98-42f1-9f3f-c38db9993c16" ] }, { "id" : "ITEM-3", "itemData" : { "DOI" : "10.1111/j.0030-1299.2008.16939.x", "ISSN" : "00301299", "author" : [ { "dropping-particle" : "", "family" : "Becker", "given" : "Ute", "non-dropping-particle" : "", "parse-names" : false, "suffix" : "" }, { "dropping-particle" : "", "family" : "Dostal", "given" : "Petr", "non-dropping-particle" : "", "parse-names" : false, "suffix" : "" }, { "dropping-particle" : "", "family" : "Jorritsma-Wienk", "given" : "Linda D.", "non-dropping-particle" : "", "parse-names" : false, "suffix" : "" }, { "dropping-particle" : "", "family" : "Matthies", "given" : "Diethart", "non-dropping-particle" : "", "parse-names" : false, "suffix" : "" } ], "container-title" : "Oikos", "id" : "ITEM-3", "issue" : "12", "issued" : { "date-parts" : [ [ "2008", "12" ] ] }, "page" : "1865-1873", "title" : "The spatial scale of adaptive population differentiation in a wide-spread, well-dispersed plant species", "type" : "article-journal", "volume" : "117" }, "uris" : [ "http://www.mendeley.com/documents/?uuid=b0696bc5-d6a0-4e0e-b07c-5322dbc656f2" ] } ], "mendeley" : { "formattedCitation" : "(Becker et al., 2008; Davey et al., 2008a; Volis, 2011)", "plainTextFormattedCitation" : "(Becker et al., 2008; Davey et al., 2008a; Volis, 2011)", "previouslyFormattedCitation" : "(Becker et al., 2008; Davey et al., 2008a; Volis, 2011)" }, "properties" : { "noteIndex" : 0 }, "schema" : "https://github.com/citation-style-language/schema/raw/master/csl-citation.json" }</w:instrText>
      </w:r>
      <w:r w:rsidRPr="00437D74">
        <w:rPr>
          <w:color w:val="000000" w:themeColor="text1"/>
        </w:rPr>
        <w:fldChar w:fldCharType="separate"/>
      </w:r>
      <w:r w:rsidR="004723CF" w:rsidRPr="004723CF">
        <w:rPr>
          <w:noProof/>
          <w:color w:val="000000" w:themeColor="text1"/>
        </w:rPr>
        <w:t>(Becker et al., 2008; Davey et al., 2008a; Volis, 2011)</w:t>
      </w:r>
      <w:r w:rsidRPr="00437D74">
        <w:rPr>
          <w:color w:val="000000" w:themeColor="text1"/>
        </w:rPr>
        <w:fldChar w:fldCharType="end"/>
      </w:r>
      <w:r w:rsidRPr="00437D74">
        <w:rPr>
          <w:color w:val="000000" w:themeColor="text1"/>
        </w:rPr>
        <w:t xml:space="preserve"> resulting in local adaptation </w:t>
      </w:r>
      <w:r w:rsidRPr="00437D74">
        <w:rPr>
          <w:color w:val="000000" w:themeColor="text1"/>
        </w:rPr>
        <w:fldChar w:fldCharType="begin" w:fldLock="1"/>
      </w:r>
      <w:r w:rsidR="004723CF">
        <w:rPr>
          <w:color w:val="000000" w:themeColor="text1"/>
        </w:rPr>
        <w:instrText>ADDIN CSL_CITATION { "citationItems" : [ { "id" : "ITEM-1", "itemData" : { "DOI" : "10.1111/j.1461-0248.2004.00684.x", "ISSN" : "1461-023X", "author" : [ { "dropping-particle" : "", "family" : "Kawecki", "given" : "Tadeusz J.", "non-dropping-particle" : "", "parse-names" : false, "suffix" : "" }, { "dropping-particle" : "", "family" : "Ebert", "given" : "Dieter", "non-dropping-particle" : "", "parse-names" : false, "suffix" : "" } ], "container-title" : "Ecology Letters", "id" : "ITEM-1", "issue" : "12", "issued" : { "date-parts" : [ [ "2004", "12" ] ] }, "page" : "1225-1241", "title" : "Conceptual issues in local adaptation", "type" : "article-journal", "volume" : "7" }, "uris" : [ "http://www.mendeley.com/documents/?uuid=0766f154-88f4-44a6-8123-4f9a05208f11" ] } ], "mendeley" : { "formattedCitation" : "(Kawecki and Ebert, 2004)", "plainTextFormattedCitation" : "(Kawecki and Ebert, 2004)", "previouslyFormattedCitation" : "(Kawecki and Ebert, 2004)" }, "properties" : { "noteIndex" : 0 }, "schema" : "https://github.com/citation-style-language/schema/raw/master/csl-citation.json" }</w:instrText>
      </w:r>
      <w:r w:rsidRPr="00437D74">
        <w:rPr>
          <w:color w:val="000000" w:themeColor="text1"/>
        </w:rPr>
        <w:fldChar w:fldCharType="separate"/>
      </w:r>
      <w:r w:rsidR="004723CF" w:rsidRPr="004723CF">
        <w:rPr>
          <w:noProof/>
          <w:color w:val="000000" w:themeColor="text1"/>
        </w:rPr>
        <w:t>(Kawecki and Ebert, 2004)</w:t>
      </w:r>
      <w:r w:rsidRPr="00437D74">
        <w:rPr>
          <w:color w:val="000000" w:themeColor="text1"/>
        </w:rPr>
        <w:fldChar w:fldCharType="end"/>
      </w:r>
      <w:r w:rsidRPr="00437D74">
        <w:rPr>
          <w:color w:val="000000" w:themeColor="text1"/>
        </w:rPr>
        <w:t xml:space="preserve">.   </w:t>
      </w:r>
    </w:p>
    <w:p w14:paraId="60BF61B9" w14:textId="77777777" w:rsidR="00450E64" w:rsidRPr="00437D74" w:rsidRDefault="00450E64" w:rsidP="00450E64">
      <w:pPr>
        <w:pStyle w:val="BodyJB"/>
        <w:ind w:firstLine="720"/>
        <w:rPr>
          <w:color w:val="000000" w:themeColor="text1"/>
        </w:rPr>
      </w:pPr>
      <w:r w:rsidRPr="00437D74">
        <w:rPr>
          <w:color w:val="000000" w:themeColor="text1"/>
        </w:rPr>
        <w:t>Understanding of the how plasticity and genetic differentiation affect variation in metabolic traits is critical to understanding of how the environment influences plant growth and how this manifests itself ecologically.</w:t>
      </w:r>
    </w:p>
    <w:p w14:paraId="2352366C" w14:textId="5306D121" w:rsidR="00450E64" w:rsidRPr="009A5A0E" w:rsidRDefault="00450E64" w:rsidP="00BB6D6B">
      <w:pPr>
        <w:pStyle w:val="BodyJB"/>
      </w:pPr>
      <w:r w:rsidRPr="00437D74">
        <w:rPr>
          <w:color w:val="000000" w:themeColor="text1"/>
        </w:rPr>
        <w:t xml:space="preserve"> </w:t>
      </w:r>
      <w:r w:rsidR="00CB098B">
        <w:rPr>
          <w:color w:val="000000" w:themeColor="text1"/>
        </w:rPr>
        <w:tab/>
      </w:r>
      <w:r w:rsidR="00821A6F">
        <w:rPr>
          <w:color w:val="000000" w:themeColor="text1"/>
        </w:rPr>
        <w:t>The metabolic fingerprinting methods</w:t>
      </w:r>
      <w:r w:rsidR="00821A6F">
        <w:t xml:space="preserve"> are</w:t>
      </w:r>
      <w:r w:rsidRPr="00437D74">
        <w:t xml:space="preserve"> now being applied</w:t>
      </w:r>
      <w:r w:rsidRPr="009A5A0E">
        <w:t xml:space="preserve"> </w:t>
      </w:r>
      <w:r>
        <w:t xml:space="preserve">more frequently </w:t>
      </w:r>
      <w:r w:rsidRPr="009A5A0E">
        <w:t xml:space="preserve">to </w:t>
      </w:r>
      <w:r w:rsidR="00821A6F">
        <w:t>assess population variation in metabolism</w:t>
      </w:r>
      <w:r w:rsidRPr="009A5A0E">
        <w:t xml:space="preserve">. Inherent differences among populations have been shown to be expressed as distinct metabolic phenotypes within the foliage of plants subjected to controlled conditions </w:t>
      </w:r>
      <w:r w:rsidRPr="009A5A0E">
        <w:fldChar w:fldCharType="begin" w:fldLock="1"/>
      </w:r>
      <w:r w:rsidR="004723CF">
        <w:instrText>ADDIN CSL_CITATION { "citationItems" : [ { "id" : "ITEM-1", "itemData" : { "DOI" : "Doi 10.1111/J.1469-8137.2007.02282.X", "ISBN" : "0028-646X", "abstract" : "Plant populations growing at the margin of their range may exhibit traits that indicate genetic differentiation and adaptation to their local abiotic environment. Here, it was investigated whether geographically separated marginal populations of Arabidopsis lyrata ssp. petraea have distinct metabolic phenotypes within the plant foliage. Seeds of A. petraea were obtained from populations along a latitudinal gradient (49-64 degrees N), namely Germany, Wales, Sweden and Iceland and grown in a controlled cabinet environment. Targeted metabolic profiles and fingerprints were obtained at the same initial developmental stage. The free amino acid compositions were population specific, with fold differences in arginine, aspartic acid, asparagines, glycine, phenylalanine, alanine, threonine, histidine, serine and gamma-aminobutyric acid (GABA) concentrations. Sucrose, mannose and fructose concentrations were also different between populations but polyhydric alcohol concentrations were not. Principal component analysis (PCA) of metabolite fingerprints revealed metabolic phenotypes for each population. It is suggested that glucosinolates were responsible for discriminating populations within the PCA. Metabolite fingerprinting and profiling has proved to be sufficiently sensitive to identify metabolic differences between plant populations. These findings show that there is significant natural variation in metabolism among populations of A. petraea.", "author" : [ { "dropping-particle" : "", "family" : "Davey", "given" : "M P", "non-dropping-particle" : "", "parse-names" : false, "suffix" : "" }, { "dropping-particle" : "", "family" : "Burrell", "given" : "M M", "non-dropping-particle" : "", "parse-names" : false, "suffix" : "" }, { "dropping-particle" : "", "family" : "Woodward", "given" : "F I", "non-dropping-particle" : "", "parse-names" : false, "suffix" : "" }, { "dropping-particle" : "", "family" : "Quick", "given" : "W P", "non-dropping-particle" : "", "parse-names" : false, "suffix" : "" } ], "container-title" : "New Phytologist", "id" : "ITEM-1", "issue" : "2", "issued" : { "date-parts" : [ [ "2008" ] ] }, "language" : "English", "page" : "380-388", "title" : "Population-specific metabolic phenotypes of Arabidopsis lyrata ssp petraea", "type" : "article-journal", "volume" : "177" }, "uris" : [ "http://www.mendeley.com/documents/?uuid=92e9c872-fc98-42f1-9f3f-c38db9993c16" ] } ], "mendeley" : { "formattedCitation" : "(Davey et al., 2008a)", "plainTextFormattedCitation" : "(Davey et al., 2008a)", "previouslyFormattedCitation" : "(Davey et al., 2008a)" }, "properties" : { "noteIndex" : 0 }, "schema" : "https://github.com/citation-style-language/schema/raw/master/csl-citation.json" }</w:instrText>
      </w:r>
      <w:r w:rsidRPr="009A5A0E">
        <w:fldChar w:fldCharType="separate"/>
      </w:r>
      <w:r w:rsidRPr="004723CF">
        <w:rPr>
          <w:noProof/>
        </w:rPr>
        <w:t>(Davey et al., 2008a)</w:t>
      </w:r>
      <w:r w:rsidRPr="009A5A0E">
        <w:fldChar w:fldCharType="end"/>
      </w:r>
      <w:r w:rsidRPr="009A5A0E">
        <w:t xml:space="preserve">. Field and Lake (2011) provide one the first studies linking plant metabolic responses, functional traits and intra-specific diversity. Their findings suggest that different genotypes of the polycarpic perennial </w:t>
      </w:r>
      <w:r w:rsidRPr="009A5A0E">
        <w:rPr>
          <w:i/>
        </w:rPr>
        <w:t>Carex caryphyllea</w:t>
      </w:r>
      <w:r w:rsidRPr="009A5A0E">
        <w:t xml:space="preserve"> possess distinct differences in the relative abundance of proline, sugar alcohols and pentose phosphates, metabolites involved in many biochemical pathways associated with plant growth. Manipulating the nutrient status of the soil resulted in genotypes displaying different responses in functional traits such as plant growth, as well as their biochemical composition, compounds belonging to the </w:t>
      </w:r>
      <w:r w:rsidRPr="009A5A0E">
        <w:sym w:font="Symbol" w:char="F067"/>
      </w:r>
      <w:r w:rsidRPr="009A5A0E">
        <w:t xml:space="preserve">-glutamyl cycle were now the most discriminatory compounds between genotypes. </w:t>
      </w:r>
    </w:p>
    <w:p w14:paraId="1973D138" w14:textId="77777777" w:rsidR="00450E64" w:rsidRPr="009A5A0E" w:rsidRDefault="00450E64" w:rsidP="00450E64">
      <w:pPr>
        <w:pStyle w:val="BodyJB"/>
      </w:pPr>
    </w:p>
    <w:p w14:paraId="0B2E0952" w14:textId="77777777" w:rsidR="00450E64" w:rsidRPr="009A5A0E" w:rsidRDefault="00450E64" w:rsidP="00450E64">
      <w:pPr>
        <w:pStyle w:val="BodyJB"/>
        <w:ind w:firstLine="720"/>
        <w:rPr>
          <w:rFonts w:cs="Times New Roman"/>
          <w:color w:val="000000"/>
          <w:lang w:eastAsia="en-US"/>
        </w:rPr>
      </w:pPr>
      <w:r w:rsidRPr="009A5A0E">
        <w:rPr>
          <w:rFonts w:cs="Times New Roman"/>
          <w:color w:val="000000"/>
          <w:lang w:eastAsia="en-US"/>
        </w:rPr>
        <w:t xml:space="preserve">Previous work in Chapter 2 shows population specific patterns in phenotypic trait expression depends on species. Populations of </w:t>
      </w:r>
      <w:r w:rsidRPr="009A5A0E">
        <w:rPr>
          <w:rFonts w:cs="Times New Roman"/>
          <w:i/>
          <w:iCs/>
          <w:color w:val="000000"/>
          <w:lang w:eastAsia="en-US"/>
        </w:rPr>
        <w:t>A. serpyllifolia</w:t>
      </w:r>
      <w:r w:rsidRPr="009A5A0E">
        <w:rPr>
          <w:rFonts w:cs="Times New Roman"/>
          <w:color w:val="000000"/>
          <w:lang w:eastAsia="en-US"/>
        </w:rPr>
        <w:t xml:space="preserve">, </w:t>
      </w:r>
      <w:r w:rsidRPr="009A5A0E">
        <w:rPr>
          <w:rFonts w:cs="Times New Roman"/>
          <w:i/>
          <w:iCs/>
          <w:color w:val="000000"/>
          <w:lang w:eastAsia="en-US"/>
        </w:rPr>
        <w:t xml:space="preserve">C. diffusum </w:t>
      </w:r>
      <w:r w:rsidRPr="009A5A0E">
        <w:rPr>
          <w:rFonts w:cs="Times New Roman"/>
          <w:color w:val="000000"/>
          <w:lang w:eastAsia="en-US"/>
        </w:rPr>
        <w:t xml:space="preserve">and </w:t>
      </w:r>
      <w:r w:rsidRPr="009A5A0E">
        <w:rPr>
          <w:rFonts w:cs="Times New Roman"/>
          <w:i/>
          <w:iCs/>
          <w:color w:val="000000"/>
          <w:lang w:eastAsia="en-US"/>
        </w:rPr>
        <w:t xml:space="preserve">P. arenarium </w:t>
      </w:r>
      <w:r w:rsidRPr="009A5A0E">
        <w:rPr>
          <w:rFonts w:cs="Times New Roman"/>
          <w:color w:val="000000"/>
          <w:lang w:eastAsia="en-US"/>
        </w:rPr>
        <w:t xml:space="preserve">significantly differ in the widest number of traits relating to flowering, reproductive and productivity. While populations of </w:t>
      </w:r>
      <w:r w:rsidRPr="009A5A0E">
        <w:rPr>
          <w:rFonts w:cs="Times New Roman"/>
          <w:i/>
          <w:iCs/>
          <w:color w:val="000000"/>
          <w:lang w:eastAsia="en-US"/>
        </w:rPr>
        <w:t>S. vulgaris</w:t>
      </w:r>
      <w:r w:rsidRPr="009A5A0E">
        <w:rPr>
          <w:rFonts w:cs="Times New Roman"/>
          <w:color w:val="000000"/>
          <w:lang w:eastAsia="en-US"/>
        </w:rPr>
        <w:t xml:space="preserve"> and </w:t>
      </w:r>
      <w:r w:rsidRPr="009A5A0E">
        <w:rPr>
          <w:rFonts w:cs="Times New Roman"/>
          <w:i/>
          <w:iCs/>
          <w:color w:val="000000"/>
          <w:lang w:eastAsia="en-US"/>
        </w:rPr>
        <w:t>V. arvensis</w:t>
      </w:r>
      <w:r w:rsidRPr="009A5A0E">
        <w:rPr>
          <w:rFonts w:cs="Times New Roman"/>
          <w:color w:val="000000"/>
          <w:lang w:eastAsia="en-US"/>
        </w:rPr>
        <w:t xml:space="preserve"> mainly show differences in flowering traits such as time and size at flowering. </w:t>
      </w:r>
    </w:p>
    <w:p w14:paraId="00283635" w14:textId="7D0D5B11" w:rsidR="00450E64" w:rsidRPr="009A5A0E" w:rsidRDefault="00450E64" w:rsidP="00450E64">
      <w:pPr>
        <w:pStyle w:val="BodyJB"/>
        <w:ind w:firstLine="720"/>
      </w:pPr>
      <w:r w:rsidRPr="009A5A0E">
        <w:t xml:space="preserve">There are a variety of interactions between metabolites and the mechanisms that control these traits. It has been shown that metabolites such as the carbohydrates glucose and sucrose and the sugar phosphate trehalose-6-phosphate act as metabolic signals and are involved in the control of plant growth and development </w:t>
      </w:r>
      <w:r w:rsidRPr="009A5A0E">
        <w:fldChar w:fldCharType="begin" w:fldLock="1"/>
      </w:r>
      <w:r w:rsidR="004723CF">
        <w:instrText>ADDIN CSL_CITATION { "citationItems" : [ { "id" : "ITEM-1", "itemData" : { "DOI" : "10.1016/j.pbi.2004.11.003", "ISSN" : "1369-5266", "PMID" : "15653406", "abstract" : "Coordination of development with the availability of nutrients, such as soluble sugars, may help ensure an adequate supply of building materials and energy with which to carry out specific developmental programs. For example, in-vivo and in-vitro experiments suggest that increasing sugar levels delay seed germination and stimulate the induction of flowering and senescence in at least some plant species. Higher sugar concentrations can also increase the number of tubers formed by potatoes and can stimulate the formation of adventitious roots by Arabidopsis. New insights into the mechanisms by which sugar-response pathways interact with other response pathways have been provided by microarray experiments examining sugar-regulated gene expression under different light and nitrogen conditions.", "author" : [ { "dropping-particle" : "", "family" : "Gibson", "given" : "Susan I", "non-dropping-particle" : "", "parse-names" : false, "suffix" : "" } ], "container-title" : "Current opinion in plant biology", "id" : "ITEM-1", "issue" : "1", "issued" : { "date-parts" : [ [ "2005", "2" ] ] }, "page" : "93-102", "title" : "Control of plant development and gene expression by sugar signaling.", "type" : "article-journal", "volume" : "8" }, "uris" : [ "http://www.mendeley.com/documents/?uuid=c85ae535-eba2-4cdc-8726-21295a235886" ] }, { "id" : "ITEM-2", "itemData" : { "author" : [ { "dropping-particle" : "", "family" : "Schluepmann", "given" : "Henriette", "non-dropping-particle" : "", "parse-names" : false, "suffix" : "" }, { "dropping-particle" : "", "family" : "Pellny", "given" : "Till", "non-dropping-particle" : "", "parse-names" : false, "suffix" : "" }, { "dropping-particle" : "", "family" : "Dijken", "given" : "Anya", "non-dropping-particle" : "van", "parse-names" : false, "suffix" : "" }, { "dropping-particle" : "", "family" : "Smeekens", "given" : "Sjef", "non-dropping-particle" : "", "parse-names" : false, "suffix" : "" }, { "dropping-particle" : "", "family" : "Paull", "given" : "Matthew", "non-dropping-particle" : "", "parse-names" : false, "suffix" : "" } ], "container-title" : "Proceedings of the \u2026", "id" : "ITEM-2", "issued" : { "date-parts" : [ [ "2003" ] ] }, "title" : "Trehalose for 6-phosphate is indispensable for carbohydrate utilization and growth in Arabidopsis thaliana", "type" : "article-journal" }, "uris" : [ "http://www.mendeley.com/documents/?uuid=99fd215e-5ece-415c-82b3-2cb52ef3ea4d" ] } ], "mendeley" : { "formattedCitation" : "(Schluepmann et al., 2003; Gibson, 2005)", "plainTextFormattedCitation" : "(Schluepmann et al., 2003; Gibson, 2005)", "previouslyFormattedCitation" : "(Schluepmann et al., 2003; Gibson, 2005)" }, "properties" : { "noteIndex" : 0 }, "schema" : "https://github.com/citation-style-language/schema/raw/master/csl-citation.json" }</w:instrText>
      </w:r>
      <w:r w:rsidRPr="009A5A0E">
        <w:fldChar w:fldCharType="separate"/>
      </w:r>
      <w:r w:rsidRPr="004723CF">
        <w:rPr>
          <w:noProof/>
        </w:rPr>
        <w:t>(Schluepmann et al., 2003; Gibson, 2005)</w:t>
      </w:r>
      <w:r w:rsidRPr="009A5A0E">
        <w:fldChar w:fldCharType="end"/>
      </w:r>
      <w:r w:rsidRPr="009A5A0E">
        <w:t xml:space="preserve">. Global metabolic fingerprinting has indicated that plant growth is associated with the combination of a large number of metabolites rather that a few individual compounds </w:t>
      </w:r>
      <w:r w:rsidRPr="009A5A0E">
        <w:fldChar w:fldCharType="begin" w:fldLock="1"/>
      </w:r>
      <w:r w:rsidR="004723CF">
        <w:instrText>ADDIN CSL_CITATION { "citationItems" : [ { "id" : "ITEM-1", "itemData" : { "DOI" : "10.1073/pnas.0609709104", "ISSN" : "0027-8424", "PMID" : "17360597", "abstract" : "The decline of available fossil fuel reserves has triggered world-wide efforts to develop alternative energy sources based on plant biomass. Detailed knowledge of the relations of metabolism and biomass accumulation can be expected to yield powerful novel tools to accelerate and enhance energy plant breeding programs. We used metabolic profiling in the model Arabidopsis to study the relation between biomass and metabolic composition using a recombinant inbred line (RIL) population. A highly significant canonical correlation (0.73) was observed, revealing a close link between biomass and a specific combination of metabolites. Dividing the entire data set into training and test sets resulted in a median correlation between predicted and true biomass of 0.58. The demonstrated high predictive power of metabolic composition for biomass features this composite measure as an excellent biomarker and opens new opportunities to enhance plant breeding specifically in the context of renewable resources.", "author" : [ { "dropping-particle" : "", "family" : "Meyer", "given" : "Rhonda C", "non-dropping-particle" : "", "parse-names" : false, "suffix" : "" }, { "dropping-particle" : "", "family" : "Steinfath", "given" : "Matthias", "non-dropping-particle" : "", "parse-names" : false, "suffix" : "" }, { "dropping-particle" : "", "family" : "Lisec", "given" : "Jan", "non-dropping-particle" : "", "parse-names" : false, "suffix" : "" }, { "dropping-particle" : "", "family" : "Becher", "given" : "Martina", "non-dropping-particle" : "", "parse-names" : false, "suffix" : "" }, { "dropping-particle" : "", "family" : "Witucka-Wall", "given" : "Hanna", "non-dropping-particle" : "", "parse-names" : false, "suffix" : "" }, { "dropping-particle" : "", "family" : "T\u00f6rj\u00e9k", "given" : "Ott\u00f3", "non-dropping-particle" : "", "parse-names" : false, "suffix" : "" }, { "dropping-particle" : "", "family" : "Fiehn", "given" : "Oliver", "non-dropping-particle" : "", "parse-names" : false, "suffix" : "" }, { "dropping-particle" : "", "family" : "Eckardt", "given" : "Anne", "non-dropping-particle" : "", "parse-names" : false, "suffix" : "" }, { "dropping-particle" : "", "family" : "Willmitzer", "given" : "Lothar", "non-dropping-particle" : "", "parse-names" : false, "suffix" : "" }, { "dropping-particle" : "", "family" : "Selbig", "given" : "Joachim", "non-dropping-particle" : "", "parse-names" : false, "suffix" : "" }, { "dropping-particle" : "", "family" : "Altmann", "given" : "Thomas", "non-dropping-particle" : "", "parse-names" : false, "suffix" : "" } ], "container-title" : "Proceedings of the National Academy of Sciences of the United States of America", "id" : "ITEM-1", "issue" : "11", "issued" : { "date-parts" : [ [ "2007", "3", "13" ] ] }, "page" : "4759-64", "title" : "The metabolic signature related to high plant growth rate in Arabidopsis thaliana.", "type" : "article-journal", "volume" : "104" }, "uris" : [ "http://www.mendeley.com/documents/?uuid=c356ff2c-8254-41d3-a840-8db733bf90ca" ] } ], "mendeley" : { "formattedCitation" : "(Meyer et al., 2007)", "plainTextFormattedCitation" : "(Meyer et al., 2007)", "previouslyFormattedCitation" : "(Meyer et al., 2007)" }, "properties" : { "noteIndex" : 0 }, "schema" : "https://github.com/citation-style-language/schema/raw/master/csl-citation.json" }</w:instrText>
      </w:r>
      <w:r w:rsidRPr="009A5A0E">
        <w:fldChar w:fldCharType="separate"/>
      </w:r>
      <w:r w:rsidRPr="004723CF">
        <w:rPr>
          <w:noProof/>
        </w:rPr>
        <w:t>(Meyer et al., 2007)</w:t>
      </w:r>
      <w:r w:rsidRPr="009A5A0E">
        <w:fldChar w:fldCharType="end"/>
      </w:r>
      <w:r w:rsidRPr="009A5A0E">
        <w:t xml:space="preserve">. The fingerprinting approach has also been used to identify differences in metabolic composition during different developmental stages in the annual herb </w:t>
      </w:r>
      <w:r w:rsidRPr="009A5A0E">
        <w:rPr>
          <w:i/>
        </w:rPr>
        <w:t>Artemisia annua L.</w:t>
      </w:r>
      <w:r w:rsidRPr="009A5A0E">
        <w:t xml:space="preserve"> </w:t>
      </w:r>
      <w:r w:rsidRPr="009A5A0E">
        <w:fldChar w:fldCharType="begin" w:fldLock="1"/>
      </w:r>
      <w:r w:rsidR="004723CF">
        <w:instrText>ADDIN CSL_CITATION { "citationItems" : [ { "id" : "ITEM-1", "itemData" : { "DOI" : "10.1016/j.chroma.2007.09.023", "ISSN" : "0021-9673", "PMID" : "17915234", "abstract" : "Artemisia annua L. is an annual herb native of Asia and this plant has been famous for the discovery of the anti-malarial drug artemisinin since 1971. In this work, to investigate variety of whole metabolites, metabolic fingerprinting analysis of A. annua L. was carried out by GC and GC-MS coupled with trimethylsilyl derivatisation. Principal component analysis and partial least squares discriminant analysis were employed to classify GC data of A. annua L. samples at five developmental stages. The results indicated that there was no distinct difference of metabolites between control (001) and transgenic strain (F4) from the tender seedling stage to adult seedling stage, but clear differences were detected at pre-flower budding stage, flower budding stage and full flowering stage. Three precursors of artemisinin biosynthesis were studied at five developmental stages and found that a possible bottleneck exists in the conversion from artemisinic acid or dihydroartemisinic acid to artemisinin.", "author" : [ { "dropping-particle" : "", "family" : "Ma", "given" : "Chenfei", "non-dropping-particle" : "", "parse-names" : false, "suffix" : "" }, { "dropping-particle" : "", "family" : "Wang", "given" : "Huahong", "non-dropping-particle" : "", "parse-names" : false, "suffix" : "" }, { "dropping-particle" : "", "family" : "Lu", "given" : "Xin", "non-dropping-particle" : "", "parse-names" : false, "suffix" : "" }, { "dropping-particle" : "", "family" : "Xu", "given" : "Guowang", "non-dropping-particle" : "", "parse-names" : false, "suffix" : "" }, { "dropping-particle" : "", "family" : "Liu", "given" : "Benye", "non-dropping-particle" : "", "parse-names" : false, "suffix" : "" } ], "container-title" : "Journal of chromatography. A", "id" : "ITEM-1", "issue" : "1-2", "issued" : { "date-parts" : [ [ "2008", "4", "4" ] ] }, "page" : "412-9", "title" : "Metabolic fingerprinting investigation of Artemisia annua L. in different stages of development by gas chromatography and gas chromatography-mass spectrometry.", "type" : "article-journal", "volume" : "1186" }, "uris" : [ "http://www.mendeley.com/documents/?uuid=2559bff5-27d3-4720-9ff0-424978f37e93" ] } ], "mendeley" : { "formattedCitation" : "(Ma et al., 2008)", "plainTextFormattedCitation" : "(Ma et al., 2008)", "previouslyFormattedCitation" : "(Ma et al., 2008)" }, "properties" : { "noteIndex" : 0 }, "schema" : "https://github.com/citation-style-language/schema/raw/master/csl-citation.json" }</w:instrText>
      </w:r>
      <w:r w:rsidRPr="009A5A0E">
        <w:fldChar w:fldCharType="separate"/>
      </w:r>
      <w:r w:rsidRPr="004723CF">
        <w:rPr>
          <w:noProof/>
        </w:rPr>
        <w:t>(Ma et al., 2008)</w:t>
      </w:r>
      <w:r w:rsidRPr="009A5A0E">
        <w:fldChar w:fldCharType="end"/>
      </w:r>
      <w:r w:rsidRPr="009A5A0E">
        <w:t xml:space="preserve">, multivariate analysis showed clear metabolic differences at the budding, flower budding and full flowering stages. Many primary metabolites, such as d-glucose and inositol were associated with plant growth, while precursors of isoprenoid end-products such as sesquiterpenoids changed between life stages </w:t>
      </w:r>
      <w:r w:rsidRPr="009A5A0E">
        <w:fldChar w:fldCharType="begin" w:fldLock="1"/>
      </w:r>
      <w:r w:rsidR="004723CF">
        <w:instrText>ADDIN CSL_CITATION { "citationItems" : [ { "id" : "ITEM-1", "itemData" : { "DOI" : "10.1016/j.chroma.2007.09.023", "ISSN" : "0021-9673", "PMID" : "17915234", "abstract" : "Artemisia annua L. is an annual herb native of Asia and this plant has been famous for the discovery of the anti-malarial drug artemisinin since 1971. In this work, to investigate variety of whole metabolites, metabolic fingerprinting analysis of A. annua L. was carried out by GC and GC-MS coupled with trimethylsilyl derivatisation. Principal component analysis and partial least squares discriminant analysis were employed to classify GC data of A. annua L. samples at five developmental stages. The results indicated that there was no distinct difference of metabolites between control (001) and transgenic strain (F4) from the tender seedling stage to adult seedling stage, but clear differences were detected at pre-flower budding stage, flower budding stage and full flowering stage. Three precursors of artemisinin biosynthesis were studied at five developmental stages and found that a possible bottleneck exists in the conversion from artemisinic acid or dihydroartemisinic acid to artemisinin.", "author" : [ { "dropping-particle" : "", "family" : "Ma", "given" : "Chenfei", "non-dropping-particle" : "", "parse-names" : false, "suffix" : "" }, { "dropping-particle" : "", "family" : "Wang", "given" : "Huahong", "non-dropping-particle" : "", "parse-names" : false, "suffix" : "" }, { "dropping-particle" : "", "family" : "Lu", "given" : "Xin", "non-dropping-particle" : "", "parse-names" : false, "suffix" : "" }, { "dropping-particle" : "", "family" : "Xu", "given" : "Guowang", "non-dropping-particle" : "", "parse-names" : false, "suffix" : "" }, { "dropping-particle" : "", "family" : "Liu", "given" : "Benye", "non-dropping-particle" : "", "parse-names" : false, "suffix" : "" } ], "container-title" : "Journal of chromatography. A", "id" : "ITEM-1", "issue" : "1-2", "issued" : { "date-parts" : [ [ "2008", "4", "4" ] ] }, "page" : "412-9", "title" : "Metabolic fingerprinting investigation of Artemisia annua L. in different stages of development by gas chromatography and gas chromatography-mass spectrometry.", "type" : "article-journal", "volume" : "1186" }, "uris" : [ "http://www.mendeley.com/documents/?uuid=2559bff5-27d3-4720-9ff0-424978f37e93" ] } ], "mendeley" : { "formattedCitation" : "(Ma et al., 2008)", "plainTextFormattedCitation" : "(Ma et al., 2008)", "previouslyFormattedCitation" : "(Ma et al., 2008)" }, "properties" : { "noteIndex" : 0 }, "schema" : "https://github.com/citation-style-language/schema/raw/master/csl-citation.json" }</w:instrText>
      </w:r>
      <w:r w:rsidRPr="009A5A0E">
        <w:fldChar w:fldCharType="separate"/>
      </w:r>
      <w:r w:rsidRPr="004723CF">
        <w:rPr>
          <w:noProof/>
        </w:rPr>
        <w:t>(Ma et al., 2008)</w:t>
      </w:r>
      <w:r w:rsidRPr="009A5A0E">
        <w:fldChar w:fldCharType="end"/>
      </w:r>
      <w:r w:rsidRPr="009A5A0E">
        <w:t xml:space="preserve"> indicating these may be involved in the differentiation of life history stages in this species. </w:t>
      </w:r>
    </w:p>
    <w:p w14:paraId="21B43133" w14:textId="77777777" w:rsidR="00450E64" w:rsidRPr="009A5A0E" w:rsidRDefault="00450E64" w:rsidP="00450E64">
      <w:pPr>
        <w:pStyle w:val="BodyJB"/>
        <w:ind w:firstLine="720"/>
      </w:pPr>
      <w:r w:rsidRPr="0025058C">
        <w:t>In the current study, variation in metabolism between populations due to genetically controlled differences in the timing of life history events, was controlled by sampling leaf tissue at a set time after flowering initiation recorded for each individual sampling plant. By minimizing the effect of metabolic variation due to life history differences this analysis can focus on variation in metabolism that is due to the populations adapting to environmental conditions in their natural environment. Each population in this study was grown under identical environmental conditions.  Observing metabolic variation between populations grown this way indicates metabolic traits are controlled by factors other than environmental cues (genetic, epigenetic, mothering effects).</w:t>
      </w:r>
    </w:p>
    <w:p w14:paraId="18D02FDF" w14:textId="77777777" w:rsidR="00450E64" w:rsidRPr="009A5A0E" w:rsidRDefault="00450E64" w:rsidP="00450E64">
      <w:pPr>
        <w:pStyle w:val="BodyJB"/>
        <w:rPr>
          <w:rFonts w:cs="Times New Roman"/>
          <w:color w:val="000000"/>
          <w:lang w:eastAsia="en-US"/>
        </w:rPr>
      </w:pPr>
    </w:p>
    <w:p w14:paraId="05C944AC" w14:textId="141C0EF4" w:rsidR="00450E64" w:rsidRPr="009A5A0E" w:rsidRDefault="00450E64" w:rsidP="00450E64">
      <w:pPr>
        <w:pStyle w:val="BodyJB"/>
        <w:ind w:firstLine="720"/>
        <w:rPr>
          <w:rFonts w:cs="Times New Roman"/>
          <w:sz w:val="20"/>
          <w:szCs w:val="20"/>
          <w:lang w:eastAsia="en-US"/>
        </w:rPr>
      </w:pPr>
      <w:r>
        <w:rPr>
          <w:rFonts w:cs="Times New Roman"/>
          <w:color w:val="000000"/>
          <w:lang w:eastAsia="en-US"/>
        </w:rPr>
        <w:t>Results</w:t>
      </w:r>
      <w:r w:rsidRPr="009A5A0E">
        <w:rPr>
          <w:rFonts w:cs="Times New Roman"/>
          <w:color w:val="000000"/>
          <w:lang w:eastAsia="en-US"/>
        </w:rPr>
        <w:t xml:space="preserve"> in the previous chapter 3, studying metabolic profiles of five dune annual species growing under ambient environmental conditions indicated that the differential expression of compounds between species also has a substantial genetic basis. These data suggest that these five species that grow together in a habitat, experiencing similar biotic and abiotic stresses, prioritise different metabolic functions at a similar life history stage. Many of the metabolites that positively discriminate each species are associated with responses to stress. Analysing whether these species then show metabolic divergence in relation to the location plants originated from provides the crucial next step in understanding the importance of genetic adaptation in this community.</w:t>
      </w:r>
    </w:p>
    <w:p w14:paraId="1F005934" w14:textId="77777777" w:rsidR="0052730F" w:rsidRPr="00D14996" w:rsidRDefault="0052730F" w:rsidP="00D14996">
      <w:pPr>
        <w:pStyle w:val="BodyJB"/>
        <w:rPr>
          <w:rFonts w:eastAsia="Times New Roman" w:cs="Times New Roman"/>
          <w:b/>
          <w:bCs/>
          <w:color w:val="000000"/>
          <w:lang w:eastAsia="en-US"/>
        </w:rPr>
      </w:pPr>
    </w:p>
    <w:p w14:paraId="379B8DA7" w14:textId="68FF5CD7" w:rsidR="00D14996" w:rsidRPr="00D14996" w:rsidRDefault="00D14996" w:rsidP="00D14996">
      <w:pPr>
        <w:spacing w:line="360" w:lineRule="auto"/>
        <w:rPr>
          <w:rFonts w:ascii="Times" w:hAnsi="Times" w:cs="Times New Roman"/>
          <w:lang w:eastAsia="en-US"/>
        </w:rPr>
      </w:pPr>
      <w:r w:rsidRPr="00D14996">
        <w:rPr>
          <w:rFonts w:ascii="Times" w:hAnsi="Times" w:cs="Arial"/>
          <w:color w:val="000000"/>
          <w:lang w:eastAsia="en-US"/>
        </w:rPr>
        <w:t>In this chapter I assess the patterns and basis of population variation in metabolic traits. I analyse the metabolome of multiple populations across five dune annual species growing under controlled environmental conditions.</w:t>
      </w:r>
      <w:r w:rsidRPr="00D14996">
        <w:rPr>
          <w:rFonts w:ascii="Times" w:hAnsi="Times" w:cs="Times New Roman"/>
          <w:lang w:eastAsia="en-US"/>
        </w:rPr>
        <w:t xml:space="preserve"> </w:t>
      </w:r>
      <w:r w:rsidRPr="00D14996">
        <w:rPr>
          <w:rFonts w:ascii="Times" w:hAnsi="Times" w:cs="Times New Roman"/>
          <w:b/>
          <w:lang w:eastAsia="en-US"/>
        </w:rPr>
        <w:t xml:space="preserve">1. </w:t>
      </w:r>
      <w:r w:rsidRPr="00D14996">
        <w:rPr>
          <w:rFonts w:ascii="Times" w:hAnsi="Times" w:cs="Arial"/>
          <w:b/>
          <w:color w:val="000000"/>
          <w:lang w:eastAsia="en-US"/>
        </w:rPr>
        <w:t xml:space="preserve">Can I detect population differentiation in metabolic traits across a number of species? 2. </w:t>
      </w:r>
      <w:r w:rsidRPr="00D14996">
        <w:rPr>
          <w:rFonts w:ascii="Times" w:eastAsia="Times New Roman" w:hAnsi="Times" w:cs="Arial"/>
          <w:b/>
          <w:bCs/>
          <w:color w:val="000000"/>
          <w:lang w:eastAsia="en-US"/>
        </w:rPr>
        <w:t>Can metabolic profiles be used to infer types of environmental factors populations adapt to?</w:t>
      </w:r>
    </w:p>
    <w:p w14:paraId="7F54EB1F" w14:textId="77777777" w:rsidR="0052730F" w:rsidRPr="00D14996" w:rsidRDefault="0052730F" w:rsidP="00D14996">
      <w:pPr>
        <w:pStyle w:val="BodyJB"/>
      </w:pPr>
    </w:p>
    <w:p w14:paraId="77CD11A6" w14:textId="77777777" w:rsidR="0052730F" w:rsidRPr="00D14996" w:rsidRDefault="0052730F" w:rsidP="00D14996">
      <w:pPr>
        <w:pStyle w:val="BodyJB"/>
      </w:pPr>
    </w:p>
    <w:p w14:paraId="112B0438" w14:textId="77777777" w:rsidR="0052730F" w:rsidRPr="009711BF" w:rsidRDefault="0052730F" w:rsidP="0052730F">
      <w:pPr>
        <w:pStyle w:val="SubheadingJB"/>
        <w:rPr>
          <w:color w:val="3366FF"/>
        </w:rPr>
      </w:pPr>
      <w:bookmarkStart w:id="76" w:name="_Toc291410081"/>
      <w:r w:rsidRPr="009711BF">
        <w:t>5.2- Methods</w:t>
      </w:r>
      <w:bookmarkEnd w:id="76"/>
      <w:r w:rsidRPr="009711BF">
        <w:t xml:space="preserve"> </w:t>
      </w:r>
    </w:p>
    <w:p w14:paraId="3A4D9603" w14:textId="77777777" w:rsidR="0052730F" w:rsidRPr="00A429C5" w:rsidRDefault="0052730F" w:rsidP="00885C4D">
      <w:pPr>
        <w:pStyle w:val="subheadingMINOR"/>
        <w:rPr>
          <w:sz w:val="20"/>
          <w:szCs w:val="20"/>
          <w:lang w:eastAsia="en-US"/>
        </w:rPr>
      </w:pPr>
      <w:bookmarkStart w:id="77" w:name="_Toc291410082"/>
      <w:r w:rsidRPr="00A429C5">
        <w:rPr>
          <w:lang w:eastAsia="en-US"/>
        </w:rPr>
        <w:t>Experimental Design</w:t>
      </w:r>
      <w:bookmarkEnd w:id="77"/>
    </w:p>
    <w:p w14:paraId="4D80B75F" w14:textId="77777777" w:rsidR="0052730F" w:rsidRPr="009711BF" w:rsidRDefault="0052730F" w:rsidP="0052730F">
      <w:pPr>
        <w:pStyle w:val="BodyJB"/>
        <w:rPr>
          <w:sz w:val="20"/>
          <w:szCs w:val="20"/>
          <w:lang w:eastAsia="en-US"/>
        </w:rPr>
      </w:pPr>
      <w:r w:rsidRPr="009711BF">
        <w:rPr>
          <w:lang w:eastAsia="en-US"/>
        </w:rPr>
        <w:t>See Chapter 2 for details</w:t>
      </w:r>
    </w:p>
    <w:p w14:paraId="5E079FE3" w14:textId="77777777" w:rsidR="0052730F" w:rsidRPr="00230A19" w:rsidRDefault="0052730F" w:rsidP="0052730F">
      <w:pPr>
        <w:pStyle w:val="BodyJB"/>
        <w:rPr>
          <w:sz w:val="20"/>
          <w:szCs w:val="20"/>
          <w:lang w:eastAsia="en-US"/>
        </w:rPr>
      </w:pPr>
    </w:p>
    <w:p w14:paraId="658DA247" w14:textId="77777777" w:rsidR="0052730F" w:rsidRPr="00A429C5" w:rsidRDefault="0052730F" w:rsidP="00885C4D">
      <w:pPr>
        <w:pStyle w:val="subheadingMINOR"/>
        <w:rPr>
          <w:sz w:val="20"/>
          <w:szCs w:val="20"/>
          <w:lang w:eastAsia="en-US"/>
        </w:rPr>
      </w:pPr>
      <w:bookmarkStart w:id="78" w:name="_Toc291410083"/>
      <w:r w:rsidRPr="00A429C5">
        <w:rPr>
          <w:lang w:eastAsia="en-US"/>
        </w:rPr>
        <w:t>Metabolomic Analysis</w:t>
      </w:r>
      <w:bookmarkEnd w:id="78"/>
    </w:p>
    <w:p w14:paraId="05975D55" w14:textId="77777777" w:rsidR="0052730F" w:rsidRPr="009711BF" w:rsidRDefault="0052730F" w:rsidP="0052730F">
      <w:pPr>
        <w:pStyle w:val="BodyJB"/>
        <w:rPr>
          <w:sz w:val="20"/>
          <w:szCs w:val="20"/>
          <w:lang w:eastAsia="en-US"/>
        </w:rPr>
      </w:pPr>
      <w:r w:rsidRPr="009711BF">
        <w:rPr>
          <w:lang w:eastAsia="en-US"/>
        </w:rPr>
        <w:t xml:space="preserve">Samples used to analyse population variation in metabolism were identical to those used to measure species variation in the previous chapter. See Chapter 2 for full details of Metabolite Sample Harvesting, Metabolite Extraction Mass Spectrometry Analysis. </w:t>
      </w:r>
    </w:p>
    <w:p w14:paraId="1AE429B2" w14:textId="77777777" w:rsidR="0052730F" w:rsidRPr="00230A19" w:rsidRDefault="0052730F" w:rsidP="0052730F">
      <w:pPr>
        <w:pStyle w:val="BodyJB"/>
        <w:rPr>
          <w:b/>
          <w:bCs/>
          <w:sz w:val="20"/>
          <w:szCs w:val="20"/>
          <w:lang w:eastAsia="en-US"/>
        </w:rPr>
      </w:pPr>
    </w:p>
    <w:p w14:paraId="3E2064C3" w14:textId="77777777" w:rsidR="0052730F" w:rsidRPr="00A429C5" w:rsidRDefault="0052730F" w:rsidP="00885C4D">
      <w:pPr>
        <w:pStyle w:val="subheadingMINOR"/>
        <w:rPr>
          <w:sz w:val="20"/>
          <w:szCs w:val="20"/>
          <w:lang w:eastAsia="en-US"/>
        </w:rPr>
      </w:pPr>
      <w:bookmarkStart w:id="79" w:name="_Toc291410084"/>
      <w:r w:rsidRPr="00A429C5">
        <w:rPr>
          <w:lang w:eastAsia="en-US"/>
        </w:rPr>
        <w:t>Metabolomic Data Analysis</w:t>
      </w:r>
      <w:bookmarkEnd w:id="79"/>
    </w:p>
    <w:p w14:paraId="7BC6512C" w14:textId="77777777" w:rsidR="0052730F" w:rsidRPr="009711BF" w:rsidRDefault="0052730F" w:rsidP="00885C4D">
      <w:pPr>
        <w:pStyle w:val="BodyJB"/>
        <w:ind w:firstLine="720"/>
        <w:rPr>
          <w:sz w:val="20"/>
          <w:szCs w:val="20"/>
          <w:lang w:eastAsia="en-US"/>
        </w:rPr>
      </w:pPr>
      <w:r w:rsidRPr="009711BF">
        <w:rPr>
          <w:lang w:eastAsia="en-US"/>
        </w:rPr>
        <w:t xml:space="preserve">Data output from the mass spectrometry analysis was initially processed and binned to 0.2 Da, for details see Chapter 2 “2.2.3.4- Metabolomic Data Analysis”. </w:t>
      </w:r>
    </w:p>
    <w:p w14:paraId="0224F801" w14:textId="77777777" w:rsidR="0052730F" w:rsidRPr="009711BF" w:rsidRDefault="0052730F" w:rsidP="00885C4D">
      <w:pPr>
        <w:pStyle w:val="BodyJB"/>
        <w:ind w:firstLine="720"/>
        <w:rPr>
          <w:sz w:val="20"/>
          <w:szCs w:val="20"/>
          <w:lang w:eastAsia="en-US"/>
        </w:rPr>
      </w:pPr>
      <w:r w:rsidRPr="009711BF">
        <w:rPr>
          <w:lang w:eastAsia="en-US"/>
        </w:rPr>
        <w:t xml:space="preserve">Data for each species was split up and the following analyses were performed on each species separately. Principal Component Analysis (PCA) was performed using percent Total Ion count (%TIC) for each mass bin for each sample, for details see Chapter 2 “2.2.3.4- Metabolomic Data Analysis”. Contribution of scores plots were then created to visualise which mass bins varied most along the principal components associated with population separation. </w:t>
      </w:r>
    </w:p>
    <w:p w14:paraId="5F4AEAF2" w14:textId="77777777" w:rsidR="0052730F" w:rsidRPr="009711BF" w:rsidRDefault="0052730F" w:rsidP="00885C4D">
      <w:pPr>
        <w:pStyle w:val="BodyJB"/>
        <w:ind w:firstLine="720"/>
        <w:rPr>
          <w:sz w:val="20"/>
          <w:szCs w:val="20"/>
          <w:lang w:eastAsia="en-US"/>
        </w:rPr>
      </w:pPr>
      <w:r w:rsidRPr="009711BF">
        <w:rPr>
          <w:lang w:eastAsia="en-US"/>
        </w:rPr>
        <w:t>To determine the statistical differences in compound concentration between different populations ANOVA analysis on each mass bin was performed in R, for details see Chapter 2 “2.2.3.4- Metabolomic Data Analysis”. The effect of population was considered significant if ANOVA p-values fell below FDR value of 0.05. Based on this criteria, very few mass bins could be listed as significantly different according to population. Because the aim of this chapter is to identify the main metabolic differences between populations, mass bins with a raw p-value below 0.05 were also considered and putatively identified, since these bins also show population variations, albeit to a smaller extent than FDR significant bins. Posthoc Tukey tests were performed to determine in which population mass bin concentration was significantly different.</w:t>
      </w:r>
    </w:p>
    <w:p w14:paraId="582422AD" w14:textId="77777777" w:rsidR="0052730F" w:rsidRDefault="0052730F" w:rsidP="00885C4D">
      <w:pPr>
        <w:pStyle w:val="BodyJB"/>
        <w:ind w:firstLine="720"/>
        <w:rPr>
          <w:sz w:val="20"/>
          <w:szCs w:val="20"/>
          <w:lang w:eastAsia="en-US"/>
        </w:rPr>
      </w:pPr>
      <w:r w:rsidRPr="009711BF">
        <w:rPr>
          <w:lang w:eastAsia="en-US"/>
        </w:rPr>
        <w:t>Putative identifications of the top five mass bins highlighted as causing species separation in PCA score contribution plots, along with those with a raw p-value of 0.05 according to ANOVA were made based on the average accurate mass with the mass bin. Putative identifications were then grouped based on population and mapped onto pathways using MetaboAnalyst, for details see Chapter 2 “2.2.3.4- Metabolomic Data Analysis”.</w:t>
      </w:r>
    </w:p>
    <w:p w14:paraId="3ED4D6C9" w14:textId="77777777" w:rsidR="0052730F" w:rsidRDefault="0052730F" w:rsidP="00885C4D">
      <w:pPr>
        <w:pStyle w:val="SubheadingJB"/>
        <w:rPr>
          <w:color w:val="3366FF"/>
        </w:rPr>
      </w:pPr>
      <w:bookmarkStart w:id="80" w:name="_Toc291410085"/>
      <w:r w:rsidRPr="009711BF">
        <w:t>5.3- Results</w:t>
      </w:r>
      <w:bookmarkEnd w:id="80"/>
      <w:r w:rsidRPr="009711BF">
        <w:t xml:space="preserve"> </w:t>
      </w:r>
    </w:p>
    <w:p w14:paraId="0640BFDB" w14:textId="77777777" w:rsidR="0052730F" w:rsidRDefault="0052730F" w:rsidP="0052730F">
      <w:pPr>
        <w:spacing w:line="360" w:lineRule="auto"/>
        <w:rPr>
          <w:rFonts w:ascii="Times" w:hAnsi="Times"/>
          <w:color w:val="3366FF"/>
        </w:rPr>
      </w:pPr>
    </w:p>
    <w:p w14:paraId="7D0CD812" w14:textId="77777777" w:rsidR="0052730F" w:rsidRDefault="0052730F" w:rsidP="00885C4D">
      <w:pPr>
        <w:pStyle w:val="BodyJB"/>
        <w:ind w:firstLine="720"/>
        <w:rPr>
          <w:rFonts w:cs="Times New Roman"/>
          <w:color w:val="000000"/>
          <w:lang w:eastAsia="en-US"/>
        </w:rPr>
      </w:pPr>
      <w:r>
        <w:t>The metabolic profiles of each species were first analysed using Principle Component Analysis to visualise the overall similarities and differences in metabolism</w:t>
      </w:r>
      <w:r>
        <w:rPr>
          <w:rFonts w:cs="Times New Roman"/>
          <w:color w:val="000000"/>
          <w:lang w:eastAsia="en-US"/>
        </w:rPr>
        <w:t xml:space="preserve">. </w:t>
      </w:r>
      <w:r w:rsidRPr="009711BF">
        <w:rPr>
          <w:rFonts w:cs="Times New Roman"/>
          <w:color w:val="000000"/>
          <w:lang w:eastAsia="en-US"/>
        </w:rPr>
        <w:t xml:space="preserve">The PCA scores plots, show that no groups or trends exist in the metabolic fingerprint of three species, </w:t>
      </w:r>
      <w:r>
        <w:rPr>
          <w:rFonts w:cs="Times New Roman"/>
          <w:i/>
          <w:iCs/>
          <w:color w:val="000000"/>
          <w:lang w:eastAsia="en-US"/>
        </w:rPr>
        <w:t>A. serpyllifolia</w:t>
      </w:r>
      <w:r w:rsidRPr="009711BF">
        <w:rPr>
          <w:rFonts w:cs="Times New Roman"/>
          <w:color w:val="000000"/>
          <w:lang w:eastAsia="en-US"/>
        </w:rPr>
        <w:t xml:space="preserve">, </w:t>
      </w:r>
      <w:r>
        <w:rPr>
          <w:rFonts w:cs="Times New Roman"/>
          <w:i/>
          <w:iCs/>
          <w:color w:val="000000"/>
          <w:lang w:eastAsia="en-US"/>
        </w:rPr>
        <w:t>P. arenarium</w:t>
      </w:r>
      <w:r w:rsidRPr="009711BF">
        <w:rPr>
          <w:rFonts w:cs="Times New Roman"/>
          <w:color w:val="000000"/>
          <w:lang w:eastAsia="en-US"/>
        </w:rPr>
        <w:t xml:space="preserve"> and </w:t>
      </w:r>
      <w:r>
        <w:rPr>
          <w:rFonts w:cs="Times New Roman"/>
          <w:i/>
          <w:iCs/>
          <w:color w:val="000000"/>
          <w:lang w:eastAsia="en-US"/>
        </w:rPr>
        <w:t>S. vulgaris</w:t>
      </w:r>
      <w:r w:rsidRPr="009711BF">
        <w:rPr>
          <w:rFonts w:cs="Times New Roman"/>
          <w:color w:val="000000"/>
          <w:lang w:eastAsia="en-US"/>
        </w:rPr>
        <w:t xml:space="preserve"> (Fig. 5.1)</w:t>
      </w:r>
      <w:r>
        <w:rPr>
          <w:rFonts w:cs="Times New Roman"/>
          <w:color w:val="000000"/>
          <w:lang w:eastAsia="en-US"/>
        </w:rPr>
        <w:t xml:space="preserve">, thus </w:t>
      </w:r>
      <w:r w:rsidRPr="00A84586">
        <w:rPr>
          <w:rFonts w:cs="Times New Roman"/>
          <w:color w:val="000000"/>
          <w:lang w:eastAsia="en-US"/>
        </w:rPr>
        <w:t xml:space="preserve">indicating that the metabolome expressed by each population is relatively similar.  </w:t>
      </w:r>
      <w:r>
        <w:rPr>
          <w:rFonts w:cs="Times New Roman"/>
          <w:bCs/>
          <w:i/>
          <w:iCs/>
          <w:color w:val="000000"/>
          <w:lang w:eastAsia="en-US"/>
        </w:rPr>
        <w:t>V. arvensis</w:t>
      </w:r>
      <w:r w:rsidRPr="00A84586">
        <w:rPr>
          <w:rFonts w:cs="Times New Roman"/>
          <w:bCs/>
          <w:i/>
          <w:iCs/>
          <w:color w:val="000000"/>
          <w:lang w:eastAsia="en-US"/>
        </w:rPr>
        <w:t xml:space="preserve"> </w:t>
      </w:r>
      <w:r w:rsidRPr="00A84586">
        <w:rPr>
          <w:rFonts w:cs="Times New Roman"/>
          <w:bCs/>
          <w:iCs/>
          <w:color w:val="000000"/>
          <w:lang w:eastAsia="en-US"/>
        </w:rPr>
        <w:t xml:space="preserve">populations Fr3 and Fr4 show </w:t>
      </w:r>
      <w:r w:rsidRPr="00A84586">
        <w:rPr>
          <w:rFonts w:cs="Times New Roman"/>
          <w:color w:val="000000"/>
          <w:lang w:eastAsia="en-US"/>
        </w:rPr>
        <w:t xml:space="preserve">some separation along PC2 (Fig. 5.1). Samples from </w:t>
      </w:r>
      <w:r>
        <w:rPr>
          <w:rFonts w:cs="Times New Roman"/>
          <w:bCs/>
          <w:i/>
          <w:iCs/>
          <w:color w:val="000000"/>
          <w:lang w:eastAsia="en-US"/>
        </w:rPr>
        <w:t>C. diffusum</w:t>
      </w:r>
      <w:r w:rsidRPr="00A84586">
        <w:rPr>
          <w:rFonts w:cs="Times New Roman"/>
          <w:bCs/>
          <w:color w:val="000000"/>
          <w:lang w:eastAsia="en-US"/>
        </w:rPr>
        <w:t xml:space="preserve"> </w:t>
      </w:r>
      <w:r w:rsidRPr="00A84586">
        <w:rPr>
          <w:rFonts w:cs="Times New Roman"/>
          <w:color w:val="000000"/>
          <w:lang w:eastAsia="en-US"/>
        </w:rPr>
        <w:t>showed</w:t>
      </w:r>
      <w:r>
        <w:rPr>
          <w:rFonts w:cs="Times New Roman"/>
          <w:color w:val="000000"/>
          <w:lang w:eastAsia="en-US"/>
        </w:rPr>
        <w:t xml:space="preserve"> strong</w:t>
      </w:r>
      <w:r w:rsidRPr="009711BF">
        <w:rPr>
          <w:rFonts w:cs="Times New Roman"/>
          <w:color w:val="000000"/>
          <w:lang w:eastAsia="en-US"/>
        </w:rPr>
        <w:t xml:space="preserve"> clustering according to population (Fig. 5.2.a). Populations could be separated along principal component (PC) 1, in a latitudinal </w:t>
      </w:r>
      <w:r>
        <w:rPr>
          <w:rFonts w:cs="Times New Roman"/>
          <w:color w:val="000000"/>
          <w:lang w:eastAsia="en-US"/>
        </w:rPr>
        <w:t>pattern</w:t>
      </w:r>
      <w:r w:rsidRPr="009711BF">
        <w:rPr>
          <w:rFonts w:cs="Times New Roman"/>
          <w:color w:val="000000"/>
          <w:lang w:eastAsia="en-US"/>
        </w:rPr>
        <w:t xml:space="preserve">, the most southerly population Fr1 falls to the left hand side of the scores plot while the more northerly population Fr4 samples fall to the right hand side of the plot (Fig. 5.2a). Whilst being intermediary along PC1 samples from population Fr2 also slightly separated from the other two populations along PC 2 (Fig. 5.2.a). Comparing the PCA scores plot with the loadings plot showing the correlations between variables, mass bins, highlights a number of bins possibly causing metabolic variation between populations (Fig. 5.2.b). </w:t>
      </w:r>
      <w:r>
        <w:rPr>
          <w:rFonts w:cs="Times New Roman"/>
          <w:color w:val="000000"/>
          <w:lang w:eastAsia="en-US"/>
        </w:rPr>
        <w:t>V</w:t>
      </w:r>
      <w:r w:rsidRPr="009711BF">
        <w:rPr>
          <w:rFonts w:cs="Times New Roman"/>
          <w:color w:val="000000"/>
          <w:lang w:eastAsia="en-US"/>
        </w:rPr>
        <w:t xml:space="preserve">ariables such as mass bin 261.2, 323.2 and 425.2 relate to variation between observations separating along PC1, </w:t>
      </w:r>
      <w:r>
        <w:rPr>
          <w:rFonts w:cs="Times New Roman"/>
          <w:color w:val="000000"/>
          <w:lang w:eastAsia="en-US"/>
        </w:rPr>
        <w:t xml:space="preserve">the position on the plot illustrates that </w:t>
      </w:r>
      <w:r w:rsidRPr="009711BF">
        <w:rPr>
          <w:rFonts w:cs="Times New Roman"/>
          <w:color w:val="000000"/>
          <w:lang w:eastAsia="en-US"/>
        </w:rPr>
        <w:t>these bins are in high abundance in Fr4 population and low abundance in Fr1 (Fig. 5.4.a and c., Table 5.1).</w:t>
      </w:r>
    </w:p>
    <w:p w14:paraId="70CA2E7C" w14:textId="77777777" w:rsidR="0052730F" w:rsidRDefault="0052730F" w:rsidP="00885C4D">
      <w:pPr>
        <w:pStyle w:val="BodyJB"/>
        <w:ind w:firstLine="720"/>
        <w:rPr>
          <w:rFonts w:cs="Times New Roman"/>
          <w:color w:val="000000"/>
          <w:lang w:eastAsia="en-US"/>
        </w:rPr>
      </w:pPr>
      <w:r>
        <w:rPr>
          <w:rFonts w:cs="Times New Roman"/>
          <w:color w:val="000000"/>
          <w:lang w:eastAsia="en-US"/>
        </w:rPr>
        <w:t xml:space="preserve">Univariate statistical analyses (ANOVA) were then applied to determine whether the detected concentration of each mass bin statistically differed according to population. Overall this analysis listed a number of mass bins that had concentrations varying significantly according to population, however in most cases these statistical tests were not significant based on the False Detection Rate corrected p-value. In </w:t>
      </w:r>
      <w:r w:rsidRPr="00DB572F">
        <w:rPr>
          <w:rFonts w:cs="Times New Roman"/>
          <w:i/>
          <w:color w:val="000000"/>
          <w:lang w:eastAsia="en-US"/>
        </w:rPr>
        <w:t>A. serpyllifolia</w:t>
      </w:r>
      <w:r>
        <w:rPr>
          <w:rFonts w:cs="Times New Roman"/>
          <w:color w:val="000000"/>
          <w:lang w:eastAsia="en-US"/>
        </w:rPr>
        <w:t xml:space="preserve"> 41 bins differed between populations (only 8 of these were statistically different according to FDR corrected p-value), 85 bins differed between populations of </w:t>
      </w:r>
      <w:r w:rsidRPr="00DB572F">
        <w:rPr>
          <w:rFonts w:cs="Times New Roman"/>
          <w:i/>
          <w:color w:val="000000"/>
          <w:lang w:eastAsia="en-US"/>
        </w:rPr>
        <w:t>C. diffusum</w:t>
      </w:r>
      <w:r>
        <w:rPr>
          <w:rFonts w:cs="Times New Roman"/>
          <w:color w:val="000000"/>
          <w:lang w:eastAsia="en-US"/>
        </w:rPr>
        <w:t xml:space="preserve"> (13 FDR), 67 bins differed between populations of </w:t>
      </w:r>
      <w:r w:rsidRPr="00DB572F">
        <w:rPr>
          <w:rFonts w:cs="Times New Roman"/>
          <w:i/>
          <w:color w:val="000000"/>
          <w:lang w:eastAsia="en-US"/>
        </w:rPr>
        <w:t xml:space="preserve">P. arenarium </w:t>
      </w:r>
      <w:r>
        <w:rPr>
          <w:rFonts w:cs="Times New Roman"/>
          <w:color w:val="000000"/>
          <w:lang w:eastAsia="en-US"/>
        </w:rPr>
        <w:t xml:space="preserve">(1 FDR), 67 bins differed between populations of </w:t>
      </w:r>
      <w:r>
        <w:rPr>
          <w:rFonts w:cs="Times New Roman"/>
          <w:i/>
          <w:color w:val="000000"/>
          <w:lang w:eastAsia="en-US"/>
        </w:rPr>
        <w:t xml:space="preserve">S. vulgaris </w:t>
      </w:r>
      <w:r>
        <w:rPr>
          <w:rFonts w:cs="Times New Roman"/>
          <w:color w:val="000000"/>
          <w:lang w:eastAsia="en-US"/>
        </w:rPr>
        <w:t xml:space="preserve">(1 FDR), 88 bins differed between populations of </w:t>
      </w:r>
      <w:r w:rsidRPr="00DB572F">
        <w:rPr>
          <w:rFonts w:cs="Times New Roman"/>
          <w:i/>
          <w:color w:val="000000"/>
          <w:lang w:eastAsia="en-US"/>
        </w:rPr>
        <w:t xml:space="preserve">P. arenarium </w:t>
      </w:r>
      <w:r>
        <w:rPr>
          <w:rFonts w:cs="Times New Roman"/>
          <w:color w:val="000000"/>
          <w:lang w:eastAsia="en-US"/>
        </w:rPr>
        <w:t xml:space="preserve">(0 FDR). The mass bins identified to be statistically different (FDR corrected) according to population were listed (Table 5.2) along with putative identifications. Although the statistical power of these tests is low, this analysis identified a number of mass bins that show concentration variation in relation to population of origin. Post-Hoc tests were then applied to determine which population showed increases in concentration for each variable, before putative identifications of each mass bin were created (putative identification was based on the average accurate mass of the compound detected within each mass bin. Significantly different bins of </w:t>
      </w:r>
      <w:r w:rsidRPr="005A52A5">
        <w:rPr>
          <w:rFonts w:cs="Times New Roman"/>
          <w:i/>
          <w:color w:val="000000"/>
          <w:lang w:eastAsia="en-US"/>
        </w:rPr>
        <w:t>A. serpyllifolia</w:t>
      </w:r>
      <w:r>
        <w:rPr>
          <w:rFonts w:cs="Times New Roman"/>
          <w:color w:val="000000"/>
          <w:lang w:eastAsia="en-US"/>
        </w:rPr>
        <w:t xml:space="preserve"> were determined to be up-regulated mainly in Fr1 population, while the top mass bins of </w:t>
      </w:r>
      <w:r w:rsidRPr="005A52A5">
        <w:rPr>
          <w:rFonts w:cs="Times New Roman"/>
          <w:i/>
          <w:color w:val="000000"/>
          <w:lang w:eastAsia="en-US"/>
        </w:rPr>
        <w:t>C. diffusum</w:t>
      </w:r>
      <w:r>
        <w:rPr>
          <w:rFonts w:cs="Times New Roman"/>
          <w:color w:val="000000"/>
          <w:lang w:eastAsia="en-US"/>
        </w:rPr>
        <w:t xml:space="preserve"> were up-regulated in Fr1 or Fr4 population. </w:t>
      </w:r>
    </w:p>
    <w:p w14:paraId="181D3622" w14:textId="77777777" w:rsidR="00230A19" w:rsidRPr="00277C7A" w:rsidRDefault="00230A19" w:rsidP="00885C4D">
      <w:pPr>
        <w:pStyle w:val="BodyJB"/>
        <w:ind w:firstLine="720"/>
        <w:rPr>
          <w:rFonts w:cs="Times New Roman"/>
          <w:color w:val="000000"/>
          <w:lang w:eastAsia="en-US"/>
        </w:rPr>
      </w:pPr>
    </w:p>
    <w:p w14:paraId="1766464F" w14:textId="77777777" w:rsidR="0052730F" w:rsidRDefault="0052730F" w:rsidP="0052730F">
      <w:pPr>
        <w:pStyle w:val="BodyJB"/>
        <w:ind w:left="1440"/>
        <w:rPr>
          <w:b/>
        </w:rPr>
      </w:pPr>
      <w:r>
        <w:rPr>
          <w:b/>
          <w:noProof/>
          <w:lang w:val="en-US" w:eastAsia="en-US"/>
        </w:rPr>
        <w:drawing>
          <wp:inline distT="0" distB="0" distL="0" distR="0" wp14:anchorId="41609D03" wp14:editId="327443B9">
            <wp:extent cx="3574468" cy="7086600"/>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 chap 5.jpg"/>
                    <pic:cNvPicPr/>
                  </pic:nvPicPr>
                  <pic:blipFill>
                    <a:blip r:embed="rId43">
                      <a:extLst>
                        <a:ext uri="{28A0092B-C50C-407E-A947-70E740481C1C}">
                          <a14:useLocalDpi xmlns:a14="http://schemas.microsoft.com/office/drawing/2010/main" val="0"/>
                        </a:ext>
                      </a:extLst>
                    </a:blip>
                    <a:stretch>
                      <a:fillRect/>
                    </a:stretch>
                  </pic:blipFill>
                  <pic:spPr>
                    <a:xfrm>
                      <a:off x="0" y="0"/>
                      <a:ext cx="3574468" cy="7086600"/>
                    </a:xfrm>
                    <a:prstGeom prst="rect">
                      <a:avLst/>
                    </a:prstGeom>
                  </pic:spPr>
                </pic:pic>
              </a:graphicData>
            </a:graphic>
          </wp:inline>
        </w:drawing>
      </w:r>
    </w:p>
    <w:p w14:paraId="49A3F088" w14:textId="04430D05" w:rsidR="0052730F" w:rsidRPr="009711BF" w:rsidRDefault="0052730F" w:rsidP="0052730F">
      <w:pPr>
        <w:pStyle w:val="BodyJB"/>
        <w:spacing w:line="240" w:lineRule="auto"/>
      </w:pPr>
      <w:r w:rsidRPr="009711BF">
        <w:t xml:space="preserve">Fig. 5.1. Analysis of m/z values (binned to 0.2 Da) obtained by metabolic fingerprinting populations of </w:t>
      </w:r>
      <w:r>
        <w:t>four</w:t>
      </w:r>
      <w:r w:rsidRPr="009711BF">
        <w:t xml:space="preserve"> species, </w:t>
      </w:r>
      <w:r w:rsidR="00885C4D">
        <w:t xml:space="preserve">a. </w:t>
      </w:r>
      <w:r>
        <w:rPr>
          <w:i/>
        </w:rPr>
        <w:t>A. serpyllifolia</w:t>
      </w:r>
      <w:r w:rsidRPr="009711BF">
        <w:rPr>
          <w:i/>
        </w:rPr>
        <w:t>,</w:t>
      </w:r>
      <w:r w:rsidR="00885C4D">
        <w:t xml:space="preserve"> b.</w:t>
      </w:r>
      <w:r w:rsidRPr="009711BF">
        <w:rPr>
          <w:i/>
        </w:rPr>
        <w:t xml:space="preserve"> P</w:t>
      </w:r>
      <w:r>
        <w:rPr>
          <w:i/>
        </w:rPr>
        <w:t xml:space="preserve">. </w:t>
      </w:r>
      <w:r w:rsidRPr="009711BF">
        <w:rPr>
          <w:i/>
        </w:rPr>
        <w:t>arenarium</w:t>
      </w:r>
      <w:r>
        <w:t>,</w:t>
      </w:r>
      <w:r w:rsidR="00885C4D">
        <w:t xml:space="preserve"> </w:t>
      </w:r>
      <w:r w:rsidR="00885C4D">
        <w:rPr>
          <w:i/>
        </w:rPr>
        <w:t>c.</w:t>
      </w:r>
      <w:r w:rsidRPr="009711BF">
        <w:rPr>
          <w:i/>
        </w:rPr>
        <w:t xml:space="preserve"> </w:t>
      </w:r>
      <w:r>
        <w:rPr>
          <w:i/>
        </w:rPr>
        <w:t xml:space="preserve">S. vulgaris </w:t>
      </w:r>
      <w:r w:rsidRPr="00885C4D">
        <w:t>and</w:t>
      </w:r>
      <w:r w:rsidR="00885C4D">
        <w:t xml:space="preserve"> b.</w:t>
      </w:r>
      <w:r w:rsidRPr="00885C4D">
        <w:t xml:space="preserve"> </w:t>
      </w:r>
      <w:r>
        <w:rPr>
          <w:i/>
        </w:rPr>
        <w:t>V. arvensis.</w:t>
      </w:r>
      <w:r w:rsidRPr="009711BF">
        <w:t xml:space="preserve"> </w:t>
      </w:r>
      <w:r>
        <w:t>Legend provides location information for each population of origin</w:t>
      </w:r>
      <w:r w:rsidRPr="009711BF">
        <w:t>.</w:t>
      </w:r>
      <w:r>
        <w:t xml:space="preserve"> P</w:t>
      </w:r>
      <w:r w:rsidRPr="009711BF">
        <w:t>ercent</w:t>
      </w:r>
      <w:r w:rsidR="00885C4D">
        <w:t>age</w:t>
      </w:r>
      <w:r w:rsidRPr="009711BF">
        <w:t xml:space="preserve"> of the variation of the data explained</w:t>
      </w:r>
      <w:r>
        <w:t xml:space="preserve"> by each component is provided.</w:t>
      </w:r>
    </w:p>
    <w:p w14:paraId="314F7536" w14:textId="77777777" w:rsidR="0052730F" w:rsidRPr="009711BF" w:rsidRDefault="0052730F" w:rsidP="0052730F">
      <w:pPr>
        <w:pStyle w:val="BodyJB"/>
      </w:pPr>
    </w:p>
    <w:p w14:paraId="5050705C" w14:textId="77777777" w:rsidR="0052730F" w:rsidRPr="00A429C5" w:rsidRDefault="0052730F" w:rsidP="0052730F">
      <w:pPr>
        <w:ind w:left="1440"/>
        <w:rPr>
          <w:rFonts w:ascii="Times" w:eastAsia="Times New Roman" w:hAnsi="Times" w:cs="Times New Roman"/>
          <w:sz w:val="20"/>
          <w:szCs w:val="20"/>
        </w:rPr>
      </w:pPr>
      <w:r w:rsidRPr="009711BF">
        <w:rPr>
          <w:rFonts w:ascii="Times" w:eastAsia="Times New Roman" w:hAnsi="Times" w:cs="Times New Roman"/>
          <w:noProof/>
          <w:color w:val="000000"/>
          <w:lang w:val="en-US" w:eastAsia="en-US"/>
        </w:rPr>
        <w:drawing>
          <wp:inline distT="0" distB="0" distL="0" distR="0" wp14:anchorId="3156DC8F" wp14:editId="5E0EB990">
            <wp:extent cx="3478210" cy="6951294"/>
            <wp:effectExtent l="0" t="0" r="1905" b="889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MkUb3sFCy2LZDquMcykEOx6rpdX0V7aUTL7NpjlOr4jSDkNs3Oi1HwJippY4tsxc77UHhcEv5nR2RNl762Z2ZxikDfYRaOODO3Rqj3BYS87FiQoGIW9cHag2ojLS2k5Ux7r-TgQ"/>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3478615" cy="6952103"/>
                    </a:xfrm>
                    <a:prstGeom prst="rect">
                      <a:avLst/>
                    </a:prstGeom>
                    <a:noFill/>
                    <a:ln>
                      <a:noFill/>
                    </a:ln>
                  </pic:spPr>
                </pic:pic>
              </a:graphicData>
            </a:graphic>
          </wp:inline>
        </w:drawing>
      </w:r>
    </w:p>
    <w:p w14:paraId="2B915B71" w14:textId="77777777" w:rsidR="00885C4D" w:rsidRDefault="00885C4D" w:rsidP="0052730F">
      <w:pPr>
        <w:pStyle w:val="BodyJB"/>
        <w:spacing w:line="240" w:lineRule="auto"/>
      </w:pPr>
    </w:p>
    <w:p w14:paraId="38F347CC" w14:textId="7C7B91B2" w:rsidR="0052730F" w:rsidRPr="009711BF" w:rsidRDefault="0052730F" w:rsidP="0052730F">
      <w:pPr>
        <w:pStyle w:val="BodyJB"/>
        <w:spacing w:line="240" w:lineRule="auto"/>
      </w:pPr>
      <w:r w:rsidRPr="009711BF">
        <w:t xml:space="preserve">Fig. 5.1. </w:t>
      </w:r>
      <w:r w:rsidR="00885C4D">
        <w:t>Continued</w:t>
      </w:r>
    </w:p>
    <w:p w14:paraId="681636CC" w14:textId="77777777" w:rsidR="0052730F" w:rsidRPr="009711BF" w:rsidRDefault="0052730F" w:rsidP="0052730F">
      <w:pPr>
        <w:spacing w:line="360" w:lineRule="auto"/>
        <w:ind w:left="1440"/>
        <w:rPr>
          <w:rFonts w:ascii="Times" w:hAnsi="Times"/>
        </w:rPr>
      </w:pPr>
      <w:r w:rsidRPr="009711BF">
        <w:rPr>
          <w:rFonts w:ascii="Times" w:hAnsi="Times"/>
          <w:noProof/>
          <w:lang w:val="en-US" w:eastAsia="en-US"/>
        </w:rPr>
        <w:drawing>
          <wp:inline distT="0" distB="0" distL="0" distR="0" wp14:anchorId="0F4EB7FB" wp14:editId="4126C3A3">
            <wp:extent cx="4112260" cy="7352723"/>
            <wp:effectExtent l="0" t="0" r="2540" b="0"/>
            <wp:docPr id="25"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2.pdf"/>
                    <pic:cNvPicPr/>
                  </pic:nvPicPr>
                  <pic:blipFill>
                    <a:blip r:embed="rId45">
                      <a:extLst>
                        <a:ext uri="{28A0092B-C50C-407E-A947-70E740481C1C}">
                          <a14:useLocalDpi xmlns:a14="http://schemas.microsoft.com/office/drawing/2010/main" val="0"/>
                        </a:ext>
                      </a:extLst>
                    </a:blip>
                    <a:stretch>
                      <a:fillRect/>
                    </a:stretch>
                  </pic:blipFill>
                  <pic:spPr>
                    <a:xfrm>
                      <a:off x="0" y="0"/>
                      <a:ext cx="4114441" cy="7356622"/>
                    </a:xfrm>
                    <a:prstGeom prst="rect">
                      <a:avLst/>
                    </a:prstGeom>
                  </pic:spPr>
                </pic:pic>
              </a:graphicData>
            </a:graphic>
          </wp:inline>
        </w:drawing>
      </w:r>
    </w:p>
    <w:p w14:paraId="37411A35" w14:textId="77777777" w:rsidR="0052730F" w:rsidRPr="009711BF" w:rsidRDefault="0052730F" w:rsidP="0052730F">
      <w:pPr>
        <w:pStyle w:val="BodyJB"/>
        <w:spacing w:line="240" w:lineRule="auto"/>
      </w:pPr>
      <w:r w:rsidRPr="009711BF">
        <w:t xml:space="preserve">Fig. 5.2. Analysis of m/z values (binned to 0.2 Da) obtained by metabolic fingerprinting of three populations of </w:t>
      </w:r>
      <w:r>
        <w:rPr>
          <w:i/>
        </w:rPr>
        <w:t>C. diffusum</w:t>
      </w:r>
      <w:r w:rsidRPr="009711BF">
        <w:rPr>
          <w:i/>
        </w:rPr>
        <w:t xml:space="preserve"> diffusum,</w:t>
      </w:r>
      <w:r w:rsidRPr="009711BF">
        <w:t xml:space="preserve"> Fr1 (red triangles), Fr2 (orange triangles), Fr4 (light blue triangles). </w:t>
      </w:r>
      <w:r>
        <w:t>Legend provides location information for each population of origin</w:t>
      </w:r>
      <w:r w:rsidRPr="009711BF">
        <w:t>.</w:t>
      </w:r>
      <w:r>
        <w:t xml:space="preserve"> </w:t>
      </w:r>
      <w:r w:rsidRPr="009711BF">
        <w:t xml:space="preserve">Data from, principal component analysis is expressed in score plot form showing data spread along PC1 and PC2 (Fig. 5.2.a)(percent of the variation of the data explained by each component is provided). Corresponding loadings plot </w:t>
      </w:r>
      <w:r>
        <w:t>is</w:t>
      </w:r>
      <w:r w:rsidRPr="009711BF">
        <w:t xml:space="preserve"> shown beneath the score plot (Fig. 5.2.b).</w:t>
      </w:r>
    </w:p>
    <w:p w14:paraId="579744E2" w14:textId="77777777" w:rsidR="0052730F" w:rsidRPr="009711BF" w:rsidRDefault="0052730F" w:rsidP="0052730F">
      <w:pPr>
        <w:pStyle w:val="BodyJB"/>
      </w:pPr>
    </w:p>
    <w:p w14:paraId="613A85F0" w14:textId="77777777" w:rsidR="0052730F" w:rsidRDefault="0052730F" w:rsidP="0052730F">
      <w:pPr>
        <w:pStyle w:val="BodyJB"/>
        <w:sectPr w:rsidR="0052730F" w:rsidSect="000612B7">
          <w:footerReference w:type="default" r:id="rId46"/>
          <w:pgSz w:w="11899" w:h="16840"/>
          <w:pgMar w:top="1418" w:right="1134" w:bottom="1418" w:left="2268" w:header="709" w:footer="851" w:gutter="0"/>
          <w:cols w:space="708"/>
        </w:sectPr>
      </w:pPr>
    </w:p>
    <w:p w14:paraId="1D314159" w14:textId="424E25A8" w:rsidR="0052730F" w:rsidRDefault="0052730F" w:rsidP="00CB03FD">
      <w:pPr>
        <w:pStyle w:val="BodyJB"/>
        <w:spacing w:line="240" w:lineRule="auto"/>
        <w:jc w:val="center"/>
        <w:rPr>
          <w:sz w:val="21"/>
          <w:szCs w:val="21"/>
        </w:rPr>
      </w:pPr>
      <w:r w:rsidRPr="009C1505">
        <w:rPr>
          <w:sz w:val="21"/>
          <w:szCs w:val="21"/>
        </w:rPr>
        <w:t>Table 5.</w:t>
      </w:r>
      <w:r w:rsidR="005D60E0" w:rsidRPr="009C1505">
        <w:rPr>
          <w:sz w:val="21"/>
          <w:szCs w:val="21"/>
        </w:rPr>
        <w:t>1</w:t>
      </w:r>
      <w:r w:rsidRPr="009C1505">
        <w:rPr>
          <w:sz w:val="21"/>
          <w:szCs w:val="21"/>
        </w:rPr>
        <w:t>. Table showing which mass bins contain compound peaks that significantly differ according to population of origin. Statistical significance is determined by False Detection Rate (FDR) values below 0.05. Details of the direction of the compound concentration difference are provided.</w:t>
      </w:r>
    </w:p>
    <w:p w14:paraId="47E9F8A7" w14:textId="77777777" w:rsidR="009C1505" w:rsidRPr="009C1505" w:rsidRDefault="009C1505" w:rsidP="0052730F">
      <w:pPr>
        <w:pStyle w:val="BodyJB"/>
        <w:spacing w:line="240" w:lineRule="auto"/>
        <w:rPr>
          <w:sz w:val="21"/>
          <w:szCs w:val="21"/>
        </w:rPr>
      </w:pPr>
    </w:p>
    <w:p w14:paraId="05A4C229" w14:textId="77777777" w:rsidR="0052730F" w:rsidRPr="009711BF" w:rsidRDefault="0052730F" w:rsidP="00CB03FD">
      <w:pPr>
        <w:jc w:val="center"/>
        <w:rPr>
          <w:rFonts w:ascii="Times" w:hAnsi="Times" w:cs="Times New Roman"/>
          <w:color w:val="000000"/>
        </w:rPr>
      </w:pPr>
      <w:r w:rsidRPr="009711BF">
        <w:rPr>
          <w:rFonts w:ascii="Times" w:hAnsi="Times" w:cs="Times New Roman"/>
          <w:noProof/>
          <w:color w:val="000000"/>
          <w:lang w:val="en-US" w:eastAsia="en-US"/>
        </w:rPr>
        <w:drawing>
          <wp:inline distT="0" distB="0" distL="0" distR="0" wp14:anchorId="1EDFA7F3" wp14:editId="54DD4697">
            <wp:extent cx="7975600" cy="4827337"/>
            <wp:effectExtent l="0" t="0" r="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976155" cy="4827673"/>
                    </a:xfrm>
                    <a:prstGeom prst="rect">
                      <a:avLst/>
                    </a:prstGeom>
                    <a:noFill/>
                    <a:ln>
                      <a:noFill/>
                    </a:ln>
                  </pic:spPr>
                </pic:pic>
              </a:graphicData>
            </a:graphic>
          </wp:inline>
        </w:drawing>
      </w:r>
    </w:p>
    <w:p w14:paraId="1CB955AB" w14:textId="77777777" w:rsidR="0052730F" w:rsidRDefault="0052730F" w:rsidP="0052730F">
      <w:pPr>
        <w:pStyle w:val="BodyJB"/>
        <w:rPr>
          <w:lang w:eastAsia="en-US"/>
        </w:rPr>
        <w:sectPr w:rsidR="0052730F" w:rsidSect="00A24963">
          <w:footerReference w:type="default" r:id="rId48"/>
          <w:pgSz w:w="15840" w:h="12240" w:orient="landscape"/>
          <w:pgMar w:top="2268" w:right="1304" w:bottom="1134" w:left="1134" w:header="624" w:footer="851" w:gutter="0"/>
          <w:cols w:space="708"/>
        </w:sectPr>
      </w:pPr>
    </w:p>
    <w:p w14:paraId="0D18527F" w14:textId="77777777" w:rsidR="0052730F" w:rsidRDefault="0052730F" w:rsidP="00885C4D">
      <w:pPr>
        <w:pStyle w:val="BodyJB"/>
        <w:ind w:firstLine="720"/>
        <w:rPr>
          <w:lang w:eastAsia="en-US"/>
        </w:rPr>
      </w:pPr>
      <w:r>
        <w:rPr>
          <w:lang w:eastAsia="en-US"/>
        </w:rPr>
        <w:t xml:space="preserve">Putative identifications of all mass bins listed as having a raw p-value below 0.05 were uploaded into MetaboAnalyst software to determine patterns up up-regulated metabolism within particular populations. Results of pathways showing matches with at least two compounds were listed in detail (Table 5.3.) and summarised to provide an overview of results allowing comparisons between species. </w:t>
      </w:r>
    </w:p>
    <w:p w14:paraId="79218FA6" w14:textId="77777777" w:rsidR="0052730F" w:rsidRDefault="0052730F" w:rsidP="00885C4D">
      <w:pPr>
        <w:pStyle w:val="BodyJB"/>
        <w:ind w:firstLine="720"/>
        <w:rPr>
          <w:lang w:eastAsia="en-US"/>
        </w:rPr>
      </w:pPr>
      <w:r>
        <w:rPr>
          <w:lang w:eastAsia="en-US"/>
        </w:rPr>
        <w:t xml:space="preserve">The overview revealed that plants originating from Fr4 in three different species showed up-regulation of metabolites. Mapped pathways were associated with a variety of metabolic functions. </w:t>
      </w:r>
      <w:r w:rsidRPr="00E516C7">
        <w:rPr>
          <w:i/>
          <w:lang w:eastAsia="en-US"/>
        </w:rPr>
        <w:t>S. vulgaris</w:t>
      </w:r>
      <w:r>
        <w:rPr>
          <w:lang w:eastAsia="en-US"/>
        </w:rPr>
        <w:t xml:space="preserve"> and </w:t>
      </w:r>
      <w:r w:rsidRPr="00E516C7">
        <w:rPr>
          <w:i/>
          <w:lang w:eastAsia="en-US"/>
        </w:rPr>
        <w:t>V. arvensis</w:t>
      </w:r>
      <w:r>
        <w:rPr>
          <w:lang w:eastAsia="en-US"/>
        </w:rPr>
        <w:t xml:space="preserve"> both showed up-regulation of arginine and proline biosynthesis, citrate cycle and tyrosine biosynthesis in plants originating from site Fr4, while </w:t>
      </w:r>
      <w:r>
        <w:rPr>
          <w:i/>
          <w:lang w:eastAsia="en-US"/>
        </w:rPr>
        <w:t>C. diff</w:t>
      </w:r>
      <w:r w:rsidRPr="00E516C7">
        <w:rPr>
          <w:i/>
          <w:lang w:eastAsia="en-US"/>
        </w:rPr>
        <w:t>us</w:t>
      </w:r>
      <w:r>
        <w:rPr>
          <w:i/>
          <w:lang w:eastAsia="en-US"/>
        </w:rPr>
        <w:t>u</w:t>
      </w:r>
      <w:r w:rsidRPr="00E516C7">
        <w:rPr>
          <w:i/>
          <w:lang w:eastAsia="en-US"/>
        </w:rPr>
        <w:t>m</w:t>
      </w:r>
      <w:r>
        <w:rPr>
          <w:lang w:eastAsia="en-US"/>
        </w:rPr>
        <w:t xml:space="preserve"> and V. arvensis both up-regulated pathways relating to lipid biosynthesis (table. 5.4). </w:t>
      </w:r>
    </w:p>
    <w:p w14:paraId="1790D861" w14:textId="77777777" w:rsidR="0052730F" w:rsidRDefault="0052730F" w:rsidP="00885C4D">
      <w:pPr>
        <w:pStyle w:val="BodyJB"/>
        <w:ind w:firstLine="720"/>
        <w:rPr>
          <w:lang w:eastAsia="en-US"/>
        </w:rPr>
      </w:pPr>
      <w:r>
        <w:rPr>
          <w:lang w:eastAsia="en-US"/>
        </w:rPr>
        <w:t xml:space="preserve">Pathways up-regulated by </w:t>
      </w:r>
      <w:r w:rsidRPr="00912433">
        <w:rPr>
          <w:i/>
          <w:lang w:eastAsia="en-US"/>
        </w:rPr>
        <w:t>C. diffusum</w:t>
      </w:r>
      <w:r>
        <w:rPr>
          <w:lang w:eastAsia="en-US"/>
        </w:rPr>
        <w:t xml:space="preserve"> plants originating from Fr4 mapped onto a range of pathways relating to primary metabolism including, fatty acid biosynthesis and starch and sucrose biosynthesis (Table 5.3). </w:t>
      </w:r>
      <w:r w:rsidRPr="00912433">
        <w:rPr>
          <w:i/>
          <w:lang w:eastAsia="en-US"/>
        </w:rPr>
        <w:t>A. serpyllifolia</w:t>
      </w:r>
      <w:r>
        <w:rPr>
          <w:lang w:eastAsia="en-US"/>
        </w:rPr>
        <w:t xml:space="preserve"> plants originating from population Fr1 up-regulated pathways mainly associated with amino acid biosynthesis (Table 5.3, Fig. 5.3).</w:t>
      </w:r>
    </w:p>
    <w:p w14:paraId="724FB60D" w14:textId="77777777" w:rsidR="0052730F" w:rsidRDefault="0052730F" w:rsidP="0052730F">
      <w:pPr>
        <w:pStyle w:val="BodyJB"/>
      </w:pPr>
    </w:p>
    <w:p w14:paraId="77080A8E" w14:textId="77777777" w:rsidR="0052730F" w:rsidRDefault="0052730F" w:rsidP="0052730F">
      <w:pPr>
        <w:pStyle w:val="BodyJB"/>
      </w:pPr>
    </w:p>
    <w:p w14:paraId="0A43333A" w14:textId="77777777" w:rsidR="00764FDA" w:rsidRDefault="00764FDA" w:rsidP="0052730F">
      <w:pPr>
        <w:pStyle w:val="BodyJB"/>
        <w:spacing w:line="240" w:lineRule="auto"/>
        <w:sectPr w:rsidR="00764FDA" w:rsidSect="000612B7">
          <w:footerReference w:type="default" r:id="rId49"/>
          <w:pgSz w:w="12240" w:h="15840"/>
          <w:pgMar w:top="1440" w:right="1134" w:bottom="1440" w:left="2268" w:header="709" w:footer="851" w:gutter="0"/>
          <w:cols w:space="708"/>
        </w:sectPr>
      </w:pPr>
    </w:p>
    <w:p w14:paraId="28262EA9" w14:textId="7887BBF9" w:rsidR="0052730F" w:rsidRDefault="0052730F" w:rsidP="0052730F">
      <w:pPr>
        <w:pStyle w:val="BodyJB"/>
        <w:spacing w:line="240" w:lineRule="auto"/>
        <w:rPr>
          <w:sz w:val="21"/>
          <w:szCs w:val="21"/>
        </w:rPr>
      </w:pPr>
      <w:r w:rsidRPr="00BD1603">
        <w:rPr>
          <w:sz w:val="21"/>
          <w:szCs w:val="21"/>
        </w:rPr>
        <w:t>Table. 5.</w:t>
      </w:r>
      <w:r w:rsidR="005D60E0" w:rsidRPr="00BD1603">
        <w:rPr>
          <w:sz w:val="21"/>
          <w:szCs w:val="21"/>
        </w:rPr>
        <w:t>2</w:t>
      </w:r>
      <w:r w:rsidRPr="00BD1603">
        <w:rPr>
          <w:sz w:val="21"/>
          <w:szCs w:val="21"/>
        </w:rPr>
        <w:t>. Summary of putative identifications for mass bin values that positively and negatively contribute to species separation as determined by significant effects of population in univariate ANOVA tests. Putative identifications are based on accurate mass,. Identifications included here are chosen based on similarity to the average mass value and known occurrence in plants.</w:t>
      </w:r>
    </w:p>
    <w:p w14:paraId="2C6998A6" w14:textId="77777777" w:rsidR="00BD1603" w:rsidRPr="00BD1603" w:rsidRDefault="00BD1603" w:rsidP="0052730F">
      <w:pPr>
        <w:pStyle w:val="BodyJB"/>
        <w:spacing w:line="240" w:lineRule="auto"/>
        <w:rPr>
          <w:sz w:val="21"/>
          <w:szCs w:val="21"/>
        </w:rPr>
      </w:pPr>
    </w:p>
    <w:p w14:paraId="5BD8E482" w14:textId="77777777" w:rsidR="0052730F" w:rsidRPr="009711BF" w:rsidRDefault="0052730F" w:rsidP="0052730F">
      <w:pPr>
        <w:jc w:val="center"/>
        <w:rPr>
          <w:rFonts w:ascii="Times" w:hAnsi="Times" w:cs="Times New Roman"/>
          <w:color w:val="000000"/>
        </w:rPr>
      </w:pPr>
      <w:r w:rsidRPr="009711BF">
        <w:rPr>
          <w:rFonts w:ascii="Times" w:hAnsi="Times" w:cs="Times New Roman"/>
          <w:noProof/>
          <w:color w:val="000000"/>
          <w:lang w:val="en-US" w:eastAsia="en-US"/>
        </w:rPr>
        <w:drawing>
          <wp:inline distT="0" distB="0" distL="0" distR="0" wp14:anchorId="3C6AD7D2" wp14:editId="69E65599">
            <wp:extent cx="8001000" cy="4982401"/>
            <wp:effectExtent l="0" t="0" r="0"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01478" cy="4982699"/>
                    </a:xfrm>
                    <a:prstGeom prst="rect">
                      <a:avLst/>
                    </a:prstGeom>
                    <a:noFill/>
                    <a:ln>
                      <a:noFill/>
                    </a:ln>
                  </pic:spPr>
                </pic:pic>
              </a:graphicData>
            </a:graphic>
          </wp:inline>
        </w:drawing>
      </w:r>
    </w:p>
    <w:p w14:paraId="2AC32446" w14:textId="77777777" w:rsidR="0052730F" w:rsidRDefault="0052730F" w:rsidP="0052730F">
      <w:pPr>
        <w:pStyle w:val="BodyJB"/>
      </w:pPr>
    </w:p>
    <w:p w14:paraId="1B534B21" w14:textId="58A06A88" w:rsidR="0052730F" w:rsidRPr="00BD1603" w:rsidRDefault="0052730F" w:rsidP="0052730F">
      <w:pPr>
        <w:pStyle w:val="BodyJB"/>
        <w:spacing w:line="240" w:lineRule="auto"/>
        <w:rPr>
          <w:sz w:val="21"/>
          <w:szCs w:val="21"/>
        </w:rPr>
      </w:pPr>
      <w:r w:rsidRPr="00BD1603">
        <w:rPr>
          <w:sz w:val="21"/>
          <w:szCs w:val="21"/>
        </w:rPr>
        <w:t xml:space="preserve">Table </w:t>
      </w:r>
      <w:r w:rsidR="005D60E0" w:rsidRPr="00BD1603">
        <w:rPr>
          <w:sz w:val="21"/>
          <w:szCs w:val="21"/>
        </w:rPr>
        <w:t>5.2</w:t>
      </w:r>
      <w:r w:rsidRPr="00BD1603">
        <w:rPr>
          <w:sz w:val="21"/>
          <w:szCs w:val="21"/>
        </w:rPr>
        <w:t>. Continued</w:t>
      </w:r>
    </w:p>
    <w:p w14:paraId="6575DF38" w14:textId="77777777" w:rsidR="0052730F" w:rsidRPr="009711BF" w:rsidRDefault="0052730F" w:rsidP="0052730F">
      <w:pPr>
        <w:jc w:val="center"/>
        <w:rPr>
          <w:rFonts w:ascii="Times" w:hAnsi="Times" w:cs="Times New Roman"/>
          <w:color w:val="000000"/>
        </w:rPr>
      </w:pPr>
    </w:p>
    <w:p w14:paraId="760143F4" w14:textId="77777777" w:rsidR="0052730F" w:rsidRPr="009711BF" w:rsidRDefault="0052730F" w:rsidP="0052730F">
      <w:pPr>
        <w:jc w:val="center"/>
        <w:rPr>
          <w:rFonts w:ascii="Times" w:hAnsi="Times" w:cs="Times New Roman"/>
          <w:color w:val="000000"/>
        </w:rPr>
      </w:pPr>
      <w:r w:rsidRPr="009711BF">
        <w:rPr>
          <w:rFonts w:ascii="Times" w:hAnsi="Times" w:cs="Times New Roman"/>
          <w:noProof/>
          <w:color w:val="000000"/>
          <w:lang w:val="en-US" w:eastAsia="en-US"/>
        </w:rPr>
        <w:drawing>
          <wp:inline distT="0" distB="0" distL="0" distR="0" wp14:anchorId="446EC545" wp14:editId="4E76051F">
            <wp:extent cx="8001000" cy="4073392"/>
            <wp:effectExtent l="0" t="0" r="0" b="0"/>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001086" cy="4073436"/>
                    </a:xfrm>
                    <a:prstGeom prst="rect">
                      <a:avLst/>
                    </a:prstGeom>
                    <a:noFill/>
                    <a:ln>
                      <a:noFill/>
                    </a:ln>
                  </pic:spPr>
                </pic:pic>
              </a:graphicData>
            </a:graphic>
          </wp:inline>
        </w:drawing>
      </w:r>
    </w:p>
    <w:p w14:paraId="2998D4F6" w14:textId="77777777" w:rsidR="0052730F" w:rsidRPr="009711BF" w:rsidRDefault="0052730F" w:rsidP="0052730F">
      <w:pPr>
        <w:jc w:val="center"/>
        <w:rPr>
          <w:rFonts w:ascii="Times" w:hAnsi="Times" w:cs="Times New Roman"/>
          <w:color w:val="000000"/>
        </w:rPr>
      </w:pPr>
    </w:p>
    <w:p w14:paraId="672EBBCE" w14:textId="77777777" w:rsidR="0052730F" w:rsidRPr="009711BF" w:rsidRDefault="0052730F" w:rsidP="0052730F">
      <w:pPr>
        <w:jc w:val="center"/>
        <w:rPr>
          <w:rFonts w:ascii="Times" w:hAnsi="Times" w:cs="Times New Roman"/>
          <w:color w:val="000000"/>
        </w:rPr>
      </w:pPr>
    </w:p>
    <w:p w14:paraId="06E7B0E5" w14:textId="77777777" w:rsidR="0052730F" w:rsidRPr="009711BF" w:rsidRDefault="0052730F" w:rsidP="0052730F">
      <w:pPr>
        <w:jc w:val="center"/>
        <w:rPr>
          <w:rFonts w:ascii="Times" w:hAnsi="Times" w:cs="Times New Roman"/>
          <w:color w:val="000000"/>
        </w:rPr>
      </w:pPr>
    </w:p>
    <w:p w14:paraId="3F69CD42" w14:textId="77777777" w:rsidR="0052730F" w:rsidRPr="009711BF" w:rsidRDefault="0052730F" w:rsidP="00764FDA">
      <w:pPr>
        <w:rPr>
          <w:rFonts w:ascii="Times" w:hAnsi="Times" w:cs="Times New Roman"/>
          <w:color w:val="000000"/>
        </w:rPr>
      </w:pPr>
    </w:p>
    <w:p w14:paraId="58F432EB" w14:textId="00836C25" w:rsidR="0052730F" w:rsidRPr="009711BF" w:rsidRDefault="0052730F" w:rsidP="0052730F">
      <w:pPr>
        <w:rPr>
          <w:rFonts w:ascii="Times" w:hAnsi="Times" w:cs="Times New Roman"/>
          <w:color w:val="000000"/>
        </w:rPr>
      </w:pPr>
    </w:p>
    <w:p w14:paraId="10652DE0" w14:textId="310F06D1" w:rsidR="0052730F" w:rsidRDefault="0052730F" w:rsidP="0052730F">
      <w:pPr>
        <w:jc w:val="center"/>
        <w:rPr>
          <w:rFonts w:ascii="Times" w:hAnsi="Times" w:cs="Times New Roman"/>
          <w:color w:val="000000"/>
        </w:rPr>
      </w:pPr>
      <w:r w:rsidRPr="009711BF">
        <w:rPr>
          <w:rFonts w:ascii="Times" w:hAnsi="Times" w:cs="Times New Roman"/>
          <w:noProof/>
          <w:color w:val="000000"/>
          <w:lang w:val="en-US" w:eastAsia="en-US"/>
        </w:rPr>
        <w:drawing>
          <wp:inline distT="0" distB="0" distL="0" distR="0" wp14:anchorId="5F87C593" wp14:editId="0C3D91CC">
            <wp:extent cx="7120157" cy="503004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HD:Users:Rachel:Desktop:Joe's graphics:Untitled-1.pdf"/>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7120633" cy="5030383"/>
                    </a:xfrm>
                    <a:prstGeom prst="rect">
                      <a:avLst/>
                    </a:prstGeom>
                    <a:noFill/>
                    <a:ln>
                      <a:noFill/>
                    </a:ln>
                  </pic:spPr>
                </pic:pic>
              </a:graphicData>
            </a:graphic>
          </wp:inline>
        </w:drawing>
      </w:r>
    </w:p>
    <w:p w14:paraId="2885533F" w14:textId="77777777" w:rsidR="00DA4C15" w:rsidRPr="00DA4C15" w:rsidRDefault="00DA4C15" w:rsidP="0052730F">
      <w:pPr>
        <w:jc w:val="center"/>
        <w:rPr>
          <w:rFonts w:ascii="Times" w:hAnsi="Times" w:cs="Times New Roman"/>
          <w:color w:val="000000"/>
          <w:sz w:val="18"/>
          <w:szCs w:val="18"/>
        </w:rPr>
      </w:pPr>
    </w:p>
    <w:p w14:paraId="0E1C76A1" w14:textId="77777777" w:rsidR="00DA4C15" w:rsidRDefault="0052730F" w:rsidP="00DA4C15">
      <w:pPr>
        <w:pStyle w:val="BodyJB"/>
        <w:spacing w:line="240" w:lineRule="auto"/>
        <w:rPr>
          <w:i/>
          <w:sz w:val="21"/>
          <w:szCs w:val="21"/>
        </w:rPr>
      </w:pPr>
      <w:r w:rsidRPr="00BD1603">
        <w:rPr>
          <w:sz w:val="21"/>
          <w:szCs w:val="21"/>
        </w:rPr>
        <w:t>Fig. 5.3. Overview of amino acid biosynthesis</w:t>
      </w:r>
      <w:r w:rsidR="00230A19" w:rsidRPr="00BD1603">
        <w:rPr>
          <w:sz w:val="21"/>
          <w:szCs w:val="21"/>
        </w:rPr>
        <w:t>,</w:t>
      </w:r>
      <w:r w:rsidRPr="00BD1603">
        <w:rPr>
          <w:sz w:val="21"/>
          <w:szCs w:val="21"/>
        </w:rPr>
        <w:t xml:space="preserve"> showing normalised concentration values for putatively identified mass bins relating to up-regulation in Fr1 population of </w:t>
      </w:r>
      <w:r w:rsidRPr="00BD1603">
        <w:rPr>
          <w:i/>
          <w:sz w:val="21"/>
          <w:szCs w:val="21"/>
        </w:rPr>
        <w:t>A. serpyllifolia</w:t>
      </w:r>
    </w:p>
    <w:p w14:paraId="66D528D6" w14:textId="77777777" w:rsidR="00851627" w:rsidRDefault="00851627" w:rsidP="00DA4C15">
      <w:pPr>
        <w:pStyle w:val="BodyJB"/>
        <w:spacing w:line="240" w:lineRule="auto"/>
      </w:pPr>
    </w:p>
    <w:p w14:paraId="1A8C9274" w14:textId="77777777" w:rsidR="00851627" w:rsidRDefault="00851627" w:rsidP="00DA4C15">
      <w:pPr>
        <w:pStyle w:val="BodyJB"/>
        <w:spacing w:line="240" w:lineRule="auto"/>
      </w:pPr>
    </w:p>
    <w:p w14:paraId="3980317B" w14:textId="74FFB46F" w:rsidR="00B66E45" w:rsidRPr="00DA4C15" w:rsidRDefault="00B66E45" w:rsidP="00DA4C15">
      <w:pPr>
        <w:pStyle w:val="BodyJB"/>
        <w:spacing w:line="240" w:lineRule="auto"/>
      </w:pPr>
      <w:r w:rsidRPr="00DA4C15">
        <w:t xml:space="preserve">Table 5.3. Summary of Table 5.2. in matrix format allowing easy comparison of pathways up-regulated in specific species/population of origin combinations. </w:t>
      </w:r>
    </w:p>
    <w:p w14:paraId="7118DD56" w14:textId="67F71D31" w:rsidR="00B66E45" w:rsidRDefault="00B66E45" w:rsidP="0052730F">
      <w:pPr>
        <w:spacing w:line="360" w:lineRule="auto"/>
        <w:rPr>
          <w:rFonts w:ascii="Times" w:hAnsi="Times"/>
          <w:b/>
          <w:noProof/>
          <w:lang w:val="en-US" w:eastAsia="en-US"/>
        </w:rPr>
      </w:pPr>
    </w:p>
    <w:p w14:paraId="0E27D8D7" w14:textId="7C7B9A57" w:rsidR="00980C52" w:rsidRDefault="00980C52" w:rsidP="0052730F">
      <w:pPr>
        <w:spacing w:line="360" w:lineRule="auto"/>
        <w:rPr>
          <w:rFonts w:ascii="Times" w:hAnsi="Times"/>
          <w:b/>
        </w:rPr>
      </w:pPr>
      <w:r>
        <w:rPr>
          <w:rFonts w:ascii="Times" w:hAnsi="Times"/>
          <w:b/>
          <w:noProof/>
          <w:lang w:val="en-US" w:eastAsia="en-US"/>
        </w:rPr>
        <w:drawing>
          <wp:inline distT="0" distB="0" distL="0" distR="0" wp14:anchorId="2564BA59" wp14:editId="7BEA07B8">
            <wp:extent cx="8229600" cy="3419234"/>
            <wp:effectExtent l="0" t="0" r="0" b="10160"/>
            <wp:docPr id="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29600" cy="3419234"/>
                    </a:xfrm>
                    <a:prstGeom prst="rect">
                      <a:avLst/>
                    </a:prstGeom>
                    <a:noFill/>
                    <a:ln>
                      <a:noFill/>
                    </a:ln>
                  </pic:spPr>
                </pic:pic>
              </a:graphicData>
            </a:graphic>
          </wp:inline>
        </w:drawing>
      </w:r>
    </w:p>
    <w:p w14:paraId="45227DA8" w14:textId="0CF8F342" w:rsidR="00B66E45" w:rsidRDefault="00B66E45" w:rsidP="0052730F">
      <w:pPr>
        <w:spacing w:line="360" w:lineRule="auto"/>
        <w:rPr>
          <w:rFonts w:ascii="Times" w:hAnsi="Times"/>
          <w:b/>
        </w:rPr>
      </w:pPr>
      <w:r>
        <w:rPr>
          <w:rFonts w:ascii="Times" w:hAnsi="Times"/>
          <w:b/>
        </w:rPr>
        <w:t xml:space="preserve"> </w:t>
      </w:r>
    </w:p>
    <w:p w14:paraId="1D23BFDF" w14:textId="77777777" w:rsidR="005D60E0" w:rsidRDefault="005D60E0" w:rsidP="0052730F">
      <w:pPr>
        <w:pStyle w:val="SubheadingJB"/>
      </w:pPr>
    </w:p>
    <w:p w14:paraId="7F848707" w14:textId="77777777" w:rsidR="005D60E0" w:rsidRDefault="005D60E0" w:rsidP="0052730F">
      <w:pPr>
        <w:pStyle w:val="SubheadingJB"/>
      </w:pPr>
    </w:p>
    <w:p w14:paraId="40A476E4" w14:textId="77777777" w:rsidR="00EF78DA" w:rsidRDefault="00EF78DA" w:rsidP="0052730F">
      <w:pPr>
        <w:pStyle w:val="SubheadingJB"/>
        <w:sectPr w:rsidR="00EF78DA" w:rsidSect="00A24963">
          <w:footerReference w:type="default" r:id="rId54"/>
          <w:pgSz w:w="15840" w:h="12240" w:orient="landscape"/>
          <w:pgMar w:top="2268" w:right="1440" w:bottom="1134" w:left="1134" w:header="709" w:footer="851" w:gutter="0"/>
          <w:cols w:space="708"/>
        </w:sectPr>
      </w:pPr>
    </w:p>
    <w:p w14:paraId="13B22763" w14:textId="77777777" w:rsidR="0052730F" w:rsidRPr="009711BF" w:rsidRDefault="0052730F" w:rsidP="0052730F">
      <w:pPr>
        <w:pStyle w:val="SubheadingJB"/>
      </w:pPr>
      <w:bookmarkStart w:id="81" w:name="_Toc291410086"/>
      <w:r w:rsidRPr="009711BF">
        <w:t>5.4- Discussion</w:t>
      </w:r>
      <w:bookmarkEnd w:id="81"/>
    </w:p>
    <w:p w14:paraId="349DC30D" w14:textId="77777777" w:rsidR="0052730F" w:rsidRPr="009711BF" w:rsidRDefault="0052730F" w:rsidP="0052730F">
      <w:pPr>
        <w:spacing w:line="360" w:lineRule="auto"/>
        <w:rPr>
          <w:rFonts w:ascii="Times" w:hAnsi="Times"/>
        </w:rPr>
      </w:pPr>
    </w:p>
    <w:p w14:paraId="68D04F46" w14:textId="1388665E" w:rsidR="0052730F" w:rsidRPr="00B66E45" w:rsidRDefault="0052730F" w:rsidP="00B66E45">
      <w:pPr>
        <w:pStyle w:val="BodyJB"/>
        <w:ind w:firstLine="720"/>
      </w:pPr>
      <w:r w:rsidRPr="009711BF">
        <w:t xml:space="preserve">Visualisation of metabolic similarities and differences between plant samples, indicated that plant metabolism varies depending on the population and species studied. Overall similarities in metabolism between populations of </w:t>
      </w:r>
      <w:r>
        <w:rPr>
          <w:i/>
        </w:rPr>
        <w:t>A. serpyllifolia</w:t>
      </w:r>
      <w:r w:rsidRPr="009711BF">
        <w:t xml:space="preserve">, </w:t>
      </w:r>
      <w:r>
        <w:rPr>
          <w:i/>
        </w:rPr>
        <w:t>P. arenarium</w:t>
      </w:r>
      <w:r w:rsidRPr="009711BF">
        <w:t xml:space="preserve"> and </w:t>
      </w:r>
      <w:r>
        <w:rPr>
          <w:i/>
        </w:rPr>
        <w:t>S. vulgaris</w:t>
      </w:r>
      <w:r w:rsidRPr="009711BF">
        <w:t xml:space="preserve"> reveal that these species have flexibility in their metabolism that allows populations to respond to the current common environmental conditions in a common way. Plants respond to environmental stresses via rapid and reversible alterations in their metabolic compounds, this is the primary mechanism by which plants acclimate to rapidly changing environmental conditions and also forms the basis of physiological plant homeostasis </w:t>
      </w:r>
      <w:r w:rsidRPr="009711BF">
        <w:fldChar w:fldCharType="begin" w:fldLock="1"/>
      </w:r>
      <w:r w:rsidR="007C2FF9">
        <w:instrText>ADDIN CSL_CITATION { "citationItems" : [ { "id" : "ITEM-1", "itemData" : { "DOI" : "10.1111/j.1365-3040.2008.01910.x", "ISSN" : "1365-3040", "PMID" : "19021888", "abstract" : "Behaviour is in part the ability to respond rapidly and reversibly in response to environmental stimuli during the lifetime of an individual. Plants and animals both exhibit behaviour, but plant behaviour is most often examined in the context of morphologically plastic growth. Rapid and reversible secondary metabolite production and release is also a key mechanism by which plants behave. Here, we review plant biochemical plasticity as plant behaviour, and explicitly focus on evidence for responses that display rapid induction, reversibility and ecological relevance. Rapid induction and attenuation of plant secondary metabolites occur as chemically mediated root foraging, plant defence, allelochemistry and to regulate mutualistic relationships. We describe a wealth of information on the induction of various plant biochemical responses to environmental stimuli but found a limited body of literature on the reversibility of induced biochemical responses. Understanding the full cycle of dynamic plasticity in secondary metabolites is an important niche for future research. Biochemical behaviours extend beyond the plant kingdom; however, they clearly illustrate the capacity for plants to behave in ways that closely mirror the classic definitions and research approaches applied to behaviour in animals.", "author" : [ { "dropping-particle" : "", "family" : "Metlen", "given" : "Kerry L", "non-dropping-particle" : "", "parse-names" : false, "suffix" : "" }, { "dropping-particle" : "", "family" : "Aschehoug", "given" : "Erik T", "non-dropping-particle" : "", "parse-names" : false, "suffix" : "" }, { "dropping-particle" : "", "family" : "Callaway", "given" : "Ragan M", "non-dropping-particle" : "", "parse-names" : false, "suffix" : "" } ], "container-title" : "Plant, cell &amp; environment", "id" : "ITEM-1", "issue" : "6", "issued" : { "date-parts" : [ [ "2009", "6" ] ] }, "page" : "641-53", "title" : "Plant behavioural ecology: dynamic plasticity in secondary metabolites.", "type" : "article-journal", "volume" : "32" }, "uris" : [ "http://www.mendeley.com/documents/?uuid=f03dbd51-843b-498f-b2a8-a324ce4e0801" ] } ], "mendeley" : { "formattedCitation" : "(Metlen et al., 2009)", "plainTextFormattedCitation" : "(Metlen et al., 2009)", "previouslyFormattedCitation" : "(Metlen et al., 2009)" }, "properties" : { "noteIndex" : 0 }, "schema" : "https://github.com/citation-style-language/schema/raw/master/csl-citation.json" }</w:instrText>
      </w:r>
      <w:r w:rsidRPr="009711BF">
        <w:fldChar w:fldCharType="separate"/>
      </w:r>
      <w:r w:rsidRPr="009711BF">
        <w:rPr>
          <w:noProof/>
        </w:rPr>
        <w:t xml:space="preserve">(Metlen </w:t>
      </w:r>
      <w:r w:rsidRPr="009711BF">
        <w:rPr>
          <w:i/>
          <w:noProof/>
        </w:rPr>
        <w:t>et al.</w:t>
      </w:r>
      <w:r w:rsidRPr="009711BF">
        <w:rPr>
          <w:noProof/>
        </w:rPr>
        <w:t>, 2009)</w:t>
      </w:r>
      <w:r w:rsidRPr="009711BF">
        <w:fldChar w:fldCharType="end"/>
      </w:r>
      <w:r w:rsidRPr="009711BF">
        <w:t xml:space="preserve">. The </w:t>
      </w:r>
      <w:r w:rsidRPr="00B66E45">
        <w:t xml:space="preserve">flexibility in the metabolic expression in </w:t>
      </w:r>
      <w:r w:rsidRPr="00B66E45">
        <w:rPr>
          <w:i/>
        </w:rPr>
        <w:t>A. serpyllifolia</w:t>
      </w:r>
      <w:r w:rsidRPr="00B66E45">
        <w:t xml:space="preserve">, </w:t>
      </w:r>
      <w:r w:rsidRPr="00B66E45">
        <w:rPr>
          <w:i/>
        </w:rPr>
        <w:t>P. arenarium</w:t>
      </w:r>
      <w:r w:rsidRPr="00B66E45">
        <w:t xml:space="preserve"> and </w:t>
      </w:r>
      <w:r w:rsidRPr="00B66E45">
        <w:rPr>
          <w:i/>
        </w:rPr>
        <w:t>S. vulgaris</w:t>
      </w:r>
      <w:r w:rsidRPr="00B66E45">
        <w:t xml:space="preserve"> implies that populations of these species maintain metabolic plasticity rather than metabolic adaptation to local conditions. Plasticity to changing conditions is of vital importance in light of climate change. </w:t>
      </w:r>
    </w:p>
    <w:p w14:paraId="1A7E2159" w14:textId="77777777" w:rsidR="0052730F" w:rsidRPr="00A429C5" w:rsidRDefault="0052730F" w:rsidP="00B66E45">
      <w:pPr>
        <w:pStyle w:val="BodyJB"/>
        <w:ind w:firstLine="720"/>
      </w:pPr>
      <w:r w:rsidRPr="00B66E45">
        <w:t xml:space="preserve">The wider visualisation of </w:t>
      </w:r>
      <w:r w:rsidRPr="00B66E45">
        <w:rPr>
          <w:i/>
        </w:rPr>
        <w:t>C. diffusum</w:t>
      </w:r>
      <w:r w:rsidRPr="00B66E45">
        <w:t xml:space="preserve"> and </w:t>
      </w:r>
      <w:r w:rsidRPr="00B66E45">
        <w:rPr>
          <w:i/>
        </w:rPr>
        <w:t>V. arvensis</w:t>
      </w:r>
      <w:r w:rsidRPr="00B66E45">
        <w:t xml:space="preserve"> highlighted variation in metabolism between samples originating from different populations</w:t>
      </w:r>
      <w:r w:rsidRPr="009711BF">
        <w:t xml:space="preserve">. Instead of strongly responding to the current common conditions, metabolism of these two species is </w:t>
      </w:r>
      <w:r w:rsidRPr="00A429C5">
        <w:t xml:space="preserve">being controlled by factors other than environmental, namely, genetic, epigenetic and or maternal effects. </w:t>
      </w:r>
    </w:p>
    <w:p w14:paraId="73D222E7" w14:textId="284021F2" w:rsidR="0052730F" w:rsidRPr="009711BF" w:rsidRDefault="0052730F" w:rsidP="00B66E45">
      <w:pPr>
        <w:pStyle w:val="BodyJB"/>
        <w:ind w:firstLine="720"/>
      </w:pPr>
      <w:r w:rsidRPr="009711BF">
        <w:t xml:space="preserve">ANOVA statistical analyses, used to assess the influence of population origin on individual metabolites, highlighted the key compounds differentially regulated between populations. Despite similarities in overall metabolism within </w:t>
      </w:r>
      <w:r>
        <w:rPr>
          <w:i/>
        </w:rPr>
        <w:t>A. serpyllifolia</w:t>
      </w:r>
      <w:r w:rsidRPr="009711BF">
        <w:t xml:space="preserve">, </w:t>
      </w:r>
      <w:r>
        <w:rPr>
          <w:i/>
        </w:rPr>
        <w:t>P. arenarium</w:t>
      </w:r>
      <w:r w:rsidRPr="009711BF">
        <w:t xml:space="preserve"> and </w:t>
      </w:r>
      <w:r>
        <w:rPr>
          <w:i/>
        </w:rPr>
        <w:t>S. vulgaris</w:t>
      </w:r>
      <w:r w:rsidRPr="009711BF">
        <w:rPr>
          <w:i/>
        </w:rPr>
        <w:t>,</w:t>
      </w:r>
      <w:r w:rsidRPr="009711BF">
        <w:t xml:space="preserve"> these analyses indicated that along with </w:t>
      </w:r>
      <w:r>
        <w:rPr>
          <w:i/>
        </w:rPr>
        <w:t>C. diffusum</w:t>
      </w:r>
      <w:r w:rsidRPr="009711BF">
        <w:t xml:space="preserve"> and </w:t>
      </w:r>
      <w:r>
        <w:rPr>
          <w:i/>
        </w:rPr>
        <w:t>V. arvensis</w:t>
      </w:r>
      <w:r w:rsidRPr="009711BF">
        <w:t xml:space="preserve"> there are particular populations differentially regulating a number of metabolic pathways.</w:t>
      </w:r>
    </w:p>
    <w:p w14:paraId="5F91F45F" w14:textId="77777777" w:rsidR="0052730F" w:rsidRPr="009711BF" w:rsidRDefault="0052730F" w:rsidP="0052730F">
      <w:pPr>
        <w:pStyle w:val="BodyJB"/>
      </w:pPr>
      <w:r w:rsidRPr="009711BF">
        <w:tab/>
        <w:t>Population differentiation was largely being caused by the up-regulation of particular compounds by plants of one population in relation to another. Overall, different species show metabolic differentiation for a number of populations. Putative identification based on the accurate masses of detected compounds, and subsequent pathway mapping revealed a number of interesting similarities in the types of compounds up-regulated by particular populations.</w:t>
      </w:r>
    </w:p>
    <w:p w14:paraId="7D58D579" w14:textId="77777777" w:rsidR="0052730F" w:rsidRPr="009711BF" w:rsidRDefault="0052730F" w:rsidP="0052730F">
      <w:pPr>
        <w:pStyle w:val="BodyJB"/>
      </w:pPr>
    </w:p>
    <w:p w14:paraId="5402718D" w14:textId="77777777" w:rsidR="0052730F" w:rsidRPr="00A429C5" w:rsidRDefault="0052730F" w:rsidP="00B66E45">
      <w:pPr>
        <w:pStyle w:val="subheadingMINOR"/>
      </w:pPr>
      <w:bookmarkStart w:id="82" w:name="_Toc291410087"/>
      <w:r w:rsidRPr="00A429C5">
        <w:t>Details of Metabolic population differentiation</w:t>
      </w:r>
      <w:bookmarkEnd w:id="82"/>
      <w:r w:rsidRPr="00A429C5">
        <w:t xml:space="preserve"> </w:t>
      </w:r>
    </w:p>
    <w:p w14:paraId="7CCB0BF4" w14:textId="2CA2F641" w:rsidR="0052730F" w:rsidRPr="009711BF" w:rsidRDefault="0052730F" w:rsidP="00B66E45">
      <w:pPr>
        <w:pStyle w:val="BodyJB"/>
        <w:ind w:firstLine="720"/>
      </w:pPr>
      <w:r w:rsidRPr="009711BF">
        <w:t xml:space="preserve">In </w:t>
      </w:r>
      <w:r w:rsidRPr="009711BF">
        <w:rPr>
          <w:i/>
        </w:rPr>
        <w:t>A. serpyllifolia</w:t>
      </w:r>
      <w:r w:rsidRPr="009711BF">
        <w:t xml:space="preserve"> metabolic variation between populations of origin was mostly determined by differential expression of compounds by plants in the Fr1 population and to some extent also in the GB2 population (most southern French site, and most northern British site respectively). Putative identifications of mass bins significantly up-regulated or down-regulated in population Fr1 were mapped onto metabolic pathways, five of the six pathways identified related to amino acid metabolism (</w:t>
      </w:r>
      <w:r w:rsidR="00B66E45">
        <w:t>Fig. 5.3.</w:t>
      </w:r>
      <w:r w:rsidRPr="009711BF">
        <w:t xml:space="preserve">). The acquisition and assimilation of nitrogen into amino acids is an essential process required for plant growth and development. There are many examples of metabolomic fingerprinting studies identifying accumulations of various amino acids in response to environmental stresses including drought, salt, temperature and heavy metal </w:t>
      </w:r>
      <w:r w:rsidRPr="009711BF">
        <w:fldChar w:fldCharType="begin" w:fldLock="1"/>
      </w:r>
      <w:r w:rsidR="007C2FF9">
        <w:instrText>ADDIN CSL_CITATION { "citationItems" : [ { "id" : "ITEM-1", "itemData" : { "DOI" : "10.1111/j.1365-3040.2011.02423.x", "ISSN" : "1365-3040", "PMID" : "21902697", "abstract" : "Water limitation has become a major concern for agriculture. Such constraints reinforce the urgent need to understand mechanisms by which plants cope with water deprivation. We used a non-targeted metabolomic approach to explore plastic systems responses to non-lethal drought in model and forage legume species of the Lotus genus. In the model legume Lotus. japonicus, increased water stress caused gradual increases of most of the soluble small molecules profiled, reflecting a global and progressive reprogramming of metabolic pathways. The comparative metabolomic approach between Lotus species revealed conserved and unique metabolic responses to drought stress. Importantly, only few drought-responsive metabolites were conserved among all species. Thus we highlight a potential impediment to translational approaches that aim to engineer traits linked to the accumulation of compatible solutes. Finally, a broad comparison of the metabolic changes elicited by drought and salt acclimation revealed partial conservation of these metabolic stress responses within each of the Lotus species, but only few salt- and drought-responsive metabolites were shared between all. The implications of these results are discussed with regard to the current insights into legume water stress physiology.", "author" : [ { "dropping-particle" : "", "family" : "Sanchez", "given" : "Diego H", "non-dropping-particle" : "", "parse-names" : false, "suffix" : "" }, { "dropping-particle" : "", "family" : "Schwabe", "given" : "Franziska", "non-dropping-particle" : "", "parse-names" : false, "suffix" : "" }, { "dropping-particle" : "", "family" : "Erban", "given" : "Alexander", "non-dropping-particle" : "", "parse-names" : false, "suffix" : "" }, { "dropping-particle" : "", "family" : "Udvardi", "given" : "Michael K", "non-dropping-particle" : "", "parse-names" : false, "suffix" : "" }, { "dropping-particle" : "", "family" : "Kopka", "given" : "Joachim", "non-dropping-particle" : "", "parse-names" : false, "suffix" : "" } ], "container-title" : "Plant, cell &amp; environment", "id" : "ITEM-1", "issue" : "1", "issued" : { "date-parts" : [ [ "2012", "1" ] ] }, "page" : "136-49", "title" : "Comparative metabolomics of drought acclimation in model and forage legumes.", "type" : "article-journal", "volume" : "35" }, "uris" : [ "http://www.mendeley.com/documents/?uuid=ab64a0dd-33b9-4cc5-832c-63b07a6f340a" ] }, { "id" : "ITEM-2", "itemData" : { "ISBN" : "0066-4294", "author" : [ { "dropping-particle" : "", "family" : "Greenway", "given" : "H", "non-dropping-particle" : "", "parse-names" : false, "suffix" : "" }, { "dropping-particle" : "", "family" : "Munns", "given" : "R", "non-dropping-particle" : "", "parse-names" : false, "suffix" : "" } ], "container-title" : "Annual Review of Plant Physiology and Plant Molecular Biology", "id" : "ITEM-2", "issued" : { "date-parts" : [ [ "1980" ] ] }, "language" : "English", "page" : "149-190", "title" : "Mechanisms of Salt Tolerance in Non-Halophytes", "type" : "article-journal", "volume" : "31" }, "uris" : [ "http://www.mendeley.com/documents/?uuid=869614d6-ca9b-4d10-8067-dc8c96aa1722" ] } ], "mendeley" : { "formattedCitation" : "(Greenway and Munns, 1980; Sanchez et al., 2012)", "plainTextFormattedCitation" : "(Greenway and Munns, 1980; Sanchez et al., 2012)", "previouslyFormattedCitation" : "(Greenway and Munns, 1980; Sanchez et al., 2012)" }, "properties" : { "noteIndex" : 0 }, "schema" : "https://github.com/citation-style-language/schema/raw/master/csl-citation.json" }</w:instrText>
      </w:r>
      <w:r w:rsidRPr="009711BF">
        <w:fldChar w:fldCharType="separate"/>
      </w:r>
      <w:r w:rsidR="00134C22" w:rsidRPr="00134C22">
        <w:rPr>
          <w:noProof/>
        </w:rPr>
        <w:t>(Greenway and Munns, 1980; Sanchez et al., 2012)</w:t>
      </w:r>
      <w:r w:rsidRPr="009711BF">
        <w:fldChar w:fldCharType="end"/>
      </w:r>
      <w:r w:rsidRPr="009711BF">
        <w:fldChar w:fldCharType="begin" w:fldLock="1"/>
      </w:r>
      <w:r w:rsidR="007C2FF9">
        <w:instrText>ADDIN CSL_CITATION { "citationItems" : [ { "id" : "ITEM-1", "itemData" : { "DOI" : "10.1007/s11105-014-0722-4", "ISSN" : "0735-9640", "author" : [ { "dropping-particle" : "", "family" : "Hu", "given" : "Longxing", "non-dropping-particle" : "", "parse-names" : false, "suffix" : "" }, { "dropping-particle" : "", "family" : "Zhang", "given" : "Pingping", "non-dropping-particle" : "", "parse-names" : false, "suffix" : "" }, { "dropping-particle" : "", "family" : "Jiang", "given" : "Ying", "non-dropping-particle" : "", "parse-names" : false, "suffix" : "" }, { "dropping-particle" : "", "family" : "Fu", "given" : "Jinmin", "non-dropping-particle" : "", "parse-names" : false, "suffix" : "" } ], "container-title" : "Plant Molecular Biology Reporter", "id" : "ITEM-1", "issue" : "1", "issued" : { "date-parts" : [ [ "2015", "5", "15" ] ] }, "page" : "56-68", "title" : "Metabolomic Analysis Revealed Differential Adaptation to Salinity and Alkalinity Stress in Kentucky Bluegrass (Poa pratensis)", "type" : "article-journal", "volume" : "33" }, "uris" : [ "http://www.mendeley.com/documents/?uuid=04ad8a66-27e0-4506-a1da-ad4f810e4219" ] } ], "mendeley" : { "formattedCitation" : "(Hu et al., 2015)", "plainTextFormattedCitation" : "(Hu et al., 2015)", "previouslyFormattedCitation" : "(Hu et al., 2015)" }, "properties" : { "noteIndex" : 0 }, "schema" : "https://github.com/citation-style-language/schema/raw/master/csl-citation.json" }</w:instrText>
      </w:r>
      <w:r w:rsidRPr="009711BF">
        <w:fldChar w:fldCharType="separate"/>
      </w:r>
      <w:r w:rsidRPr="009711BF">
        <w:rPr>
          <w:noProof/>
        </w:rPr>
        <w:t xml:space="preserve">(Hu </w:t>
      </w:r>
      <w:r w:rsidRPr="009711BF">
        <w:rPr>
          <w:i/>
          <w:noProof/>
        </w:rPr>
        <w:t>et al.</w:t>
      </w:r>
      <w:r w:rsidRPr="009711BF">
        <w:rPr>
          <w:noProof/>
        </w:rPr>
        <w:t>, 2015)</w:t>
      </w:r>
      <w:r w:rsidRPr="009711BF">
        <w:fldChar w:fldCharType="end"/>
      </w:r>
      <w:r w:rsidRPr="009711BF">
        <w:t xml:space="preserve">. Particularly common roles relating to the amelioration of these stresses include functioning as compatible solutes, metal binding, controlling membrane permeability and protecting enzymes (reviewed in </w:t>
      </w:r>
      <w:r w:rsidRPr="009711BF">
        <w:fldChar w:fldCharType="begin" w:fldLock="1"/>
      </w:r>
      <w:r w:rsidR="007C2FF9">
        <w:instrText>ADDIN CSL_CITATION { "citationItems" : [ { "id" : "ITEM-1", "itemData" : { "author" : [ { "dropping-particle" : "", "family" : "Rai", "given" : "VK", "non-dropping-particle" : "", "parse-names" : false, "suffix" : "" } ], "container-title" : "Biologia Plantarum", "id" : "ITEM-1", "issue" : "4", "issued" : { "date-parts" : [ [ "2002" ] ] }, "page" : "481-487", "title" : "Role of amino acids in plant responses to stresses", "type" : "article-journal", "volume" : "45" }, "uris" : [ "http://www.mendeley.com/documents/?uuid=956af3bc-61cd-4e72-b683-7ec2c02eb977" ] } ], "mendeley" : { "formattedCitation" : "(Rai, 2002)", "manualFormatting" : "Rai, 2002", "plainTextFormattedCitation" : "(Rai, 2002)", "previouslyFormattedCitation" : "(Rai, 2002)" }, "properties" : { "noteIndex" : 0 }, "schema" : "https://github.com/citation-style-language/schema/raw/master/csl-citation.json" }</w:instrText>
      </w:r>
      <w:r w:rsidRPr="009711BF">
        <w:fldChar w:fldCharType="separate"/>
      </w:r>
      <w:r w:rsidRPr="009355DB">
        <w:rPr>
          <w:noProof/>
        </w:rPr>
        <w:t>Rai, 2002</w:t>
      </w:r>
      <w:r w:rsidRPr="009711BF">
        <w:fldChar w:fldCharType="end"/>
      </w:r>
      <w:r w:rsidRPr="009711BF">
        <w:t xml:space="preserve">). Accumulations of amino acids are known to form in response to environmental stresses, however, in this experiment all plants were grown in common environmental conditions. The differentiation of </w:t>
      </w:r>
      <w:r w:rsidRPr="009711BF">
        <w:rPr>
          <w:i/>
        </w:rPr>
        <w:t xml:space="preserve">A. serpyllifolia </w:t>
      </w:r>
      <w:r w:rsidRPr="009711BF">
        <w:t xml:space="preserve">population Fr1 in relation to amino acid biosynthesis is therefore likely to be occurring due to constitutive high expression of these compounds. A review of responses to heavy metal stress </w:t>
      </w:r>
      <w:r w:rsidRPr="009711BF">
        <w:fldChar w:fldCharType="begin" w:fldLock="1"/>
      </w:r>
      <w:r w:rsidR="007C2FF9">
        <w:instrText>ADDIN CSL_CITATION { "citationItems" : [ { "id" : "ITEM-1", "itemData" : { "DOI" : "10.1093/jxb/erj073", "ISSN" : "0022-0957", "author" : [ { "dropping-particle" : "", "family" : "Sharma", "given" : "S. S.", "non-dropping-particle" : "", "parse-names" : false, "suffix" : "" }, { "dropping-particle" : "", "family" : "Dietz", "given" : "K-J", "non-dropping-particle" : "", "parse-names" : false, "suffix" : "" } ], "container-title" : "Journal of Experimental Botany", "id" : "ITEM-1", "issue" : "4", "issued" : { "date-parts" : [ [ "2006", "3", "1" ] ] }, "page" : "711-726", "title" : "The significance of amino acids and amino acid-derived molecules in plant responses and adaptation to heavy metal stress", "type" : "article-journal", "volume" : "57" }, "uris" : [ "http://www.mendeley.com/documents/?uuid=a5b3fe84-d0f4-40d3-84c5-5061d7722575" ] } ], "mendeley" : { "formattedCitation" : "(Sharma and Dietz, 2006)", "plainTextFormattedCitation" : "(Sharma and Dietz, 2006)", "previouslyFormattedCitation" : "(Sharma and Dietz, 2006)" }, "properties" : { "noteIndex" : 0 }, "schema" : "https://github.com/citation-style-language/schema/raw/master/csl-citation.json" }</w:instrText>
      </w:r>
      <w:r w:rsidRPr="009711BF">
        <w:fldChar w:fldCharType="separate"/>
      </w:r>
      <w:r w:rsidR="00134C22" w:rsidRPr="00134C22">
        <w:rPr>
          <w:noProof/>
        </w:rPr>
        <w:t>(Sharma and Dietz, 2006)</w:t>
      </w:r>
      <w:r w:rsidRPr="009711BF">
        <w:fldChar w:fldCharType="end"/>
      </w:r>
      <w:r w:rsidRPr="009711BF">
        <w:t xml:space="preserve"> highlights three species (including the perennial herb </w:t>
      </w:r>
      <w:r w:rsidRPr="009711BF">
        <w:rPr>
          <w:i/>
        </w:rPr>
        <w:t>Silene vulgaris</w:t>
      </w:r>
      <w:r w:rsidRPr="009711BF">
        <w:t xml:space="preserve"> belonging to the Caryophyllaceae) known to have metal-tolerant populations that express substantially elevated constitutive proline levels, even in the absence of excess metal ions when compared to non-tolerant populations.</w:t>
      </w:r>
    </w:p>
    <w:p w14:paraId="149698C3" w14:textId="77777777" w:rsidR="0052730F" w:rsidRPr="009711BF" w:rsidRDefault="0052730F" w:rsidP="0052730F">
      <w:pPr>
        <w:pStyle w:val="BodyJB"/>
      </w:pPr>
    </w:p>
    <w:p w14:paraId="7526EE32" w14:textId="77777777" w:rsidR="0052730F" w:rsidRPr="009711BF" w:rsidRDefault="0052730F" w:rsidP="0052730F">
      <w:pPr>
        <w:pStyle w:val="BodyJB"/>
      </w:pPr>
      <w:r w:rsidRPr="009711BF">
        <w:tab/>
        <w:t xml:space="preserve">Populations originating from Fr4 (Hatainville, Normandie, Northern France) showed up-regulation of a variety of compounds in three species, </w:t>
      </w:r>
      <w:r>
        <w:rPr>
          <w:i/>
        </w:rPr>
        <w:t>C. diffusum</w:t>
      </w:r>
      <w:r w:rsidRPr="009711BF">
        <w:t xml:space="preserve">, </w:t>
      </w:r>
      <w:r>
        <w:rPr>
          <w:i/>
        </w:rPr>
        <w:t>S. vulgaris</w:t>
      </w:r>
      <w:r w:rsidRPr="009711BF">
        <w:t xml:space="preserve"> and </w:t>
      </w:r>
      <w:r>
        <w:rPr>
          <w:i/>
        </w:rPr>
        <w:t>V. arvensis</w:t>
      </w:r>
      <w:r w:rsidRPr="009711BF">
        <w:t xml:space="preserve">. While up-regulated metabolites in this population represented a wide variety of metabolic pathways involved with amino acid metabolism, </w:t>
      </w:r>
      <w:r>
        <w:t xml:space="preserve">and </w:t>
      </w:r>
      <w:r w:rsidRPr="009711BF">
        <w:t xml:space="preserve">carbohydrate metabolism, a number of patterns emerged. Both </w:t>
      </w:r>
      <w:r>
        <w:rPr>
          <w:i/>
        </w:rPr>
        <w:t>S. vulgaris</w:t>
      </w:r>
      <w:r w:rsidRPr="009711BF">
        <w:t xml:space="preserve"> and </w:t>
      </w:r>
      <w:r>
        <w:rPr>
          <w:i/>
        </w:rPr>
        <w:t>V. arvensis</w:t>
      </w:r>
      <w:r w:rsidRPr="009711BF">
        <w:rPr>
          <w:i/>
        </w:rPr>
        <w:t xml:space="preserve"> </w:t>
      </w:r>
      <w:r w:rsidRPr="009711BF">
        <w:t xml:space="preserve">Fr4 populations up-regulated metabolites that mapped onto three pathways; arginine and proline metabolism, the citrate cycle and tyrosine metabolism. While </w:t>
      </w:r>
      <w:r>
        <w:rPr>
          <w:i/>
        </w:rPr>
        <w:t>C. diffusum</w:t>
      </w:r>
      <w:r w:rsidRPr="009711BF">
        <w:t xml:space="preserve"> and </w:t>
      </w:r>
      <w:r>
        <w:rPr>
          <w:i/>
        </w:rPr>
        <w:t>V. arvensis</w:t>
      </w:r>
      <w:r w:rsidRPr="009711BF">
        <w:t xml:space="preserve"> up-regulated three different pathways that were all associated with lipid metabolism.</w:t>
      </w:r>
    </w:p>
    <w:p w14:paraId="4582232D" w14:textId="77777777" w:rsidR="0052730F" w:rsidRPr="009711BF" w:rsidRDefault="0052730F" w:rsidP="0052730F">
      <w:pPr>
        <w:pStyle w:val="BodyJB"/>
        <w:rPr>
          <w:highlight w:val="lightGray"/>
        </w:rPr>
      </w:pPr>
    </w:p>
    <w:p w14:paraId="2C8C3C4E" w14:textId="77777777" w:rsidR="0052730F" w:rsidRPr="00A429C5" w:rsidRDefault="0052730F" w:rsidP="00B66E45">
      <w:pPr>
        <w:pStyle w:val="subheadingMINOR"/>
        <w:rPr>
          <w:highlight w:val="lightGray"/>
        </w:rPr>
      </w:pPr>
      <w:bookmarkStart w:id="83" w:name="_Toc291410088"/>
      <w:r w:rsidRPr="00A429C5">
        <w:t>Environmental vs Genotypic impacts on metabolism</w:t>
      </w:r>
      <w:bookmarkEnd w:id="83"/>
    </w:p>
    <w:p w14:paraId="1AF256B4" w14:textId="3E1932FC" w:rsidR="0052730F" w:rsidRPr="009711BF" w:rsidRDefault="0052730F" w:rsidP="0052730F">
      <w:pPr>
        <w:pStyle w:val="BodyJB"/>
      </w:pPr>
      <w:r w:rsidRPr="009711BF">
        <w:tab/>
        <w:t xml:space="preserve">Many previous studies aiming to determine metabolic differences between plant populations apply targeted analyses on samples from plants growing in the field.  While these studies provide interesting insights into the metabolic responses of plants to environmental conditions little can be discerned regarding the relative influence by population genotype or differential environmental conditions. Many of the environmental metabolomic studies addressing the importance of genotypic and environmental determination on metabolism have focused on plant allocation to resistance mechanisms. Many of these studies highlight the biological costs to the plant of constitutive expression of compounds </w:t>
      </w:r>
      <w:r w:rsidRPr="009711BF">
        <w:fldChar w:fldCharType="begin" w:fldLock="1"/>
      </w:r>
      <w:r w:rsidR="007C2FF9">
        <w:instrText>ADDIN CSL_CITATION { "citationItems" : [ { "id" : "ITEM-1", "itemData" : { "DOI" : "10.1007/s10682-008-9290-0", "ISSN" : "0269-7653", "author" : [ { "dropping-particle" : "", "family" : "Cipollini", "given" : "Don", "non-dropping-particle" : "", "parse-names" : false, "suffix" : "" } ], "container-title" : "Evolutionary Ecology", "id" : "ITEM-1", "issue" : "1", "issued" : { "date-parts" : [ [ "2008", "12", "11" ] ] }, "page" : "59-68", "title" : "Constitutive expression of methyl jasmonate-inducible responses delays reproduction and constrains fitness responses to nutrients in Arabidopsis thaliana", "type" : "article-journal", "volume" : "24" }, "uris" : [ "http://www.mendeley.com/documents/?uuid=7af37c7e-063e-4a7b-9d5a-f4459d57a426" ] }, { "id" : "ITEM-2", "itemData" : { "DOI" : "10.1111/j.1365-2745.2011.01814.x", "ISSN" : "00220477", "author" : [ { "dropping-particle" : "", "family" : "Sampedro", "given" : "Luis", "non-dropping-particle" : "", "parse-names" : false, "suffix" : "" }, { "dropping-particle" : "", "family" : "Moreira", "given" : "Xoaqu\u00edn", "non-dropping-particle" : "", "parse-names" : false, "suffix" : "" }, { "dropping-particle" : "", "family" : "Zas", "given" : "Rafael", "non-dropping-particle" : "", "parse-names" : false, "suffix" : "" } ], "container-title" : "Journal of Ecology", "id" : "ITEM-2", "issue" : "3", "issued" : { "date-parts" : [ [ "2011", "5", "7" ] ] }, "page" : "818-827", "title" : "Costs of constitutive and herbivore-induced chemical defences in pine trees emerge only under low nutrient availability", "type" : "article-journal", "volume" : "99" }, "uris" : [ "http://www.mendeley.com/documents/?uuid=1a28c2a9-86b0-4c90-80ef-7068016418bf" ] } ], "mendeley" : { "formattedCitation" : "(Cipollini, 2008; Sampedro et al., 2011)", "plainTextFormattedCitation" : "(Cipollini, 2008; Sampedro et al., 2011)", "previouslyFormattedCitation" : "(Cipollini, 2008; Sampedro et al., 2011)" }, "properties" : { "noteIndex" : 0 }, "schema" : "https://github.com/citation-style-language/schema/raw/master/csl-citation.json" }</w:instrText>
      </w:r>
      <w:r w:rsidRPr="009711BF">
        <w:fldChar w:fldCharType="separate"/>
      </w:r>
      <w:r w:rsidRPr="009711BF">
        <w:rPr>
          <w:noProof/>
        </w:rPr>
        <w:t xml:space="preserve">(Cipollini, 2008; Sampedro </w:t>
      </w:r>
      <w:r w:rsidRPr="009711BF">
        <w:rPr>
          <w:i/>
          <w:noProof/>
        </w:rPr>
        <w:t>et al.</w:t>
      </w:r>
      <w:r w:rsidRPr="009711BF">
        <w:rPr>
          <w:noProof/>
        </w:rPr>
        <w:t>, 2011)</w:t>
      </w:r>
      <w:r w:rsidRPr="009711BF">
        <w:fldChar w:fldCharType="end"/>
      </w:r>
      <w:r w:rsidRPr="009711BF">
        <w:t>. In their evaluation of genotype vs environmental effects on foliar chemistry of quaking aspen (</w:t>
      </w:r>
      <w:r w:rsidRPr="009711BF">
        <w:rPr>
          <w:i/>
        </w:rPr>
        <w:t>Populus tremuloides</w:t>
      </w:r>
      <w:r w:rsidRPr="009711BF">
        <w:t xml:space="preserve">) Osier and Lindroth </w:t>
      </w:r>
      <w:r w:rsidRPr="009711BF">
        <w:fldChar w:fldCharType="begin" w:fldLock="1"/>
      </w:r>
      <w:r w:rsidR="007C2FF9">
        <w:instrText>ADDIN CSL_CITATION { "citationItems" : [ { "id" : "ITEM-1", "itemData" : { "DOI" : "10.1007/s00442-006-0373-8", "ISBN" : "2032544253", "ISSN" : "0029-8549", "PMID" : "16468055", "abstract" : "Although genetic variability and resource availability both influence plant chemical composition, little is known about how these factors interact to modulate costs of resistance, expressed as negative correlations between growth and defense. We evaluated genotype x environment effects on foliar chemistry and growth of quaking aspen (Populus tremuloides) by growing multiple aspen genotypes under variable conditions of light and soil nutrient availability in a common garden. Foliage was analyzed for levels of nitrogen, phenolic glycosides and condensed tannins. Bioassays of leaf quality were conducted with fourth-stadium gypsy moth (Lymantria dispar) larvae. Results revealed strong effects of plant genotype, light availability and nutrient availability; the importance of each factor depended upon compound type. For example, tannin concentrations differed little among genotypes and across nutrient regimes under low light conditions, but markedly so under high light conditions. Phenolic glycoside concentrations, in contrast, were largely determined by genotype. Variation in phenolic glycoside concentrations among genotypes was the most important factor affecting gypsy moth performance. Gypsy moth biomass and development time were negatively and positively correlated, respectively, with phenolic glycoside levels. Allocation to phenolic glycosides appeared to be costly in terms of growth, but only under resource-limiting conditions. Context-dependent trade-offs help to explain why costs of allocation to resistance are often difficult to demonstrate.", "author" : [ { "dropping-particle" : "", "family" : "Osier", "given" : "Tod L", "non-dropping-particle" : "", "parse-names" : false, "suffix" : "" }, { "dropping-particle" : "", "family" : "Lindroth", "given" : "Richard L", "non-dropping-particle" : "", "parse-names" : false, "suffix" : "" } ], "container-title" : "Oecologia", "id" : "ITEM-1", "issue" : "2", "issued" : { "date-parts" : [ [ "2006", "6" ] ] }, "page" : "293-303", "title" : "Genotype and environment determine allocation to and costs of resistance in quaking aspen.", "type" : "article-journal", "volume" : "148" }, "uris" : [ "http://www.mendeley.com/documents/?uuid=5b812f93-8d6c-4635-97ce-5680cadcfd68" ] } ], "mendeley" : { "formattedCitation" : "(Osier and Lindroth, 2006)", "plainTextFormattedCitation" : "(Osier and Lindroth, 2006)", "previouslyFormattedCitation" : "(Osier and Lindroth, 2006)" }, "properties" : { "noteIndex" : 0 }, "schema" : "https://github.com/citation-style-language/schema/raw/master/csl-citation.json" }</w:instrText>
      </w:r>
      <w:r w:rsidRPr="009711BF">
        <w:fldChar w:fldCharType="separate"/>
      </w:r>
      <w:r w:rsidR="00134C22" w:rsidRPr="00134C22">
        <w:rPr>
          <w:noProof/>
        </w:rPr>
        <w:t>(Osier and Lindroth, 2006)</w:t>
      </w:r>
      <w:r w:rsidRPr="009711BF">
        <w:fldChar w:fldCharType="end"/>
      </w:r>
      <w:r w:rsidRPr="009711BF">
        <w:t xml:space="preserve"> grew multiple genotypes under variable conditions of light and soil nutrient availability. The study found strong effects of plant genotype as well as the environmental conditions, light and nutrient availability and that the importance of each of these factors depended on the compound type. For example, phenolic glycoside concentrations were largely determined by genotype, tannin concentrations differed markedly between light treatments while showing little correlation with genotype. </w:t>
      </w:r>
    </w:p>
    <w:p w14:paraId="5DF4ED1D" w14:textId="77777777" w:rsidR="0052730F" w:rsidRPr="009711BF" w:rsidRDefault="0052730F" w:rsidP="0052730F">
      <w:pPr>
        <w:pStyle w:val="BodyJB"/>
      </w:pPr>
      <w:r w:rsidRPr="009711BF">
        <w:tab/>
        <w:t xml:space="preserve">The results presented in this chapter indicate that similarly to </w:t>
      </w:r>
      <w:r w:rsidRPr="009711BF">
        <w:rPr>
          <w:i/>
        </w:rPr>
        <w:t xml:space="preserve">Populus tremuloides </w:t>
      </w:r>
      <w:r w:rsidRPr="009711BF">
        <w:t xml:space="preserve">only some sections of global plant metabolism are largely controlled by genetic influences.  This chapter has further illustrated that the particular pathways up-regulated by different populations vary depending on the species analysed.  </w:t>
      </w:r>
    </w:p>
    <w:p w14:paraId="18395471" w14:textId="77777777" w:rsidR="0052730F" w:rsidRPr="009711BF" w:rsidRDefault="0052730F" w:rsidP="0052730F">
      <w:pPr>
        <w:pStyle w:val="BodyJB"/>
      </w:pPr>
    </w:p>
    <w:p w14:paraId="6A6943E5" w14:textId="77777777" w:rsidR="0052730F" w:rsidRPr="00A429C5" w:rsidRDefault="0052730F" w:rsidP="00B66E45">
      <w:pPr>
        <w:pStyle w:val="subheadingMINOR"/>
      </w:pPr>
      <w:bookmarkStart w:id="84" w:name="_Toc291410089"/>
      <w:r w:rsidRPr="00A429C5">
        <w:t>Ecological Implications</w:t>
      </w:r>
      <w:bookmarkEnd w:id="84"/>
    </w:p>
    <w:p w14:paraId="635EA804" w14:textId="77777777" w:rsidR="0052730F" w:rsidRPr="009711BF" w:rsidRDefault="0052730F" w:rsidP="0052730F">
      <w:pPr>
        <w:pStyle w:val="BodyJB"/>
      </w:pPr>
      <w:r w:rsidRPr="009711BF">
        <w:tab/>
        <w:t xml:space="preserve">This is the case in two out of the five species analyses, however results indicate that metabolism in </w:t>
      </w:r>
      <w:r w:rsidRPr="009711BF">
        <w:rPr>
          <w:i/>
        </w:rPr>
        <w:t>A. serpyllifolia</w:t>
      </w:r>
      <w:r w:rsidRPr="009711BF">
        <w:t xml:space="preserve">, </w:t>
      </w:r>
      <w:r w:rsidRPr="009711BF">
        <w:rPr>
          <w:i/>
        </w:rPr>
        <w:t>P. arenarium</w:t>
      </w:r>
      <w:r w:rsidRPr="009711BF">
        <w:t xml:space="preserve"> and </w:t>
      </w:r>
      <w:r w:rsidRPr="009711BF">
        <w:rPr>
          <w:i/>
        </w:rPr>
        <w:t>S. vulgaris</w:t>
      </w:r>
      <w:r w:rsidRPr="009711BF">
        <w:t xml:space="preserve"> most likely responds directly to environmental factors. This finding suggests that divergent regulatory control processes in different species of dune annual determine the accumulation of metabolites. </w:t>
      </w:r>
    </w:p>
    <w:p w14:paraId="381630DB" w14:textId="77777777" w:rsidR="0052730F" w:rsidRDefault="0052730F" w:rsidP="0052046B">
      <w:pPr>
        <w:pStyle w:val="BodyJB"/>
        <w:sectPr w:rsidR="0052730F" w:rsidSect="000612B7">
          <w:footerReference w:type="default" r:id="rId55"/>
          <w:pgSz w:w="12240" w:h="15840"/>
          <w:pgMar w:top="1440" w:right="1134" w:bottom="1440" w:left="2268" w:header="709" w:footer="851" w:gutter="0"/>
          <w:cols w:space="708"/>
        </w:sectPr>
      </w:pPr>
    </w:p>
    <w:p w14:paraId="1C20ADA5" w14:textId="77777777" w:rsidR="0052730F" w:rsidRPr="00DF079E" w:rsidRDefault="0052730F" w:rsidP="0052730F">
      <w:pPr>
        <w:pStyle w:val="HeadingJB"/>
      </w:pPr>
      <w:bookmarkStart w:id="85" w:name="_Toc291410090"/>
      <w:r w:rsidRPr="00DF079E">
        <w:t>Chapter 6- Environmental influence on metabolism</w:t>
      </w:r>
      <w:bookmarkEnd w:id="85"/>
    </w:p>
    <w:p w14:paraId="2CB2552E" w14:textId="77777777" w:rsidR="0052730F" w:rsidRPr="00DF079E" w:rsidRDefault="0052730F" w:rsidP="0052730F">
      <w:pPr>
        <w:pStyle w:val="BodyJB"/>
      </w:pPr>
    </w:p>
    <w:p w14:paraId="507A8F11" w14:textId="77777777" w:rsidR="0052730F" w:rsidRPr="00DF079E" w:rsidRDefault="0052730F" w:rsidP="0052730F">
      <w:pPr>
        <w:pStyle w:val="BodyJB"/>
      </w:pPr>
    </w:p>
    <w:p w14:paraId="08CF525A" w14:textId="77777777" w:rsidR="0052730F" w:rsidRPr="00DF079E" w:rsidRDefault="0052730F" w:rsidP="0052730F">
      <w:pPr>
        <w:pStyle w:val="SubheadingJB"/>
      </w:pPr>
      <w:bookmarkStart w:id="86" w:name="_Toc291410091"/>
      <w:r>
        <w:t xml:space="preserve">6.1- </w:t>
      </w:r>
      <w:r w:rsidRPr="00DF079E">
        <w:t>Introduction</w:t>
      </w:r>
      <w:bookmarkEnd w:id="86"/>
    </w:p>
    <w:p w14:paraId="1496EBA3" w14:textId="48DC2956" w:rsidR="0052730F" w:rsidRPr="00DF079E" w:rsidRDefault="0052730F" w:rsidP="00B66E45">
      <w:pPr>
        <w:pStyle w:val="BodyJB"/>
        <w:ind w:firstLine="720"/>
      </w:pPr>
      <w:r w:rsidRPr="00DF079E">
        <w:t xml:space="preserve">As previously mentioned, plants can respond to differences in environmental conditions by phenotypic plasticity, environmentally induced changes in phenotype </w:t>
      </w:r>
      <w:r w:rsidRPr="00DF079E">
        <w:fldChar w:fldCharType="begin" w:fldLock="1"/>
      </w:r>
      <w:r w:rsidR="007C2FF9">
        <w:instrText>ADDIN CSL_CITATION { "citationItems" : [ { "id" : "ITEM-1", "itemData" : { "author" : [ { "dropping-particle" : "", "family" : "Bradshaw", "given" : "A. D.", "non-dropping-particle" : "", "parse-names" : false, "suffix" : "" } ], "container-title" : "Advances in Genetics", "id" : "ITEM-1", "issued" : { "date-parts" : [ [ "1965" ] ] }, "page" : "115-155", "title" : "Evolutionary significance of phenotypic plasticity in plants", "type" : "article-journal", "volume" : "13" }, "uris" : [ "http://www.mendeley.com/documents/?uuid=9f177905-37bd-410f-af44-ad52586c237b" ] }, { "id" : "ITEM-2", "itemData" : { "ISBN" : "1520-541X", "author" : [ { "dropping-particle" : "", "family" : "Sultan", "given" : "S E", "non-dropping-particle" : "", "parse-names" : false, "suffix" : "" } ], "container-title" : "Evolution &amp; Development", "id" : "ITEM-2", "issue" : "1", "issued" : { "date-parts" : [ [ "2003" ] ] }, "language" : "English", "page" : "25-33", "title" : "Phenotypic plasticity in plants: a case study in ecological development", "type" : "article-journal", "volume" : "5" }, "uris" : [ "http://www.mendeley.com/documents/?uuid=fe3cbae3-aa61-4491-a315-d1a2fe688f05" ] }, { "id" : "ITEM-3", "itemData" : { "DOI" : "10.1086/341015", "ISBN" : "0003-0147", "ISSN" : "0003-0147", "PMID" : "18707492", "abstract" : "We describe a model for the evolutionary consequences of plasticity in an environmentally heterogeneous metapopulation in which specialists for each of two alternative environments and one plastic type are initially present. The model is similar to that proposed by Moran (1992) but extends her work to two sites. We show that with migration between sites the plastic type is favored over local specialists across a broad range of parameter space. The plastic type may dominate or be fixed even in an environmentally uniform site, and even if the plasticity has imperfect accuracy or bears some cost such that a local specialist has higher fitness in that site, as long as there is some migration between sites with different distributions of environmental states. These results suggest that differences among taxa in dispersal and hence realized migration rates may play a heretofore unrecognized role in their patterns of adaptive population differentiation. Migration relaxes the thresholds for both environmental heterogeneity and accuracy of plastic response above which plasticity is favored. Furthermore, small changes in response accuracy can dramatically and abruptly alter the evolutionary outcome in the metapopulation. A fitness cost to plasticity will substantially reduce the range of conditions in which the plastic type will prevail only if the cost is both large and global rather than environment specific.", "author" : [ { "dropping-particle" : "", "family" : "Sultan", "given" : "Sonia E", "non-dropping-particle" : "", "parse-names" : false, "suffix" : "" }, { "dropping-particle" : "", "family" : "Spencer", "given" : "Hamish G", "non-dropping-particle" : "", "parse-names" : false, "suffix" : "" } ], "container-title" : "The American naturalist", "id" : "ITEM-3", "issue" : "2", "issued" : { "date-parts" : [ [ "2002" ] ] }, "page" : "271-283", "title" : "Metapopulation structure favors plasticity over local adaptation.", "type" : "article-journal", "volume" : "160" }, "uris" : [ "http://www.mendeley.com/documents/?uuid=ae42beb3-61b3-42cc-81d5-75dc0eeeaf3c" ] } ], "mendeley" : { "formattedCitation" : "(Bradshaw, 1965; Sultan and Spencer, 2002; Sultan, 2003)", "plainTextFormattedCitation" : "(Bradshaw, 1965; Sultan and Spencer, 2002; Sultan, 2003)", "previouslyFormattedCitation" : "(Bradshaw, 1965; Sultan and Spencer, 2002; Sultan, 2003)" }, "properties" : { "noteIndex" : 0 }, "schema" : "https://github.com/citation-style-language/schema/raw/master/csl-citation.json" }</w:instrText>
      </w:r>
      <w:r w:rsidRPr="00DF079E">
        <w:fldChar w:fldCharType="separate"/>
      </w:r>
      <w:r w:rsidR="00134C22" w:rsidRPr="00134C22">
        <w:rPr>
          <w:noProof/>
        </w:rPr>
        <w:t>(Bradshaw, 1965; Sultan and Spencer, 2002; Sultan, 2003)</w:t>
      </w:r>
      <w:r w:rsidRPr="00DF079E">
        <w:fldChar w:fldCharType="end"/>
      </w:r>
      <w:r w:rsidRPr="00DF079E">
        <w:t xml:space="preserve">. Plastic responses increase the probability of a population’s persistence through time by allowing immediate adjustment to environmental change (Sultan, 1987).  Abiotic cues such as temperature and light are sensed by environmental signaling pathways that control molecular developmental transformations </w:t>
      </w:r>
      <w:r w:rsidRPr="00DF079E">
        <w:fldChar w:fldCharType="begin" w:fldLock="1"/>
      </w:r>
      <w:r w:rsidR="007C2FF9">
        <w:instrText>ADDIN CSL_CITATION { "citationItems" : [ { "id" : "ITEM-1", "itemData" : { "abstract" : "We argue that phenotypic plasticity should be broadly construed to encompass a diversity of phenomena spanning several hierarchical levels of organization. Despite seemingly disparate outcomes among different groups of organisms (e.g., the opening/closing of stomata in leaves, adjustments of allocation to growth/reproduction, or the production of different castes in social insects), there are underlying shared processes that initiate these responses. At the most fundamental level, all plastic responses originate at the level of individual cells, which receive and process signals from their environment. The broad variations in physiology, morphology, behavior, etc., that can be produced by a single genotype, can be accounted for by processes regulating gene expression in response to environmental variation. Although evolution of adaptive plasticity may not be possible for some types of environmental signals, in many cases selection has molded responses to environmental variation that generate precise and repeatable patterns of gene expression. We highlight the example of responses of plants to variation in light quality and quantity, mediated via the phytochrome genes. Responses to changes in light at particular stages of plants\u2019 life cycles (e.g., seed germination, competition, reproduction) are controlled by different members of this gene family. The mechanistic details of the cell and molecular biology of phytochrome gene action (e.g., their effects on expression of other genes) is outlined. Plasticity of cells and organisms to internal and external environmental signals is pervasive, and represents not just an outcome of evolutionary processes, but also a potentially important molder of them. Phenotypes originally initiated via a plastic response, can be fixed through genetic assimilation as alternate regulatory pathways are shut off. Evolution of mechanisms of plasticity and canalization can both reduce genetic variation, as well as shield it. When the organism encounters novel environmental conditions, this shielded variation may be expressed, revealing hidden reaction norms that represent the raw material for subsequent evolution.", "author" : [ { "dropping-particle" : "", "family" : "Schlichting", "given" : "C D", "non-dropping-particle" : "", "parse-names" : false, "suffix" : "" }, { "dropping-particle" : "", "family" : "Smith", "given" : "H", "non-dropping-particle" : "", "parse-names" : false, "suffix" : "" } ], "container-title" : "Evolutionary Ecology", "id" : "ITEM-1", "issued" : { "date-parts" : [ [ "2002" ] ] }, "page" : "189\u2013211", "title" : "Phenotypic plasticity: linking molecular mechanisms with\\revolutionary outcomes", "type" : "article-journal", "volume" : "16" }, "uris" : [ "http://www.mendeley.com/documents/?uuid=4107bbee-9272-4924-8a46-384230e016fc" ] }, { "id" : "ITEM-2", "itemData" : { "DOI" : "10.1007/sll258-006-9207-3", "author" : [ { "dropping-particle" : "", "family" : "Avramov", "given" : "S", "non-dropping-particle" : "", "parse-names" : false, "suffix" : "" }, { "dropping-particle" : "", "family" : "Pemac", "given" : "D", "non-dropping-particle" : "", "parse-names" : false, "suffix" : "" }, { "dropping-particle" : "", "family" : "Tuci\u0107", "given" : "B", "non-dropping-particle" : "", "parse-names" : false, "suffix" : "" } ], "container-title" : "Plant Ecology", "id" : "ITEM-2", "issue" : "2", "issued" : { "date-parts" : [ [ "2007" ] ] }, "page" : "275-290", "title" : "Phenotypic plasticity in response to an irradiance gradient in Iris pumila: adaptive value and evolutionary constraints", "type" : "article-journal", "volume" : "190" }, "uris" : [ "http://www.mendeley.com/documents/?uuid=42403d05-6bde-46a2-b42a-d3ca010944a0" ] } ], "mendeley" : { "formattedCitation" : "(Schlichting and Smith, 2002; Avramov et al., 2007)", "plainTextFormattedCitation" : "(Schlichting and Smith, 2002; Avramov et al., 2007)", "previouslyFormattedCitation" : "(Schlichting and Smith, 2002; Avramov et al., 2007)" }, "properties" : { "noteIndex" : 0 }, "schema" : "https://github.com/citation-style-language/schema/raw/master/csl-citation.json" }</w:instrText>
      </w:r>
      <w:r w:rsidRPr="00DF079E">
        <w:fldChar w:fldCharType="separate"/>
      </w:r>
      <w:r w:rsidR="00134C22" w:rsidRPr="00134C22">
        <w:rPr>
          <w:noProof/>
        </w:rPr>
        <w:t>(Schlichting and Smith, 2002; Avramov et al., 2007)</w:t>
      </w:r>
      <w:r w:rsidRPr="00DF079E">
        <w:fldChar w:fldCharType="end"/>
      </w:r>
      <w:r w:rsidRPr="00DF079E">
        <w:t xml:space="preserve">. </w:t>
      </w:r>
    </w:p>
    <w:p w14:paraId="7CDA94BE" w14:textId="77777777" w:rsidR="0052730F" w:rsidRPr="00DF079E" w:rsidRDefault="0052730F" w:rsidP="0052730F">
      <w:pPr>
        <w:pStyle w:val="BodyJB"/>
      </w:pPr>
      <w:r>
        <w:t>Chapter 3</w:t>
      </w:r>
      <w:r w:rsidRPr="00DF079E">
        <w:t xml:space="preserve"> identified variation in a number of traits between populations of dune annual species. As the plants analysed in that study were grown in laboratory conditions under the influence of common environmental factors it can be suggested that trait variation has a substantial genetic basis. In the field, both genetic and environmental factors will contribute to population trait variation. </w:t>
      </w:r>
    </w:p>
    <w:p w14:paraId="688936A1" w14:textId="55D60712" w:rsidR="0052730F" w:rsidRPr="00DF079E" w:rsidRDefault="00B66E45" w:rsidP="0052730F">
      <w:pPr>
        <w:pStyle w:val="BodyJB"/>
      </w:pPr>
      <w:r>
        <w:tab/>
      </w:r>
      <w:r w:rsidR="0052730F" w:rsidRPr="00DF079E">
        <w:t xml:space="preserve">Environmental conditions also vary over different spatial scales. At smaller scales (several metres) soil conditions </w:t>
      </w:r>
      <w:r w:rsidR="0052730F" w:rsidRPr="00DF079E">
        <w:fldChar w:fldCharType="begin" w:fldLock="1"/>
      </w:r>
      <w:r w:rsidR="007C2FF9">
        <w:instrText>ADDIN CSL_CITATION { "citationItems" : [ { "id" : "ITEM-1", "itemData" : { "ISSN" : "0012-9658", "PMID" : "19739374", "abstract" : "Plant distributions are in part determined by environmental heterogeneity on both large (landscape) and small (several meters) spatial scales. Plant populations can respond to environmental heterogeneity via genetic differentiation between large distinct patches, and via phenotypic plasticity in response to heterogeneity occurring at small scales relative to dispersal distance. As a result, the level of environmental heterogeneity experienced across generations, as determined by seed dispersal distance, may itself be under selection. Selection could act to increase or decrease seed dispersal distance, depending on patterns of heterogeneity in environmental quality with distance from a maternal home site. Serpentine soils, which impose harsh and variable abiotic stress on non-adapted plants, have been partially invaded by Erodium cicutarium in northern California, USA. Using nearby grassland sites characterized as either serpentine or non-serpentine, we collected seeds from dense patches of E. cicutarium on both soil types in spring 2004 and subsequently dispersed those seeds to one of four distances from their maternal home site (0, 0.5, 1, or 10 m). We examined distance-dependent patterns of variation in offspring lifetime fitness, conspecific density, soil availability, soil water content, and aboveground grass and forb biomass. ANOVA revealed a distinct fitness peak when seeds were dispersed 0.5 m from their maternal home site on serpentine patches. In non-serpentine patches, fitness was reduced only for seeds placed back into the maternal home site. Conspecific density was uniformly high within 1 m of a maternal home site on both soils, whereas soil water content and grass biomass were significantly heterogeneous among dispersal distances only on serpentine soils. Structural equation modeling and multigroup analysis revealed significantly stronger direct and indirect effects linking abiotic and biotic variation to offspring performance on serpentine soils than on non-serpentine soils, indicating the potential for soil-specific selection on seed dispersal distance in this invasive species.", "author" : [ { "dropping-particle" : "", "family" : "Baythavong", "given" : "Brooke S", "non-dropping-particle" : "", "parse-names" : false, "suffix" : "" }, { "dropping-particle" : "", "family" : "Stanton", "given" : "Maureen L", "non-dropping-particle" : "", "parse-names" : false, "suffix" : "" }, { "dropping-particle" : "", "family" : "Rice", "given" : "Kevin J", "non-dropping-particle" : "", "parse-names" : false, "suffix" : "" } ], "container-title" : "Ecology", "id" : "ITEM-1", "issue" : "8", "issued" : { "date-parts" : [ [ "2009", "8" ] ] }, "page" : "2118-28", "title" : "Understanding the consequences of seed dispersal in a heterogeneous environment.", "type" : "article-journal", "volume" : "90" }, "uris" : [ "http://www.mendeley.com/documents/?uuid=4334df10-11d0-467a-86cd-fefa361adf3e" ] }, { "id" : "ITEM-2", "itemData" : { "DOI" : "10.1093/jxb/eri280", "ISSN" : "0022-0957", "PMID" : "16172138", "abstract" : "Soil nutrients are distributed in a non-uniform or 'patchy' manner. It is well established that the modular nature of root systems allows them to show both morphological and/or physiological plasticity upon encountering nutrient-rich patches. These plastic responses are widely believed to be foraging mechanisms by the plant to enhance nutrient resource capture. Although morphological plasticity has traditionally been viewed as the more expensive option as it requires new root construction, more recent evidence suggests this may not necessarily be the case. Moreover, plants may be able to recapture most of the initial outlay involved in new root construction, again lowering the overall cost to the plant. Under natural conditions the roots of most plant species have an additional nutrient acquisition mechanism namely mycorrhizal symbiosis. However, the impact of these important symbiotic associations upon the host plant's response to nutrient patches has received relatively little attention. The mycorrhizal fungal symbiont should, in theory, be better able to compete directly with the rest of the microbial community for the nutrients in the patch. This could potentially be important to the host plant, as generally, root proliferation responses are more important for interspecific plant, than plant-microbial, competition.", "author" : [ { "dropping-particle" : "", "family" : "Hodge", "given" : "a", "non-dropping-particle" : "", "parse-names" : false, "suffix" : "" } ], "container-title" : "Journal of experimental botany", "id" : "ITEM-2", "issue" : "2", "issued" : { "date-parts" : [ [ "2006", "1" ] ] }, "page" : "401-11", "title" : "Plastic plants and patchy soils.", "type" : "article-journal", "volume" : "57" }, "uris" : [ "http://www.mendeley.com/documents/?uuid=383e3f00-2352-4ac2-a4f1-2d4712db7cec", "http://www.mendeley.com/documents/?uuid=016df0b5-fa76-46d0-aed7-1699ae17d5fb" ] } ], "mendeley" : { "formattedCitation" : "(Hodge, 2006; Baythavong et al., 2009)", "plainTextFormattedCitation" : "(Hodge, 2006; Baythavong et al., 2009)", "previouslyFormattedCitation" : "(Hodge, 2006; Baythavong et al., 2009)" }, "properties" : { "noteIndex" : 0 }, "schema" : "https://github.com/citation-style-language/schema/raw/master/csl-citation.json" }</w:instrText>
      </w:r>
      <w:r w:rsidR="0052730F" w:rsidRPr="00DF079E">
        <w:fldChar w:fldCharType="separate"/>
      </w:r>
      <w:r w:rsidR="0052730F" w:rsidRPr="009055D1">
        <w:rPr>
          <w:noProof/>
        </w:rPr>
        <w:t xml:space="preserve">(Hodge, 2006; Baythavong </w:t>
      </w:r>
      <w:r w:rsidR="0052730F" w:rsidRPr="009055D1">
        <w:rPr>
          <w:i/>
          <w:noProof/>
        </w:rPr>
        <w:t>et al.</w:t>
      </w:r>
      <w:r w:rsidR="0052730F" w:rsidRPr="009055D1">
        <w:rPr>
          <w:noProof/>
        </w:rPr>
        <w:t>, 2009)</w:t>
      </w:r>
      <w:r w:rsidR="0052730F" w:rsidRPr="00DF079E">
        <w:fldChar w:fldCharType="end"/>
      </w:r>
      <w:r w:rsidR="0052730F" w:rsidRPr="00DF079E">
        <w:t xml:space="preserve">, and biotic factors such as competition, parasites and herbivores </w:t>
      </w:r>
      <w:r w:rsidR="0052730F" w:rsidRPr="00DF079E">
        <w:fldChar w:fldCharType="begin" w:fldLock="1"/>
      </w:r>
      <w:r w:rsidR="007C2FF9">
        <w:instrText>ADDIN CSL_CITATION { "citationItems" : [ { "id" : "ITEM-1", "itemData" : { "DOI" : "10.1007/s00442-007-0831-y", "ISSN" : "0029-8549", "PMID" : "17704951", "abstract" : "Few previous studies have assessed the role of herbivores and the third trophic level in the evolution of local adaptation in plants. The overall objectives of this study were to determine (1) whether local adaptation is present in the ant-defended plant, Chamaecrista fasciculata, and (2) the contribution of ant-plant-herbivore interactions and soil source to such adaptation. We used three C. fasciculata populations and performed both a field and a greenhouse experiment. The first involved reciprocally transplanting C. fasciculata seedlings from each population-source to each site, and subsequently applying one of three treatments to one-third of the seedlings of each population-source at each site: control, reduced ant density and reduced folivory. The greenhouse experiment involved reciprocal transplants of population-sources with soil sources to test for a soil-source effect on flower production and local adaptation to soil conditions. Field results showed that ant and herbivore treatments reduced ant density (increasing folivory) and herbivore damage relative to controls, respectively; however, these manipulations did not impact C. fasciculata reproduction or the likelihood of survival. In contrast, greenhouse results showed that soil source significantly affected flower production. Overall, plants in both experiments, regardless of population-source, always had higher reproductive output at one specific site. Native populations did not outperform nonnative ones, causing us to reject the hypothesis of local adaptation. The absence of treatment effects on plant reproduction and the likelihood of survival suggest a limited effect of ants and folivores on C. fasciculata fitness and local adaptation during the study year. Temporally inconsistent effects of biotic forces across years, coupled with the young age of populations, relative proximity of populations and possible counter effects of seed predators may reduce the likelihood of local adaptation in the populations studied.", "author" : [ { "dropping-particle" : "", "family" : "Abdala-Roberts", "given" : "Luis", "non-dropping-particle" : "", "parse-names" : false, "suffix" : "" }, { "dropping-particle" : "", "family" : "Marquis", "given" : "Robert J", "non-dropping-particle" : "", "parse-names" : false, "suffix" : "" } ], "container-title" : "Oecologia", "id" : "ITEM-1", "issue" : "2", "issued" : { "date-parts" : [ [ "2007", "11" ] ] }, "page" : "315-26", "title" : "Test of local adaptation to biotic interactions and soil abiotic conditions in the ant-tended Chamaecrista fasciculata (Fabaceae).", "type" : "article-journal", "volume" : "154" }, "uris" : [ "http://www.mendeley.com/documents/?uuid=7f7106fe-f6c4-4040-bcef-55eaf9ec6fc3", "http://www.mendeley.com/documents/?uuid=dcce61ad-cb68-44bc-9605-62f020fd1986" ] }, { "id" : "ITEM-2", "itemData" : { "DOI" : "10.1146/annurev.ecolsys.27.1.237", "ISSN" : "0066-4162", "author" : [ { "dropping-particle" : "", "family" : "Linhart", "given" : "Yan B.", "non-dropping-particle" : "", "parse-names" : false, "suffix" : "" }, { "dropping-particle" : "", "family" : "Grant", "given" : "Michael C.", "non-dropping-particle" : "", "parse-names" : false, "suffix" : "" } ], "container-title" : "Annual Review of Ecology and Systematics", "id" : "ITEM-2", "issue" : "1", "issued" : { "date-parts" : [ [ "1996", "11" ] ] }, "page" : "237-277", "title" : "Evolutionary Significance of Local Genetic Differentiation in Plants", "type" : "article-journal", "volume" : "27" }, "uris" : [ "http://www.mendeley.com/documents/?uuid=67e62024-dff4-4176-8e82-d66572c24260" ] } ], "mendeley" : { "formattedCitation" : "(Linhart and Grant, 1996b; Abdala-Roberts and Marquis, 2007)", "plainTextFormattedCitation" : "(Linhart and Grant, 1996b; Abdala-Roberts and Marquis, 2007)", "previouslyFormattedCitation" : "(Linhart and Grant, 1996b; Abdala-Roberts and Marquis, 2007)" }, "properties" : { "noteIndex" : 0 }, "schema" : "https://github.com/citation-style-language/schema/raw/master/csl-citation.json" }</w:instrText>
      </w:r>
      <w:r w:rsidR="0052730F" w:rsidRPr="00DF079E">
        <w:fldChar w:fldCharType="separate"/>
      </w:r>
      <w:r w:rsidR="00134C22" w:rsidRPr="00134C22">
        <w:rPr>
          <w:noProof/>
        </w:rPr>
        <w:t>(Linhart and Grant, 1996b; Abdala-Roberts and Marquis, 2007)</w:t>
      </w:r>
      <w:r w:rsidR="0052730F" w:rsidRPr="00DF079E">
        <w:fldChar w:fldCharType="end"/>
      </w:r>
      <w:r w:rsidR="0052730F" w:rsidRPr="00DF079E">
        <w:t xml:space="preserve"> are important factors that drive patterns of plasticity and adaptive evolution. However, at large scales (landscape) climate is the predominant varying factor driving adaptation in plant populations </w:t>
      </w:r>
      <w:r w:rsidR="0052730F" w:rsidRPr="00DF079E">
        <w:fldChar w:fldCharType="begin" w:fldLock="1"/>
      </w:r>
      <w:r w:rsidR="007C2FF9">
        <w:instrText>ADDIN CSL_CITATION { "citationItems" : [ { "id" : "ITEM-1", "itemData" : { "ISBN" : "0962-8452", "abstract" : "When assigning conservation priorities in endangered species, two common management strategies seek to protect remnant populations that (i) are the most genetically divergent or (ii) possess the highest diversity at neutral genetic markers. These two approaches assume that variation in molecular markers reflects variation in ecologically important traits and ignore the possibility of local adaptation among populations that show little divergence or variation at marker loci. Using common garden experiments, we demonstrate that populations of the rare endemic plant Arabis fecunda are physiologically adapted to the local microclimate. Local adaptation occurs despite i) the absence of divergence at almost all marker loci and (ii) very small effective population sizes, as evidenced by extremely low levels of allozyme and DNA sequence polymorphism. Our results provide empirical evidence that setting conservation priorities based exclusively on molecular marker diversity may lead to the loss of locally adapted populations.", "author" : [ { "dropping-particle" : "", "family" : "McKay", "given" : "J K", "non-dropping-particle" : "", "parse-names" : false, "suffix" : "" }, { "dropping-particle" : "", "family" : "Bishop", "given" : "J G", "non-dropping-particle" : "", "parse-names" : false, "suffix" : "" }, { "dropping-particle" : "", "family" : "Lin", "given" : "J Z", "non-dropping-particle" : "", "parse-names" : false, "suffix" : "" }, { "dropping-particle" : "", "family" : "Richards", "given" : "J H", "non-dropping-particle" : "", "parse-names" : false, "suffix" : "" }, { "dropping-particle" : "", "family" : "Sala", "given" : "A", "non-dropping-particle" : "", "parse-names" : false, "suffix" : "" }, { "dropping-particle" : "", "family" : "Mitchell-Olds", "given" : "T", "non-dropping-particle" : "", "parse-names" : false, "suffix" : "" } ], "container-title" : "Proceedings of the Royal Society B-Biological Sciences", "id" : "ITEM-1", "issue" : "1477", "issued" : { "date-parts" : [ [ "2001" ] ] }, "language" : "English", "page" : "1715-1721", "title" : "Local adaptation across a climatic gradient despite small effective population size in the rare sapphire rockcress", "type" : "article-journal", "volume" : "268" }, "uris" : [ "http://www.mendeley.com/documents/?uuid=168b9863-5192-4174-a5f0-1ebf13939034" ] }, { "id" : "ITEM-2", "itemData" : { "DOI" : "10.1046/j.1461-0248.2001.00262.x", "ISSN" : "1461-023X", "author" : [ { "dropping-particle" : "", "family" : "Joshi", "given" : "J.", "non-dropping-particle" : "", "parse-names" : false, "suffix" : "" }, { "dropping-particle" : "", "family" : "Schmid", "given" : "B.", "non-dropping-particle" : "", "parse-names" : false, "suffix" : "" }, { "dropping-particle" : "", "family" : "Caldeira", "given" : "M. C.", "non-dropping-particle" : "", "parse-names" : false, "suffix" : "" }, { "dropping-particle" : "", "family" : "Dimitrakopoulos", "given" : "P. G.", "non-dropping-particle" : "", "parse-names" : false, "suffix" : "" }, { "dropping-particle" : "", "family" : "Good", "given" : "J.", "non-dropping-particle" : "", "parse-names" : false, "suffix" : "" }, { "dropping-particle" : "", "family" : "Harris", "given" : "R.", "non-dropping-particle" : "", "parse-names" : false, "suffix" : "" }, { "dropping-particle" : "", "family" : "Hector", "given" : "a.", "non-dropping-particle" : "", "parse-names" : false, "suffix" : "" }, { "dropping-particle" : "", "family" : "Huss-Danell", "given" : "K.", "non-dropping-particle" : "", "parse-names" : false, "suffix" : "" }, { "dropping-particle" : "", "family" : "Jumpponen", "given" : "a.", "non-dropping-particle" : "", "parse-names" : false, "suffix" : "" }, { "dropping-particle" : "", "family" : "Minns", "given" : "a.", "non-dropping-particle" : "", "parse-names" : false, "suffix" : "" }, { "dropping-particle" : "", "family" : "Mulder", "given" : "C. P. H.", "non-dropping-particle" : "", "parse-names" : false, "suffix" : "" }, { "dropping-particle" : "", "family" : "Pereira", "given" : "J. S.", "non-dropping-particle" : "", "parse-names" : false, "suffix" : "" }, { "dropping-particle" : "", "family" : "Prinz", "given" : "a.", "non-dropping-particle" : "", "parse-names" : false, "suffix" : "" }, { "dropping-particle" : "", "family" : "Scherer-Lorenzen", "given" : "M.", "non-dropping-particle" : "", "parse-names" : false, "suffix" : "" }, { "dropping-particle" : "", "family" : "Siamantziouras", "given" : "a.-S. D.", "non-dropping-particle" : "", "parse-names" : false, "suffix" : "" }, { "dropping-particle" : "", "family" : "Terry", "given" : "a. C.", "non-dropping-particle" : "", "parse-names" : false, "suffix" : "" }, { "dropping-particle" : "", "family" : "Troumbis", "given" : "a. Y.", "non-dropping-particle" : "", "parse-names" : false, "suffix" : "" }, { "dropping-particle" : "", "family" : "Lawton", "given" : "J. H.", "non-dropping-particle" : "", "parse-names" : false, "suffix" : "" } ], "container-title" : "Ecology Letters", "id" : "ITEM-2", "issue" : "6", "issued" : { "date-parts" : [ [ "2001", "11", "4" ] ] }, "page" : "536-544", "title" : "Local adaptation enhances performance of common plant species", "type" : "article-journal", "volume" : "4" }, "uris" : [ "http://www.mendeley.com/documents/?uuid=99ecb2c1-4ed7-43c0-a4c0-c2af78af3f13" ] } ], "mendeley" : { "formattedCitation" : "(Joshi et al., 2001; McKay et al., 2001)", "plainTextFormattedCitation" : "(Joshi et al., 2001; McKay et al., 2001)", "previouslyFormattedCitation" : "(Joshi et al., 2001; McKay et al., 2001)" }, "properties" : { "noteIndex" : 0 }, "schema" : "https://github.com/citation-style-language/schema/raw/master/csl-citation.json" }</w:instrText>
      </w:r>
      <w:r w:rsidR="0052730F" w:rsidRPr="00DF079E">
        <w:fldChar w:fldCharType="separate"/>
      </w:r>
      <w:r w:rsidR="00134C22" w:rsidRPr="00134C22">
        <w:rPr>
          <w:noProof/>
        </w:rPr>
        <w:t>(Joshi et al., 2001; McKay et al., 2001)</w:t>
      </w:r>
      <w:r w:rsidR="0052730F" w:rsidRPr="00DF079E">
        <w:fldChar w:fldCharType="end"/>
      </w:r>
      <w:r w:rsidR="0052730F" w:rsidRPr="00DF079E">
        <w:t xml:space="preserve">. </w:t>
      </w:r>
    </w:p>
    <w:p w14:paraId="7301B732" w14:textId="2A10BFCD" w:rsidR="0052730F" w:rsidRPr="00DF079E" w:rsidRDefault="0052730F" w:rsidP="0052730F">
      <w:pPr>
        <w:pStyle w:val="BodyJB"/>
      </w:pPr>
      <w:r w:rsidRPr="00DF079E">
        <w:t xml:space="preserve">As the distance separating their locations increases </w:t>
      </w:r>
      <w:r>
        <w:t xml:space="preserve">different </w:t>
      </w:r>
      <w:r w:rsidRPr="00DF079E">
        <w:t xml:space="preserve">populations are expected </w:t>
      </w:r>
      <w:r>
        <w:t>show strong levels of trait differentiation,</w:t>
      </w:r>
      <w:r w:rsidRPr="00DF079E">
        <w:t xml:space="preserve"> due to an increase in the heterogeneity of environmental conditions </w:t>
      </w:r>
      <w:r w:rsidRPr="00DF079E">
        <w:fldChar w:fldCharType="begin" w:fldLock="1"/>
      </w:r>
      <w:r w:rsidR="007C2FF9">
        <w:instrText>ADDIN CSL_CITATION { "citationItems" : [ { "id" : "ITEM-1", "itemData" : { "ISSN" : "0014-3820", "PMID" : "11005286", "abstract" : "Studies of many plants species have demonstrated adaptive genetic differentiation to local environmental conditions. Typically these studies are conducted to evaluate adaptation to contrasting environments. As a consequence, although local adaptation has been frequently demonstrated, we have little information as to the spatial scale of adaptive evolution. We evaluated adaptive differentiation between populations of the annual legume Chamaecrista fasciculata using a replicated common-garden design. Study sites were established in three field locations that are home to native populations of C. fasciculata. Each location was planted for two years with seed from the population native to the study site (home population) and populations located six distances (0.1-2000 km) from each site (transplanted populations). Seeds were planted into the study sites with minimum disturbance to determine the scale of local adaptation, as measured by a home-site fitness advantage, for five fitness components: germination, survival, vegetative biomass, fruit production, and the number of fruit produced per seed planted (an estimate of cumulative fitness). For all characters there was little evidence for local adaptation, except at the furthest spatial scales. Patterns of adaptive differentiation were fairly consistent in two of the three sites, but varied between years. Little genetic variation was expressed at the third site. These results, combined with previous estimates of limited gene flow, suggest that metapopulation processes and temporal environmental variation act together to reduce local adaptation, except over long distances.", "author" : [ { "dropping-particle" : "", "family" : "Galloway", "given" : "L F", "non-dropping-particle" : "", "parse-names" : false, "suffix" : "" }, { "dropping-particle" : "", "family" : "Fenster", "given" : "C B", "non-dropping-particle" : "", "parse-names" : false, "suffix" : "" } ], "container-title" : "Evolution; international journal of organic evolution", "id" : "ITEM-1", "issue" : "4", "issued" : { "date-parts" : [ [ "2000", "8" ] ] }, "page" : "1173-81", "title" : "Population differentiation in an annual legume: local adaptation.", "type" : "article-journal", "volume" : "54" }, "uris" : [ "http://www.mendeley.com/documents/?uuid=66719885-feca-49a8-b1e9-c5550493fbb8" ] } ], "mendeley" : { "formattedCitation" : "(Galloway and Fenster, 2000)", "plainTextFormattedCitation" : "(Galloway and Fenster, 2000)", "previouslyFormattedCitation" : "(Galloway and Fenster, 2000)" }, "properties" : { "noteIndex" : 0 }, "schema" : "https://github.com/citation-style-language/schema/raw/master/csl-citation.json" }</w:instrText>
      </w:r>
      <w:r w:rsidRPr="00DF079E">
        <w:fldChar w:fldCharType="separate"/>
      </w:r>
      <w:r w:rsidR="00134C22" w:rsidRPr="00134C22">
        <w:rPr>
          <w:noProof/>
        </w:rPr>
        <w:t>(Galloway and Fenster, 2000)</w:t>
      </w:r>
      <w:r w:rsidRPr="00DF079E">
        <w:fldChar w:fldCharType="end"/>
      </w:r>
      <w:r w:rsidRPr="00DF079E">
        <w:t xml:space="preserve">. The different environmental conditions populations experience at larger spatial scales lead to genetic heterogeneity, firstly by generating different selection pressures, and secondly by heterogenic environmental conditions such as exposure or moisture availability causing significant barriers to gene flow via effects on phenology therefore isolating populations </w:t>
      </w:r>
      <w:r w:rsidRPr="00DF079E">
        <w:fldChar w:fldCharType="begin" w:fldLock="1"/>
      </w:r>
      <w:r w:rsidR="007C2FF9">
        <w:instrText>ADDIN CSL_CITATION { "citationItems" : [ { "id" : "ITEM-1", "itemData" : { "DOI" : "10.1146/annurev.ecolsys.27.1.237", "ISSN" : "0066-4162", "author" : [ { "dropping-particle" : "", "family" : "Linhart", "given" : "Yan B.", "non-dropping-particle" : "", "parse-names" : false, "suffix" : "" }, { "dropping-particle" : "", "family" : "Grant", "given" : "Michael C.", "non-dropping-particle" : "", "parse-names" : false, "suffix" : "" } ], "container-title" : "Annual Review of Ecology and Systematics", "id" : "ITEM-1", "issue" : "1", "issued" : { "date-parts" : [ [ "1996", "11" ] ] }, "page" : "237-277", "title" : "Evolutionary Significance of Local Genetic Differentiation in Plants", "type" : "article-journal", "volume" : "27" }, "uris" : [ "http://www.mendeley.com/documents/?uuid=67e62024-dff4-4176-8e82-d66572c24260" ] } ], "mendeley" : { "formattedCitation" : "(Linhart and Grant, 1996b)", "plainTextFormattedCitation" : "(Linhart and Grant, 1996b)", "previouslyFormattedCitation" : "(Linhart and Grant, 1996b)" }, "properties" : { "noteIndex" : 0 }, "schema" : "https://github.com/citation-style-language/schema/raw/master/csl-citation.json" }</w:instrText>
      </w:r>
      <w:r w:rsidRPr="00DF079E">
        <w:fldChar w:fldCharType="separate"/>
      </w:r>
      <w:r w:rsidR="00134C22" w:rsidRPr="00134C22">
        <w:rPr>
          <w:noProof/>
        </w:rPr>
        <w:t>(Linhart and Grant, 1996b)</w:t>
      </w:r>
      <w:r w:rsidRPr="00DF079E">
        <w:fldChar w:fldCharType="end"/>
      </w:r>
      <w:r w:rsidRPr="00DF079E">
        <w:t xml:space="preserve">. </w:t>
      </w:r>
    </w:p>
    <w:p w14:paraId="23DDEAE8" w14:textId="76D439D8" w:rsidR="0052730F" w:rsidRPr="00DF079E" w:rsidRDefault="0052730F" w:rsidP="00B66E45">
      <w:pPr>
        <w:pStyle w:val="BodyJB"/>
        <w:ind w:firstLine="720"/>
      </w:pPr>
      <w:r w:rsidRPr="00DF079E">
        <w:t xml:space="preserve">Local adaptation has been reported in response to environmental variation at both small and broad spatial scales </w:t>
      </w:r>
      <w:r w:rsidRPr="00DF079E">
        <w:fldChar w:fldCharType="begin" w:fldLock="1"/>
      </w:r>
      <w:r w:rsidR="007C2FF9">
        <w:instrText>ADDIN CSL_CITATION { "citationItems" : [ { "id" : "ITEM-1", "itemData" : { "DOI" : "Doi 10.1111/J.1469-8137.2007.02282.X", "ISBN" : "0028-646X", "abstract" : "Plant populations growing at the margin of their range may exhibit traits that indicate genetic differentiation and adaptation to their local abiotic environment. Here, it was investigated whether geographically separated marginal populations of Arabidopsis lyrata ssp. petraea have distinct metabolic phenotypes within the plant foliage. Seeds of A. petraea were obtained from populations along a latitudinal gradient (49-64 degrees N), namely Germany, Wales, Sweden and Iceland and grown in a controlled cabinet environment. Targeted metabolic profiles and fingerprints were obtained at the same initial developmental stage. The free amino acid compositions were population specific, with fold differences in arginine, aspartic acid, asparagines, glycine, phenylalanine, alanine, threonine, histidine, serine and gamma-aminobutyric acid (GABA) concentrations. Sucrose, mannose and fructose concentrations were also different between populations but polyhydric alcohol concentrations were not. Principal component analysis (PCA) of metabolite fingerprints revealed metabolic phenotypes for each population. It is suggested that glucosinolates were responsible for discriminating populations within the PCA. Metabolite fingerprinting and profiling has proved to be sufficiently sensitive to identify metabolic differences between plant populations. These findings show that there is significant natural variation in metabolism among populations of A. petraea.", "author" : [ { "dropping-particle" : "", "family" : "Davey", "given" : "M P", "non-dropping-particle" : "", "parse-names" : false, "suffix" : "" }, { "dropping-particle" : "", "family" : "Burrell", "given" : "M M", "non-dropping-particle" : "", "parse-names" : false, "suffix" : "" }, { "dropping-particle" : "", "family" : "Woodward", "given" : "F I", "non-dropping-particle" : "", "parse-names" : false, "suffix" : "" }, { "dropping-particle" : "", "family" : "Quick", "given" : "W P", "non-dropping-particle" : "", "parse-names" : false, "suffix" : "" } ], "container-title" : "New Phytologist", "id" : "ITEM-1", "issue" : "2", "issued" : { "date-parts" : [ [ "2008" ] ] }, "language" : "English", "page" : "380-388", "title" : "Population-specific metabolic phenotypes of Arabidopsis lyrata ssp petraea", "type" : "article-journal", "volume" : "177" }, "uris" : [ "http://www.mendeley.com/documents/?uuid=92e9c872-fc98-42f1-9f3f-c38db9993c16" ] }, { "id" : "ITEM-2", "itemData" : { "DOI" : "10.1111/j.1365-2745.2009.01612.x", "ISSN" : "00220477", "author" : [ { "dropping-particle" : "", "family" : "Jongejans", "given" : "Eelke", "non-dropping-particle" : "", "parse-names" : false, "suffix" : "" }, { "dropping-particle" : "", "family" : "Jorritsma-Wienk", "given" : "Linda D.", "non-dropping-particle" : "", "parse-names" : false, "suffix" : "" }, { "dropping-particle" : "", "family" : "Becker", "given" : "Ute", "non-dropping-particle" : "", "parse-names" : false, "suffix" : "" }, { "dropping-particle" : "", "family" : "Dost\u00e1l", "given" : "Petr", "non-dropping-particle" : "", "parse-names" : false, "suffix" : "" }, { "dropping-particle" : "", "family" : "Mild\u00e9n", "given" : "Mikael", "non-dropping-particle" : "", "parse-names" : false, "suffix" : "" }, { "dropping-particle" : "", "family" : "Kroon", "given" : "Hans", "non-dropping-particle" : "de", "parse-names" : false, "suffix" : "" } ], "container-title" : "Journal of Ecology", "id" : "ITEM-2", "issue" : "2", "issued" : { "date-parts" : [ [ "2010", "3" ] ] }, "page" : "279-289", "title" : "Region versus site variation in the population dynamics of three short-lived perennials", "type" : "article-journal", "volume" : "98" }, "uris" : [ "http://www.mendeley.com/documents/?uuid=d180f1eb-34f5-494a-83e1-00db851a0833" ] }, { "id" : "ITEM-3", "itemData" : { "DOI" : "10.1007/s00442-012-2349-1", "ISSN" : "1432-1939", "PMID" : "22707035", "abstract" : "The ability of plant species to colonize new habitats and persist in changing environments depends on their ability to respond plastically to environmental variation and on the presence of genetic variation, thus allowing adaptation to new conditions. For invasive species in particular, the relationship between phenotypic trait expression, demography, and the quantitative genetic variation that is available to respond to selection are likely to be important determinants of the successful establishment and persistence of populations. However, the magnitude and sources of individual demographic variation in exotic plant populations remain poorly understood. How important is plasticity versus adaptability in populations of invasive species? Among environmental factors, is temperature, soil nutrients, or competition most influential, and at what scales and life stages do they affect the plants? To investigate these questions we planted seeds of the exotic annual plant Erodium brachycarpum into typical pasture habitat in a spatially nested design. Seeds were drawn from 30 inbred lines to enable quantification of genetic effects. Despite a positive population growth rate, a few plants (0.1 %) produced &gt;50 % of the seeds, suggesting a low effective population size. Emergence and early growth varied by genotype, but as in previous studies on native plants, environmental effects greatly exceeded genetic effects, and survival was unrelated to genotype. Environmental influences shifted from microscale soil compaction and litter depth at emergence through to larger-scale soil nutrient gradients during growth and to competition during later survival and seed production. Temperature had no effect. Most demographic rates were positively correlated, but emergence was negatively correlated with other rates.", "author" : [ { "dropping-particle" : "", "family" : "Latimer", "given" : "Andrew M", "non-dropping-particle" : "", "parse-names" : false, "suffix" : "" }, { "dropping-particle" : "", "family" : "Jacobs", "given" : "Brooke S", "non-dropping-particle" : "", "parse-names" : false, "suffix" : "" } ], "container-title" : "Oecologia", "id" : "ITEM-3", "issue" : "3", "issued" : { "date-parts" : [ [ "2012", "11" ] ] }, "page" : "659-67", "title" : "Quantifying how fine-grained environmental heterogeneity and genetic variation affect demography in an annual plant population.", "type" : "article-journal", "volume" : "170" }, "uris" : [ "http://www.mendeley.com/documents/?uuid=ac9cf4b8-f378-4f9a-ac1f-884b08cf8762" ] }, { "id" : "ITEM-4", "itemData" : { "DOI" : "Doi 10.1007/S00442-006-0534-9", "ISBN" : "0029-8549", "abstract" : "Spatial variation in environmental conditions can lead to local adaptation of plant populations, particularly if gene flow among populations is low. Many studies have investigated adaptation to contrasting environmental conditions, but little is known about the spatial scale of adaptive evolution. We studied population differentiation and local adaptation at two spatial scales in the monocarpic grassland perennial Carlina vulgaris. We reciprocally transplanted seedlings among five European regions (northwestern Czech Republic, central Germany, Luxembourg, southern Sweden and northwestern Switzerland) and among populations of different sizes within three of the regions. We recorded survival, growth and reproduction over three growing periods. At the regional scale, several performance traits and the individual fitness of C. vulgaris were highest if the plants were grown in their home region and they decreased with increasing transplant distance. The effects are likely due to climatic differences that increased with the geographical distance between regions. At the local scale, there were significant interactions between the effects of the population of origin and the transplant site, but these were not due to an enhanced performance of plants at their home site and they were not related to the geographical or environmental distance between the site of origin and the transplant site. The size of the population of origin did not influence the strength of local adaptation. The results of our study suggest that C. vulgaris consists of regionally adapted genotypes, and that distance is a good predictor of the extent of adaptive differentiation at large scales ( &gt; 200 km) but not at small scales. We conclude that patterns of local adaptation should be taken into account for the efficient preservation of genetic resources, when assessing the status of a plant species and during conservation planning.", "author" : [ { "dropping-particle" : "", "family" : "Becker", "given" : "U", "non-dropping-particle" : "", "parse-names" : false, "suffix" : "" }, { "dropping-particle" : "", "family" : "Colling", "given" : "G", "non-dropping-particle" : "", "parse-names" : false, "suffix" : "" }, { "dropping-particle" : "", "family" : "Dostal", "given" : "P", "non-dropping-particle" : "", "parse-names" : false, "suffix" : "" }, { "dropping-particle" : "", "family" : "Jakobsson", "given" : "A", "non-dropping-particle" : "", "parse-names" : false, "suffix" : "" }, { "dropping-particle" : "", "family" : "Matthies", "given" : "D", "non-dropping-particle" : "", "parse-names" : false, "suffix" : "" } ], "container-title" : "Oecologia", "id" : "ITEM-4", "issue" : "3", "issued" : { "date-parts" : [ [ "2006" ] ] }, "language" : "English", "page" : "506-518", "title" : "Local adaptation in the monocarpic perennial Carlina vulgaris at different spatial scales across Europe", "type" : "article-journal", "volume" : "150" }, "uris" : [ "http://www.mendeley.com/documents/?uuid=2d75a7ee-580e-414b-a1c6-78270f8162e9" ] } ], "mendeley" : { "formattedCitation" : "(Becker et al., 2006; Davey et al., 2008a; Jongejans et al., 2010; Latimer and Jacobs, 2012)", "plainTextFormattedCitation" : "(Becker et al., 2006; Davey et al., 2008a; Jongejans et al., 2010; Latimer and Jacobs, 2012)", "previouslyFormattedCitation" : "(Becker et al., 2006; Davey et al., 2008a; Jongejans et al., 2010; Latimer and Jacobs, 2012)" }, "properties" : { "noteIndex" : 0 }, "schema" : "https://github.com/citation-style-language/schema/raw/master/csl-citation.json" }</w:instrText>
      </w:r>
      <w:r w:rsidRPr="00DF079E">
        <w:fldChar w:fldCharType="separate"/>
      </w:r>
      <w:r w:rsidR="00134C22" w:rsidRPr="00134C22">
        <w:rPr>
          <w:noProof/>
        </w:rPr>
        <w:t>(Becker et al., 2006; Davey et al., 2008a; Jongejans et al., 2010; Latimer and Jacobs, 2012)</w:t>
      </w:r>
      <w:r w:rsidRPr="00DF079E">
        <w:fldChar w:fldCharType="end"/>
      </w:r>
      <w:r>
        <w:t xml:space="preserve">. </w:t>
      </w:r>
      <w:r w:rsidRPr="00DF079E">
        <w:t xml:space="preserve">Despite these findings the expectation that the distance between sites correlates with local adaptation, was challenged in 2008 by Leimu and Fischer’s meta-analysis of local adaptation. They concluded that in 32 studies, comparing populations spanning in range of between 3 metres to 3500 km, distance between plants had no effect on the strength of local adaptation </w:t>
      </w:r>
      <w:r w:rsidRPr="00DF079E">
        <w:fldChar w:fldCharType="begin" w:fldLock="1"/>
      </w:r>
      <w:r w:rsidR="007C2FF9">
        <w:instrText>ADDIN CSL_CITATION { "citationItems" : [ { "id" : "ITEM-1", "itemData" : { "DOI" : "10.1371/journal.pone.0004010", "ISSN" : "1932-6203", "PMID" : "19104660", "abstract" : "Local adaptation is of fundamental importance in evolutionary, population, conservation, and global-change biology. The generality of local adaptation in plants and whether and how it is influenced by specific species, population and habitat characteristics have, however, not been quantitatively reviewed. Therefore, we examined published data on the outcomes of reciprocal transplant experiments using two approaches. We conducted a meta-analysis to compare the performance of local and foreign plants at all transplant sites. In addition, we analysed frequencies of pairs of plant origin to examine whether local plants perform better than foreign plants at both compared transplant sites. In both approaches, we also examined the effects of population size, and of the habitat and species characteristics that are predicted to affect local adaptation. We show that, overall, local plants performed significantly better than foreign plants at their site of origin: this was found to be the case in 71.0% of the studied sites. However, local plants performed better than foreign plants at both sites of a pair-wise comparison (strict definition of local adaption) only in 45.3% of the 1032 compared population pairs. Furthermore, we found local adaptation much more common for large plant populations (&gt;1000 flowering individuals) than for small populations (&lt;1000 flowering individuals) for which local adaptation was very rare. The degree of local adaptation was independent of plant life history, spatial or temporal habitat heterogeneity, and geographic scale. Our results suggest that local adaptation is less common in plant populations than generally assumed. Moreover, our findings reinforce the fundamental importance of population size for evolutionary theory. The clear role of population size for the ability to evolve local adaptation raises considerable doubt on the ability of small plant populations to cope with changing environments.", "author" : [ { "dropping-particle" : "", "family" : "Leimu", "given" : "Roosa", "non-dropping-particle" : "", "parse-names" : false, "suffix" : "" }, { "dropping-particle" : "", "family" : "Fischer", "given" : "Markus", "non-dropping-particle" : "", "parse-names" : false, "suffix" : "" } ], "container-title" : "PloS one", "id" : "ITEM-1", "issue" : "12", "issued" : { "date-parts" : [ [ "2008", "1" ] ] }, "page" : "e4010", "title" : "A meta-analysis of local adaptation in plants.", "type" : "article-journal", "volume" : "3" }, "uris" : [ "http://www.mendeley.com/documents/?uuid=4a305ac3-749a-4311-b28f-8a6a2f41b41e" ] } ], "mendeley" : { "formattedCitation" : "(Leimu and Fischer, 2008)", "plainTextFormattedCitation" : "(Leimu and Fischer, 2008)", "previouslyFormattedCitation" : "(Leimu and Fischer, 2008)" }, "properties" : { "noteIndex" : 0 }, "schema" : "https://github.com/citation-style-language/schema/raw/master/csl-citation.json" }</w:instrText>
      </w:r>
      <w:r w:rsidRPr="00DF079E">
        <w:fldChar w:fldCharType="separate"/>
      </w:r>
      <w:r w:rsidR="00134C22" w:rsidRPr="00134C22">
        <w:rPr>
          <w:noProof/>
        </w:rPr>
        <w:t>(Leimu and Fischer, 2008)</w:t>
      </w:r>
      <w:r w:rsidRPr="00DF079E">
        <w:fldChar w:fldCharType="end"/>
      </w:r>
      <w:r w:rsidRPr="00DF079E">
        <w:t xml:space="preserve">. The analysis supports the idea that at both small and large geographic scales the average magnitude of environmental heterogeneity is similar.  </w:t>
      </w:r>
    </w:p>
    <w:p w14:paraId="138995EF" w14:textId="77777777" w:rsidR="0052730F" w:rsidRDefault="0052730F" w:rsidP="00B66E45">
      <w:pPr>
        <w:pStyle w:val="BodyJB"/>
        <w:ind w:firstLine="720"/>
      </w:pPr>
      <w:r w:rsidRPr="00DF079E">
        <w:t xml:space="preserve">Understanding the spatial scale of adaptive evolution may provide insight into the processes that determine the levels of intraspecific genetic differentiation and expression of phenotypic plasticity. It will also provide more evidence to support one of the opposing theories regarding spatial scale and direction of magnitude of genetic differentiation. This study assesses the impact of environmental heterogeneity on the metabolism of one dune annual </w:t>
      </w:r>
      <w:r w:rsidRPr="00DF079E">
        <w:rPr>
          <w:i/>
        </w:rPr>
        <w:t>Erodium cicutarium</w:t>
      </w:r>
      <w:r w:rsidRPr="00DF079E">
        <w:t xml:space="preserve">. </w:t>
      </w:r>
    </w:p>
    <w:p w14:paraId="2049A886" w14:textId="77777777" w:rsidR="0052730F" w:rsidRPr="00DF079E" w:rsidRDefault="0052730F" w:rsidP="0052730F">
      <w:pPr>
        <w:pStyle w:val="BodyJB"/>
      </w:pPr>
    </w:p>
    <w:p w14:paraId="44D2E715" w14:textId="5BCF56D5" w:rsidR="0052730F" w:rsidRPr="00DF079E" w:rsidRDefault="0052730F" w:rsidP="00B66E45">
      <w:pPr>
        <w:pStyle w:val="BodyJB"/>
        <w:ind w:firstLine="720"/>
      </w:pPr>
      <w:r w:rsidRPr="00DF079E">
        <w:t xml:space="preserve">Variation in metabolism underpins plant response to changing environmental conditions, therefore metabolic traits play an important role in a plant’s growth and survival. Studying phenotypic variation and plasticity within populations requires an analysis that can detect changes in plant phenotypes according to environmental stress and individual genotype </w:t>
      </w:r>
      <w:r w:rsidRPr="00DF079E">
        <w:fldChar w:fldCharType="begin" w:fldLock="1"/>
      </w:r>
      <w:r w:rsidR="007C2FF9">
        <w:instrText>ADDIN CSL_CITATION { "citationItems" : [ { "id" : "ITEM-1", "itemData" : { "ISSN" : "1360-1385", "PMID" : "10637658", "abstract" : "The definition of gene functions requires the phenotypic characterization of genetic variants. Currently, such functional analysis of Arabidopsis genes is based largely on laboratory-induced mutants that are selected in forward and reverse genetic studies. An alternative complementary source of genetic variation is available: the naturally occurring variation among accessions. The multigenic nature of most of this variation has limited its application until now. However, the use of genetic methods developed to map quantitative trait loci, in combination with the characteristics and resources available for molecular biology in Arabidopsis, allow this variation to be exploited up to the molecular level. Here, we describe the current tools available for the forward genetic analysis of this variation, and review the recent progress in the detection and mapping of loci and the cloning of large-effect genes.", "author" : [ { "dropping-particle" : "", "family" : "Alonso-Blanco", "given" : "C", "non-dropping-particle" : "", "parse-names" : false, "suffix" : "" }, { "dropping-particle" : "", "family" : "Koornneef", "given" : "M", "non-dropping-particle" : "", "parse-names" : false, "suffix" : "" } ], "container-title" : "Trends in plant science", "id" : "ITEM-1", "issue" : "1", "issued" : { "date-parts" : [ [ "2000", "1" ] ] }, "page" : "22-9", "title" : "Naturally occurring variation in Arabidopsis: an underexploited resource for plant genetics.", "type" : "article-journal", "volume" : "5" }, "uris" : [ "http://www.mendeley.com/documents/?uuid=d0950faa-cc74-418c-b101-d2b526c08a2c" ] } ], "mendeley" : { "formattedCitation" : "(Alonso-Blanco and Koornneef, 2000)", "plainTextFormattedCitation" : "(Alonso-Blanco and Koornneef, 2000)", "previouslyFormattedCitation" : "(Alonso-Blanco and Koornneef, 2000)" }, "properties" : { "noteIndex" : 0 }, "schema" : "https://github.com/citation-style-language/schema/raw/master/csl-citation.json" }</w:instrText>
      </w:r>
      <w:r w:rsidRPr="00DF079E">
        <w:fldChar w:fldCharType="separate"/>
      </w:r>
      <w:r w:rsidR="00134C22" w:rsidRPr="00134C22">
        <w:rPr>
          <w:noProof/>
        </w:rPr>
        <w:t>(Alonso-Blanco and Koornneef, 2000)</w:t>
      </w:r>
      <w:r w:rsidRPr="00DF079E">
        <w:fldChar w:fldCharType="end"/>
      </w:r>
      <w:r w:rsidRPr="00DF079E">
        <w:t xml:space="preserve">. Because the collection of all metabolites with an organism represents the ‘ultimate phenotype’ of the plant after genetic and environmental interactions, metabolomic study is a valuable tool.  </w:t>
      </w:r>
    </w:p>
    <w:p w14:paraId="69F7F8A1" w14:textId="52AFEF68" w:rsidR="0052730F" w:rsidRPr="00DF079E" w:rsidRDefault="0052730F" w:rsidP="00B66E45">
      <w:pPr>
        <w:pStyle w:val="BodyJB"/>
        <w:ind w:firstLine="720"/>
      </w:pPr>
      <w:r w:rsidRPr="00DF079E">
        <w:t xml:space="preserve">Grey dune systems are highly heterogeneous habitats at the local level and can be typified by </w:t>
      </w:r>
      <w:r>
        <w:t xml:space="preserve">patterns of </w:t>
      </w:r>
      <w:r w:rsidRPr="00DF079E">
        <w:t xml:space="preserve">microrelief that causes fine-scale variability in microclimate and edaphic factors </w:t>
      </w:r>
      <w:r w:rsidRPr="00DF079E">
        <w:fldChar w:fldCharType="begin" w:fldLock="1"/>
      </w:r>
      <w:r w:rsidR="007C2FF9">
        <w:instrText>ADDIN CSL_CITATION { "citationItems" : [ { "id" : "ITEM-1", "itemData" : { "DOI" : "10.1652/1400-0350(2004)010[0033:EMAMOG]2.0.CO;2", "ISSN" : "1400-0350", "author" : [ { "dropping-particle" : "", "family" : "Provoost", "given" : "Sam", "non-dropping-particle" : "", "parse-names" : false, "suffix" : "" }, { "dropping-particle" : "", "family" : "Ampe", "given" : "Carole", "non-dropping-particle" : "", "parse-names" : false, "suffix" : "" }, { "dropping-particle" : "", "family" : "Bonte", "given" : "Dries", "non-dropping-particle" : "", "parse-names" : false, "suffix" : "" }, { "dropping-particle" : "", "family" : "Cosyns", "given" : "Eric", "non-dropping-particle" : "", "parse-names" : false, "suffix" : "" }, { "dropping-particle" : "", "family" : "Hoffmann", "given" : "Maurice", "non-dropping-particle" : "", "parse-names" : false, "suffix" : "" } ], "container-title" : "Journal of Coastal Conservation", "id" : "ITEM-1", "issue" : "1", "issued" : { "date-parts" : [ [ "2004" ] ] }, "page" : "33", "title" : "Ecology, management and monitoring of grey dunes in Flanders", "type" : "article-journal", "volume" : "10" }, "uris" : [ "http://www.mendeley.com/documents/?uuid=d03568bb-0261-4a13-aeab-7e97e49dc0ca" ] } ], "mendeley" : { "formattedCitation" : "(Provoost et al., 2004a)", "plainTextFormattedCitation" : "(Provoost et al., 2004a)", "previouslyFormattedCitation" : "(Provoost et al., 2004a)" }, "properties" : { "noteIndex" : 0 }, "schema" : "https://github.com/citation-style-language/schema/raw/master/csl-citation.json" }</w:instrText>
      </w:r>
      <w:r w:rsidRPr="00DF079E">
        <w:fldChar w:fldCharType="separate"/>
      </w:r>
      <w:r w:rsidRPr="009055D1">
        <w:rPr>
          <w:noProof/>
        </w:rPr>
        <w:t xml:space="preserve">(Provoost </w:t>
      </w:r>
      <w:r w:rsidRPr="009055D1">
        <w:rPr>
          <w:i/>
          <w:noProof/>
        </w:rPr>
        <w:t>et al.</w:t>
      </w:r>
      <w:r w:rsidRPr="009055D1">
        <w:rPr>
          <w:noProof/>
        </w:rPr>
        <w:t>, 2004a)</w:t>
      </w:r>
      <w:r w:rsidRPr="00DF079E">
        <w:fldChar w:fldCharType="end"/>
      </w:r>
      <w:r w:rsidRPr="00DF079E">
        <w:t xml:space="preserve">. These elements determine both species performance and community competition, for example dune hummocks create a diverse topography and microclimates, shading plants growing in the hollow areas at their base </w:t>
      </w:r>
      <w:r w:rsidRPr="00DF079E">
        <w:fldChar w:fldCharType="begin" w:fldLock="1"/>
      </w:r>
      <w:r w:rsidR="007C2FF9">
        <w:instrText>ADDIN CSL_CITATION { "citationItems" : [ { "id" : "ITEM-1", "itemData" : { "author" : [ { "dropping-particle" : "", "family" : "Gibson", "given" : "DJ", "non-dropping-particle" : "", "parse-names" : false, "suffix" : "" } ], "container-title" : "The Journal of Ecology", "id" : "ITEM-1", "issue" : "2", "issued" : { "date-parts" : [ [ "1988" ] ] }, "page" : "497-508", "title" : "The Maintenance of Plant and Soil Heterogeneity in Dune Grassland", "type" : "article-journal", "volume" : "76" }, "uris" : [ "http://www.mendeley.com/documents/?uuid=2ec76680-38fd-49f3-8347-137f02133130" ] } ], "mendeley" : { "formattedCitation" : "(Gibson, 1988)", "plainTextFormattedCitation" : "(Gibson, 1988)", "previouslyFormattedCitation" : "(Gibson, 1988)" }, "properties" : { "noteIndex" : 0 }, "schema" : "https://github.com/citation-style-language/schema/raw/master/csl-citation.json" }</w:instrText>
      </w:r>
      <w:r w:rsidRPr="00DF079E">
        <w:fldChar w:fldCharType="separate"/>
      </w:r>
      <w:r w:rsidRPr="009055D1">
        <w:rPr>
          <w:noProof/>
        </w:rPr>
        <w:t>(Gibson, 1988)</w:t>
      </w:r>
      <w:r w:rsidRPr="00DF079E">
        <w:fldChar w:fldCharType="end"/>
      </w:r>
      <w:r w:rsidRPr="00DF079E">
        <w:t xml:space="preserve">. </w:t>
      </w:r>
      <w:r w:rsidR="00BA3BDB">
        <w:t>Within</w:t>
      </w:r>
      <w:r w:rsidR="00BA3BDB" w:rsidRPr="00BA3BDB">
        <w:t xml:space="preserve"> most sites there will be differences in the plant communities on north and south facing slopes, some </w:t>
      </w:r>
      <w:r w:rsidR="00BA3BDB">
        <w:t xml:space="preserve">sand dune </w:t>
      </w:r>
      <w:r w:rsidR="00BA3BDB" w:rsidRPr="00BA3BDB">
        <w:t>species being generally confined to specific zones</w:t>
      </w:r>
      <w:r w:rsidR="00BA3BDB">
        <w:t xml:space="preserve"> </w:t>
      </w:r>
      <w:r w:rsidR="00BA3BDB">
        <w:fldChar w:fldCharType="begin" w:fldLock="1"/>
      </w:r>
      <w:r w:rsidR="00BA3BDB">
        <w:instrText>ADDIN CSL_CITATION { "citationItems" : [ { "id" : "ITEM-1", "itemData" : { "ISBN" : "9789279083198", "author" : [ { "dropping-particle" : "", "family" : "Houston", "given" : "J", "non-dropping-particle" : "", "parse-names" : false, "suffix" : "" } ], "container-title" : "European Commission", "id" : "ITEM-1", "issued" : { "date-parts" : [ [ "2008" ] ] }, "title" : "Management of Natura 2000 habitats. 2130* Fixed coastal dunes with herbaceous vegetation (\u201cgrey dunes\u201d)", "type" : "article-journal" }, "uris" : [ "http://www.mendeley.com/documents/?uuid=e112889b-0256-494f-98a6-ae163c9c11db" ] } ], "mendeley" : { "formattedCitation" : "(Houston, 2008)", "plainTextFormattedCitation" : "(Houston, 2008)", "previouslyFormattedCitation" : "(Houston, 2008)" }, "properties" : { "noteIndex" : 0 }, "schema" : "https://github.com/citation-style-language/schema/raw/master/csl-citation.json" }</w:instrText>
      </w:r>
      <w:r w:rsidR="00BA3BDB">
        <w:fldChar w:fldCharType="separate"/>
      </w:r>
      <w:r w:rsidR="00BA3BDB" w:rsidRPr="00BA3BDB">
        <w:rPr>
          <w:noProof/>
        </w:rPr>
        <w:t>(Houston, 2008)</w:t>
      </w:r>
      <w:r w:rsidR="00BA3BDB">
        <w:fldChar w:fldCharType="end"/>
      </w:r>
      <w:r w:rsidR="00BA3BDB">
        <w:t xml:space="preserve">. </w:t>
      </w:r>
      <w:r w:rsidRPr="00DF079E">
        <w:t xml:space="preserve">Other environmental gradients of factors such as wind and soil texture are known to vary across sand dune sites and lead to changes in plant community dynamics </w:t>
      </w:r>
      <w:r w:rsidRPr="00DF079E">
        <w:fldChar w:fldCharType="begin" w:fldLock="1"/>
      </w:r>
      <w:r w:rsidR="007C2FF9">
        <w:instrText>ADDIN CSL_CITATION { "citationItems" : [ { "id" : "ITEM-1", "itemData" : { "DOI" : "10.1111/j.1365-2745.2007.01231.x", "ISSN" : "0022-0477", "author" : [ { "dropping-particle" : "", "family" : "Lortie", "given" : "Christopher J.", "non-dropping-particle" : "", "parse-names" : false, "suffix" : "" }, { "dropping-particle" : "", "family" : "Cushman", "given" : "J. Hall", "non-dropping-particle" : "", "parse-names" : false, "suffix" : "" } ], "container-title" : "Journal of Ecology", "id" : "ITEM-1", "issue" : "3", "issued" : { "date-parts" : [ [ "2007", "5" ] ] }, "page" : "468-481", "title" : "Effects of a directional abiotic gradient on plant community dynamics and invasion in a coastal dune system", "type" : "article-journal", "volume" : "95" }, "uris" : [ "http://www.mendeley.com/documents/?uuid=40f75837-c9cd-419f-a2d3-7942a23dc83d" ] } ], "mendeley" : { "formattedCitation" : "(Lortie and Cushman, 2007)", "plainTextFormattedCitation" : "(Lortie and Cushman, 2007)", "previouslyFormattedCitation" : "(Lortie and Cushman, 2007)" }, "properties" : { "noteIndex" : 0 }, "schema" : "https://github.com/citation-style-language/schema/raw/master/csl-citation.json" }</w:instrText>
      </w:r>
      <w:r w:rsidRPr="00DF079E">
        <w:fldChar w:fldCharType="separate"/>
      </w:r>
      <w:r w:rsidR="00134C22" w:rsidRPr="00134C22">
        <w:rPr>
          <w:noProof/>
        </w:rPr>
        <w:t>(Lortie and Cushman, 2007)</w:t>
      </w:r>
      <w:r w:rsidRPr="00DF079E">
        <w:fldChar w:fldCharType="end"/>
      </w:r>
      <w:r w:rsidRPr="00DF079E">
        <w:t xml:space="preserve">. At larger scales the natural range of Grey Dunes occurs along major temperature gradient from southwest to northeast, covers extensive variations in precipitation and is frequently highly fragmented </w:t>
      </w:r>
      <w:r w:rsidRPr="00DF079E">
        <w:fldChar w:fldCharType="begin" w:fldLock="1"/>
      </w:r>
      <w:r w:rsidR="007C2FF9">
        <w:instrText>ADDIN CSL_CITATION { "citationItems" : [ { "id" : "ITEM-1", "itemData" : { "author" : [ { "dropping-particle" : "", "family" : "Provoost", "given" : "S", "non-dropping-particle" : "", "parse-names" : false, "suffix" : "" }, { "dropping-particle" : "", "family" : "Ample", "given" : "C", "non-dropping-particle" : "", "parse-names" : false, "suffix" : "" }, { "dropping-particle" : "", "family" : "Bone", "given" : "D", "non-dropping-particle" : "", "parse-names" : false, "suffix" : "" }, { "dropping-particle" : "", "family" : "Cosyns", "given" : "E", "non-dropping-particle" : "", "parse-names" : false, "suffix" : "" }, { "dropping-particle" : "", "family" : "Hoffmann", "given" : "M", "non-dropping-particle" : "", "parse-names" : false, "suffix" : "" } ], "container-title" : "Journal of Coastal Conservation", "id" : "ITEM-1", "issued" : { "date-parts" : [ [ "2004" ] ] }, "page" : "34-42", "title" : "Ecology, management and monotoring of grey dunes in Flanders", "type" : "article-journal", "volume" : "10" }, "uris" : [ "http://www.mendeley.com/documents/?uuid=52f7014f-c1b1-4e2b-b678-1ff669c3017b" ] } ], "mendeley" : { "formattedCitation" : "(Provoost et al., 2004b)", "plainTextFormattedCitation" : "(Provoost et al., 2004b)", "previouslyFormattedCitation" : "(Provoost et al., 2004b)" }, "properties" : { "noteIndex" : 0 }, "schema" : "https://github.com/citation-style-language/schema/raw/master/csl-citation.json" }</w:instrText>
      </w:r>
      <w:r w:rsidRPr="00DF079E">
        <w:fldChar w:fldCharType="separate"/>
      </w:r>
      <w:r w:rsidRPr="009055D1">
        <w:rPr>
          <w:noProof/>
        </w:rPr>
        <w:t xml:space="preserve">(Provoost </w:t>
      </w:r>
      <w:r w:rsidRPr="009055D1">
        <w:rPr>
          <w:i/>
          <w:noProof/>
        </w:rPr>
        <w:t>et al.</w:t>
      </w:r>
      <w:r w:rsidRPr="009055D1">
        <w:rPr>
          <w:noProof/>
        </w:rPr>
        <w:t>, 2004b)</w:t>
      </w:r>
      <w:r w:rsidRPr="00DF079E">
        <w:fldChar w:fldCharType="end"/>
      </w:r>
      <w:r w:rsidRPr="00DF079E">
        <w:t>. The occurrence of both small and large scale environmental variation in one specific habitat type makes our Grey Dune study system an ideal model for understanding the spatial scale of adaptive evolution</w:t>
      </w:r>
    </w:p>
    <w:p w14:paraId="690A16D2" w14:textId="77777777" w:rsidR="0052730F" w:rsidRDefault="0052730F" w:rsidP="00B66E45">
      <w:pPr>
        <w:pStyle w:val="BodyJB"/>
        <w:ind w:firstLine="720"/>
        <w:rPr>
          <w:b/>
        </w:rPr>
      </w:pPr>
      <w:r>
        <w:t>This chapter assesses how environmental variation over different spatial scales impacts plant metabolism. The study aims to address</w:t>
      </w:r>
      <w:r w:rsidRPr="00DF079E">
        <w:t xml:space="preserve"> the following questions</w:t>
      </w:r>
      <w:r>
        <w:t xml:space="preserve"> specifically</w:t>
      </w:r>
      <w:r w:rsidRPr="00DF079E">
        <w:t xml:space="preserve">: </w:t>
      </w:r>
    </w:p>
    <w:p w14:paraId="431A6A6E" w14:textId="77777777" w:rsidR="0052730F" w:rsidRDefault="0052730F" w:rsidP="0052730F">
      <w:pPr>
        <w:pStyle w:val="BodyJB"/>
        <w:rPr>
          <w:b/>
        </w:rPr>
      </w:pPr>
      <w:r>
        <w:rPr>
          <w:b/>
        </w:rPr>
        <w:t xml:space="preserve">1. </w:t>
      </w:r>
      <w:r w:rsidRPr="00DF079E">
        <w:rPr>
          <w:b/>
        </w:rPr>
        <w:t>Can I detect population differentiation in the metabolism of plants growing along a large-scale latitudinal gradient? 2. Does local variation in habitat topography cause differentiation at the metabolic level? 3. How does the spatial scale between plants impact metabolic differentiation in a dune annual species?</w:t>
      </w:r>
    </w:p>
    <w:p w14:paraId="6771C644" w14:textId="77777777" w:rsidR="0052730F" w:rsidRPr="00DF079E" w:rsidRDefault="0052730F" w:rsidP="0052730F">
      <w:pPr>
        <w:pStyle w:val="BodyJB"/>
      </w:pPr>
    </w:p>
    <w:p w14:paraId="12D00369" w14:textId="77777777" w:rsidR="0052730F" w:rsidRDefault="0052730F" w:rsidP="0052730F">
      <w:pPr>
        <w:pStyle w:val="BodyJB"/>
      </w:pPr>
    </w:p>
    <w:p w14:paraId="511F8B6A" w14:textId="77777777" w:rsidR="0052730F" w:rsidRPr="00DF079E" w:rsidRDefault="0052730F" w:rsidP="0052730F">
      <w:pPr>
        <w:pStyle w:val="BodyJB"/>
      </w:pPr>
    </w:p>
    <w:p w14:paraId="42344B28" w14:textId="77777777" w:rsidR="0052730F" w:rsidRPr="00DF079E" w:rsidRDefault="0052730F" w:rsidP="0052730F">
      <w:pPr>
        <w:pStyle w:val="SubheadingJB"/>
      </w:pPr>
      <w:bookmarkStart w:id="87" w:name="_Toc291410092"/>
      <w:r>
        <w:t xml:space="preserve">6.2- </w:t>
      </w:r>
      <w:r w:rsidRPr="00DF079E">
        <w:t>Methods</w:t>
      </w:r>
      <w:bookmarkEnd w:id="87"/>
    </w:p>
    <w:p w14:paraId="6B341BB7" w14:textId="77777777" w:rsidR="0052730F" w:rsidRPr="009C1C83" w:rsidRDefault="0052730F" w:rsidP="00B66E45">
      <w:pPr>
        <w:pStyle w:val="subheadingMINOR"/>
      </w:pPr>
      <w:bookmarkStart w:id="88" w:name="_Toc291410093"/>
      <w:r w:rsidRPr="009C1C83">
        <w:t>Study system</w:t>
      </w:r>
      <w:bookmarkEnd w:id="88"/>
    </w:p>
    <w:p w14:paraId="491821AF" w14:textId="77777777" w:rsidR="0052730F" w:rsidRDefault="0052730F" w:rsidP="00BA3BDB">
      <w:pPr>
        <w:pStyle w:val="BodyJB"/>
        <w:ind w:firstLine="720"/>
      </w:pPr>
      <w:r>
        <w:t xml:space="preserve">The selection of three types of study plot, north-facing, south-facing and flat plots aimed to capture a representation of small scale environmental variability within dune sites.  </w:t>
      </w:r>
    </w:p>
    <w:p w14:paraId="3DD1071F" w14:textId="2BC07761" w:rsidR="0052730F" w:rsidRDefault="0052730F" w:rsidP="0052730F">
      <w:pPr>
        <w:pStyle w:val="BodyJB"/>
      </w:pPr>
      <w:r w:rsidRPr="00DF079E">
        <w:t>Data collected from the study sites reveals differences in dune annual species abundance as well as other plant cover and rabbit presence between areas of different aspects. Data recorded from 1m</w:t>
      </w:r>
      <w:r w:rsidRPr="00DF079E">
        <w:rPr>
          <w:vertAlign w:val="superscript"/>
        </w:rPr>
        <w:t>2</w:t>
      </w:r>
      <w:r w:rsidRPr="00DF079E">
        <w:t xml:space="preserve"> quadrats along transects were </w:t>
      </w:r>
      <w:r>
        <w:t>averaged and plotted</w:t>
      </w:r>
      <w:r w:rsidRPr="00DF079E">
        <w:t xml:space="preserve"> depending on the topographical aspect, flat, north-facing and south-facing (Figure </w:t>
      </w:r>
      <w:r>
        <w:t>6</w:t>
      </w:r>
      <w:r w:rsidRPr="00DF079E">
        <w:t>.1).</w:t>
      </w:r>
      <w:r>
        <w:t xml:space="preserve"> Abundances records included counts of senesced individuals, logistical constraints meant that on many occasions dune annual plants had bolted in response to periods of climatic stress, completing flowering, and senescing before sampling could occur. </w:t>
      </w:r>
      <w:r w:rsidRPr="00DF079E">
        <w:t xml:space="preserve">Results indicate that abundances of dune annual species including </w:t>
      </w:r>
      <w:r w:rsidRPr="00DF079E">
        <w:rPr>
          <w:i/>
        </w:rPr>
        <w:t>Erodium cicutarium</w:t>
      </w:r>
      <w:r w:rsidRPr="00DF079E">
        <w:t xml:space="preserve">, </w:t>
      </w:r>
      <w:r w:rsidRPr="00DF079E">
        <w:rPr>
          <w:i/>
        </w:rPr>
        <w:t>Phleum arenarium,</w:t>
      </w:r>
      <w:r w:rsidRPr="00DF079E">
        <w:t xml:space="preserve"> </w:t>
      </w:r>
      <w:r w:rsidRPr="00DF079E">
        <w:rPr>
          <w:i/>
        </w:rPr>
        <w:t>Arenaria serpyllifolia</w:t>
      </w:r>
      <w:r w:rsidRPr="00DF079E">
        <w:t xml:space="preserve">, </w:t>
      </w:r>
      <w:r w:rsidR="00065F92">
        <w:rPr>
          <w:i/>
        </w:rPr>
        <w:t>C. diffusum</w:t>
      </w:r>
      <w:r w:rsidRPr="00DF079E">
        <w:rPr>
          <w:i/>
        </w:rPr>
        <w:t xml:space="preserve"> diffusum</w:t>
      </w:r>
      <w:r w:rsidRPr="00DF079E">
        <w:t xml:space="preserve">, and </w:t>
      </w:r>
      <w:r w:rsidRPr="00DF079E">
        <w:rPr>
          <w:i/>
        </w:rPr>
        <w:t>Veronica arvensis</w:t>
      </w:r>
      <w:r w:rsidRPr="00DF079E">
        <w:t xml:space="preserve"> significantly differ depending on aspect (</w:t>
      </w:r>
      <w:r>
        <w:t>Table 6</w:t>
      </w:r>
      <w:r w:rsidRPr="00DF079E">
        <w:t>.1). In the latter three species this relationship with aspect is dependent on population (</w:t>
      </w:r>
      <w:r>
        <w:t>Table 6</w:t>
      </w:r>
      <w:r w:rsidRPr="00DF079E">
        <w:t>.1), typically, south-facing slopes had lower abundances than both flat and north-facing slopes (</w:t>
      </w:r>
      <w:r>
        <w:t>Fig. 6</w:t>
      </w:r>
      <w:r w:rsidRPr="00DF079E">
        <w:t>.1). Grazing intensity, perennial cover and moss cover also significantly differ between aspects as well as between sites of different latitudes (</w:t>
      </w:r>
      <w:r>
        <w:t>Table 6</w:t>
      </w:r>
      <w:r w:rsidRPr="00DF079E">
        <w:t>.1).</w:t>
      </w:r>
      <w:r>
        <w:t xml:space="preserve"> </w:t>
      </w:r>
    </w:p>
    <w:p w14:paraId="170B1438" w14:textId="77777777" w:rsidR="0052730F" w:rsidRPr="00DF079E" w:rsidRDefault="0052730F" w:rsidP="0052730F">
      <w:pPr>
        <w:pStyle w:val="BodyJB"/>
        <w:rPr>
          <w:b/>
        </w:rPr>
      </w:pPr>
    </w:p>
    <w:p w14:paraId="1F1367A9" w14:textId="77777777" w:rsidR="0052730F" w:rsidRPr="009C1C83" w:rsidRDefault="0052730F" w:rsidP="00B66E45">
      <w:pPr>
        <w:pStyle w:val="subheadingMINOR"/>
      </w:pPr>
      <w:bookmarkStart w:id="89" w:name="_Toc291410094"/>
      <w:r w:rsidRPr="009C1C83">
        <w:t>Study Species</w:t>
      </w:r>
      <w:bookmarkEnd w:id="89"/>
    </w:p>
    <w:p w14:paraId="467C8487" w14:textId="6AE179E5" w:rsidR="0052730F" w:rsidRPr="00DF079E" w:rsidRDefault="0052730F" w:rsidP="0052730F">
      <w:pPr>
        <w:pStyle w:val="BodyJB"/>
        <w:rPr>
          <w:noProof/>
        </w:rPr>
      </w:pPr>
      <w:r>
        <w:t xml:space="preserve">Because many of dune winter annuals showed a lack of survival over the complement of study plots, this study was constrained to the analysis of only one </w:t>
      </w:r>
      <w:r w:rsidRPr="00DF079E">
        <w:t>species growing in the grey dune system</w:t>
      </w:r>
      <w:r>
        <w:t>,</w:t>
      </w:r>
      <w:r w:rsidRPr="00DF079E">
        <w:t xml:space="preserve"> </w:t>
      </w:r>
      <w:r w:rsidRPr="00DF079E">
        <w:rPr>
          <w:i/>
        </w:rPr>
        <w:t xml:space="preserve">Erodium cicutarium. </w:t>
      </w:r>
      <w:r w:rsidRPr="00DF079E">
        <w:t xml:space="preserve">This species has previously been used in studies of selection for local adaptation or phenotypic plasticity in relation to the spatial scales of environmental variation. Studies found that within a grassland habitat selection favoured increased plasticity on serpentine soils than non-serpentine patches, and that these serpentine soils presented significantly finer grained habitat than the more homogenous non-serpentine patches </w:t>
      </w:r>
      <w:r w:rsidRPr="00DF079E">
        <w:fldChar w:fldCharType="begin" w:fldLock="1"/>
      </w:r>
      <w:r w:rsidR="007C2FF9">
        <w:instrText>ADDIN CSL_CITATION { "citationItems" : [ { "id" : "ITEM-1", "itemData" : { "DOI" : "10.1111/j.1558-5646.2010.01057.x", "ISBN" : "0014-3820", "abstract" : "Adaptive genetic differentiation and adaptive phenotypic plasticity can increase the fitness of plant lineages in heterogeneous environments. We examine the relative importance of genetic differentiation and plasticity in determining the fitness of the annual plant, Erodium cicutarium, in a serpentine grassland in California. Previous work demonstrated that the serpentine sites within this mosaic display stronger dispersal-scale heterogeneity than nonserpentine sites. We conducted a reciprocal transplant experiment among six sites to characterize selection on plasticity expressed by 180 full-sibling families in response to natural environmental heterogeneity across these sites. Multivariate axes of environmental variation were constructed using a principal components analysis of soil chemistry data collected at every experimental block. Simple linear regressions were used to characterize the intercept, and slope (linear and curvilinear) of reaction norms for each full-sibling family in response to each axis of environmental variation. Multiple linear regression analyses revealed significant selection on trait means and slopes of reaction norms. Multivariate analyses of variance demonstrated genetic differentiation between serpentine and nonserpentine lineages in the expression of plasticity in response to three of the five axes of environmental variation considered. In all but one case, serpentine genotypes expressed a stronger adaptive plastic response than nonserpentine genotypes.", "author" : [ { "dropping-particle" : "", "family" : "Baythavong", "given" : "B S", "non-dropping-particle" : "", "parse-names" : false, "suffix" : "" }, { "dropping-particle" : "", "family" : "Stanton", "given" : "M L", "non-dropping-particle" : "", "parse-names" : false, "suffix" : "" } ], "container-title" : "Evolution", "id" : "ITEM-1", "issue" : "10", "issued" : { "date-parts" : [ [ "2010" ] ] }, "language" : "English", "page" : "2904-2920", "title" : "Characterizing Selection on Phenotypic Plasticity in Response to Natural Environmental Heterogeneity", "type" : "article-journal", "volume" : "64" }, "uris" : [ "http://www.mendeley.com/documents/?uuid=f6877413-cf53-415b-b21b-ad18e6c4536e" ] }, { "id" : "ITEM-2", "itemData" : { "DOI" : "10.1086/660281", "ISBN" : "0003-0147", "abstract" : "Adaptive phenotypic plasticity and adaptive genetic differentiation enable plant lineages to maximize their fitness in response to environmental heterogeneity. The spatial scale of environmental variation relative to the average dispersal distance of a species determines whether selection will favor plasticity, local adaptation, or an intermediate strategy. Habitats where the spatial scale of environmental variation is less than the dispersal distance of a species are fine grained and should favor the expression of adaptive plasticity, while coarse-grained habitats, where environmental variation occurs on spatial scales greater than dispersal, should favor adaptive genetic differentiation. However, there is relatively little information available characterizing the link between the spatial scale of environmental variation and patterns of selection on plasticity measured in the field. I examined patterns of spatial environmental variation within a serpentine mosaic grassland and selection on an annual plant (Erodium cicutarium) within that landscape. Results indicate that serpentine soil patches are a significantly finer-grained habitat than non-serpentine patches. Additionally, selection generally favored increased plasticity on serpentine soils and diminished plasticity on non-serpentine soils. This is the first empirical example of differential selection for phenotypic plasticity in the field as a result of strong differences in the grain of environmental heterogeneity within habitats.", "author" : [ { "dropping-particle" : "", "family" : "Baythavong", "given" : "B S", "non-dropping-particle" : "", "parse-names" : false, "suffix" : "" } ], "container-title" : "American Naturalist", "id" : "ITEM-2", "issue" : "1", "issued" : { "date-parts" : [ [ "2011" ] ] }, "language" : "English", "page" : "75-87", "title" : "Linking the Spatial Scale of Environmental Variation and the Evolution of Phenotypic Plasticity: Selection Favors Adaptive Plasticity in Fine-Grained Environments", "type" : "article-journal", "volume" : "178" }, "uris" : [ "http://www.mendeley.com/documents/?uuid=dd5efceb-4d7b-432d-8931-2ee2b97c0645" ] } ], "mendeley" : { "formattedCitation" : "(Baythavong and Stanton, 2010; Baythavong, 2011)", "plainTextFormattedCitation" : "(Baythavong and Stanton, 2010; Baythavong, 2011)", "previouslyFormattedCitation" : "(Baythavong and Stanton, 2010; Baythavong, 2011)" }, "properties" : { "noteIndex" : 0 }, "schema" : "https://github.com/citation-style-language/schema/raw/master/csl-citation.json" }</w:instrText>
      </w:r>
      <w:r w:rsidRPr="00DF079E">
        <w:fldChar w:fldCharType="separate"/>
      </w:r>
      <w:r w:rsidR="00134C22" w:rsidRPr="00134C22">
        <w:rPr>
          <w:noProof/>
        </w:rPr>
        <w:t>(Baythavong and Stanton, 2010; Baythavong, 2011)</w:t>
      </w:r>
      <w:r w:rsidRPr="00DF079E">
        <w:fldChar w:fldCharType="end"/>
      </w:r>
      <w:r w:rsidRPr="00DF079E">
        <w:t xml:space="preserve">. </w:t>
      </w:r>
      <w:r w:rsidRPr="00DF079E">
        <w:rPr>
          <w:i/>
        </w:rPr>
        <w:t>Erodium cicutarium</w:t>
      </w:r>
      <w:r w:rsidRPr="00DF079E">
        <w:t xml:space="preserve"> is a short-lived self compatible species, in comparison to long-lived outcrossing species these are expected to have more strongly differentiated traits at smaller scales </w:t>
      </w:r>
      <w:r w:rsidRPr="00DF079E">
        <w:fldChar w:fldCharType="begin" w:fldLock="1"/>
      </w:r>
      <w:r w:rsidR="007C2FF9">
        <w:instrText>ADDIN CSL_CITATION { "citationItems" : [ { "id" : "ITEM-1", "itemData" : { "DOI" : "10.1146/annurev.ecolsys.27.1.237", "ISSN" : "0066-4162", "author" : [ { "dropping-particle" : "", "family" : "Linhart", "given" : "Yan B.", "non-dropping-particle" : "", "parse-names" : false, "suffix" : "" }, { "dropping-particle" : "", "family" : "Grant", "given" : "Michael C.", "non-dropping-particle" : "", "parse-names" : false, "suffix" : "" } ], "container-title" : "Annual Review of Ecology and Systematics", "id" : "ITEM-1", "issue" : "1", "issued" : { "date-parts" : [ [ "1996", "11" ] ] }, "page" : "237-277", "title" : "Evolutionary Significance of Local Genetic Differentiation in Plants", "type" : "article-journal", "volume" : "27" }, "uris" : [ "http://www.mendeley.com/documents/?uuid=67e62024-dff4-4176-8e82-d66572c24260" ] } ], "mendeley" : { "formattedCitation" : "(Linhart and Grant, 1996b)", "plainTextFormattedCitation" : "(Linhart and Grant, 1996b)", "previouslyFormattedCitation" : "(Linhart and Grant, 1996b)" }, "properties" : { "noteIndex" : 0 }, "schema" : "https://github.com/citation-style-language/schema/raw/master/csl-citation.json" }</w:instrText>
      </w:r>
      <w:r w:rsidRPr="00DF079E">
        <w:fldChar w:fldCharType="separate"/>
      </w:r>
      <w:r w:rsidR="00134C22" w:rsidRPr="00134C22">
        <w:rPr>
          <w:noProof/>
        </w:rPr>
        <w:t>(Linhart and Grant, 1996b)</w:t>
      </w:r>
      <w:r w:rsidRPr="00DF079E">
        <w:fldChar w:fldCharType="end"/>
      </w:r>
      <w:r w:rsidRPr="00DF079E">
        <w:t xml:space="preserve">. </w:t>
      </w:r>
    </w:p>
    <w:p w14:paraId="31F5097C" w14:textId="77777777" w:rsidR="0052730F" w:rsidRPr="00DF079E" w:rsidRDefault="0052730F" w:rsidP="0052730F">
      <w:pPr>
        <w:pStyle w:val="BodyJB"/>
        <w:rPr>
          <w:b/>
        </w:rPr>
      </w:pPr>
    </w:p>
    <w:p w14:paraId="207996BE" w14:textId="77777777" w:rsidR="0052730F" w:rsidRPr="009C1C83" w:rsidRDefault="0052730F" w:rsidP="00B66E45">
      <w:pPr>
        <w:pStyle w:val="subheadingMINOR"/>
      </w:pPr>
      <w:bookmarkStart w:id="90" w:name="_Toc291410095"/>
      <w:r w:rsidRPr="009C1C83">
        <w:t>Experimental Design</w:t>
      </w:r>
      <w:bookmarkEnd w:id="90"/>
    </w:p>
    <w:p w14:paraId="7398AF71" w14:textId="77777777" w:rsidR="0052730F" w:rsidRPr="0076678F" w:rsidRDefault="0052730F" w:rsidP="0052730F">
      <w:pPr>
        <w:pStyle w:val="BodyJB"/>
      </w:pPr>
      <w:r w:rsidRPr="00DF079E">
        <w:t xml:space="preserve">To take into account the heterogeneity in the topography of grey dune systems metabolic variation was assessed between samples from plants growing in north-facing slopes, south-facing slopes and flat sample areas. Sloping sample areas were 5-metre square areas on slopes of more than 5 degrees incline. Ten plants were sampled per area, and three replicates of each area were samples per site. </w:t>
      </w:r>
      <w:r>
        <w:t xml:space="preserve">Plants </w:t>
      </w:r>
      <w:r w:rsidRPr="0076678F">
        <w:t xml:space="preserve">were randomly selected </w:t>
      </w:r>
      <w:r>
        <w:t>from each of the study plots</w:t>
      </w:r>
      <w:r w:rsidRPr="0076678F">
        <w:t xml:space="preserve">. Flags (numbered tape attached to 30cm cocktail sticks) were staked in the ground adjacent to the sample plant to identify its location. Prior to harvesting for the metabolomics study a range of measures were recorded. Plant height was measured using a ruler, or plant diameter for </w:t>
      </w:r>
      <w:r w:rsidRPr="0076678F">
        <w:rPr>
          <w:i/>
        </w:rPr>
        <w:t>Erodium cicutarium</w:t>
      </w:r>
      <w:r w:rsidRPr="0076678F">
        <w:t xml:space="preserve"> that has a radial growth habit. Growth stage of the sampled plant was recorded as juvenile, or if in reproductive stage the numbers of buds (bd), flowers (fl), fruit (fr) were noted. Any visual sign of grazing or the presence of insects on the plant</w:t>
      </w:r>
      <w:r>
        <w:t>s</w:t>
      </w:r>
      <w:r w:rsidRPr="0076678F">
        <w:t xml:space="preserve">, were also noted. </w:t>
      </w:r>
    </w:p>
    <w:p w14:paraId="438F79A3" w14:textId="77777777" w:rsidR="0052730F" w:rsidRPr="00DF079E" w:rsidRDefault="0052730F" w:rsidP="0052730F">
      <w:pPr>
        <w:pStyle w:val="BodyJB"/>
      </w:pPr>
    </w:p>
    <w:p w14:paraId="723A3828" w14:textId="77777777" w:rsidR="0052730F" w:rsidRPr="00DF079E" w:rsidRDefault="0052730F" w:rsidP="0052730F">
      <w:pPr>
        <w:pStyle w:val="BodyJB"/>
        <w:rPr>
          <w:b/>
        </w:rPr>
      </w:pPr>
    </w:p>
    <w:p w14:paraId="320887B4" w14:textId="77777777" w:rsidR="0052730F" w:rsidRPr="00DF079E" w:rsidRDefault="0052730F" w:rsidP="0052730F">
      <w:pPr>
        <w:rPr>
          <w:rFonts w:ascii="Times" w:hAnsi="Times"/>
          <w:highlight w:val="yellow"/>
        </w:rPr>
      </w:pPr>
      <w:r w:rsidRPr="00DF079E">
        <w:rPr>
          <w:rFonts w:ascii="Times" w:hAnsi="Times"/>
          <w:noProof/>
          <w:lang w:val="en-US" w:eastAsia="en-US"/>
        </w:rPr>
        <w:drawing>
          <wp:inline distT="0" distB="0" distL="0" distR="0" wp14:anchorId="52CBF767" wp14:editId="75DF0527">
            <wp:extent cx="5400040" cy="7126605"/>
            <wp:effectExtent l="25400" t="0" r="10160" b="0"/>
            <wp:docPr id="31" name="Picture 19" descr="Fig 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1.png"/>
                    <pic:cNvPicPr/>
                  </pic:nvPicPr>
                  <pic:blipFill>
                    <a:blip r:embed="rId56"/>
                    <a:stretch>
                      <a:fillRect/>
                    </a:stretch>
                  </pic:blipFill>
                  <pic:spPr>
                    <a:xfrm>
                      <a:off x="0" y="0"/>
                      <a:ext cx="5400040" cy="7126605"/>
                    </a:xfrm>
                    <a:prstGeom prst="rect">
                      <a:avLst/>
                    </a:prstGeom>
                  </pic:spPr>
                </pic:pic>
              </a:graphicData>
            </a:graphic>
          </wp:inline>
        </w:drawing>
      </w:r>
    </w:p>
    <w:p w14:paraId="0C4ACD13" w14:textId="7F1E0F65" w:rsidR="0052730F" w:rsidRPr="00DF079E" w:rsidRDefault="0052730F" w:rsidP="0052730F">
      <w:pPr>
        <w:pStyle w:val="BodyJB"/>
        <w:spacing w:line="240" w:lineRule="auto"/>
        <w:rPr>
          <w:highlight w:val="yellow"/>
        </w:rPr>
      </w:pPr>
      <w:r>
        <w:t>Figure 6</w:t>
      </w:r>
      <w:r w:rsidRPr="00DF079E">
        <w:t>.1.  Differences between flat, north-facing and south-facing m</w:t>
      </w:r>
      <w:r w:rsidRPr="00DF079E">
        <w:rPr>
          <w:vertAlign w:val="superscript"/>
        </w:rPr>
        <w:t>2</w:t>
      </w:r>
      <w:r w:rsidRPr="00DF079E">
        <w:t xml:space="preserve"> quadrats for numbers of individuals of a. </w:t>
      </w:r>
      <w:r w:rsidRPr="00DF079E">
        <w:rPr>
          <w:i/>
        </w:rPr>
        <w:t>Arenaria serpyllifolia</w:t>
      </w:r>
      <w:r w:rsidRPr="00DF079E">
        <w:t xml:space="preserve">, b. </w:t>
      </w:r>
      <w:r w:rsidRPr="00DF079E">
        <w:rPr>
          <w:i/>
        </w:rPr>
        <w:t>Cerastium diffusum</w:t>
      </w:r>
      <w:r w:rsidRPr="00DF079E">
        <w:t xml:space="preserve">, c. </w:t>
      </w:r>
      <w:r w:rsidRPr="00DF079E">
        <w:rPr>
          <w:i/>
        </w:rPr>
        <w:t>Erodium cicutarium</w:t>
      </w:r>
      <w:r w:rsidRPr="00DF079E">
        <w:t xml:space="preserve">, d. </w:t>
      </w:r>
      <w:r w:rsidRPr="00DF079E">
        <w:rPr>
          <w:i/>
        </w:rPr>
        <w:t xml:space="preserve">Phleum arenarium, </w:t>
      </w:r>
      <w:r w:rsidRPr="00DF079E">
        <w:t>e.</w:t>
      </w:r>
      <w:r w:rsidRPr="00DF079E">
        <w:rPr>
          <w:i/>
        </w:rPr>
        <w:t xml:space="preserve"> Veronica arvensis</w:t>
      </w:r>
      <w:r w:rsidRPr="00DF079E">
        <w:t>, grazing intensity measured as f. number of fecal pellets, g. % perennial cover, h. % moss cover, i. % lichen cover</w:t>
      </w:r>
      <w:r w:rsidR="00D72F79">
        <w:t>.</w:t>
      </w:r>
    </w:p>
    <w:p w14:paraId="2CAA0CB9" w14:textId="77777777" w:rsidR="0052730F" w:rsidRPr="00DF079E" w:rsidRDefault="0052730F" w:rsidP="0052730F">
      <w:pPr>
        <w:rPr>
          <w:rFonts w:ascii="Times" w:hAnsi="Times"/>
          <w:highlight w:val="yellow"/>
        </w:rPr>
      </w:pPr>
    </w:p>
    <w:p w14:paraId="12B6DF3D" w14:textId="77777777" w:rsidR="0052730F" w:rsidRPr="00DF079E" w:rsidRDefault="0052730F" w:rsidP="0052730F">
      <w:pPr>
        <w:rPr>
          <w:rFonts w:ascii="Times" w:hAnsi="Times"/>
          <w:highlight w:val="yellow"/>
        </w:rPr>
      </w:pPr>
    </w:p>
    <w:p w14:paraId="0C9EEC53" w14:textId="77777777" w:rsidR="0052730F" w:rsidRPr="00DF079E" w:rsidRDefault="0052730F" w:rsidP="0052730F">
      <w:pPr>
        <w:rPr>
          <w:rFonts w:ascii="Times" w:hAnsi="Times"/>
          <w:highlight w:val="yellow"/>
        </w:rPr>
      </w:pPr>
    </w:p>
    <w:p w14:paraId="47DCD25E" w14:textId="77777777" w:rsidR="0052730F" w:rsidRPr="00DF079E" w:rsidRDefault="0052730F" w:rsidP="0052730F">
      <w:pPr>
        <w:rPr>
          <w:rFonts w:ascii="Times" w:hAnsi="Times"/>
          <w:highlight w:val="yellow"/>
        </w:rPr>
      </w:pPr>
    </w:p>
    <w:p w14:paraId="7D7F2C0C" w14:textId="77777777" w:rsidR="0052730F" w:rsidRPr="00DF079E" w:rsidRDefault="0052730F" w:rsidP="0052730F">
      <w:pPr>
        <w:pStyle w:val="BodyJB"/>
        <w:spacing w:line="240" w:lineRule="auto"/>
      </w:pPr>
      <w:r>
        <w:t>Table 6</w:t>
      </w:r>
      <w:r w:rsidRPr="00DF079E">
        <w:t>.1. Table of analysis of variance of aspect and population and their interaction on the numbers of plants of six dune annual species as well as cover of perennials, moss and lichen and grazing intensity measured as the number of rabbit fecal pellets.</w:t>
      </w:r>
    </w:p>
    <w:p w14:paraId="12C9C8A4" w14:textId="77777777" w:rsidR="0052730F" w:rsidRPr="00DF079E" w:rsidRDefault="0052730F" w:rsidP="0052730F">
      <w:pPr>
        <w:rPr>
          <w:rFonts w:ascii="Times" w:hAnsi="Times"/>
          <w:highlight w:val="yellow"/>
        </w:rPr>
      </w:pPr>
    </w:p>
    <w:p w14:paraId="6222EDDA" w14:textId="77777777" w:rsidR="0052730F" w:rsidRPr="00DF079E" w:rsidRDefault="0052730F" w:rsidP="0052730F">
      <w:pPr>
        <w:rPr>
          <w:rFonts w:ascii="Times" w:hAnsi="Times"/>
          <w:highlight w:val="yellow"/>
        </w:rPr>
      </w:pPr>
    </w:p>
    <w:tbl>
      <w:tblPr>
        <w:tblW w:w="7621" w:type="dxa"/>
        <w:jc w:val="center"/>
        <w:tblLayout w:type="fixed"/>
        <w:tblLook w:val="00A0" w:firstRow="1" w:lastRow="0" w:firstColumn="1" w:lastColumn="0" w:noHBand="0" w:noVBand="0"/>
      </w:tblPr>
      <w:tblGrid>
        <w:gridCol w:w="1242"/>
        <w:gridCol w:w="1134"/>
        <w:gridCol w:w="426"/>
        <w:gridCol w:w="850"/>
        <w:gridCol w:w="709"/>
        <w:gridCol w:w="850"/>
        <w:gridCol w:w="851"/>
        <w:gridCol w:w="992"/>
        <w:gridCol w:w="567"/>
      </w:tblGrid>
      <w:tr w:rsidR="0052730F" w:rsidRPr="00DF079E" w14:paraId="78A40804" w14:textId="77777777" w:rsidTr="0052730F">
        <w:trPr>
          <w:jc w:val="center"/>
        </w:trPr>
        <w:tc>
          <w:tcPr>
            <w:tcW w:w="1242" w:type="dxa"/>
            <w:tcBorders>
              <w:bottom w:val="single" w:sz="4" w:space="0" w:color="auto"/>
            </w:tcBorders>
          </w:tcPr>
          <w:p w14:paraId="710BBFD3" w14:textId="77777777" w:rsidR="0052730F" w:rsidRPr="00924B3A" w:rsidRDefault="0052730F" w:rsidP="0052730F">
            <w:pPr>
              <w:jc w:val="center"/>
              <w:rPr>
                <w:rFonts w:ascii="Times" w:hAnsi="Times"/>
                <w:b/>
                <w:sz w:val="16"/>
              </w:rPr>
            </w:pPr>
            <w:r w:rsidRPr="00924B3A">
              <w:rPr>
                <w:rFonts w:ascii="Times" w:hAnsi="Times"/>
                <w:b/>
                <w:sz w:val="16"/>
              </w:rPr>
              <w:t>Species</w:t>
            </w:r>
          </w:p>
        </w:tc>
        <w:tc>
          <w:tcPr>
            <w:tcW w:w="1134" w:type="dxa"/>
            <w:tcBorders>
              <w:bottom w:val="single" w:sz="4" w:space="0" w:color="auto"/>
            </w:tcBorders>
          </w:tcPr>
          <w:p w14:paraId="6ACAF69D" w14:textId="77777777" w:rsidR="0052730F" w:rsidRPr="00924B3A" w:rsidRDefault="0052730F" w:rsidP="0052730F">
            <w:pPr>
              <w:spacing w:before="2" w:after="2"/>
              <w:rPr>
                <w:rFonts w:ascii="Times" w:hAnsi="Times"/>
                <w:b/>
                <w:sz w:val="16"/>
              </w:rPr>
            </w:pPr>
            <w:r w:rsidRPr="00924B3A">
              <w:rPr>
                <w:rFonts w:ascii="Times" w:hAnsi="Times"/>
                <w:b/>
                <w:sz w:val="16"/>
              </w:rPr>
              <w:t>Predictor</w:t>
            </w:r>
          </w:p>
        </w:tc>
        <w:tc>
          <w:tcPr>
            <w:tcW w:w="426" w:type="dxa"/>
            <w:tcBorders>
              <w:bottom w:val="single" w:sz="4" w:space="0" w:color="auto"/>
            </w:tcBorders>
          </w:tcPr>
          <w:p w14:paraId="0763D3B5" w14:textId="77777777" w:rsidR="0052730F" w:rsidRPr="00924B3A" w:rsidRDefault="0052730F" w:rsidP="0052730F">
            <w:pPr>
              <w:spacing w:before="2" w:after="2"/>
              <w:jc w:val="center"/>
              <w:rPr>
                <w:rFonts w:ascii="Times" w:hAnsi="Times"/>
                <w:b/>
                <w:sz w:val="16"/>
              </w:rPr>
            </w:pPr>
            <w:r w:rsidRPr="00924B3A">
              <w:rPr>
                <w:rFonts w:ascii="Times" w:hAnsi="Times"/>
                <w:b/>
                <w:sz w:val="16"/>
              </w:rPr>
              <w:t>df</w:t>
            </w:r>
          </w:p>
        </w:tc>
        <w:tc>
          <w:tcPr>
            <w:tcW w:w="850" w:type="dxa"/>
            <w:tcBorders>
              <w:bottom w:val="single" w:sz="4" w:space="0" w:color="auto"/>
            </w:tcBorders>
          </w:tcPr>
          <w:p w14:paraId="1BBD852C" w14:textId="77777777" w:rsidR="0052730F" w:rsidRPr="00924B3A" w:rsidRDefault="0052730F" w:rsidP="0052730F">
            <w:pPr>
              <w:spacing w:before="2" w:after="2"/>
              <w:rPr>
                <w:rFonts w:ascii="Times" w:hAnsi="Times"/>
                <w:b/>
                <w:sz w:val="16"/>
              </w:rPr>
            </w:pPr>
            <w:r w:rsidRPr="00924B3A">
              <w:rPr>
                <w:rFonts w:ascii="Times" w:hAnsi="Times"/>
                <w:b/>
                <w:sz w:val="16"/>
              </w:rPr>
              <w:t>Deviance</w:t>
            </w:r>
          </w:p>
        </w:tc>
        <w:tc>
          <w:tcPr>
            <w:tcW w:w="709" w:type="dxa"/>
            <w:tcBorders>
              <w:bottom w:val="single" w:sz="4" w:space="0" w:color="auto"/>
            </w:tcBorders>
          </w:tcPr>
          <w:p w14:paraId="50AAA839" w14:textId="77777777" w:rsidR="0052730F" w:rsidRPr="00924B3A" w:rsidRDefault="0052730F" w:rsidP="0052730F">
            <w:pPr>
              <w:spacing w:before="2" w:after="2"/>
              <w:rPr>
                <w:rFonts w:ascii="Times" w:hAnsi="Times"/>
                <w:b/>
                <w:sz w:val="16"/>
              </w:rPr>
            </w:pPr>
            <w:r w:rsidRPr="00924B3A">
              <w:rPr>
                <w:rFonts w:ascii="Times" w:hAnsi="Times"/>
                <w:b/>
                <w:sz w:val="16"/>
              </w:rPr>
              <w:t>Resid.</w:t>
            </w:r>
          </w:p>
          <w:p w14:paraId="3E04783C" w14:textId="77777777" w:rsidR="0052730F" w:rsidRPr="00924B3A" w:rsidRDefault="0052730F" w:rsidP="0052730F">
            <w:pPr>
              <w:spacing w:before="2" w:after="2"/>
              <w:rPr>
                <w:rFonts w:ascii="Times" w:hAnsi="Times"/>
                <w:b/>
                <w:sz w:val="16"/>
              </w:rPr>
            </w:pPr>
            <w:r w:rsidRPr="00924B3A">
              <w:rPr>
                <w:rFonts w:ascii="Times" w:hAnsi="Times"/>
                <w:b/>
                <w:sz w:val="16"/>
              </w:rPr>
              <w:t xml:space="preserve"> DF</w:t>
            </w:r>
          </w:p>
        </w:tc>
        <w:tc>
          <w:tcPr>
            <w:tcW w:w="850" w:type="dxa"/>
            <w:tcBorders>
              <w:bottom w:val="single" w:sz="4" w:space="0" w:color="auto"/>
            </w:tcBorders>
          </w:tcPr>
          <w:p w14:paraId="4C85745B" w14:textId="77777777" w:rsidR="0052730F" w:rsidRPr="00924B3A" w:rsidRDefault="0052730F" w:rsidP="0052730F">
            <w:pPr>
              <w:spacing w:before="2" w:after="2"/>
              <w:rPr>
                <w:rFonts w:ascii="Times" w:hAnsi="Times"/>
                <w:b/>
                <w:sz w:val="16"/>
              </w:rPr>
            </w:pPr>
            <w:r w:rsidRPr="00924B3A">
              <w:rPr>
                <w:rFonts w:ascii="Times" w:hAnsi="Times"/>
                <w:b/>
                <w:sz w:val="16"/>
              </w:rPr>
              <w:t>Resid. Dev</w:t>
            </w:r>
          </w:p>
        </w:tc>
        <w:tc>
          <w:tcPr>
            <w:tcW w:w="851" w:type="dxa"/>
            <w:tcBorders>
              <w:bottom w:val="single" w:sz="4" w:space="0" w:color="auto"/>
            </w:tcBorders>
          </w:tcPr>
          <w:p w14:paraId="36CDA9BD" w14:textId="77777777" w:rsidR="0052730F" w:rsidRPr="00924B3A" w:rsidRDefault="0052730F" w:rsidP="0052730F">
            <w:pPr>
              <w:spacing w:before="2" w:after="2"/>
              <w:rPr>
                <w:rFonts w:ascii="Times" w:hAnsi="Times"/>
                <w:b/>
                <w:sz w:val="16"/>
              </w:rPr>
            </w:pPr>
            <w:r w:rsidRPr="00924B3A">
              <w:rPr>
                <w:rFonts w:ascii="Times" w:hAnsi="Times"/>
                <w:b/>
                <w:sz w:val="16"/>
              </w:rPr>
              <w:t>F</w:t>
            </w:r>
          </w:p>
        </w:tc>
        <w:tc>
          <w:tcPr>
            <w:tcW w:w="992" w:type="dxa"/>
            <w:tcBorders>
              <w:bottom w:val="single" w:sz="4" w:space="0" w:color="auto"/>
            </w:tcBorders>
          </w:tcPr>
          <w:p w14:paraId="0AF599F8" w14:textId="77777777" w:rsidR="0052730F" w:rsidRPr="00924B3A" w:rsidRDefault="0052730F" w:rsidP="0052730F">
            <w:pPr>
              <w:spacing w:before="2" w:after="2"/>
              <w:jc w:val="center"/>
              <w:rPr>
                <w:rFonts w:ascii="Times" w:hAnsi="Times"/>
                <w:b/>
                <w:sz w:val="16"/>
              </w:rPr>
            </w:pPr>
            <w:r w:rsidRPr="00924B3A">
              <w:rPr>
                <w:rFonts w:ascii="Times" w:hAnsi="Times"/>
                <w:b/>
                <w:sz w:val="16"/>
              </w:rPr>
              <w:t>P (&gt; Chi)</w:t>
            </w:r>
          </w:p>
        </w:tc>
        <w:tc>
          <w:tcPr>
            <w:tcW w:w="567" w:type="dxa"/>
            <w:tcBorders>
              <w:bottom w:val="single" w:sz="4" w:space="0" w:color="auto"/>
            </w:tcBorders>
          </w:tcPr>
          <w:p w14:paraId="0B207E90" w14:textId="77777777" w:rsidR="0052730F" w:rsidRPr="00924B3A" w:rsidRDefault="0052730F" w:rsidP="0052730F">
            <w:pPr>
              <w:jc w:val="center"/>
              <w:rPr>
                <w:rFonts w:ascii="Times" w:hAnsi="Times"/>
                <w:sz w:val="16"/>
              </w:rPr>
            </w:pPr>
          </w:p>
        </w:tc>
      </w:tr>
      <w:tr w:rsidR="0052730F" w:rsidRPr="00DF079E" w14:paraId="782B2136" w14:textId="77777777" w:rsidTr="0052730F">
        <w:trPr>
          <w:jc w:val="center"/>
        </w:trPr>
        <w:tc>
          <w:tcPr>
            <w:tcW w:w="1242" w:type="dxa"/>
            <w:tcBorders>
              <w:top w:val="single" w:sz="4" w:space="0" w:color="auto"/>
            </w:tcBorders>
            <w:shd w:val="clear" w:color="auto" w:fill="auto"/>
          </w:tcPr>
          <w:p w14:paraId="47D47A03" w14:textId="77777777" w:rsidR="0052730F" w:rsidRPr="00924B3A" w:rsidRDefault="0052730F" w:rsidP="0052730F">
            <w:pPr>
              <w:jc w:val="center"/>
              <w:rPr>
                <w:rFonts w:ascii="Times" w:hAnsi="Times"/>
                <w:i/>
                <w:sz w:val="16"/>
              </w:rPr>
            </w:pPr>
            <w:r w:rsidRPr="00924B3A">
              <w:rPr>
                <w:rFonts w:ascii="Times" w:hAnsi="Times"/>
                <w:i/>
                <w:sz w:val="16"/>
              </w:rPr>
              <w:t>A. serpyllifolia</w:t>
            </w:r>
          </w:p>
        </w:tc>
        <w:tc>
          <w:tcPr>
            <w:tcW w:w="1134" w:type="dxa"/>
            <w:tcBorders>
              <w:top w:val="single" w:sz="4" w:space="0" w:color="auto"/>
            </w:tcBorders>
            <w:shd w:val="clear" w:color="auto" w:fill="auto"/>
          </w:tcPr>
          <w:p w14:paraId="3D59A8F8" w14:textId="77777777" w:rsidR="0052730F" w:rsidRPr="00924B3A" w:rsidRDefault="0052730F" w:rsidP="0052730F">
            <w:pPr>
              <w:jc w:val="center"/>
              <w:rPr>
                <w:rFonts w:ascii="Times" w:hAnsi="Times"/>
                <w:sz w:val="16"/>
              </w:rPr>
            </w:pPr>
            <w:r w:rsidRPr="00924B3A">
              <w:rPr>
                <w:rFonts w:ascii="Times" w:hAnsi="Times"/>
                <w:sz w:val="16"/>
              </w:rPr>
              <w:t>Population</w:t>
            </w:r>
          </w:p>
        </w:tc>
        <w:tc>
          <w:tcPr>
            <w:tcW w:w="426" w:type="dxa"/>
            <w:tcBorders>
              <w:top w:val="single" w:sz="4" w:space="0" w:color="auto"/>
            </w:tcBorders>
            <w:shd w:val="clear" w:color="auto" w:fill="auto"/>
          </w:tcPr>
          <w:p w14:paraId="33B410CE" w14:textId="77777777" w:rsidR="0052730F" w:rsidRPr="00924B3A" w:rsidRDefault="0052730F" w:rsidP="0052730F">
            <w:pPr>
              <w:jc w:val="center"/>
              <w:rPr>
                <w:rFonts w:ascii="Times" w:hAnsi="Times"/>
                <w:sz w:val="16"/>
              </w:rPr>
            </w:pPr>
            <w:r w:rsidRPr="00924B3A">
              <w:rPr>
                <w:rFonts w:ascii="Times" w:hAnsi="Times"/>
                <w:sz w:val="16"/>
              </w:rPr>
              <w:t>4</w:t>
            </w:r>
          </w:p>
        </w:tc>
        <w:tc>
          <w:tcPr>
            <w:tcW w:w="850" w:type="dxa"/>
            <w:tcBorders>
              <w:top w:val="single" w:sz="4" w:space="0" w:color="auto"/>
            </w:tcBorders>
            <w:shd w:val="clear" w:color="auto" w:fill="auto"/>
          </w:tcPr>
          <w:p w14:paraId="1DF57918" w14:textId="77777777" w:rsidR="0052730F" w:rsidRPr="00924B3A" w:rsidRDefault="0052730F" w:rsidP="0052730F">
            <w:pPr>
              <w:jc w:val="center"/>
              <w:rPr>
                <w:rFonts w:ascii="Times" w:hAnsi="Times"/>
                <w:sz w:val="16"/>
                <w:szCs w:val="18"/>
              </w:rPr>
            </w:pPr>
            <w:r w:rsidRPr="00924B3A">
              <w:rPr>
                <w:rFonts w:ascii="Times" w:hAnsi="Times"/>
                <w:sz w:val="16"/>
                <w:szCs w:val="18"/>
              </w:rPr>
              <w:t xml:space="preserve">8697.9 </w:t>
            </w:r>
          </w:p>
        </w:tc>
        <w:tc>
          <w:tcPr>
            <w:tcW w:w="709" w:type="dxa"/>
            <w:tcBorders>
              <w:top w:val="single" w:sz="4" w:space="0" w:color="auto"/>
            </w:tcBorders>
            <w:shd w:val="clear" w:color="auto" w:fill="auto"/>
          </w:tcPr>
          <w:p w14:paraId="6D33416B" w14:textId="77777777" w:rsidR="0052730F" w:rsidRPr="00924B3A" w:rsidRDefault="0052730F">
            <w:pPr>
              <w:jc w:val="center"/>
              <w:rPr>
                <w:rFonts w:ascii="Times" w:hAnsi="Times"/>
                <w:sz w:val="16"/>
                <w:szCs w:val="18"/>
              </w:rPr>
            </w:pPr>
            <w:r w:rsidRPr="00924B3A">
              <w:rPr>
                <w:rFonts w:ascii="Times" w:hAnsi="Times"/>
                <w:sz w:val="16"/>
                <w:szCs w:val="18"/>
              </w:rPr>
              <w:t>628</w:t>
            </w:r>
          </w:p>
        </w:tc>
        <w:tc>
          <w:tcPr>
            <w:tcW w:w="850" w:type="dxa"/>
            <w:tcBorders>
              <w:top w:val="single" w:sz="4" w:space="0" w:color="auto"/>
            </w:tcBorders>
            <w:shd w:val="clear" w:color="auto" w:fill="auto"/>
          </w:tcPr>
          <w:p w14:paraId="62618C72" w14:textId="77777777" w:rsidR="0052730F" w:rsidRPr="00924B3A" w:rsidRDefault="0052730F">
            <w:pPr>
              <w:jc w:val="center"/>
              <w:rPr>
                <w:rFonts w:ascii="Times" w:hAnsi="Times"/>
                <w:sz w:val="16"/>
                <w:szCs w:val="18"/>
              </w:rPr>
            </w:pPr>
            <w:r w:rsidRPr="00924B3A">
              <w:rPr>
                <w:rFonts w:ascii="Times" w:hAnsi="Times"/>
                <w:sz w:val="16"/>
                <w:szCs w:val="18"/>
              </w:rPr>
              <w:t>12881</w:t>
            </w:r>
          </w:p>
        </w:tc>
        <w:tc>
          <w:tcPr>
            <w:tcW w:w="851" w:type="dxa"/>
            <w:tcBorders>
              <w:top w:val="single" w:sz="4" w:space="0" w:color="auto"/>
            </w:tcBorders>
          </w:tcPr>
          <w:p w14:paraId="5355E4E1" w14:textId="77777777" w:rsidR="0052730F" w:rsidRPr="00924B3A" w:rsidRDefault="0052730F">
            <w:pPr>
              <w:jc w:val="center"/>
              <w:rPr>
                <w:rFonts w:ascii="Times" w:hAnsi="Times"/>
                <w:sz w:val="16"/>
                <w:szCs w:val="18"/>
              </w:rPr>
            </w:pPr>
            <w:r w:rsidRPr="00924B3A">
              <w:rPr>
                <w:rFonts w:ascii="Times" w:hAnsi="Times"/>
                <w:sz w:val="16"/>
                <w:szCs w:val="18"/>
              </w:rPr>
              <w:t>79.3368</w:t>
            </w:r>
          </w:p>
        </w:tc>
        <w:tc>
          <w:tcPr>
            <w:tcW w:w="992" w:type="dxa"/>
            <w:tcBorders>
              <w:top w:val="single" w:sz="4" w:space="0" w:color="auto"/>
            </w:tcBorders>
            <w:shd w:val="clear" w:color="auto" w:fill="auto"/>
          </w:tcPr>
          <w:p w14:paraId="213A620F" w14:textId="77777777" w:rsidR="0052730F" w:rsidRPr="00924B3A" w:rsidRDefault="0052730F" w:rsidP="0052730F">
            <w:pPr>
              <w:jc w:val="center"/>
              <w:rPr>
                <w:rFonts w:ascii="Times" w:hAnsi="Times"/>
                <w:sz w:val="16"/>
                <w:szCs w:val="18"/>
              </w:rPr>
            </w:pPr>
            <w:r w:rsidRPr="00924B3A">
              <w:rPr>
                <w:rFonts w:ascii="Times" w:hAnsi="Times"/>
                <w:sz w:val="16"/>
                <w:szCs w:val="18"/>
              </w:rPr>
              <w:t>&lt; 2.2e-16</w:t>
            </w:r>
          </w:p>
        </w:tc>
        <w:tc>
          <w:tcPr>
            <w:tcW w:w="567" w:type="dxa"/>
            <w:tcBorders>
              <w:top w:val="single" w:sz="4" w:space="0" w:color="auto"/>
            </w:tcBorders>
            <w:shd w:val="clear" w:color="auto" w:fill="auto"/>
          </w:tcPr>
          <w:p w14:paraId="57D09684" w14:textId="77777777" w:rsidR="0052730F" w:rsidRPr="00924B3A" w:rsidRDefault="0052730F" w:rsidP="0052730F">
            <w:pPr>
              <w:jc w:val="center"/>
              <w:rPr>
                <w:rFonts w:ascii="Times" w:hAnsi="Times"/>
                <w:sz w:val="16"/>
              </w:rPr>
            </w:pPr>
            <w:r w:rsidRPr="00924B3A">
              <w:rPr>
                <w:rFonts w:ascii="Times" w:hAnsi="Times"/>
                <w:sz w:val="16"/>
                <w:szCs w:val="18"/>
              </w:rPr>
              <w:t>***</w:t>
            </w:r>
          </w:p>
        </w:tc>
      </w:tr>
      <w:tr w:rsidR="0052730F" w:rsidRPr="00DF079E" w14:paraId="14358704" w14:textId="77777777" w:rsidTr="0052730F">
        <w:trPr>
          <w:jc w:val="center"/>
        </w:trPr>
        <w:tc>
          <w:tcPr>
            <w:tcW w:w="1242" w:type="dxa"/>
            <w:shd w:val="clear" w:color="auto" w:fill="auto"/>
          </w:tcPr>
          <w:p w14:paraId="29A61DF6" w14:textId="77777777" w:rsidR="0052730F" w:rsidRPr="00924B3A" w:rsidRDefault="0052730F" w:rsidP="0052730F">
            <w:pPr>
              <w:jc w:val="center"/>
              <w:rPr>
                <w:rFonts w:ascii="Times" w:hAnsi="Times"/>
                <w:i/>
                <w:sz w:val="16"/>
              </w:rPr>
            </w:pPr>
          </w:p>
        </w:tc>
        <w:tc>
          <w:tcPr>
            <w:tcW w:w="1134" w:type="dxa"/>
            <w:shd w:val="clear" w:color="auto" w:fill="auto"/>
          </w:tcPr>
          <w:p w14:paraId="64D83E42" w14:textId="77777777" w:rsidR="0052730F" w:rsidRPr="00924B3A" w:rsidRDefault="0052730F" w:rsidP="0052730F">
            <w:pPr>
              <w:jc w:val="center"/>
              <w:rPr>
                <w:rFonts w:ascii="Times" w:hAnsi="Times"/>
                <w:sz w:val="16"/>
              </w:rPr>
            </w:pPr>
            <w:r w:rsidRPr="00924B3A">
              <w:rPr>
                <w:rFonts w:ascii="Times" w:hAnsi="Times"/>
                <w:sz w:val="16"/>
              </w:rPr>
              <w:t>Aspect</w:t>
            </w:r>
          </w:p>
        </w:tc>
        <w:tc>
          <w:tcPr>
            <w:tcW w:w="426" w:type="dxa"/>
            <w:shd w:val="clear" w:color="auto" w:fill="auto"/>
          </w:tcPr>
          <w:p w14:paraId="56D9464A" w14:textId="77777777" w:rsidR="0052730F" w:rsidRPr="00924B3A" w:rsidRDefault="0052730F" w:rsidP="0052730F">
            <w:pPr>
              <w:jc w:val="center"/>
              <w:rPr>
                <w:rFonts w:ascii="Times" w:hAnsi="Times"/>
                <w:sz w:val="16"/>
              </w:rPr>
            </w:pPr>
            <w:r w:rsidRPr="00924B3A">
              <w:rPr>
                <w:rFonts w:ascii="Times" w:hAnsi="Times"/>
                <w:sz w:val="16"/>
              </w:rPr>
              <w:t>2</w:t>
            </w:r>
          </w:p>
        </w:tc>
        <w:tc>
          <w:tcPr>
            <w:tcW w:w="850" w:type="dxa"/>
            <w:shd w:val="clear" w:color="auto" w:fill="auto"/>
          </w:tcPr>
          <w:p w14:paraId="686A5654" w14:textId="77777777" w:rsidR="0052730F" w:rsidRPr="00924B3A" w:rsidRDefault="0052730F" w:rsidP="0052730F">
            <w:pPr>
              <w:jc w:val="center"/>
              <w:rPr>
                <w:rFonts w:ascii="Times" w:hAnsi="Times"/>
                <w:sz w:val="16"/>
                <w:szCs w:val="18"/>
              </w:rPr>
            </w:pPr>
            <w:r w:rsidRPr="00924B3A">
              <w:rPr>
                <w:rFonts w:ascii="Times" w:hAnsi="Times"/>
                <w:sz w:val="16"/>
                <w:szCs w:val="18"/>
              </w:rPr>
              <w:t xml:space="preserve">1564.3       </w:t>
            </w:r>
          </w:p>
        </w:tc>
        <w:tc>
          <w:tcPr>
            <w:tcW w:w="709" w:type="dxa"/>
            <w:shd w:val="clear" w:color="auto" w:fill="auto"/>
          </w:tcPr>
          <w:p w14:paraId="527EBF5D" w14:textId="77777777" w:rsidR="0052730F" w:rsidRPr="00924B3A" w:rsidRDefault="0052730F">
            <w:pPr>
              <w:jc w:val="center"/>
              <w:rPr>
                <w:rFonts w:ascii="Times" w:hAnsi="Times"/>
                <w:sz w:val="16"/>
                <w:szCs w:val="18"/>
              </w:rPr>
            </w:pPr>
            <w:r w:rsidRPr="00924B3A">
              <w:rPr>
                <w:rFonts w:ascii="Times" w:hAnsi="Times"/>
                <w:sz w:val="16"/>
                <w:szCs w:val="18"/>
              </w:rPr>
              <w:t>626</w:t>
            </w:r>
          </w:p>
        </w:tc>
        <w:tc>
          <w:tcPr>
            <w:tcW w:w="850" w:type="dxa"/>
            <w:shd w:val="clear" w:color="auto" w:fill="auto"/>
          </w:tcPr>
          <w:p w14:paraId="63802D5F" w14:textId="77777777" w:rsidR="0052730F" w:rsidRPr="00924B3A" w:rsidRDefault="0052730F" w:rsidP="0052730F">
            <w:pPr>
              <w:jc w:val="center"/>
              <w:rPr>
                <w:rFonts w:ascii="Times" w:hAnsi="Times"/>
                <w:sz w:val="16"/>
              </w:rPr>
            </w:pPr>
            <w:r w:rsidRPr="00924B3A">
              <w:rPr>
                <w:rFonts w:ascii="Times" w:hAnsi="Times"/>
                <w:sz w:val="16"/>
                <w:szCs w:val="18"/>
              </w:rPr>
              <w:t>11317</w:t>
            </w:r>
          </w:p>
        </w:tc>
        <w:tc>
          <w:tcPr>
            <w:tcW w:w="851" w:type="dxa"/>
          </w:tcPr>
          <w:p w14:paraId="47598681" w14:textId="77777777" w:rsidR="0052730F" w:rsidRPr="00924B3A" w:rsidRDefault="0052730F">
            <w:pPr>
              <w:jc w:val="center"/>
              <w:rPr>
                <w:rFonts w:ascii="Times" w:hAnsi="Times"/>
                <w:sz w:val="16"/>
                <w:szCs w:val="18"/>
              </w:rPr>
            </w:pPr>
            <w:r w:rsidRPr="00924B3A">
              <w:rPr>
                <w:rFonts w:ascii="Times" w:hAnsi="Times"/>
                <w:sz w:val="16"/>
                <w:szCs w:val="18"/>
              </w:rPr>
              <w:t>28.5378</w:t>
            </w:r>
          </w:p>
        </w:tc>
        <w:tc>
          <w:tcPr>
            <w:tcW w:w="992" w:type="dxa"/>
            <w:shd w:val="clear" w:color="auto" w:fill="auto"/>
          </w:tcPr>
          <w:p w14:paraId="5089D968" w14:textId="77777777" w:rsidR="0052730F" w:rsidRPr="00924B3A" w:rsidRDefault="0052730F" w:rsidP="0052730F">
            <w:pPr>
              <w:jc w:val="center"/>
              <w:rPr>
                <w:rFonts w:ascii="Times" w:hAnsi="Times"/>
                <w:sz w:val="16"/>
                <w:szCs w:val="18"/>
              </w:rPr>
            </w:pPr>
            <w:r w:rsidRPr="00924B3A">
              <w:rPr>
                <w:rFonts w:ascii="Times" w:hAnsi="Times"/>
                <w:sz w:val="16"/>
                <w:szCs w:val="18"/>
              </w:rPr>
              <w:t>1.398e-12</w:t>
            </w:r>
          </w:p>
        </w:tc>
        <w:tc>
          <w:tcPr>
            <w:tcW w:w="567" w:type="dxa"/>
            <w:shd w:val="clear" w:color="auto" w:fill="auto"/>
          </w:tcPr>
          <w:p w14:paraId="53663CC0" w14:textId="77777777" w:rsidR="0052730F" w:rsidRPr="00924B3A" w:rsidRDefault="0052730F" w:rsidP="0052730F">
            <w:pPr>
              <w:jc w:val="center"/>
              <w:rPr>
                <w:rFonts w:ascii="Times" w:hAnsi="Times"/>
                <w:sz w:val="16"/>
              </w:rPr>
            </w:pPr>
            <w:r w:rsidRPr="00924B3A">
              <w:rPr>
                <w:rFonts w:ascii="Times" w:hAnsi="Times"/>
                <w:sz w:val="16"/>
                <w:szCs w:val="18"/>
              </w:rPr>
              <w:t>***</w:t>
            </w:r>
          </w:p>
        </w:tc>
      </w:tr>
      <w:tr w:rsidR="0052730F" w:rsidRPr="00DF079E" w14:paraId="08C51B4C" w14:textId="77777777" w:rsidTr="0052730F">
        <w:trPr>
          <w:jc w:val="center"/>
        </w:trPr>
        <w:tc>
          <w:tcPr>
            <w:tcW w:w="1242" w:type="dxa"/>
            <w:shd w:val="clear" w:color="auto" w:fill="auto"/>
          </w:tcPr>
          <w:p w14:paraId="64896231" w14:textId="77777777" w:rsidR="0052730F" w:rsidRPr="00924B3A" w:rsidRDefault="0052730F" w:rsidP="0052730F">
            <w:pPr>
              <w:jc w:val="center"/>
              <w:rPr>
                <w:rFonts w:ascii="Times" w:hAnsi="Times"/>
                <w:i/>
                <w:sz w:val="16"/>
              </w:rPr>
            </w:pPr>
          </w:p>
        </w:tc>
        <w:tc>
          <w:tcPr>
            <w:tcW w:w="1134" w:type="dxa"/>
            <w:shd w:val="clear" w:color="auto" w:fill="auto"/>
          </w:tcPr>
          <w:p w14:paraId="0588E56B" w14:textId="77777777" w:rsidR="0052730F" w:rsidRPr="00924B3A" w:rsidRDefault="0052730F" w:rsidP="0052730F">
            <w:pPr>
              <w:jc w:val="center"/>
              <w:rPr>
                <w:rFonts w:ascii="Times" w:hAnsi="Times"/>
                <w:sz w:val="16"/>
              </w:rPr>
            </w:pPr>
            <w:r w:rsidRPr="00924B3A">
              <w:rPr>
                <w:rFonts w:ascii="Times" w:hAnsi="Times"/>
                <w:sz w:val="16"/>
              </w:rPr>
              <w:t>Pop * Aspect</w:t>
            </w:r>
          </w:p>
        </w:tc>
        <w:tc>
          <w:tcPr>
            <w:tcW w:w="426" w:type="dxa"/>
            <w:shd w:val="clear" w:color="auto" w:fill="auto"/>
          </w:tcPr>
          <w:p w14:paraId="6FD5F7C2" w14:textId="77777777" w:rsidR="0052730F" w:rsidRPr="00924B3A" w:rsidRDefault="0052730F" w:rsidP="0052730F">
            <w:pPr>
              <w:jc w:val="center"/>
              <w:rPr>
                <w:rFonts w:ascii="Times" w:hAnsi="Times"/>
                <w:sz w:val="16"/>
              </w:rPr>
            </w:pPr>
            <w:r w:rsidRPr="00924B3A">
              <w:rPr>
                <w:rFonts w:ascii="Times" w:hAnsi="Times"/>
                <w:sz w:val="16"/>
              </w:rPr>
              <w:t>8</w:t>
            </w:r>
          </w:p>
        </w:tc>
        <w:tc>
          <w:tcPr>
            <w:tcW w:w="850" w:type="dxa"/>
            <w:shd w:val="clear" w:color="auto" w:fill="auto"/>
          </w:tcPr>
          <w:p w14:paraId="7E8ECF06" w14:textId="77777777" w:rsidR="0052730F" w:rsidRPr="00924B3A" w:rsidRDefault="0052730F" w:rsidP="0052730F">
            <w:pPr>
              <w:jc w:val="center"/>
              <w:rPr>
                <w:rFonts w:ascii="Times" w:hAnsi="Times"/>
                <w:sz w:val="16"/>
                <w:szCs w:val="18"/>
              </w:rPr>
            </w:pPr>
            <w:r w:rsidRPr="00924B3A">
              <w:rPr>
                <w:rFonts w:ascii="Times" w:hAnsi="Times"/>
                <w:sz w:val="16"/>
                <w:szCs w:val="18"/>
              </w:rPr>
              <w:t xml:space="preserve">470.2       </w:t>
            </w:r>
          </w:p>
        </w:tc>
        <w:tc>
          <w:tcPr>
            <w:tcW w:w="709" w:type="dxa"/>
            <w:shd w:val="clear" w:color="auto" w:fill="auto"/>
          </w:tcPr>
          <w:p w14:paraId="47A91BA1" w14:textId="77777777" w:rsidR="0052730F" w:rsidRPr="00924B3A" w:rsidRDefault="0052730F">
            <w:pPr>
              <w:jc w:val="center"/>
              <w:rPr>
                <w:rFonts w:ascii="Times" w:hAnsi="Times"/>
                <w:sz w:val="16"/>
                <w:szCs w:val="18"/>
              </w:rPr>
            </w:pPr>
            <w:r w:rsidRPr="00924B3A">
              <w:rPr>
                <w:rFonts w:ascii="Times" w:hAnsi="Times"/>
                <w:sz w:val="16"/>
                <w:szCs w:val="18"/>
              </w:rPr>
              <w:t>618</w:t>
            </w:r>
          </w:p>
        </w:tc>
        <w:tc>
          <w:tcPr>
            <w:tcW w:w="850" w:type="dxa"/>
            <w:shd w:val="clear" w:color="auto" w:fill="auto"/>
          </w:tcPr>
          <w:p w14:paraId="3D95D278" w14:textId="77777777" w:rsidR="0052730F" w:rsidRPr="00924B3A" w:rsidRDefault="0052730F" w:rsidP="0052730F">
            <w:pPr>
              <w:jc w:val="center"/>
              <w:rPr>
                <w:rFonts w:ascii="Times" w:hAnsi="Times"/>
                <w:sz w:val="16"/>
              </w:rPr>
            </w:pPr>
            <w:r w:rsidRPr="00924B3A">
              <w:rPr>
                <w:rFonts w:ascii="Times" w:hAnsi="Times"/>
                <w:sz w:val="16"/>
                <w:szCs w:val="18"/>
              </w:rPr>
              <w:t>10846</w:t>
            </w:r>
          </w:p>
        </w:tc>
        <w:tc>
          <w:tcPr>
            <w:tcW w:w="851" w:type="dxa"/>
          </w:tcPr>
          <w:p w14:paraId="37B81D69" w14:textId="77777777" w:rsidR="0052730F" w:rsidRPr="00924B3A" w:rsidRDefault="0052730F">
            <w:pPr>
              <w:jc w:val="center"/>
              <w:rPr>
                <w:rFonts w:ascii="Times" w:hAnsi="Times"/>
                <w:sz w:val="16"/>
                <w:szCs w:val="18"/>
              </w:rPr>
            </w:pPr>
            <w:r w:rsidRPr="00924B3A">
              <w:rPr>
                <w:rFonts w:ascii="Times" w:hAnsi="Times"/>
                <w:sz w:val="16"/>
                <w:szCs w:val="18"/>
              </w:rPr>
              <w:t>2.1446</w:t>
            </w:r>
          </w:p>
        </w:tc>
        <w:tc>
          <w:tcPr>
            <w:tcW w:w="992" w:type="dxa"/>
            <w:shd w:val="clear" w:color="auto" w:fill="auto"/>
          </w:tcPr>
          <w:p w14:paraId="2D4D1A7D" w14:textId="77777777" w:rsidR="0052730F" w:rsidRPr="00924B3A" w:rsidRDefault="0052730F" w:rsidP="0052730F">
            <w:pPr>
              <w:jc w:val="center"/>
              <w:rPr>
                <w:rFonts w:ascii="Times" w:hAnsi="Times"/>
                <w:sz w:val="16"/>
                <w:szCs w:val="18"/>
              </w:rPr>
            </w:pPr>
            <w:r w:rsidRPr="00924B3A">
              <w:rPr>
                <w:rFonts w:ascii="Times" w:hAnsi="Times"/>
                <w:sz w:val="16"/>
                <w:szCs w:val="18"/>
              </w:rPr>
              <w:t>0.03006</w:t>
            </w:r>
          </w:p>
        </w:tc>
        <w:tc>
          <w:tcPr>
            <w:tcW w:w="567" w:type="dxa"/>
            <w:shd w:val="clear" w:color="auto" w:fill="auto"/>
          </w:tcPr>
          <w:p w14:paraId="01FE02FB" w14:textId="77777777" w:rsidR="0052730F" w:rsidRPr="00924B3A" w:rsidRDefault="0052730F" w:rsidP="0052730F">
            <w:pPr>
              <w:jc w:val="center"/>
              <w:rPr>
                <w:rFonts w:ascii="Times" w:hAnsi="Times"/>
                <w:sz w:val="16"/>
              </w:rPr>
            </w:pPr>
            <w:r w:rsidRPr="00924B3A">
              <w:rPr>
                <w:rFonts w:ascii="Times" w:hAnsi="Times"/>
                <w:sz w:val="16"/>
                <w:szCs w:val="18"/>
              </w:rPr>
              <w:t>*</w:t>
            </w:r>
          </w:p>
        </w:tc>
      </w:tr>
      <w:tr w:rsidR="0052730F" w:rsidRPr="00DF079E" w14:paraId="78B501FE" w14:textId="77777777" w:rsidTr="0052730F">
        <w:trPr>
          <w:jc w:val="center"/>
        </w:trPr>
        <w:tc>
          <w:tcPr>
            <w:tcW w:w="1242" w:type="dxa"/>
            <w:tcBorders>
              <w:bottom w:val="single" w:sz="4" w:space="0" w:color="auto"/>
            </w:tcBorders>
            <w:shd w:val="clear" w:color="auto" w:fill="auto"/>
          </w:tcPr>
          <w:p w14:paraId="0CB4EA5D" w14:textId="77777777" w:rsidR="0052730F" w:rsidRPr="00924B3A" w:rsidRDefault="0052730F" w:rsidP="0052730F">
            <w:pPr>
              <w:jc w:val="center"/>
              <w:rPr>
                <w:rFonts w:ascii="Times" w:hAnsi="Times"/>
                <w:i/>
                <w:sz w:val="16"/>
              </w:rPr>
            </w:pPr>
          </w:p>
        </w:tc>
        <w:tc>
          <w:tcPr>
            <w:tcW w:w="1134" w:type="dxa"/>
            <w:tcBorders>
              <w:bottom w:val="single" w:sz="4" w:space="0" w:color="auto"/>
            </w:tcBorders>
            <w:shd w:val="clear" w:color="auto" w:fill="auto"/>
          </w:tcPr>
          <w:p w14:paraId="138F9B4A" w14:textId="77777777" w:rsidR="0052730F" w:rsidRPr="00924B3A" w:rsidRDefault="0052730F" w:rsidP="0052730F">
            <w:pPr>
              <w:jc w:val="center"/>
              <w:rPr>
                <w:rFonts w:ascii="Times" w:hAnsi="Times"/>
                <w:sz w:val="16"/>
              </w:rPr>
            </w:pPr>
            <w:r w:rsidRPr="00924B3A">
              <w:rPr>
                <w:rFonts w:ascii="Times" w:hAnsi="Times"/>
                <w:sz w:val="16"/>
              </w:rPr>
              <w:t>Error</w:t>
            </w:r>
          </w:p>
        </w:tc>
        <w:tc>
          <w:tcPr>
            <w:tcW w:w="426" w:type="dxa"/>
            <w:tcBorders>
              <w:bottom w:val="single" w:sz="4" w:space="0" w:color="auto"/>
            </w:tcBorders>
            <w:shd w:val="clear" w:color="auto" w:fill="auto"/>
          </w:tcPr>
          <w:p w14:paraId="0745223B" w14:textId="77777777" w:rsidR="0052730F" w:rsidRPr="00924B3A" w:rsidRDefault="0052730F" w:rsidP="0052730F">
            <w:pPr>
              <w:jc w:val="center"/>
              <w:rPr>
                <w:rFonts w:ascii="Times" w:hAnsi="Times"/>
                <w:sz w:val="16"/>
              </w:rPr>
            </w:pPr>
          </w:p>
        </w:tc>
        <w:tc>
          <w:tcPr>
            <w:tcW w:w="850" w:type="dxa"/>
            <w:tcBorders>
              <w:bottom w:val="single" w:sz="4" w:space="0" w:color="auto"/>
            </w:tcBorders>
            <w:shd w:val="clear" w:color="auto" w:fill="auto"/>
          </w:tcPr>
          <w:p w14:paraId="023EF4CC" w14:textId="77777777" w:rsidR="0052730F" w:rsidRPr="00924B3A" w:rsidRDefault="0052730F" w:rsidP="0052730F">
            <w:pPr>
              <w:jc w:val="center"/>
              <w:rPr>
                <w:rFonts w:ascii="Times" w:hAnsi="Times"/>
                <w:sz w:val="16"/>
                <w:szCs w:val="18"/>
              </w:rPr>
            </w:pPr>
          </w:p>
        </w:tc>
        <w:tc>
          <w:tcPr>
            <w:tcW w:w="709" w:type="dxa"/>
            <w:tcBorders>
              <w:bottom w:val="single" w:sz="4" w:space="0" w:color="auto"/>
            </w:tcBorders>
            <w:shd w:val="clear" w:color="auto" w:fill="auto"/>
          </w:tcPr>
          <w:p w14:paraId="4441F4E6" w14:textId="77777777" w:rsidR="0052730F" w:rsidRPr="00924B3A" w:rsidRDefault="0052730F">
            <w:pPr>
              <w:jc w:val="center"/>
              <w:rPr>
                <w:rFonts w:ascii="Times" w:hAnsi="Times"/>
                <w:sz w:val="16"/>
                <w:szCs w:val="18"/>
              </w:rPr>
            </w:pPr>
            <w:r w:rsidRPr="00924B3A">
              <w:rPr>
                <w:rFonts w:ascii="Times" w:hAnsi="Times"/>
                <w:sz w:val="16"/>
                <w:szCs w:val="18"/>
              </w:rPr>
              <w:t>632</w:t>
            </w:r>
          </w:p>
        </w:tc>
        <w:tc>
          <w:tcPr>
            <w:tcW w:w="850" w:type="dxa"/>
            <w:tcBorders>
              <w:bottom w:val="single" w:sz="4" w:space="0" w:color="auto"/>
            </w:tcBorders>
            <w:shd w:val="clear" w:color="auto" w:fill="auto"/>
          </w:tcPr>
          <w:p w14:paraId="315CFDA4" w14:textId="77777777" w:rsidR="0052730F" w:rsidRPr="00924B3A" w:rsidRDefault="0052730F" w:rsidP="0052730F">
            <w:pPr>
              <w:jc w:val="center"/>
              <w:rPr>
                <w:rFonts w:ascii="Times" w:hAnsi="Times"/>
                <w:sz w:val="16"/>
              </w:rPr>
            </w:pPr>
            <w:r w:rsidRPr="00924B3A">
              <w:rPr>
                <w:rFonts w:ascii="Times" w:hAnsi="Times"/>
                <w:sz w:val="16"/>
              </w:rPr>
              <w:t>21579</w:t>
            </w:r>
          </w:p>
        </w:tc>
        <w:tc>
          <w:tcPr>
            <w:tcW w:w="851" w:type="dxa"/>
            <w:tcBorders>
              <w:bottom w:val="single" w:sz="4" w:space="0" w:color="auto"/>
            </w:tcBorders>
          </w:tcPr>
          <w:p w14:paraId="577B3E24" w14:textId="77777777" w:rsidR="0052730F" w:rsidRPr="00924B3A" w:rsidRDefault="0052730F">
            <w:pPr>
              <w:jc w:val="center"/>
              <w:rPr>
                <w:rFonts w:ascii="Times" w:hAnsi="Times"/>
                <w:sz w:val="16"/>
                <w:szCs w:val="18"/>
              </w:rPr>
            </w:pPr>
          </w:p>
        </w:tc>
        <w:tc>
          <w:tcPr>
            <w:tcW w:w="992" w:type="dxa"/>
            <w:tcBorders>
              <w:bottom w:val="single" w:sz="4" w:space="0" w:color="auto"/>
            </w:tcBorders>
            <w:shd w:val="clear" w:color="auto" w:fill="auto"/>
          </w:tcPr>
          <w:p w14:paraId="2E0BC272" w14:textId="77777777" w:rsidR="0052730F" w:rsidRPr="00924B3A" w:rsidRDefault="0052730F" w:rsidP="0052730F">
            <w:pPr>
              <w:jc w:val="center"/>
              <w:rPr>
                <w:rFonts w:ascii="Times" w:hAnsi="Times"/>
                <w:sz w:val="16"/>
                <w:szCs w:val="18"/>
              </w:rPr>
            </w:pPr>
          </w:p>
        </w:tc>
        <w:tc>
          <w:tcPr>
            <w:tcW w:w="567" w:type="dxa"/>
            <w:tcBorders>
              <w:bottom w:val="single" w:sz="4" w:space="0" w:color="auto"/>
            </w:tcBorders>
            <w:shd w:val="clear" w:color="auto" w:fill="auto"/>
          </w:tcPr>
          <w:p w14:paraId="142F6150" w14:textId="77777777" w:rsidR="0052730F" w:rsidRPr="00924B3A" w:rsidRDefault="0052730F" w:rsidP="0052730F">
            <w:pPr>
              <w:jc w:val="center"/>
              <w:rPr>
                <w:rFonts w:ascii="Times" w:hAnsi="Times"/>
                <w:sz w:val="16"/>
              </w:rPr>
            </w:pPr>
          </w:p>
        </w:tc>
      </w:tr>
      <w:tr w:rsidR="0052730F" w:rsidRPr="00DF079E" w14:paraId="326186EA" w14:textId="77777777" w:rsidTr="0052730F">
        <w:trPr>
          <w:jc w:val="center"/>
        </w:trPr>
        <w:tc>
          <w:tcPr>
            <w:tcW w:w="1242" w:type="dxa"/>
            <w:tcBorders>
              <w:top w:val="single" w:sz="4" w:space="0" w:color="auto"/>
            </w:tcBorders>
            <w:shd w:val="clear" w:color="auto" w:fill="auto"/>
          </w:tcPr>
          <w:p w14:paraId="531A557F" w14:textId="77777777" w:rsidR="0052730F" w:rsidRPr="00924B3A" w:rsidRDefault="0052730F" w:rsidP="0052730F">
            <w:pPr>
              <w:jc w:val="center"/>
              <w:rPr>
                <w:rFonts w:ascii="Times" w:hAnsi="Times"/>
                <w:i/>
                <w:sz w:val="16"/>
              </w:rPr>
            </w:pPr>
            <w:r w:rsidRPr="00924B3A">
              <w:rPr>
                <w:rFonts w:ascii="Times" w:hAnsi="Times"/>
                <w:i/>
                <w:sz w:val="16"/>
              </w:rPr>
              <w:t>C. diffusum</w:t>
            </w:r>
          </w:p>
        </w:tc>
        <w:tc>
          <w:tcPr>
            <w:tcW w:w="1134" w:type="dxa"/>
            <w:tcBorders>
              <w:top w:val="single" w:sz="4" w:space="0" w:color="auto"/>
            </w:tcBorders>
            <w:shd w:val="clear" w:color="auto" w:fill="auto"/>
          </w:tcPr>
          <w:p w14:paraId="344EDC74" w14:textId="77777777" w:rsidR="0052730F" w:rsidRPr="00924B3A" w:rsidRDefault="0052730F" w:rsidP="0052730F">
            <w:pPr>
              <w:jc w:val="center"/>
              <w:rPr>
                <w:rFonts w:ascii="Times" w:hAnsi="Times"/>
                <w:sz w:val="16"/>
              </w:rPr>
            </w:pPr>
            <w:r w:rsidRPr="00924B3A">
              <w:rPr>
                <w:rFonts w:ascii="Times" w:hAnsi="Times"/>
                <w:sz w:val="16"/>
              </w:rPr>
              <w:t>Population</w:t>
            </w:r>
          </w:p>
        </w:tc>
        <w:tc>
          <w:tcPr>
            <w:tcW w:w="426" w:type="dxa"/>
            <w:tcBorders>
              <w:top w:val="single" w:sz="4" w:space="0" w:color="auto"/>
            </w:tcBorders>
            <w:shd w:val="clear" w:color="auto" w:fill="auto"/>
          </w:tcPr>
          <w:p w14:paraId="506C1685" w14:textId="77777777" w:rsidR="0052730F" w:rsidRPr="00924B3A" w:rsidRDefault="0052730F" w:rsidP="0052730F">
            <w:pPr>
              <w:jc w:val="center"/>
              <w:rPr>
                <w:rFonts w:ascii="Times" w:hAnsi="Times"/>
                <w:sz w:val="16"/>
              </w:rPr>
            </w:pPr>
            <w:r w:rsidRPr="00924B3A">
              <w:rPr>
                <w:rFonts w:ascii="Times" w:hAnsi="Times"/>
                <w:sz w:val="16"/>
              </w:rPr>
              <w:t>4</w:t>
            </w:r>
          </w:p>
        </w:tc>
        <w:tc>
          <w:tcPr>
            <w:tcW w:w="850" w:type="dxa"/>
            <w:tcBorders>
              <w:top w:val="single" w:sz="4" w:space="0" w:color="auto"/>
            </w:tcBorders>
            <w:shd w:val="clear" w:color="auto" w:fill="auto"/>
          </w:tcPr>
          <w:p w14:paraId="5DA8D7FD" w14:textId="77777777" w:rsidR="0052730F" w:rsidRPr="00924B3A" w:rsidRDefault="0052730F" w:rsidP="0052730F">
            <w:pPr>
              <w:jc w:val="center"/>
              <w:rPr>
                <w:rFonts w:ascii="Times" w:hAnsi="Times"/>
                <w:sz w:val="16"/>
                <w:szCs w:val="18"/>
              </w:rPr>
            </w:pPr>
            <w:r w:rsidRPr="00924B3A">
              <w:rPr>
                <w:rFonts w:ascii="Times" w:hAnsi="Times"/>
                <w:sz w:val="16"/>
                <w:szCs w:val="18"/>
              </w:rPr>
              <w:t xml:space="preserve">26997.8       </w:t>
            </w:r>
          </w:p>
        </w:tc>
        <w:tc>
          <w:tcPr>
            <w:tcW w:w="709" w:type="dxa"/>
            <w:tcBorders>
              <w:top w:val="single" w:sz="4" w:space="0" w:color="auto"/>
            </w:tcBorders>
            <w:shd w:val="clear" w:color="auto" w:fill="auto"/>
          </w:tcPr>
          <w:p w14:paraId="3172DF6D" w14:textId="77777777" w:rsidR="0052730F" w:rsidRPr="00924B3A" w:rsidRDefault="0052730F">
            <w:pPr>
              <w:jc w:val="center"/>
              <w:rPr>
                <w:rFonts w:ascii="Times" w:hAnsi="Times"/>
                <w:sz w:val="16"/>
                <w:szCs w:val="18"/>
              </w:rPr>
            </w:pPr>
            <w:r w:rsidRPr="00924B3A">
              <w:rPr>
                <w:rFonts w:ascii="Times" w:hAnsi="Times"/>
                <w:sz w:val="16"/>
                <w:szCs w:val="18"/>
              </w:rPr>
              <w:t>628</w:t>
            </w:r>
          </w:p>
        </w:tc>
        <w:tc>
          <w:tcPr>
            <w:tcW w:w="850" w:type="dxa"/>
            <w:tcBorders>
              <w:top w:val="single" w:sz="4" w:space="0" w:color="auto"/>
            </w:tcBorders>
            <w:shd w:val="clear" w:color="auto" w:fill="auto"/>
          </w:tcPr>
          <w:p w14:paraId="1EF21C43" w14:textId="77777777" w:rsidR="0052730F" w:rsidRPr="00924B3A" w:rsidRDefault="0052730F" w:rsidP="0052730F">
            <w:pPr>
              <w:jc w:val="center"/>
              <w:rPr>
                <w:rFonts w:ascii="Times" w:hAnsi="Times"/>
                <w:sz w:val="16"/>
              </w:rPr>
            </w:pPr>
            <w:r w:rsidRPr="00924B3A">
              <w:rPr>
                <w:rFonts w:ascii="Times" w:hAnsi="Times"/>
                <w:sz w:val="16"/>
                <w:szCs w:val="18"/>
              </w:rPr>
              <w:t>41518</w:t>
            </w:r>
          </w:p>
        </w:tc>
        <w:tc>
          <w:tcPr>
            <w:tcW w:w="851" w:type="dxa"/>
            <w:tcBorders>
              <w:top w:val="single" w:sz="4" w:space="0" w:color="auto"/>
            </w:tcBorders>
          </w:tcPr>
          <w:p w14:paraId="4932EAA4" w14:textId="77777777" w:rsidR="0052730F" w:rsidRPr="00924B3A" w:rsidRDefault="0052730F">
            <w:pPr>
              <w:jc w:val="center"/>
              <w:rPr>
                <w:rFonts w:ascii="Times" w:hAnsi="Times"/>
                <w:sz w:val="16"/>
                <w:szCs w:val="18"/>
              </w:rPr>
            </w:pPr>
            <w:r w:rsidRPr="00924B3A">
              <w:rPr>
                <w:rFonts w:ascii="Times" w:hAnsi="Times"/>
                <w:sz w:val="16"/>
                <w:szCs w:val="18"/>
              </w:rPr>
              <w:t>96.9008</w:t>
            </w:r>
          </w:p>
        </w:tc>
        <w:tc>
          <w:tcPr>
            <w:tcW w:w="992" w:type="dxa"/>
            <w:tcBorders>
              <w:top w:val="single" w:sz="4" w:space="0" w:color="auto"/>
            </w:tcBorders>
            <w:shd w:val="clear" w:color="auto" w:fill="auto"/>
          </w:tcPr>
          <w:p w14:paraId="4160672D" w14:textId="77777777" w:rsidR="0052730F" w:rsidRPr="00924B3A" w:rsidRDefault="0052730F" w:rsidP="0052730F">
            <w:pPr>
              <w:jc w:val="center"/>
              <w:rPr>
                <w:rFonts w:ascii="Times" w:hAnsi="Times"/>
                <w:sz w:val="16"/>
                <w:szCs w:val="18"/>
              </w:rPr>
            </w:pPr>
            <w:r w:rsidRPr="00924B3A">
              <w:rPr>
                <w:rFonts w:ascii="Times" w:hAnsi="Times"/>
                <w:sz w:val="16"/>
                <w:szCs w:val="18"/>
              </w:rPr>
              <w:t>&lt; 2.2e-16</w:t>
            </w:r>
          </w:p>
        </w:tc>
        <w:tc>
          <w:tcPr>
            <w:tcW w:w="567" w:type="dxa"/>
            <w:tcBorders>
              <w:top w:val="single" w:sz="4" w:space="0" w:color="auto"/>
            </w:tcBorders>
            <w:shd w:val="clear" w:color="auto" w:fill="auto"/>
          </w:tcPr>
          <w:p w14:paraId="2A62FBC5" w14:textId="77777777" w:rsidR="0052730F" w:rsidRPr="00924B3A" w:rsidRDefault="0052730F" w:rsidP="0052730F">
            <w:pPr>
              <w:jc w:val="center"/>
              <w:rPr>
                <w:rFonts w:ascii="Times" w:hAnsi="Times"/>
                <w:sz w:val="16"/>
              </w:rPr>
            </w:pPr>
            <w:r w:rsidRPr="00924B3A">
              <w:rPr>
                <w:rFonts w:ascii="Times" w:hAnsi="Times"/>
                <w:sz w:val="16"/>
                <w:szCs w:val="18"/>
              </w:rPr>
              <w:t>***</w:t>
            </w:r>
          </w:p>
        </w:tc>
      </w:tr>
      <w:tr w:rsidR="0052730F" w:rsidRPr="00DF079E" w14:paraId="7EEAE9C8" w14:textId="77777777" w:rsidTr="0052730F">
        <w:trPr>
          <w:jc w:val="center"/>
        </w:trPr>
        <w:tc>
          <w:tcPr>
            <w:tcW w:w="1242" w:type="dxa"/>
            <w:shd w:val="clear" w:color="auto" w:fill="auto"/>
          </w:tcPr>
          <w:p w14:paraId="62818A62" w14:textId="77777777" w:rsidR="0052730F" w:rsidRPr="00924B3A" w:rsidRDefault="0052730F" w:rsidP="0052730F">
            <w:pPr>
              <w:jc w:val="center"/>
              <w:rPr>
                <w:rFonts w:ascii="Times" w:hAnsi="Times"/>
                <w:i/>
                <w:sz w:val="16"/>
              </w:rPr>
            </w:pPr>
          </w:p>
        </w:tc>
        <w:tc>
          <w:tcPr>
            <w:tcW w:w="1134" w:type="dxa"/>
            <w:shd w:val="clear" w:color="auto" w:fill="auto"/>
          </w:tcPr>
          <w:p w14:paraId="1EA6C777" w14:textId="77777777" w:rsidR="0052730F" w:rsidRPr="00924B3A" w:rsidRDefault="0052730F" w:rsidP="0052730F">
            <w:pPr>
              <w:jc w:val="center"/>
              <w:rPr>
                <w:rFonts w:ascii="Times" w:hAnsi="Times"/>
                <w:sz w:val="16"/>
              </w:rPr>
            </w:pPr>
            <w:r w:rsidRPr="00924B3A">
              <w:rPr>
                <w:rFonts w:ascii="Times" w:hAnsi="Times"/>
                <w:sz w:val="16"/>
              </w:rPr>
              <w:t>Aspect</w:t>
            </w:r>
          </w:p>
        </w:tc>
        <w:tc>
          <w:tcPr>
            <w:tcW w:w="426" w:type="dxa"/>
            <w:shd w:val="clear" w:color="auto" w:fill="auto"/>
          </w:tcPr>
          <w:p w14:paraId="7F3EEF5A" w14:textId="77777777" w:rsidR="0052730F" w:rsidRPr="00924B3A" w:rsidRDefault="0052730F" w:rsidP="0052730F">
            <w:pPr>
              <w:jc w:val="center"/>
              <w:rPr>
                <w:rFonts w:ascii="Times" w:hAnsi="Times"/>
                <w:sz w:val="16"/>
              </w:rPr>
            </w:pPr>
            <w:r w:rsidRPr="00924B3A">
              <w:rPr>
                <w:rFonts w:ascii="Times" w:hAnsi="Times"/>
                <w:sz w:val="16"/>
                <w:szCs w:val="18"/>
              </w:rPr>
              <w:t>2</w:t>
            </w:r>
          </w:p>
        </w:tc>
        <w:tc>
          <w:tcPr>
            <w:tcW w:w="850" w:type="dxa"/>
            <w:shd w:val="clear" w:color="auto" w:fill="auto"/>
          </w:tcPr>
          <w:p w14:paraId="2C7148B5" w14:textId="77777777" w:rsidR="0052730F" w:rsidRPr="00924B3A" w:rsidRDefault="0052730F" w:rsidP="0052730F">
            <w:pPr>
              <w:jc w:val="center"/>
              <w:rPr>
                <w:rFonts w:ascii="Times" w:hAnsi="Times"/>
                <w:sz w:val="16"/>
                <w:szCs w:val="18"/>
              </w:rPr>
            </w:pPr>
            <w:r w:rsidRPr="00924B3A">
              <w:rPr>
                <w:rFonts w:ascii="Times" w:hAnsi="Times"/>
                <w:sz w:val="16"/>
                <w:szCs w:val="18"/>
              </w:rPr>
              <w:t>4047.6</w:t>
            </w:r>
          </w:p>
        </w:tc>
        <w:tc>
          <w:tcPr>
            <w:tcW w:w="709" w:type="dxa"/>
            <w:shd w:val="clear" w:color="auto" w:fill="auto"/>
          </w:tcPr>
          <w:p w14:paraId="10FF08B8" w14:textId="77777777" w:rsidR="0052730F" w:rsidRPr="00924B3A" w:rsidRDefault="0052730F">
            <w:pPr>
              <w:jc w:val="center"/>
              <w:rPr>
                <w:rFonts w:ascii="Times" w:hAnsi="Times"/>
                <w:sz w:val="16"/>
                <w:szCs w:val="18"/>
              </w:rPr>
            </w:pPr>
            <w:r w:rsidRPr="00924B3A">
              <w:rPr>
                <w:rFonts w:ascii="Times" w:hAnsi="Times"/>
                <w:sz w:val="16"/>
                <w:szCs w:val="18"/>
              </w:rPr>
              <w:t>626</w:t>
            </w:r>
          </w:p>
        </w:tc>
        <w:tc>
          <w:tcPr>
            <w:tcW w:w="850" w:type="dxa"/>
            <w:shd w:val="clear" w:color="auto" w:fill="auto"/>
          </w:tcPr>
          <w:p w14:paraId="22FE40D4" w14:textId="77777777" w:rsidR="0052730F" w:rsidRPr="00924B3A" w:rsidRDefault="0052730F" w:rsidP="0052730F">
            <w:pPr>
              <w:jc w:val="center"/>
              <w:rPr>
                <w:rFonts w:ascii="Times" w:hAnsi="Times"/>
                <w:sz w:val="16"/>
              </w:rPr>
            </w:pPr>
            <w:r w:rsidRPr="00924B3A">
              <w:rPr>
                <w:rFonts w:ascii="Times" w:hAnsi="Times"/>
                <w:sz w:val="16"/>
                <w:szCs w:val="18"/>
              </w:rPr>
              <w:t>37471</w:t>
            </w:r>
          </w:p>
        </w:tc>
        <w:tc>
          <w:tcPr>
            <w:tcW w:w="851" w:type="dxa"/>
          </w:tcPr>
          <w:p w14:paraId="0F09D185" w14:textId="77777777" w:rsidR="0052730F" w:rsidRPr="00924B3A" w:rsidRDefault="0052730F">
            <w:pPr>
              <w:jc w:val="center"/>
              <w:rPr>
                <w:rFonts w:ascii="Times" w:hAnsi="Times"/>
                <w:sz w:val="16"/>
                <w:szCs w:val="18"/>
              </w:rPr>
            </w:pPr>
            <w:r w:rsidRPr="00924B3A">
              <w:rPr>
                <w:rFonts w:ascii="Times" w:hAnsi="Times"/>
                <w:sz w:val="16"/>
                <w:szCs w:val="18"/>
              </w:rPr>
              <w:t>29.0555</w:t>
            </w:r>
          </w:p>
        </w:tc>
        <w:tc>
          <w:tcPr>
            <w:tcW w:w="992" w:type="dxa"/>
            <w:shd w:val="clear" w:color="auto" w:fill="auto"/>
          </w:tcPr>
          <w:p w14:paraId="06B7A041" w14:textId="77777777" w:rsidR="0052730F" w:rsidRPr="00924B3A" w:rsidRDefault="0052730F" w:rsidP="0052730F">
            <w:pPr>
              <w:jc w:val="center"/>
              <w:rPr>
                <w:rFonts w:ascii="Times" w:hAnsi="Times"/>
                <w:sz w:val="16"/>
                <w:szCs w:val="18"/>
              </w:rPr>
            </w:pPr>
            <w:r w:rsidRPr="00924B3A">
              <w:rPr>
                <w:rFonts w:ascii="Times" w:hAnsi="Times"/>
                <w:sz w:val="16"/>
                <w:szCs w:val="18"/>
              </w:rPr>
              <w:t>8.707e-13</w:t>
            </w:r>
          </w:p>
        </w:tc>
        <w:tc>
          <w:tcPr>
            <w:tcW w:w="567" w:type="dxa"/>
            <w:shd w:val="clear" w:color="auto" w:fill="auto"/>
          </w:tcPr>
          <w:p w14:paraId="4D8B9549" w14:textId="77777777" w:rsidR="0052730F" w:rsidRPr="00924B3A" w:rsidRDefault="0052730F" w:rsidP="0052730F">
            <w:pPr>
              <w:jc w:val="center"/>
              <w:rPr>
                <w:rFonts w:ascii="Times" w:hAnsi="Times"/>
                <w:sz w:val="16"/>
                <w:szCs w:val="18"/>
              </w:rPr>
            </w:pPr>
            <w:r w:rsidRPr="00924B3A">
              <w:rPr>
                <w:rFonts w:ascii="Times" w:hAnsi="Times"/>
                <w:sz w:val="16"/>
                <w:szCs w:val="18"/>
              </w:rPr>
              <w:t>***</w:t>
            </w:r>
          </w:p>
        </w:tc>
      </w:tr>
      <w:tr w:rsidR="0052730F" w:rsidRPr="00DF079E" w14:paraId="4C2CC03D" w14:textId="77777777" w:rsidTr="0052730F">
        <w:trPr>
          <w:jc w:val="center"/>
        </w:trPr>
        <w:tc>
          <w:tcPr>
            <w:tcW w:w="1242" w:type="dxa"/>
            <w:shd w:val="clear" w:color="auto" w:fill="auto"/>
          </w:tcPr>
          <w:p w14:paraId="15179CD0" w14:textId="77777777" w:rsidR="0052730F" w:rsidRPr="00924B3A" w:rsidRDefault="0052730F" w:rsidP="0052730F">
            <w:pPr>
              <w:jc w:val="center"/>
              <w:rPr>
                <w:rFonts w:ascii="Times" w:hAnsi="Times"/>
                <w:i/>
                <w:sz w:val="16"/>
              </w:rPr>
            </w:pPr>
          </w:p>
        </w:tc>
        <w:tc>
          <w:tcPr>
            <w:tcW w:w="1134" w:type="dxa"/>
            <w:shd w:val="clear" w:color="auto" w:fill="auto"/>
          </w:tcPr>
          <w:p w14:paraId="45E7947B" w14:textId="77777777" w:rsidR="0052730F" w:rsidRPr="00924B3A" w:rsidRDefault="0052730F" w:rsidP="0052730F">
            <w:pPr>
              <w:jc w:val="center"/>
              <w:rPr>
                <w:rFonts w:ascii="Times" w:hAnsi="Times"/>
                <w:sz w:val="16"/>
              </w:rPr>
            </w:pPr>
            <w:r w:rsidRPr="00924B3A">
              <w:rPr>
                <w:rFonts w:ascii="Times" w:hAnsi="Times"/>
                <w:sz w:val="16"/>
              </w:rPr>
              <w:t>Pop * Aspect</w:t>
            </w:r>
          </w:p>
        </w:tc>
        <w:tc>
          <w:tcPr>
            <w:tcW w:w="426" w:type="dxa"/>
            <w:shd w:val="clear" w:color="auto" w:fill="auto"/>
          </w:tcPr>
          <w:p w14:paraId="60380002" w14:textId="77777777" w:rsidR="0052730F" w:rsidRPr="00924B3A" w:rsidRDefault="0052730F" w:rsidP="0052730F">
            <w:pPr>
              <w:jc w:val="center"/>
              <w:rPr>
                <w:rFonts w:ascii="Times" w:hAnsi="Times"/>
                <w:sz w:val="16"/>
              </w:rPr>
            </w:pPr>
            <w:r w:rsidRPr="00924B3A">
              <w:rPr>
                <w:rFonts w:ascii="Times" w:hAnsi="Times"/>
                <w:sz w:val="16"/>
                <w:szCs w:val="18"/>
              </w:rPr>
              <w:t>8</w:t>
            </w:r>
          </w:p>
        </w:tc>
        <w:tc>
          <w:tcPr>
            <w:tcW w:w="850" w:type="dxa"/>
            <w:shd w:val="clear" w:color="auto" w:fill="auto"/>
          </w:tcPr>
          <w:p w14:paraId="5F6537F3" w14:textId="77777777" w:rsidR="0052730F" w:rsidRPr="00924B3A" w:rsidRDefault="0052730F" w:rsidP="0052730F">
            <w:pPr>
              <w:jc w:val="center"/>
              <w:rPr>
                <w:rFonts w:ascii="Times" w:hAnsi="Times"/>
                <w:sz w:val="16"/>
                <w:szCs w:val="18"/>
              </w:rPr>
            </w:pPr>
            <w:r w:rsidRPr="00924B3A">
              <w:rPr>
                <w:rFonts w:ascii="Times" w:hAnsi="Times"/>
                <w:sz w:val="16"/>
                <w:szCs w:val="18"/>
              </w:rPr>
              <w:t>451.6</w:t>
            </w:r>
          </w:p>
        </w:tc>
        <w:tc>
          <w:tcPr>
            <w:tcW w:w="709" w:type="dxa"/>
            <w:shd w:val="clear" w:color="auto" w:fill="auto"/>
          </w:tcPr>
          <w:p w14:paraId="49203C58" w14:textId="77777777" w:rsidR="0052730F" w:rsidRPr="00924B3A" w:rsidRDefault="0052730F">
            <w:pPr>
              <w:jc w:val="center"/>
              <w:rPr>
                <w:rFonts w:ascii="Times" w:hAnsi="Times"/>
                <w:sz w:val="16"/>
                <w:szCs w:val="18"/>
              </w:rPr>
            </w:pPr>
            <w:r w:rsidRPr="00924B3A">
              <w:rPr>
                <w:rFonts w:ascii="Times" w:hAnsi="Times"/>
                <w:sz w:val="16"/>
                <w:szCs w:val="18"/>
              </w:rPr>
              <w:t>618</w:t>
            </w:r>
          </w:p>
        </w:tc>
        <w:tc>
          <w:tcPr>
            <w:tcW w:w="850" w:type="dxa"/>
            <w:shd w:val="clear" w:color="auto" w:fill="auto"/>
          </w:tcPr>
          <w:p w14:paraId="74B7D85A" w14:textId="77777777" w:rsidR="0052730F" w:rsidRPr="00924B3A" w:rsidRDefault="0052730F" w:rsidP="0052730F">
            <w:pPr>
              <w:jc w:val="center"/>
              <w:rPr>
                <w:rFonts w:ascii="Times" w:hAnsi="Times"/>
                <w:sz w:val="16"/>
              </w:rPr>
            </w:pPr>
            <w:r w:rsidRPr="00924B3A">
              <w:rPr>
                <w:rFonts w:ascii="Times" w:hAnsi="Times"/>
                <w:sz w:val="16"/>
                <w:szCs w:val="18"/>
              </w:rPr>
              <w:t>37019</w:t>
            </w:r>
          </w:p>
        </w:tc>
        <w:tc>
          <w:tcPr>
            <w:tcW w:w="851" w:type="dxa"/>
          </w:tcPr>
          <w:p w14:paraId="4BF3F379" w14:textId="77777777" w:rsidR="0052730F" w:rsidRPr="00924B3A" w:rsidRDefault="0052730F">
            <w:pPr>
              <w:jc w:val="center"/>
              <w:rPr>
                <w:rFonts w:ascii="Times" w:hAnsi="Times"/>
                <w:sz w:val="16"/>
                <w:szCs w:val="18"/>
              </w:rPr>
            </w:pPr>
            <w:r w:rsidRPr="00924B3A">
              <w:rPr>
                <w:rFonts w:ascii="Times" w:hAnsi="Times"/>
                <w:sz w:val="16"/>
                <w:szCs w:val="18"/>
              </w:rPr>
              <w:t>0.8104</w:t>
            </w:r>
          </w:p>
        </w:tc>
        <w:tc>
          <w:tcPr>
            <w:tcW w:w="992" w:type="dxa"/>
            <w:shd w:val="clear" w:color="auto" w:fill="auto"/>
          </w:tcPr>
          <w:p w14:paraId="68D04FAE" w14:textId="77777777" w:rsidR="0052730F" w:rsidRPr="00924B3A" w:rsidRDefault="0052730F" w:rsidP="0052730F">
            <w:pPr>
              <w:jc w:val="center"/>
              <w:rPr>
                <w:rFonts w:ascii="Times" w:hAnsi="Times"/>
                <w:sz w:val="16"/>
                <w:szCs w:val="18"/>
              </w:rPr>
            </w:pPr>
            <w:r w:rsidRPr="00924B3A">
              <w:rPr>
                <w:rFonts w:ascii="Times" w:hAnsi="Times"/>
                <w:sz w:val="16"/>
                <w:szCs w:val="18"/>
              </w:rPr>
              <w:t>0.5935</w:t>
            </w:r>
          </w:p>
        </w:tc>
        <w:tc>
          <w:tcPr>
            <w:tcW w:w="567" w:type="dxa"/>
            <w:shd w:val="clear" w:color="auto" w:fill="auto"/>
          </w:tcPr>
          <w:p w14:paraId="1A8DC78A" w14:textId="77777777" w:rsidR="0052730F" w:rsidRPr="00924B3A" w:rsidRDefault="0052730F" w:rsidP="0052730F">
            <w:pPr>
              <w:jc w:val="center"/>
              <w:rPr>
                <w:rFonts w:ascii="Times" w:hAnsi="Times"/>
                <w:sz w:val="16"/>
              </w:rPr>
            </w:pPr>
          </w:p>
        </w:tc>
      </w:tr>
      <w:tr w:rsidR="0052730F" w:rsidRPr="00DF079E" w14:paraId="6D0AEF5A" w14:textId="77777777" w:rsidTr="0052730F">
        <w:trPr>
          <w:jc w:val="center"/>
        </w:trPr>
        <w:tc>
          <w:tcPr>
            <w:tcW w:w="1242" w:type="dxa"/>
            <w:tcBorders>
              <w:bottom w:val="single" w:sz="4" w:space="0" w:color="auto"/>
            </w:tcBorders>
            <w:shd w:val="clear" w:color="auto" w:fill="auto"/>
          </w:tcPr>
          <w:p w14:paraId="6BD7CC75" w14:textId="77777777" w:rsidR="0052730F" w:rsidRPr="00924B3A" w:rsidRDefault="0052730F" w:rsidP="0052730F">
            <w:pPr>
              <w:jc w:val="center"/>
              <w:rPr>
                <w:rFonts w:ascii="Times" w:hAnsi="Times"/>
                <w:i/>
                <w:sz w:val="16"/>
              </w:rPr>
            </w:pPr>
          </w:p>
        </w:tc>
        <w:tc>
          <w:tcPr>
            <w:tcW w:w="1134" w:type="dxa"/>
            <w:tcBorders>
              <w:bottom w:val="single" w:sz="4" w:space="0" w:color="auto"/>
            </w:tcBorders>
            <w:shd w:val="clear" w:color="auto" w:fill="auto"/>
          </w:tcPr>
          <w:p w14:paraId="50CB9EB6" w14:textId="77777777" w:rsidR="0052730F" w:rsidRPr="00924B3A" w:rsidRDefault="0052730F" w:rsidP="0052730F">
            <w:pPr>
              <w:jc w:val="center"/>
              <w:rPr>
                <w:rFonts w:ascii="Times" w:hAnsi="Times"/>
                <w:sz w:val="16"/>
              </w:rPr>
            </w:pPr>
            <w:r w:rsidRPr="00924B3A">
              <w:rPr>
                <w:rFonts w:ascii="Times" w:hAnsi="Times"/>
                <w:sz w:val="16"/>
              </w:rPr>
              <w:t>Error</w:t>
            </w:r>
          </w:p>
        </w:tc>
        <w:tc>
          <w:tcPr>
            <w:tcW w:w="426" w:type="dxa"/>
            <w:tcBorders>
              <w:bottom w:val="single" w:sz="4" w:space="0" w:color="auto"/>
            </w:tcBorders>
            <w:shd w:val="clear" w:color="auto" w:fill="auto"/>
          </w:tcPr>
          <w:p w14:paraId="2E948FD9" w14:textId="77777777" w:rsidR="0052730F" w:rsidRPr="00924B3A" w:rsidRDefault="0052730F" w:rsidP="0052730F">
            <w:pPr>
              <w:jc w:val="center"/>
              <w:rPr>
                <w:rFonts w:ascii="Times" w:hAnsi="Times"/>
                <w:sz w:val="16"/>
              </w:rPr>
            </w:pPr>
          </w:p>
        </w:tc>
        <w:tc>
          <w:tcPr>
            <w:tcW w:w="850" w:type="dxa"/>
            <w:tcBorders>
              <w:bottom w:val="single" w:sz="4" w:space="0" w:color="auto"/>
            </w:tcBorders>
            <w:shd w:val="clear" w:color="auto" w:fill="auto"/>
          </w:tcPr>
          <w:p w14:paraId="145F489C" w14:textId="77777777" w:rsidR="0052730F" w:rsidRPr="00924B3A" w:rsidRDefault="0052730F">
            <w:pPr>
              <w:jc w:val="center"/>
              <w:rPr>
                <w:rFonts w:ascii="Times" w:hAnsi="Times"/>
                <w:sz w:val="16"/>
                <w:szCs w:val="18"/>
              </w:rPr>
            </w:pPr>
          </w:p>
        </w:tc>
        <w:tc>
          <w:tcPr>
            <w:tcW w:w="709" w:type="dxa"/>
            <w:tcBorders>
              <w:bottom w:val="single" w:sz="4" w:space="0" w:color="auto"/>
            </w:tcBorders>
            <w:shd w:val="clear" w:color="auto" w:fill="auto"/>
          </w:tcPr>
          <w:p w14:paraId="267134CE" w14:textId="77777777" w:rsidR="0052730F" w:rsidRPr="00924B3A" w:rsidRDefault="0052730F" w:rsidP="0052730F">
            <w:pPr>
              <w:jc w:val="center"/>
              <w:rPr>
                <w:rFonts w:ascii="Times" w:hAnsi="Times"/>
                <w:sz w:val="16"/>
                <w:szCs w:val="18"/>
              </w:rPr>
            </w:pPr>
            <w:r w:rsidRPr="00924B3A">
              <w:rPr>
                <w:rFonts w:ascii="Times" w:hAnsi="Times"/>
                <w:sz w:val="16"/>
                <w:szCs w:val="18"/>
              </w:rPr>
              <w:t xml:space="preserve">632      </w:t>
            </w:r>
          </w:p>
        </w:tc>
        <w:tc>
          <w:tcPr>
            <w:tcW w:w="850" w:type="dxa"/>
            <w:tcBorders>
              <w:bottom w:val="single" w:sz="4" w:space="0" w:color="auto"/>
            </w:tcBorders>
            <w:shd w:val="clear" w:color="auto" w:fill="auto"/>
          </w:tcPr>
          <w:p w14:paraId="60039C26" w14:textId="77777777" w:rsidR="0052730F" w:rsidRPr="00924B3A" w:rsidRDefault="0052730F" w:rsidP="0052730F">
            <w:pPr>
              <w:jc w:val="center"/>
              <w:rPr>
                <w:rFonts w:ascii="Times" w:hAnsi="Times"/>
                <w:sz w:val="16"/>
              </w:rPr>
            </w:pPr>
            <w:r w:rsidRPr="00924B3A">
              <w:rPr>
                <w:rFonts w:ascii="Times" w:hAnsi="Times"/>
                <w:sz w:val="16"/>
                <w:szCs w:val="18"/>
              </w:rPr>
              <w:t>68516</w:t>
            </w:r>
          </w:p>
        </w:tc>
        <w:tc>
          <w:tcPr>
            <w:tcW w:w="851" w:type="dxa"/>
            <w:tcBorders>
              <w:bottom w:val="single" w:sz="4" w:space="0" w:color="auto"/>
            </w:tcBorders>
          </w:tcPr>
          <w:p w14:paraId="058A4B6E" w14:textId="77777777" w:rsidR="0052730F" w:rsidRPr="00924B3A" w:rsidRDefault="0052730F">
            <w:pPr>
              <w:jc w:val="center"/>
              <w:rPr>
                <w:rFonts w:ascii="Times" w:hAnsi="Times"/>
                <w:sz w:val="16"/>
                <w:szCs w:val="18"/>
              </w:rPr>
            </w:pPr>
          </w:p>
        </w:tc>
        <w:tc>
          <w:tcPr>
            <w:tcW w:w="992" w:type="dxa"/>
            <w:tcBorders>
              <w:bottom w:val="single" w:sz="4" w:space="0" w:color="auto"/>
            </w:tcBorders>
            <w:shd w:val="clear" w:color="auto" w:fill="auto"/>
          </w:tcPr>
          <w:p w14:paraId="257C6479" w14:textId="77777777" w:rsidR="0052730F" w:rsidRPr="00924B3A" w:rsidRDefault="0052730F" w:rsidP="0052730F">
            <w:pPr>
              <w:jc w:val="center"/>
              <w:rPr>
                <w:rFonts w:ascii="Times" w:hAnsi="Times"/>
                <w:sz w:val="16"/>
                <w:szCs w:val="18"/>
              </w:rPr>
            </w:pPr>
          </w:p>
        </w:tc>
        <w:tc>
          <w:tcPr>
            <w:tcW w:w="567" w:type="dxa"/>
            <w:tcBorders>
              <w:bottom w:val="single" w:sz="4" w:space="0" w:color="auto"/>
            </w:tcBorders>
            <w:shd w:val="clear" w:color="auto" w:fill="auto"/>
          </w:tcPr>
          <w:p w14:paraId="30274190" w14:textId="77777777" w:rsidR="0052730F" w:rsidRPr="00924B3A" w:rsidRDefault="0052730F" w:rsidP="0052730F">
            <w:pPr>
              <w:jc w:val="center"/>
              <w:rPr>
                <w:rFonts w:ascii="Times" w:hAnsi="Times"/>
                <w:sz w:val="16"/>
              </w:rPr>
            </w:pPr>
          </w:p>
        </w:tc>
      </w:tr>
      <w:tr w:rsidR="0052730F" w:rsidRPr="00DF079E" w14:paraId="5E281B8E" w14:textId="77777777" w:rsidTr="0052730F">
        <w:trPr>
          <w:jc w:val="center"/>
        </w:trPr>
        <w:tc>
          <w:tcPr>
            <w:tcW w:w="1242" w:type="dxa"/>
            <w:tcBorders>
              <w:top w:val="single" w:sz="4" w:space="0" w:color="auto"/>
            </w:tcBorders>
            <w:shd w:val="clear" w:color="auto" w:fill="auto"/>
          </w:tcPr>
          <w:p w14:paraId="578D38D2" w14:textId="77777777" w:rsidR="0052730F" w:rsidRPr="00924B3A" w:rsidRDefault="0052730F" w:rsidP="0052730F">
            <w:pPr>
              <w:jc w:val="center"/>
              <w:rPr>
                <w:rFonts w:ascii="Times" w:hAnsi="Times"/>
                <w:i/>
                <w:sz w:val="16"/>
              </w:rPr>
            </w:pPr>
            <w:r w:rsidRPr="00924B3A">
              <w:rPr>
                <w:rFonts w:ascii="Times" w:hAnsi="Times"/>
                <w:i/>
                <w:sz w:val="16"/>
              </w:rPr>
              <w:t>E. cicutarium</w:t>
            </w:r>
          </w:p>
        </w:tc>
        <w:tc>
          <w:tcPr>
            <w:tcW w:w="1134" w:type="dxa"/>
            <w:tcBorders>
              <w:top w:val="single" w:sz="4" w:space="0" w:color="auto"/>
            </w:tcBorders>
            <w:shd w:val="clear" w:color="auto" w:fill="auto"/>
          </w:tcPr>
          <w:p w14:paraId="5FC9A422" w14:textId="77777777" w:rsidR="0052730F" w:rsidRPr="00924B3A" w:rsidRDefault="0052730F" w:rsidP="0052730F">
            <w:pPr>
              <w:jc w:val="center"/>
              <w:rPr>
                <w:rFonts w:ascii="Times" w:hAnsi="Times"/>
                <w:sz w:val="16"/>
              </w:rPr>
            </w:pPr>
            <w:r w:rsidRPr="00924B3A">
              <w:rPr>
                <w:rFonts w:ascii="Times" w:hAnsi="Times"/>
                <w:sz w:val="16"/>
              </w:rPr>
              <w:t>Population</w:t>
            </w:r>
          </w:p>
        </w:tc>
        <w:tc>
          <w:tcPr>
            <w:tcW w:w="426" w:type="dxa"/>
            <w:tcBorders>
              <w:top w:val="single" w:sz="4" w:space="0" w:color="auto"/>
            </w:tcBorders>
            <w:shd w:val="clear" w:color="auto" w:fill="auto"/>
          </w:tcPr>
          <w:p w14:paraId="55AA9001" w14:textId="77777777" w:rsidR="0052730F" w:rsidRPr="00924B3A" w:rsidRDefault="0052730F" w:rsidP="0052730F">
            <w:pPr>
              <w:jc w:val="center"/>
              <w:rPr>
                <w:rFonts w:ascii="Times" w:hAnsi="Times"/>
                <w:sz w:val="16"/>
              </w:rPr>
            </w:pPr>
            <w:r w:rsidRPr="00924B3A">
              <w:rPr>
                <w:rFonts w:ascii="Times" w:hAnsi="Times"/>
                <w:sz w:val="16"/>
              </w:rPr>
              <w:t>4</w:t>
            </w:r>
          </w:p>
        </w:tc>
        <w:tc>
          <w:tcPr>
            <w:tcW w:w="850" w:type="dxa"/>
            <w:tcBorders>
              <w:top w:val="single" w:sz="4" w:space="0" w:color="auto"/>
            </w:tcBorders>
            <w:shd w:val="clear" w:color="auto" w:fill="auto"/>
          </w:tcPr>
          <w:p w14:paraId="0B636689" w14:textId="77777777" w:rsidR="0052730F" w:rsidRPr="00924B3A" w:rsidRDefault="0052730F" w:rsidP="0052730F">
            <w:pPr>
              <w:jc w:val="center"/>
              <w:rPr>
                <w:rFonts w:ascii="Times" w:hAnsi="Times"/>
                <w:sz w:val="16"/>
                <w:szCs w:val="18"/>
              </w:rPr>
            </w:pPr>
            <w:r w:rsidRPr="00924B3A">
              <w:rPr>
                <w:rFonts w:ascii="Times" w:hAnsi="Times"/>
                <w:sz w:val="16"/>
                <w:szCs w:val="18"/>
              </w:rPr>
              <w:t xml:space="preserve">3569.1       </w:t>
            </w:r>
          </w:p>
        </w:tc>
        <w:tc>
          <w:tcPr>
            <w:tcW w:w="709" w:type="dxa"/>
            <w:tcBorders>
              <w:top w:val="single" w:sz="4" w:space="0" w:color="auto"/>
            </w:tcBorders>
            <w:shd w:val="clear" w:color="auto" w:fill="auto"/>
          </w:tcPr>
          <w:p w14:paraId="7F614605" w14:textId="77777777" w:rsidR="0052730F" w:rsidRPr="00924B3A" w:rsidRDefault="0052730F">
            <w:pPr>
              <w:jc w:val="center"/>
              <w:rPr>
                <w:rFonts w:ascii="Times" w:hAnsi="Times"/>
                <w:sz w:val="16"/>
                <w:szCs w:val="18"/>
              </w:rPr>
            </w:pPr>
            <w:r w:rsidRPr="00924B3A">
              <w:rPr>
                <w:rFonts w:ascii="Times" w:hAnsi="Times"/>
                <w:sz w:val="16"/>
                <w:szCs w:val="18"/>
              </w:rPr>
              <w:t>628</w:t>
            </w:r>
          </w:p>
        </w:tc>
        <w:tc>
          <w:tcPr>
            <w:tcW w:w="850" w:type="dxa"/>
            <w:tcBorders>
              <w:top w:val="single" w:sz="4" w:space="0" w:color="auto"/>
            </w:tcBorders>
            <w:shd w:val="clear" w:color="auto" w:fill="auto"/>
          </w:tcPr>
          <w:p w14:paraId="51C82D1E" w14:textId="77777777" w:rsidR="0052730F" w:rsidRPr="00924B3A" w:rsidRDefault="0052730F" w:rsidP="0052730F">
            <w:pPr>
              <w:jc w:val="center"/>
              <w:rPr>
                <w:rFonts w:ascii="Times" w:hAnsi="Times"/>
                <w:sz w:val="16"/>
              </w:rPr>
            </w:pPr>
            <w:r w:rsidRPr="00924B3A">
              <w:rPr>
                <w:rFonts w:ascii="Times" w:hAnsi="Times"/>
                <w:sz w:val="16"/>
                <w:szCs w:val="18"/>
              </w:rPr>
              <w:t>7475.2</w:t>
            </w:r>
          </w:p>
        </w:tc>
        <w:tc>
          <w:tcPr>
            <w:tcW w:w="851" w:type="dxa"/>
            <w:tcBorders>
              <w:top w:val="single" w:sz="4" w:space="0" w:color="auto"/>
            </w:tcBorders>
          </w:tcPr>
          <w:p w14:paraId="0777C91E" w14:textId="77777777" w:rsidR="0052730F" w:rsidRPr="00924B3A" w:rsidRDefault="0052730F">
            <w:pPr>
              <w:jc w:val="center"/>
              <w:rPr>
                <w:rFonts w:ascii="Times" w:hAnsi="Times"/>
                <w:sz w:val="16"/>
                <w:szCs w:val="18"/>
              </w:rPr>
            </w:pPr>
            <w:r w:rsidRPr="00924B3A">
              <w:rPr>
                <w:rFonts w:ascii="Times" w:hAnsi="Times"/>
                <w:sz w:val="16"/>
                <w:szCs w:val="18"/>
              </w:rPr>
              <w:t>66.8939</w:t>
            </w:r>
          </w:p>
        </w:tc>
        <w:tc>
          <w:tcPr>
            <w:tcW w:w="992" w:type="dxa"/>
            <w:tcBorders>
              <w:top w:val="single" w:sz="4" w:space="0" w:color="auto"/>
            </w:tcBorders>
            <w:shd w:val="clear" w:color="auto" w:fill="auto"/>
          </w:tcPr>
          <w:p w14:paraId="196B48FC" w14:textId="77777777" w:rsidR="0052730F" w:rsidRPr="00924B3A" w:rsidRDefault="0052730F" w:rsidP="0052730F">
            <w:pPr>
              <w:jc w:val="center"/>
              <w:rPr>
                <w:rFonts w:ascii="Times" w:hAnsi="Times"/>
                <w:sz w:val="16"/>
                <w:szCs w:val="18"/>
              </w:rPr>
            </w:pPr>
            <w:r w:rsidRPr="00924B3A">
              <w:rPr>
                <w:rFonts w:ascii="Times" w:hAnsi="Times"/>
                <w:sz w:val="16"/>
                <w:szCs w:val="18"/>
              </w:rPr>
              <w:t>&lt;2e-16</w:t>
            </w:r>
          </w:p>
        </w:tc>
        <w:tc>
          <w:tcPr>
            <w:tcW w:w="567" w:type="dxa"/>
            <w:tcBorders>
              <w:top w:val="single" w:sz="4" w:space="0" w:color="auto"/>
            </w:tcBorders>
            <w:shd w:val="clear" w:color="auto" w:fill="auto"/>
          </w:tcPr>
          <w:p w14:paraId="43DBB128" w14:textId="77777777" w:rsidR="0052730F" w:rsidRPr="00924B3A" w:rsidRDefault="0052730F" w:rsidP="0052730F">
            <w:pPr>
              <w:jc w:val="center"/>
              <w:rPr>
                <w:rFonts w:ascii="Times" w:hAnsi="Times"/>
                <w:sz w:val="16"/>
              </w:rPr>
            </w:pPr>
            <w:r w:rsidRPr="00924B3A">
              <w:rPr>
                <w:rFonts w:ascii="Times" w:hAnsi="Times"/>
                <w:sz w:val="16"/>
                <w:szCs w:val="18"/>
              </w:rPr>
              <w:t>***</w:t>
            </w:r>
          </w:p>
        </w:tc>
      </w:tr>
      <w:tr w:rsidR="0052730F" w:rsidRPr="00DF079E" w14:paraId="2753A025" w14:textId="77777777" w:rsidTr="0052730F">
        <w:trPr>
          <w:jc w:val="center"/>
        </w:trPr>
        <w:tc>
          <w:tcPr>
            <w:tcW w:w="1242" w:type="dxa"/>
            <w:shd w:val="clear" w:color="auto" w:fill="auto"/>
          </w:tcPr>
          <w:p w14:paraId="43B5F020" w14:textId="77777777" w:rsidR="0052730F" w:rsidRPr="00924B3A" w:rsidRDefault="0052730F" w:rsidP="0052730F">
            <w:pPr>
              <w:jc w:val="center"/>
              <w:rPr>
                <w:rFonts w:ascii="Times" w:hAnsi="Times"/>
                <w:i/>
                <w:sz w:val="16"/>
              </w:rPr>
            </w:pPr>
          </w:p>
        </w:tc>
        <w:tc>
          <w:tcPr>
            <w:tcW w:w="1134" w:type="dxa"/>
            <w:shd w:val="clear" w:color="auto" w:fill="auto"/>
          </w:tcPr>
          <w:p w14:paraId="35C9D7CA" w14:textId="77777777" w:rsidR="0052730F" w:rsidRPr="00924B3A" w:rsidRDefault="0052730F" w:rsidP="0052730F">
            <w:pPr>
              <w:jc w:val="center"/>
              <w:rPr>
                <w:rFonts w:ascii="Times" w:hAnsi="Times"/>
                <w:sz w:val="16"/>
              </w:rPr>
            </w:pPr>
            <w:r w:rsidRPr="00924B3A">
              <w:rPr>
                <w:rFonts w:ascii="Times" w:hAnsi="Times"/>
                <w:sz w:val="16"/>
              </w:rPr>
              <w:t>Aspect</w:t>
            </w:r>
          </w:p>
        </w:tc>
        <w:tc>
          <w:tcPr>
            <w:tcW w:w="426" w:type="dxa"/>
            <w:shd w:val="clear" w:color="auto" w:fill="auto"/>
          </w:tcPr>
          <w:p w14:paraId="1B6823E5" w14:textId="77777777" w:rsidR="0052730F" w:rsidRPr="00924B3A" w:rsidRDefault="0052730F" w:rsidP="0052730F">
            <w:pPr>
              <w:jc w:val="center"/>
              <w:rPr>
                <w:rFonts w:ascii="Times" w:hAnsi="Times"/>
                <w:sz w:val="16"/>
              </w:rPr>
            </w:pPr>
            <w:r w:rsidRPr="00924B3A">
              <w:rPr>
                <w:rFonts w:ascii="Times" w:hAnsi="Times"/>
                <w:sz w:val="16"/>
                <w:szCs w:val="18"/>
              </w:rPr>
              <w:t>2</w:t>
            </w:r>
          </w:p>
        </w:tc>
        <w:tc>
          <w:tcPr>
            <w:tcW w:w="850" w:type="dxa"/>
            <w:shd w:val="clear" w:color="auto" w:fill="auto"/>
          </w:tcPr>
          <w:p w14:paraId="0535D4EC" w14:textId="77777777" w:rsidR="0052730F" w:rsidRPr="00924B3A" w:rsidRDefault="0052730F" w:rsidP="0052730F">
            <w:pPr>
              <w:jc w:val="center"/>
              <w:rPr>
                <w:rFonts w:ascii="Times" w:hAnsi="Times"/>
                <w:sz w:val="16"/>
                <w:szCs w:val="18"/>
              </w:rPr>
            </w:pPr>
            <w:r w:rsidRPr="00924B3A">
              <w:rPr>
                <w:rFonts w:ascii="Times" w:hAnsi="Times"/>
                <w:sz w:val="16"/>
                <w:szCs w:val="18"/>
              </w:rPr>
              <w:t>2.5</w:t>
            </w:r>
          </w:p>
        </w:tc>
        <w:tc>
          <w:tcPr>
            <w:tcW w:w="709" w:type="dxa"/>
            <w:shd w:val="clear" w:color="auto" w:fill="auto"/>
          </w:tcPr>
          <w:p w14:paraId="7D361535" w14:textId="77777777" w:rsidR="0052730F" w:rsidRPr="00924B3A" w:rsidRDefault="0052730F">
            <w:pPr>
              <w:jc w:val="center"/>
              <w:rPr>
                <w:rFonts w:ascii="Times" w:hAnsi="Times"/>
                <w:sz w:val="16"/>
                <w:szCs w:val="18"/>
              </w:rPr>
            </w:pPr>
            <w:r w:rsidRPr="00924B3A">
              <w:rPr>
                <w:rFonts w:ascii="Times" w:hAnsi="Times"/>
                <w:sz w:val="16"/>
                <w:szCs w:val="18"/>
              </w:rPr>
              <w:t>626</w:t>
            </w:r>
          </w:p>
        </w:tc>
        <w:tc>
          <w:tcPr>
            <w:tcW w:w="850" w:type="dxa"/>
            <w:shd w:val="clear" w:color="auto" w:fill="auto"/>
          </w:tcPr>
          <w:p w14:paraId="1ED88A4B" w14:textId="77777777" w:rsidR="0052730F" w:rsidRPr="00924B3A" w:rsidRDefault="0052730F" w:rsidP="0052730F">
            <w:pPr>
              <w:jc w:val="center"/>
              <w:rPr>
                <w:rFonts w:ascii="Times" w:hAnsi="Times"/>
                <w:sz w:val="16"/>
              </w:rPr>
            </w:pPr>
            <w:r w:rsidRPr="00924B3A">
              <w:rPr>
                <w:rFonts w:ascii="Times" w:hAnsi="Times"/>
                <w:sz w:val="16"/>
                <w:szCs w:val="18"/>
              </w:rPr>
              <w:t>7472.7</w:t>
            </w:r>
          </w:p>
        </w:tc>
        <w:tc>
          <w:tcPr>
            <w:tcW w:w="851" w:type="dxa"/>
          </w:tcPr>
          <w:p w14:paraId="743E126B" w14:textId="77777777" w:rsidR="0052730F" w:rsidRPr="00924B3A" w:rsidRDefault="0052730F">
            <w:pPr>
              <w:jc w:val="center"/>
              <w:rPr>
                <w:rFonts w:ascii="Times" w:hAnsi="Times"/>
                <w:sz w:val="16"/>
                <w:szCs w:val="18"/>
              </w:rPr>
            </w:pPr>
            <w:r w:rsidRPr="00924B3A">
              <w:rPr>
                <w:rFonts w:ascii="Times" w:hAnsi="Times"/>
                <w:sz w:val="16"/>
                <w:szCs w:val="18"/>
              </w:rPr>
              <w:t>0.0947</w:t>
            </w:r>
          </w:p>
        </w:tc>
        <w:tc>
          <w:tcPr>
            <w:tcW w:w="992" w:type="dxa"/>
            <w:shd w:val="clear" w:color="auto" w:fill="auto"/>
          </w:tcPr>
          <w:p w14:paraId="0C559566" w14:textId="77777777" w:rsidR="0052730F" w:rsidRPr="00924B3A" w:rsidRDefault="0052730F" w:rsidP="0052730F">
            <w:pPr>
              <w:jc w:val="center"/>
              <w:rPr>
                <w:rFonts w:ascii="Times" w:hAnsi="Times"/>
                <w:sz w:val="16"/>
                <w:szCs w:val="18"/>
              </w:rPr>
            </w:pPr>
            <w:r w:rsidRPr="00924B3A">
              <w:rPr>
                <w:rFonts w:ascii="Times" w:hAnsi="Times"/>
                <w:sz w:val="16"/>
                <w:szCs w:val="18"/>
              </w:rPr>
              <w:t>0.9097</w:t>
            </w:r>
          </w:p>
        </w:tc>
        <w:tc>
          <w:tcPr>
            <w:tcW w:w="567" w:type="dxa"/>
            <w:shd w:val="clear" w:color="auto" w:fill="auto"/>
          </w:tcPr>
          <w:p w14:paraId="4A512DB7" w14:textId="77777777" w:rsidR="0052730F" w:rsidRPr="00924B3A" w:rsidRDefault="0052730F" w:rsidP="0052730F">
            <w:pPr>
              <w:jc w:val="center"/>
              <w:rPr>
                <w:rFonts w:ascii="Times" w:hAnsi="Times"/>
                <w:sz w:val="16"/>
              </w:rPr>
            </w:pPr>
          </w:p>
        </w:tc>
      </w:tr>
      <w:tr w:rsidR="0052730F" w:rsidRPr="00DF079E" w14:paraId="4AB023E8" w14:textId="77777777" w:rsidTr="0052730F">
        <w:trPr>
          <w:jc w:val="center"/>
        </w:trPr>
        <w:tc>
          <w:tcPr>
            <w:tcW w:w="1242" w:type="dxa"/>
            <w:shd w:val="clear" w:color="auto" w:fill="auto"/>
          </w:tcPr>
          <w:p w14:paraId="4E337D0A" w14:textId="77777777" w:rsidR="0052730F" w:rsidRPr="00924B3A" w:rsidRDefault="0052730F" w:rsidP="0052730F">
            <w:pPr>
              <w:jc w:val="center"/>
              <w:rPr>
                <w:rFonts w:ascii="Times" w:hAnsi="Times"/>
                <w:i/>
                <w:sz w:val="16"/>
              </w:rPr>
            </w:pPr>
          </w:p>
        </w:tc>
        <w:tc>
          <w:tcPr>
            <w:tcW w:w="1134" w:type="dxa"/>
            <w:shd w:val="clear" w:color="auto" w:fill="auto"/>
          </w:tcPr>
          <w:p w14:paraId="2850BB0E" w14:textId="77777777" w:rsidR="0052730F" w:rsidRPr="00924B3A" w:rsidRDefault="0052730F" w:rsidP="0052730F">
            <w:pPr>
              <w:jc w:val="center"/>
              <w:rPr>
                <w:rFonts w:ascii="Times" w:hAnsi="Times"/>
                <w:sz w:val="16"/>
              </w:rPr>
            </w:pPr>
            <w:r w:rsidRPr="00924B3A">
              <w:rPr>
                <w:rFonts w:ascii="Times" w:hAnsi="Times"/>
                <w:sz w:val="16"/>
              </w:rPr>
              <w:t>Pop * Aspect</w:t>
            </w:r>
          </w:p>
        </w:tc>
        <w:tc>
          <w:tcPr>
            <w:tcW w:w="426" w:type="dxa"/>
            <w:shd w:val="clear" w:color="auto" w:fill="auto"/>
          </w:tcPr>
          <w:p w14:paraId="3C24DA6F" w14:textId="77777777" w:rsidR="0052730F" w:rsidRPr="00924B3A" w:rsidRDefault="0052730F" w:rsidP="0052730F">
            <w:pPr>
              <w:jc w:val="center"/>
              <w:rPr>
                <w:rFonts w:ascii="Times" w:hAnsi="Times"/>
                <w:sz w:val="16"/>
              </w:rPr>
            </w:pPr>
            <w:r w:rsidRPr="00924B3A">
              <w:rPr>
                <w:rFonts w:ascii="Times" w:hAnsi="Times"/>
                <w:sz w:val="16"/>
                <w:szCs w:val="18"/>
              </w:rPr>
              <w:t>8</w:t>
            </w:r>
          </w:p>
        </w:tc>
        <w:tc>
          <w:tcPr>
            <w:tcW w:w="850" w:type="dxa"/>
            <w:shd w:val="clear" w:color="auto" w:fill="auto"/>
          </w:tcPr>
          <w:p w14:paraId="6CDC9FB3" w14:textId="77777777" w:rsidR="0052730F" w:rsidRPr="00924B3A" w:rsidRDefault="0052730F" w:rsidP="0052730F">
            <w:pPr>
              <w:jc w:val="center"/>
              <w:rPr>
                <w:rFonts w:ascii="Times" w:hAnsi="Times"/>
                <w:sz w:val="16"/>
                <w:szCs w:val="18"/>
              </w:rPr>
            </w:pPr>
            <w:r w:rsidRPr="00924B3A">
              <w:rPr>
                <w:rFonts w:ascii="Times" w:hAnsi="Times"/>
                <w:sz w:val="16"/>
                <w:szCs w:val="18"/>
              </w:rPr>
              <w:t>127.9</w:t>
            </w:r>
          </w:p>
        </w:tc>
        <w:tc>
          <w:tcPr>
            <w:tcW w:w="709" w:type="dxa"/>
            <w:shd w:val="clear" w:color="auto" w:fill="auto"/>
          </w:tcPr>
          <w:p w14:paraId="66E78BE3" w14:textId="77777777" w:rsidR="0052730F" w:rsidRPr="00924B3A" w:rsidRDefault="0052730F">
            <w:pPr>
              <w:jc w:val="center"/>
              <w:rPr>
                <w:rFonts w:ascii="Times" w:hAnsi="Times"/>
                <w:sz w:val="16"/>
                <w:szCs w:val="18"/>
              </w:rPr>
            </w:pPr>
            <w:r w:rsidRPr="00924B3A">
              <w:rPr>
                <w:rFonts w:ascii="Times" w:hAnsi="Times"/>
                <w:sz w:val="16"/>
                <w:szCs w:val="18"/>
              </w:rPr>
              <w:t>618</w:t>
            </w:r>
          </w:p>
        </w:tc>
        <w:tc>
          <w:tcPr>
            <w:tcW w:w="850" w:type="dxa"/>
            <w:shd w:val="clear" w:color="auto" w:fill="auto"/>
          </w:tcPr>
          <w:p w14:paraId="5BEE7907" w14:textId="77777777" w:rsidR="0052730F" w:rsidRPr="00924B3A" w:rsidRDefault="0052730F" w:rsidP="0052730F">
            <w:pPr>
              <w:jc w:val="center"/>
              <w:rPr>
                <w:rFonts w:ascii="Times" w:hAnsi="Times"/>
                <w:sz w:val="16"/>
              </w:rPr>
            </w:pPr>
            <w:r w:rsidRPr="00924B3A">
              <w:rPr>
                <w:rFonts w:ascii="Times" w:hAnsi="Times"/>
                <w:sz w:val="16"/>
                <w:szCs w:val="18"/>
              </w:rPr>
              <w:t>7344.8</w:t>
            </w:r>
          </w:p>
        </w:tc>
        <w:tc>
          <w:tcPr>
            <w:tcW w:w="851" w:type="dxa"/>
          </w:tcPr>
          <w:p w14:paraId="66A5DB28" w14:textId="77777777" w:rsidR="0052730F" w:rsidRPr="00924B3A" w:rsidRDefault="0052730F">
            <w:pPr>
              <w:jc w:val="center"/>
              <w:rPr>
                <w:rFonts w:ascii="Times" w:hAnsi="Times"/>
                <w:sz w:val="16"/>
                <w:szCs w:val="18"/>
              </w:rPr>
            </w:pPr>
            <w:r w:rsidRPr="00924B3A">
              <w:rPr>
                <w:rFonts w:ascii="Times" w:hAnsi="Times"/>
                <w:sz w:val="16"/>
                <w:szCs w:val="18"/>
              </w:rPr>
              <w:t>1.1981</w:t>
            </w:r>
          </w:p>
        </w:tc>
        <w:tc>
          <w:tcPr>
            <w:tcW w:w="992" w:type="dxa"/>
            <w:shd w:val="clear" w:color="auto" w:fill="auto"/>
          </w:tcPr>
          <w:p w14:paraId="03D570AA" w14:textId="77777777" w:rsidR="0052730F" w:rsidRPr="00924B3A" w:rsidRDefault="0052730F" w:rsidP="0052730F">
            <w:pPr>
              <w:jc w:val="center"/>
              <w:rPr>
                <w:rFonts w:ascii="Times" w:hAnsi="Times"/>
                <w:sz w:val="16"/>
                <w:szCs w:val="18"/>
              </w:rPr>
            </w:pPr>
            <w:r w:rsidRPr="00924B3A">
              <w:rPr>
                <w:rFonts w:ascii="Times" w:hAnsi="Times"/>
                <w:sz w:val="16"/>
                <w:szCs w:val="18"/>
              </w:rPr>
              <w:t>0.2975</w:t>
            </w:r>
          </w:p>
        </w:tc>
        <w:tc>
          <w:tcPr>
            <w:tcW w:w="567" w:type="dxa"/>
            <w:shd w:val="clear" w:color="auto" w:fill="auto"/>
          </w:tcPr>
          <w:p w14:paraId="2E4FE926" w14:textId="77777777" w:rsidR="0052730F" w:rsidRPr="00924B3A" w:rsidRDefault="0052730F" w:rsidP="0052730F">
            <w:pPr>
              <w:jc w:val="center"/>
              <w:rPr>
                <w:rFonts w:ascii="Times" w:hAnsi="Times"/>
                <w:sz w:val="16"/>
              </w:rPr>
            </w:pPr>
          </w:p>
        </w:tc>
      </w:tr>
      <w:tr w:rsidR="0052730F" w:rsidRPr="00DF079E" w14:paraId="09F2C279" w14:textId="77777777" w:rsidTr="0052730F">
        <w:trPr>
          <w:jc w:val="center"/>
        </w:trPr>
        <w:tc>
          <w:tcPr>
            <w:tcW w:w="1242" w:type="dxa"/>
            <w:shd w:val="clear" w:color="auto" w:fill="auto"/>
          </w:tcPr>
          <w:p w14:paraId="625E5199" w14:textId="77777777" w:rsidR="0052730F" w:rsidRPr="00924B3A" w:rsidRDefault="0052730F" w:rsidP="0052730F">
            <w:pPr>
              <w:jc w:val="center"/>
              <w:rPr>
                <w:rFonts w:ascii="Times" w:hAnsi="Times"/>
                <w:i/>
                <w:sz w:val="16"/>
              </w:rPr>
            </w:pPr>
          </w:p>
        </w:tc>
        <w:tc>
          <w:tcPr>
            <w:tcW w:w="1134" w:type="dxa"/>
            <w:shd w:val="clear" w:color="auto" w:fill="auto"/>
          </w:tcPr>
          <w:p w14:paraId="576D3E03" w14:textId="77777777" w:rsidR="0052730F" w:rsidRPr="00924B3A" w:rsidRDefault="0052730F" w:rsidP="0052730F">
            <w:pPr>
              <w:jc w:val="center"/>
              <w:rPr>
                <w:rFonts w:ascii="Times" w:hAnsi="Times"/>
                <w:sz w:val="16"/>
              </w:rPr>
            </w:pPr>
            <w:r w:rsidRPr="00924B3A">
              <w:rPr>
                <w:rFonts w:ascii="Times" w:hAnsi="Times"/>
                <w:sz w:val="16"/>
              </w:rPr>
              <w:t>Error</w:t>
            </w:r>
          </w:p>
        </w:tc>
        <w:tc>
          <w:tcPr>
            <w:tcW w:w="426" w:type="dxa"/>
            <w:shd w:val="clear" w:color="auto" w:fill="auto"/>
          </w:tcPr>
          <w:p w14:paraId="14F0D45B" w14:textId="77777777" w:rsidR="0052730F" w:rsidRPr="00924B3A" w:rsidRDefault="0052730F" w:rsidP="0052730F">
            <w:pPr>
              <w:jc w:val="center"/>
              <w:rPr>
                <w:rFonts w:ascii="Times" w:hAnsi="Times"/>
                <w:sz w:val="16"/>
              </w:rPr>
            </w:pPr>
          </w:p>
        </w:tc>
        <w:tc>
          <w:tcPr>
            <w:tcW w:w="850" w:type="dxa"/>
            <w:shd w:val="clear" w:color="auto" w:fill="auto"/>
          </w:tcPr>
          <w:p w14:paraId="760F63AC" w14:textId="77777777" w:rsidR="0052730F" w:rsidRPr="00924B3A" w:rsidRDefault="0052730F" w:rsidP="0052730F">
            <w:pPr>
              <w:jc w:val="center"/>
              <w:rPr>
                <w:rFonts w:ascii="Times" w:hAnsi="Times"/>
                <w:sz w:val="16"/>
                <w:szCs w:val="18"/>
              </w:rPr>
            </w:pPr>
          </w:p>
        </w:tc>
        <w:tc>
          <w:tcPr>
            <w:tcW w:w="709" w:type="dxa"/>
            <w:shd w:val="clear" w:color="auto" w:fill="auto"/>
          </w:tcPr>
          <w:p w14:paraId="476FBBAA" w14:textId="77777777" w:rsidR="0052730F" w:rsidRPr="00924B3A" w:rsidRDefault="0052730F" w:rsidP="0052730F">
            <w:pPr>
              <w:jc w:val="center"/>
              <w:rPr>
                <w:rFonts w:ascii="Times" w:hAnsi="Times"/>
                <w:sz w:val="16"/>
                <w:szCs w:val="18"/>
              </w:rPr>
            </w:pPr>
            <w:r w:rsidRPr="00924B3A">
              <w:rPr>
                <w:rFonts w:ascii="Times" w:hAnsi="Times"/>
                <w:sz w:val="16"/>
                <w:szCs w:val="18"/>
              </w:rPr>
              <w:t xml:space="preserve">632    </w:t>
            </w:r>
          </w:p>
        </w:tc>
        <w:tc>
          <w:tcPr>
            <w:tcW w:w="850" w:type="dxa"/>
            <w:shd w:val="clear" w:color="auto" w:fill="auto"/>
          </w:tcPr>
          <w:p w14:paraId="247F3E1A" w14:textId="77777777" w:rsidR="0052730F" w:rsidRPr="00924B3A" w:rsidRDefault="0052730F" w:rsidP="005273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w:hAnsi="Times" w:cs="Monaco"/>
                <w:sz w:val="16"/>
              </w:rPr>
            </w:pPr>
            <w:r w:rsidRPr="00924B3A">
              <w:rPr>
                <w:rFonts w:ascii="Times" w:hAnsi="Times"/>
                <w:sz w:val="16"/>
                <w:szCs w:val="18"/>
              </w:rPr>
              <w:t>11044.3</w:t>
            </w:r>
          </w:p>
        </w:tc>
        <w:tc>
          <w:tcPr>
            <w:tcW w:w="851" w:type="dxa"/>
          </w:tcPr>
          <w:p w14:paraId="407E4104" w14:textId="77777777" w:rsidR="0052730F" w:rsidRPr="00924B3A" w:rsidRDefault="0052730F">
            <w:pPr>
              <w:jc w:val="center"/>
              <w:rPr>
                <w:rFonts w:ascii="Times" w:hAnsi="Times"/>
                <w:sz w:val="16"/>
                <w:szCs w:val="18"/>
              </w:rPr>
            </w:pPr>
          </w:p>
        </w:tc>
        <w:tc>
          <w:tcPr>
            <w:tcW w:w="992" w:type="dxa"/>
            <w:shd w:val="clear" w:color="auto" w:fill="auto"/>
          </w:tcPr>
          <w:p w14:paraId="4690FA90" w14:textId="77777777" w:rsidR="0052730F" w:rsidRPr="00924B3A" w:rsidRDefault="0052730F" w:rsidP="0052730F">
            <w:pPr>
              <w:jc w:val="center"/>
              <w:rPr>
                <w:rFonts w:ascii="Times" w:hAnsi="Times"/>
                <w:sz w:val="16"/>
                <w:szCs w:val="18"/>
              </w:rPr>
            </w:pPr>
          </w:p>
        </w:tc>
        <w:tc>
          <w:tcPr>
            <w:tcW w:w="567" w:type="dxa"/>
            <w:shd w:val="clear" w:color="auto" w:fill="auto"/>
          </w:tcPr>
          <w:p w14:paraId="42E9446C" w14:textId="77777777" w:rsidR="0052730F" w:rsidRPr="00924B3A" w:rsidRDefault="0052730F" w:rsidP="0052730F">
            <w:pPr>
              <w:jc w:val="center"/>
              <w:rPr>
                <w:rFonts w:ascii="Times" w:hAnsi="Times"/>
                <w:sz w:val="16"/>
              </w:rPr>
            </w:pPr>
          </w:p>
        </w:tc>
      </w:tr>
      <w:tr w:rsidR="0052730F" w:rsidRPr="00DF079E" w14:paraId="3964E913" w14:textId="77777777" w:rsidTr="0052730F">
        <w:trPr>
          <w:jc w:val="center"/>
        </w:trPr>
        <w:tc>
          <w:tcPr>
            <w:tcW w:w="1242" w:type="dxa"/>
            <w:tcBorders>
              <w:top w:val="single" w:sz="4" w:space="0" w:color="auto"/>
            </w:tcBorders>
            <w:shd w:val="clear" w:color="auto" w:fill="auto"/>
          </w:tcPr>
          <w:p w14:paraId="411B4A43" w14:textId="77777777" w:rsidR="0052730F" w:rsidRPr="00924B3A" w:rsidRDefault="0052730F" w:rsidP="0052730F">
            <w:pPr>
              <w:jc w:val="center"/>
              <w:rPr>
                <w:rFonts w:ascii="Times" w:hAnsi="Times"/>
                <w:i/>
                <w:sz w:val="16"/>
              </w:rPr>
            </w:pPr>
            <w:r w:rsidRPr="00924B3A">
              <w:rPr>
                <w:rFonts w:ascii="Times" w:hAnsi="Times"/>
                <w:i/>
                <w:sz w:val="16"/>
              </w:rPr>
              <w:t>P. arenarium</w:t>
            </w:r>
          </w:p>
        </w:tc>
        <w:tc>
          <w:tcPr>
            <w:tcW w:w="1134" w:type="dxa"/>
            <w:tcBorders>
              <w:top w:val="single" w:sz="4" w:space="0" w:color="auto"/>
            </w:tcBorders>
            <w:shd w:val="clear" w:color="auto" w:fill="auto"/>
          </w:tcPr>
          <w:p w14:paraId="4EFCCFEB" w14:textId="77777777" w:rsidR="0052730F" w:rsidRPr="00924B3A" w:rsidRDefault="0052730F" w:rsidP="0052730F">
            <w:pPr>
              <w:jc w:val="center"/>
              <w:rPr>
                <w:rFonts w:ascii="Times" w:hAnsi="Times"/>
                <w:sz w:val="16"/>
              </w:rPr>
            </w:pPr>
            <w:r w:rsidRPr="00924B3A">
              <w:rPr>
                <w:rFonts w:ascii="Times" w:hAnsi="Times"/>
                <w:sz w:val="16"/>
              </w:rPr>
              <w:t>Population</w:t>
            </w:r>
          </w:p>
        </w:tc>
        <w:tc>
          <w:tcPr>
            <w:tcW w:w="426" w:type="dxa"/>
            <w:tcBorders>
              <w:top w:val="single" w:sz="4" w:space="0" w:color="auto"/>
            </w:tcBorders>
            <w:shd w:val="clear" w:color="auto" w:fill="auto"/>
          </w:tcPr>
          <w:p w14:paraId="53C15392" w14:textId="77777777" w:rsidR="0052730F" w:rsidRPr="00924B3A" w:rsidRDefault="0052730F" w:rsidP="0052730F">
            <w:pPr>
              <w:jc w:val="center"/>
              <w:rPr>
                <w:rFonts w:ascii="Times" w:hAnsi="Times"/>
                <w:sz w:val="16"/>
              </w:rPr>
            </w:pPr>
            <w:r w:rsidRPr="00924B3A">
              <w:rPr>
                <w:rFonts w:ascii="Times" w:hAnsi="Times"/>
                <w:sz w:val="16"/>
              </w:rPr>
              <w:t>3</w:t>
            </w:r>
          </w:p>
        </w:tc>
        <w:tc>
          <w:tcPr>
            <w:tcW w:w="850" w:type="dxa"/>
            <w:tcBorders>
              <w:top w:val="single" w:sz="4" w:space="0" w:color="auto"/>
            </w:tcBorders>
            <w:shd w:val="clear" w:color="auto" w:fill="auto"/>
          </w:tcPr>
          <w:p w14:paraId="3AAFE2C7" w14:textId="77777777" w:rsidR="0052730F" w:rsidRPr="00924B3A" w:rsidRDefault="0052730F" w:rsidP="0052730F">
            <w:pPr>
              <w:jc w:val="center"/>
              <w:rPr>
                <w:rFonts w:ascii="Times" w:hAnsi="Times"/>
                <w:sz w:val="16"/>
                <w:szCs w:val="18"/>
              </w:rPr>
            </w:pPr>
            <w:r w:rsidRPr="00924B3A">
              <w:rPr>
                <w:rFonts w:ascii="Times" w:hAnsi="Times"/>
                <w:sz w:val="16"/>
                <w:szCs w:val="18"/>
              </w:rPr>
              <w:t>0.5800</w:t>
            </w:r>
          </w:p>
        </w:tc>
        <w:tc>
          <w:tcPr>
            <w:tcW w:w="709" w:type="dxa"/>
            <w:tcBorders>
              <w:top w:val="single" w:sz="4" w:space="0" w:color="auto"/>
            </w:tcBorders>
            <w:shd w:val="clear" w:color="auto" w:fill="auto"/>
          </w:tcPr>
          <w:p w14:paraId="089BC4DD" w14:textId="77777777" w:rsidR="0052730F" w:rsidRPr="00924B3A" w:rsidRDefault="0052730F">
            <w:pPr>
              <w:jc w:val="center"/>
              <w:rPr>
                <w:rFonts w:ascii="Times" w:hAnsi="Times"/>
                <w:sz w:val="16"/>
                <w:szCs w:val="18"/>
              </w:rPr>
            </w:pPr>
            <w:r w:rsidRPr="00924B3A">
              <w:rPr>
                <w:rFonts w:ascii="Times" w:hAnsi="Times"/>
                <w:sz w:val="16"/>
                <w:szCs w:val="18"/>
              </w:rPr>
              <w:t>569</w:t>
            </w:r>
          </w:p>
        </w:tc>
        <w:tc>
          <w:tcPr>
            <w:tcW w:w="850" w:type="dxa"/>
            <w:tcBorders>
              <w:top w:val="single" w:sz="4" w:space="0" w:color="auto"/>
            </w:tcBorders>
            <w:shd w:val="clear" w:color="auto" w:fill="auto"/>
          </w:tcPr>
          <w:p w14:paraId="5ADBFA38" w14:textId="77777777" w:rsidR="0052730F" w:rsidRPr="00924B3A" w:rsidRDefault="0052730F" w:rsidP="0052730F">
            <w:pPr>
              <w:jc w:val="center"/>
              <w:rPr>
                <w:rFonts w:ascii="Times" w:hAnsi="Times"/>
                <w:sz w:val="16"/>
              </w:rPr>
            </w:pPr>
            <w:r w:rsidRPr="00924B3A">
              <w:rPr>
                <w:rFonts w:ascii="Times" w:hAnsi="Times"/>
                <w:sz w:val="16"/>
                <w:szCs w:val="18"/>
              </w:rPr>
              <w:t>11952</w:t>
            </w:r>
          </w:p>
        </w:tc>
        <w:tc>
          <w:tcPr>
            <w:tcW w:w="851" w:type="dxa"/>
            <w:tcBorders>
              <w:top w:val="single" w:sz="4" w:space="0" w:color="auto"/>
            </w:tcBorders>
          </w:tcPr>
          <w:p w14:paraId="441B2F6E" w14:textId="77777777" w:rsidR="0052730F" w:rsidRPr="00924B3A" w:rsidRDefault="0052730F">
            <w:pPr>
              <w:jc w:val="center"/>
              <w:rPr>
                <w:rFonts w:ascii="Times" w:hAnsi="Times"/>
                <w:sz w:val="16"/>
                <w:szCs w:val="18"/>
              </w:rPr>
            </w:pPr>
            <w:r w:rsidRPr="00924B3A">
              <w:rPr>
                <w:rFonts w:ascii="Times" w:hAnsi="Times"/>
                <w:sz w:val="16"/>
                <w:szCs w:val="18"/>
              </w:rPr>
              <w:t>20.8938</w:t>
            </w:r>
          </w:p>
        </w:tc>
        <w:tc>
          <w:tcPr>
            <w:tcW w:w="992" w:type="dxa"/>
            <w:tcBorders>
              <w:top w:val="single" w:sz="4" w:space="0" w:color="auto"/>
            </w:tcBorders>
            <w:shd w:val="clear" w:color="auto" w:fill="auto"/>
          </w:tcPr>
          <w:p w14:paraId="61F756D1" w14:textId="77777777" w:rsidR="0052730F" w:rsidRPr="00924B3A" w:rsidRDefault="0052730F" w:rsidP="0052730F">
            <w:pPr>
              <w:jc w:val="center"/>
              <w:rPr>
                <w:rFonts w:ascii="Times" w:hAnsi="Times"/>
                <w:sz w:val="16"/>
                <w:szCs w:val="18"/>
              </w:rPr>
            </w:pPr>
            <w:r w:rsidRPr="00924B3A">
              <w:rPr>
                <w:rFonts w:ascii="Times" w:hAnsi="Times"/>
                <w:sz w:val="16"/>
                <w:szCs w:val="18"/>
              </w:rPr>
              <w:t>7.619e-13</w:t>
            </w:r>
          </w:p>
        </w:tc>
        <w:tc>
          <w:tcPr>
            <w:tcW w:w="567" w:type="dxa"/>
            <w:tcBorders>
              <w:top w:val="single" w:sz="4" w:space="0" w:color="auto"/>
            </w:tcBorders>
            <w:shd w:val="clear" w:color="auto" w:fill="auto"/>
          </w:tcPr>
          <w:p w14:paraId="68CA712E" w14:textId="77777777" w:rsidR="0052730F" w:rsidRPr="00924B3A" w:rsidRDefault="0052730F" w:rsidP="0052730F">
            <w:pPr>
              <w:jc w:val="center"/>
              <w:rPr>
                <w:rFonts w:ascii="Times" w:hAnsi="Times"/>
                <w:sz w:val="16"/>
              </w:rPr>
            </w:pPr>
            <w:r w:rsidRPr="00924B3A">
              <w:rPr>
                <w:rFonts w:ascii="Times" w:hAnsi="Times"/>
                <w:sz w:val="16"/>
                <w:szCs w:val="18"/>
              </w:rPr>
              <w:t>***</w:t>
            </w:r>
          </w:p>
        </w:tc>
      </w:tr>
      <w:tr w:rsidR="0052730F" w:rsidRPr="00DF079E" w14:paraId="5B004803" w14:textId="77777777" w:rsidTr="0052730F">
        <w:trPr>
          <w:jc w:val="center"/>
        </w:trPr>
        <w:tc>
          <w:tcPr>
            <w:tcW w:w="1242" w:type="dxa"/>
            <w:shd w:val="clear" w:color="auto" w:fill="auto"/>
          </w:tcPr>
          <w:p w14:paraId="6F4E3EF0" w14:textId="77777777" w:rsidR="0052730F" w:rsidRPr="00924B3A" w:rsidRDefault="0052730F" w:rsidP="0052730F">
            <w:pPr>
              <w:jc w:val="center"/>
              <w:rPr>
                <w:rFonts w:ascii="Times" w:hAnsi="Times"/>
                <w:i/>
                <w:sz w:val="16"/>
              </w:rPr>
            </w:pPr>
          </w:p>
        </w:tc>
        <w:tc>
          <w:tcPr>
            <w:tcW w:w="1134" w:type="dxa"/>
            <w:shd w:val="clear" w:color="auto" w:fill="auto"/>
          </w:tcPr>
          <w:p w14:paraId="27D17081" w14:textId="77777777" w:rsidR="0052730F" w:rsidRPr="00924B3A" w:rsidRDefault="0052730F" w:rsidP="0052730F">
            <w:pPr>
              <w:jc w:val="center"/>
              <w:rPr>
                <w:rFonts w:ascii="Times" w:hAnsi="Times"/>
                <w:sz w:val="16"/>
              </w:rPr>
            </w:pPr>
            <w:r w:rsidRPr="00924B3A">
              <w:rPr>
                <w:rFonts w:ascii="Times" w:hAnsi="Times"/>
                <w:sz w:val="16"/>
              </w:rPr>
              <w:t>Aspect</w:t>
            </w:r>
          </w:p>
        </w:tc>
        <w:tc>
          <w:tcPr>
            <w:tcW w:w="426" w:type="dxa"/>
            <w:shd w:val="clear" w:color="auto" w:fill="auto"/>
          </w:tcPr>
          <w:p w14:paraId="28D5CD52" w14:textId="77777777" w:rsidR="0052730F" w:rsidRPr="00924B3A" w:rsidRDefault="0052730F" w:rsidP="0052730F">
            <w:pPr>
              <w:jc w:val="center"/>
              <w:rPr>
                <w:rFonts w:ascii="Times" w:hAnsi="Times"/>
                <w:sz w:val="16"/>
              </w:rPr>
            </w:pPr>
            <w:r w:rsidRPr="00924B3A">
              <w:rPr>
                <w:rFonts w:ascii="Times" w:hAnsi="Times"/>
                <w:sz w:val="16"/>
                <w:szCs w:val="18"/>
              </w:rPr>
              <w:t>2</w:t>
            </w:r>
          </w:p>
        </w:tc>
        <w:tc>
          <w:tcPr>
            <w:tcW w:w="850" w:type="dxa"/>
            <w:shd w:val="clear" w:color="auto" w:fill="auto"/>
          </w:tcPr>
          <w:p w14:paraId="2D328F11" w14:textId="77777777" w:rsidR="0052730F" w:rsidRPr="00924B3A" w:rsidRDefault="0052730F" w:rsidP="0052730F">
            <w:pPr>
              <w:jc w:val="center"/>
              <w:rPr>
                <w:rFonts w:ascii="Times" w:hAnsi="Times"/>
                <w:sz w:val="16"/>
                <w:szCs w:val="18"/>
              </w:rPr>
            </w:pPr>
            <w:r w:rsidRPr="00924B3A">
              <w:rPr>
                <w:rFonts w:ascii="Times" w:hAnsi="Times"/>
                <w:sz w:val="16"/>
                <w:szCs w:val="18"/>
              </w:rPr>
              <w:t>47.55</w:t>
            </w:r>
          </w:p>
        </w:tc>
        <w:tc>
          <w:tcPr>
            <w:tcW w:w="709" w:type="dxa"/>
            <w:shd w:val="clear" w:color="auto" w:fill="auto"/>
          </w:tcPr>
          <w:p w14:paraId="07A75592" w14:textId="77777777" w:rsidR="0052730F" w:rsidRPr="00924B3A" w:rsidRDefault="0052730F">
            <w:pPr>
              <w:jc w:val="center"/>
              <w:rPr>
                <w:rFonts w:ascii="Times" w:hAnsi="Times"/>
                <w:sz w:val="16"/>
                <w:szCs w:val="18"/>
              </w:rPr>
            </w:pPr>
            <w:r w:rsidRPr="00924B3A">
              <w:rPr>
                <w:rFonts w:ascii="Times" w:hAnsi="Times"/>
                <w:sz w:val="16"/>
                <w:szCs w:val="18"/>
              </w:rPr>
              <w:t>567</w:t>
            </w:r>
          </w:p>
        </w:tc>
        <w:tc>
          <w:tcPr>
            <w:tcW w:w="850" w:type="dxa"/>
            <w:shd w:val="clear" w:color="auto" w:fill="auto"/>
          </w:tcPr>
          <w:p w14:paraId="398A8613" w14:textId="77777777" w:rsidR="0052730F" w:rsidRPr="00924B3A" w:rsidRDefault="0052730F" w:rsidP="0052730F">
            <w:pPr>
              <w:jc w:val="center"/>
              <w:rPr>
                <w:rFonts w:ascii="Times" w:hAnsi="Times"/>
                <w:sz w:val="16"/>
              </w:rPr>
            </w:pPr>
            <w:r w:rsidRPr="00924B3A">
              <w:rPr>
                <w:rFonts w:ascii="Times" w:hAnsi="Times"/>
                <w:sz w:val="16"/>
                <w:szCs w:val="18"/>
              </w:rPr>
              <w:t>11904</w:t>
            </w:r>
          </w:p>
        </w:tc>
        <w:tc>
          <w:tcPr>
            <w:tcW w:w="851" w:type="dxa"/>
          </w:tcPr>
          <w:p w14:paraId="12465E0C" w14:textId="77777777" w:rsidR="0052730F" w:rsidRPr="00924B3A" w:rsidRDefault="0052730F">
            <w:pPr>
              <w:jc w:val="center"/>
              <w:rPr>
                <w:rFonts w:ascii="Times" w:hAnsi="Times"/>
                <w:sz w:val="16"/>
                <w:szCs w:val="18"/>
              </w:rPr>
            </w:pPr>
            <w:r w:rsidRPr="00924B3A">
              <w:rPr>
                <w:rFonts w:ascii="Times" w:hAnsi="Times"/>
                <w:sz w:val="16"/>
                <w:szCs w:val="18"/>
              </w:rPr>
              <w:t>0.7856</w:t>
            </w:r>
          </w:p>
        </w:tc>
        <w:tc>
          <w:tcPr>
            <w:tcW w:w="992" w:type="dxa"/>
            <w:shd w:val="clear" w:color="auto" w:fill="auto"/>
          </w:tcPr>
          <w:p w14:paraId="3092AF5A" w14:textId="77777777" w:rsidR="0052730F" w:rsidRPr="00924B3A" w:rsidRDefault="0052730F" w:rsidP="0052730F">
            <w:pPr>
              <w:jc w:val="center"/>
              <w:rPr>
                <w:rFonts w:ascii="Times" w:hAnsi="Times"/>
                <w:sz w:val="16"/>
                <w:szCs w:val="18"/>
              </w:rPr>
            </w:pPr>
            <w:r w:rsidRPr="00924B3A">
              <w:rPr>
                <w:rFonts w:ascii="Times" w:hAnsi="Times"/>
                <w:sz w:val="16"/>
                <w:szCs w:val="18"/>
              </w:rPr>
              <w:t>0.4564</w:t>
            </w:r>
          </w:p>
        </w:tc>
        <w:tc>
          <w:tcPr>
            <w:tcW w:w="567" w:type="dxa"/>
            <w:shd w:val="clear" w:color="auto" w:fill="auto"/>
          </w:tcPr>
          <w:p w14:paraId="065DE3FE" w14:textId="77777777" w:rsidR="0052730F" w:rsidRPr="00924B3A" w:rsidRDefault="0052730F" w:rsidP="0052730F">
            <w:pPr>
              <w:jc w:val="center"/>
              <w:rPr>
                <w:rFonts w:ascii="Times" w:hAnsi="Times"/>
                <w:sz w:val="16"/>
              </w:rPr>
            </w:pPr>
          </w:p>
        </w:tc>
      </w:tr>
      <w:tr w:rsidR="0052730F" w:rsidRPr="00DF079E" w14:paraId="24002DAD" w14:textId="77777777" w:rsidTr="0052730F">
        <w:trPr>
          <w:jc w:val="center"/>
        </w:trPr>
        <w:tc>
          <w:tcPr>
            <w:tcW w:w="1242" w:type="dxa"/>
            <w:shd w:val="clear" w:color="auto" w:fill="auto"/>
          </w:tcPr>
          <w:p w14:paraId="34D77288" w14:textId="77777777" w:rsidR="0052730F" w:rsidRPr="00924B3A" w:rsidRDefault="0052730F" w:rsidP="0052730F">
            <w:pPr>
              <w:jc w:val="center"/>
              <w:rPr>
                <w:rFonts w:ascii="Times" w:hAnsi="Times"/>
                <w:i/>
                <w:sz w:val="16"/>
              </w:rPr>
            </w:pPr>
          </w:p>
        </w:tc>
        <w:tc>
          <w:tcPr>
            <w:tcW w:w="1134" w:type="dxa"/>
            <w:shd w:val="clear" w:color="auto" w:fill="auto"/>
          </w:tcPr>
          <w:p w14:paraId="4851A445" w14:textId="77777777" w:rsidR="0052730F" w:rsidRPr="00924B3A" w:rsidRDefault="0052730F" w:rsidP="0052730F">
            <w:pPr>
              <w:jc w:val="center"/>
              <w:rPr>
                <w:rFonts w:ascii="Times" w:hAnsi="Times"/>
                <w:sz w:val="16"/>
              </w:rPr>
            </w:pPr>
            <w:r w:rsidRPr="00924B3A">
              <w:rPr>
                <w:rFonts w:ascii="Times" w:hAnsi="Times"/>
                <w:sz w:val="16"/>
              </w:rPr>
              <w:t>Pop * Aspect</w:t>
            </w:r>
          </w:p>
        </w:tc>
        <w:tc>
          <w:tcPr>
            <w:tcW w:w="426" w:type="dxa"/>
            <w:shd w:val="clear" w:color="auto" w:fill="auto"/>
          </w:tcPr>
          <w:p w14:paraId="7F17D53C" w14:textId="77777777" w:rsidR="0052730F" w:rsidRPr="00924B3A" w:rsidRDefault="0052730F" w:rsidP="005273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w:hAnsi="Times" w:cs="Monaco"/>
                <w:sz w:val="16"/>
              </w:rPr>
            </w:pPr>
            <w:r w:rsidRPr="00924B3A">
              <w:rPr>
                <w:rFonts w:ascii="Times" w:hAnsi="Times"/>
                <w:sz w:val="16"/>
                <w:szCs w:val="18"/>
              </w:rPr>
              <w:t>6</w:t>
            </w:r>
          </w:p>
        </w:tc>
        <w:tc>
          <w:tcPr>
            <w:tcW w:w="850" w:type="dxa"/>
            <w:shd w:val="clear" w:color="auto" w:fill="auto"/>
          </w:tcPr>
          <w:p w14:paraId="505C6DC2" w14:textId="77777777" w:rsidR="0052730F" w:rsidRPr="00924B3A" w:rsidRDefault="0052730F" w:rsidP="0052730F">
            <w:pPr>
              <w:jc w:val="center"/>
              <w:rPr>
                <w:rFonts w:ascii="Times" w:hAnsi="Times"/>
                <w:sz w:val="16"/>
                <w:szCs w:val="18"/>
              </w:rPr>
            </w:pPr>
            <w:r w:rsidRPr="00924B3A">
              <w:rPr>
                <w:rFonts w:ascii="Times" w:hAnsi="Times"/>
                <w:sz w:val="16"/>
                <w:szCs w:val="18"/>
              </w:rPr>
              <w:t>142.98</w:t>
            </w:r>
          </w:p>
        </w:tc>
        <w:tc>
          <w:tcPr>
            <w:tcW w:w="709" w:type="dxa"/>
            <w:shd w:val="clear" w:color="auto" w:fill="auto"/>
          </w:tcPr>
          <w:p w14:paraId="04EB9B33" w14:textId="77777777" w:rsidR="0052730F" w:rsidRPr="00924B3A" w:rsidRDefault="0052730F">
            <w:pPr>
              <w:jc w:val="center"/>
              <w:rPr>
                <w:rFonts w:ascii="Times" w:hAnsi="Times"/>
                <w:sz w:val="16"/>
                <w:szCs w:val="18"/>
              </w:rPr>
            </w:pPr>
            <w:r w:rsidRPr="00924B3A">
              <w:rPr>
                <w:rFonts w:ascii="Times" w:hAnsi="Times"/>
                <w:sz w:val="16"/>
                <w:szCs w:val="18"/>
              </w:rPr>
              <w:t>561</w:t>
            </w:r>
          </w:p>
        </w:tc>
        <w:tc>
          <w:tcPr>
            <w:tcW w:w="850" w:type="dxa"/>
            <w:shd w:val="clear" w:color="auto" w:fill="auto"/>
          </w:tcPr>
          <w:p w14:paraId="5DADA055" w14:textId="77777777" w:rsidR="0052730F" w:rsidRPr="00924B3A" w:rsidRDefault="0052730F" w:rsidP="0052730F">
            <w:pPr>
              <w:jc w:val="center"/>
              <w:rPr>
                <w:rFonts w:ascii="Times" w:hAnsi="Times"/>
                <w:sz w:val="16"/>
              </w:rPr>
            </w:pPr>
            <w:r w:rsidRPr="00924B3A">
              <w:rPr>
                <w:rFonts w:ascii="Times" w:hAnsi="Times"/>
                <w:sz w:val="16"/>
                <w:szCs w:val="18"/>
              </w:rPr>
              <w:t>11761</w:t>
            </w:r>
          </w:p>
        </w:tc>
        <w:tc>
          <w:tcPr>
            <w:tcW w:w="851" w:type="dxa"/>
          </w:tcPr>
          <w:p w14:paraId="68ECCE8B" w14:textId="77777777" w:rsidR="0052730F" w:rsidRPr="00924B3A" w:rsidRDefault="0052730F" w:rsidP="0052730F">
            <w:pPr>
              <w:jc w:val="center"/>
              <w:rPr>
                <w:rFonts w:ascii="Times" w:hAnsi="Times"/>
                <w:sz w:val="16"/>
                <w:szCs w:val="18"/>
              </w:rPr>
            </w:pPr>
            <w:r w:rsidRPr="00924B3A">
              <w:rPr>
                <w:rFonts w:ascii="Times" w:hAnsi="Times"/>
                <w:sz w:val="16"/>
                <w:szCs w:val="18"/>
              </w:rPr>
              <w:t xml:space="preserve">1896.95       </w:t>
            </w:r>
          </w:p>
        </w:tc>
        <w:tc>
          <w:tcPr>
            <w:tcW w:w="992" w:type="dxa"/>
            <w:shd w:val="clear" w:color="auto" w:fill="auto"/>
          </w:tcPr>
          <w:p w14:paraId="5FBC9963" w14:textId="77777777" w:rsidR="0052730F" w:rsidRPr="00924B3A" w:rsidRDefault="0052730F" w:rsidP="0052730F">
            <w:pPr>
              <w:jc w:val="center"/>
              <w:rPr>
                <w:rFonts w:ascii="Times" w:hAnsi="Times"/>
                <w:sz w:val="16"/>
                <w:szCs w:val="18"/>
              </w:rPr>
            </w:pPr>
            <w:r w:rsidRPr="00924B3A">
              <w:rPr>
                <w:rFonts w:ascii="Times" w:hAnsi="Times"/>
                <w:sz w:val="16"/>
                <w:szCs w:val="18"/>
              </w:rPr>
              <w:t>0.7874</w:t>
            </w:r>
          </w:p>
        </w:tc>
        <w:tc>
          <w:tcPr>
            <w:tcW w:w="567" w:type="dxa"/>
            <w:shd w:val="clear" w:color="auto" w:fill="auto"/>
          </w:tcPr>
          <w:p w14:paraId="61556492" w14:textId="77777777" w:rsidR="0052730F" w:rsidRPr="00924B3A" w:rsidRDefault="0052730F" w:rsidP="0052730F">
            <w:pPr>
              <w:jc w:val="center"/>
              <w:rPr>
                <w:rFonts w:ascii="Times" w:hAnsi="Times"/>
                <w:sz w:val="16"/>
              </w:rPr>
            </w:pPr>
          </w:p>
        </w:tc>
      </w:tr>
      <w:tr w:rsidR="0052730F" w:rsidRPr="00DF079E" w14:paraId="4AD0DDA5" w14:textId="77777777" w:rsidTr="0052730F">
        <w:trPr>
          <w:jc w:val="center"/>
        </w:trPr>
        <w:tc>
          <w:tcPr>
            <w:tcW w:w="1242" w:type="dxa"/>
            <w:tcBorders>
              <w:bottom w:val="single" w:sz="4" w:space="0" w:color="auto"/>
            </w:tcBorders>
            <w:shd w:val="clear" w:color="auto" w:fill="auto"/>
          </w:tcPr>
          <w:p w14:paraId="35E50A42" w14:textId="77777777" w:rsidR="0052730F" w:rsidRPr="00924B3A" w:rsidRDefault="0052730F" w:rsidP="0052730F">
            <w:pPr>
              <w:jc w:val="center"/>
              <w:rPr>
                <w:rFonts w:ascii="Times" w:hAnsi="Times"/>
                <w:i/>
                <w:sz w:val="16"/>
              </w:rPr>
            </w:pPr>
          </w:p>
        </w:tc>
        <w:tc>
          <w:tcPr>
            <w:tcW w:w="1134" w:type="dxa"/>
            <w:tcBorders>
              <w:bottom w:val="single" w:sz="4" w:space="0" w:color="auto"/>
            </w:tcBorders>
            <w:shd w:val="clear" w:color="auto" w:fill="auto"/>
          </w:tcPr>
          <w:p w14:paraId="2EC75999" w14:textId="77777777" w:rsidR="0052730F" w:rsidRPr="00924B3A" w:rsidRDefault="0052730F" w:rsidP="0052730F">
            <w:pPr>
              <w:jc w:val="center"/>
              <w:rPr>
                <w:rFonts w:ascii="Times" w:hAnsi="Times"/>
                <w:sz w:val="16"/>
              </w:rPr>
            </w:pPr>
            <w:r w:rsidRPr="00924B3A">
              <w:rPr>
                <w:rFonts w:ascii="Times" w:hAnsi="Times"/>
                <w:sz w:val="16"/>
              </w:rPr>
              <w:t>Error</w:t>
            </w:r>
          </w:p>
        </w:tc>
        <w:tc>
          <w:tcPr>
            <w:tcW w:w="426" w:type="dxa"/>
            <w:tcBorders>
              <w:bottom w:val="single" w:sz="4" w:space="0" w:color="auto"/>
            </w:tcBorders>
            <w:shd w:val="clear" w:color="auto" w:fill="auto"/>
          </w:tcPr>
          <w:p w14:paraId="30C51155" w14:textId="77777777" w:rsidR="0052730F" w:rsidRPr="00924B3A" w:rsidRDefault="0052730F" w:rsidP="0052730F">
            <w:pPr>
              <w:jc w:val="center"/>
              <w:rPr>
                <w:rFonts w:ascii="Times" w:hAnsi="Times"/>
                <w:sz w:val="16"/>
              </w:rPr>
            </w:pPr>
          </w:p>
        </w:tc>
        <w:tc>
          <w:tcPr>
            <w:tcW w:w="850" w:type="dxa"/>
            <w:tcBorders>
              <w:bottom w:val="single" w:sz="4" w:space="0" w:color="auto"/>
            </w:tcBorders>
            <w:shd w:val="clear" w:color="auto" w:fill="auto"/>
          </w:tcPr>
          <w:p w14:paraId="1336C00D" w14:textId="77777777" w:rsidR="0052730F" w:rsidRPr="00924B3A" w:rsidRDefault="0052730F" w:rsidP="0052730F">
            <w:pPr>
              <w:jc w:val="center"/>
              <w:rPr>
                <w:rFonts w:ascii="Times" w:hAnsi="Times"/>
                <w:sz w:val="16"/>
                <w:szCs w:val="18"/>
              </w:rPr>
            </w:pPr>
          </w:p>
        </w:tc>
        <w:tc>
          <w:tcPr>
            <w:tcW w:w="709" w:type="dxa"/>
            <w:tcBorders>
              <w:bottom w:val="single" w:sz="4" w:space="0" w:color="auto"/>
            </w:tcBorders>
            <w:shd w:val="clear" w:color="auto" w:fill="auto"/>
          </w:tcPr>
          <w:p w14:paraId="367261DA" w14:textId="77777777" w:rsidR="0052730F" w:rsidRPr="00924B3A" w:rsidRDefault="0052730F" w:rsidP="0052730F">
            <w:pPr>
              <w:jc w:val="center"/>
              <w:rPr>
                <w:rFonts w:ascii="Times" w:hAnsi="Times"/>
                <w:sz w:val="16"/>
                <w:szCs w:val="18"/>
              </w:rPr>
            </w:pPr>
            <w:r w:rsidRPr="00924B3A">
              <w:rPr>
                <w:rFonts w:ascii="Times" w:hAnsi="Times"/>
                <w:sz w:val="16"/>
                <w:szCs w:val="18"/>
              </w:rPr>
              <w:t xml:space="preserve">572      </w:t>
            </w:r>
          </w:p>
        </w:tc>
        <w:tc>
          <w:tcPr>
            <w:tcW w:w="850" w:type="dxa"/>
            <w:tcBorders>
              <w:bottom w:val="single" w:sz="4" w:space="0" w:color="auto"/>
            </w:tcBorders>
            <w:shd w:val="clear" w:color="auto" w:fill="auto"/>
          </w:tcPr>
          <w:p w14:paraId="5D20CBB3" w14:textId="77777777" w:rsidR="0052730F" w:rsidRPr="00924B3A" w:rsidRDefault="0052730F" w:rsidP="005273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w:hAnsi="Times" w:cs="Monaco"/>
                <w:sz w:val="16"/>
              </w:rPr>
            </w:pPr>
            <w:r w:rsidRPr="00924B3A">
              <w:rPr>
                <w:rFonts w:ascii="Times" w:hAnsi="Times"/>
                <w:sz w:val="16"/>
                <w:szCs w:val="18"/>
              </w:rPr>
              <w:t>13849</w:t>
            </w:r>
          </w:p>
        </w:tc>
        <w:tc>
          <w:tcPr>
            <w:tcW w:w="851" w:type="dxa"/>
            <w:tcBorders>
              <w:bottom w:val="single" w:sz="4" w:space="0" w:color="auto"/>
            </w:tcBorders>
          </w:tcPr>
          <w:p w14:paraId="4E337442" w14:textId="77777777" w:rsidR="0052730F" w:rsidRPr="00924B3A" w:rsidRDefault="0052730F">
            <w:pPr>
              <w:jc w:val="center"/>
              <w:rPr>
                <w:rFonts w:ascii="Times" w:hAnsi="Times"/>
                <w:sz w:val="16"/>
                <w:szCs w:val="18"/>
              </w:rPr>
            </w:pPr>
          </w:p>
        </w:tc>
        <w:tc>
          <w:tcPr>
            <w:tcW w:w="992" w:type="dxa"/>
            <w:tcBorders>
              <w:bottom w:val="single" w:sz="4" w:space="0" w:color="auto"/>
            </w:tcBorders>
            <w:shd w:val="clear" w:color="auto" w:fill="auto"/>
          </w:tcPr>
          <w:p w14:paraId="26FFE6D6" w14:textId="77777777" w:rsidR="0052730F" w:rsidRPr="00924B3A" w:rsidRDefault="0052730F" w:rsidP="0052730F">
            <w:pPr>
              <w:jc w:val="center"/>
              <w:rPr>
                <w:rFonts w:ascii="Times" w:hAnsi="Times"/>
                <w:sz w:val="16"/>
                <w:szCs w:val="18"/>
              </w:rPr>
            </w:pPr>
          </w:p>
        </w:tc>
        <w:tc>
          <w:tcPr>
            <w:tcW w:w="567" w:type="dxa"/>
            <w:tcBorders>
              <w:bottom w:val="single" w:sz="4" w:space="0" w:color="auto"/>
            </w:tcBorders>
            <w:shd w:val="clear" w:color="auto" w:fill="auto"/>
          </w:tcPr>
          <w:p w14:paraId="424777EF" w14:textId="77777777" w:rsidR="0052730F" w:rsidRPr="00924B3A" w:rsidRDefault="0052730F" w:rsidP="0052730F">
            <w:pPr>
              <w:jc w:val="center"/>
              <w:rPr>
                <w:rFonts w:ascii="Times" w:hAnsi="Times"/>
                <w:sz w:val="16"/>
              </w:rPr>
            </w:pPr>
          </w:p>
        </w:tc>
      </w:tr>
      <w:tr w:rsidR="0052730F" w:rsidRPr="00DF079E" w14:paraId="5D6C7F46" w14:textId="77777777" w:rsidTr="0052730F">
        <w:trPr>
          <w:jc w:val="center"/>
        </w:trPr>
        <w:tc>
          <w:tcPr>
            <w:tcW w:w="1242" w:type="dxa"/>
            <w:tcBorders>
              <w:top w:val="single" w:sz="4" w:space="0" w:color="auto"/>
            </w:tcBorders>
            <w:shd w:val="clear" w:color="auto" w:fill="auto"/>
          </w:tcPr>
          <w:p w14:paraId="49D3EA44" w14:textId="77777777" w:rsidR="0052730F" w:rsidRPr="00924B3A" w:rsidRDefault="0052730F" w:rsidP="0052730F">
            <w:pPr>
              <w:jc w:val="center"/>
              <w:rPr>
                <w:rFonts w:ascii="Times" w:hAnsi="Times"/>
                <w:i/>
                <w:sz w:val="16"/>
              </w:rPr>
            </w:pPr>
            <w:r w:rsidRPr="00924B3A">
              <w:rPr>
                <w:rFonts w:ascii="Times" w:hAnsi="Times"/>
                <w:i/>
                <w:sz w:val="16"/>
              </w:rPr>
              <w:t>V. arvensis</w:t>
            </w:r>
          </w:p>
        </w:tc>
        <w:tc>
          <w:tcPr>
            <w:tcW w:w="1134" w:type="dxa"/>
            <w:tcBorders>
              <w:top w:val="single" w:sz="4" w:space="0" w:color="auto"/>
            </w:tcBorders>
            <w:shd w:val="clear" w:color="auto" w:fill="auto"/>
          </w:tcPr>
          <w:p w14:paraId="61CF1F0C" w14:textId="77777777" w:rsidR="0052730F" w:rsidRPr="00924B3A" w:rsidRDefault="0052730F" w:rsidP="0052730F">
            <w:pPr>
              <w:jc w:val="center"/>
              <w:rPr>
                <w:rFonts w:ascii="Times" w:hAnsi="Times"/>
                <w:sz w:val="16"/>
              </w:rPr>
            </w:pPr>
            <w:r w:rsidRPr="00924B3A">
              <w:rPr>
                <w:rFonts w:ascii="Times" w:hAnsi="Times"/>
                <w:sz w:val="16"/>
              </w:rPr>
              <w:t>Population</w:t>
            </w:r>
          </w:p>
        </w:tc>
        <w:tc>
          <w:tcPr>
            <w:tcW w:w="426" w:type="dxa"/>
            <w:tcBorders>
              <w:top w:val="single" w:sz="4" w:space="0" w:color="auto"/>
            </w:tcBorders>
            <w:shd w:val="clear" w:color="auto" w:fill="auto"/>
          </w:tcPr>
          <w:p w14:paraId="61E70239" w14:textId="77777777" w:rsidR="0052730F" w:rsidRPr="00924B3A" w:rsidRDefault="0052730F" w:rsidP="0052730F">
            <w:pPr>
              <w:jc w:val="center"/>
              <w:rPr>
                <w:rFonts w:ascii="Times" w:hAnsi="Times"/>
                <w:sz w:val="16"/>
              </w:rPr>
            </w:pPr>
            <w:r w:rsidRPr="00924B3A">
              <w:rPr>
                <w:rFonts w:ascii="Times" w:hAnsi="Times"/>
                <w:sz w:val="16"/>
                <w:szCs w:val="18"/>
              </w:rPr>
              <w:t>3</w:t>
            </w:r>
          </w:p>
        </w:tc>
        <w:tc>
          <w:tcPr>
            <w:tcW w:w="850" w:type="dxa"/>
            <w:tcBorders>
              <w:top w:val="single" w:sz="4" w:space="0" w:color="auto"/>
            </w:tcBorders>
            <w:shd w:val="clear" w:color="auto" w:fill="auto"/>
          </w:tcPr>
          <w:p w14:paraId="764D3000" w14:textId="77777777" w:rsidR="0052730F" w:rsidRPr="00924B3A" w:rsidRDefault="0052730F" w:rsidP="0052730F">
            <w:pPr>
              <w:jc w:val="center"/>
              <w:rPr>
                <w:rFonts w:ascii="Times" w:hAnsi="Times"/>
                <w:sz w:val="16"/>
                <w:szCs w:val="18"/>
              </w:rPr>
            </w:pPr>
            <w:r w:rsidRPr="00924B3A">
              <w:rPr>
                <w:rFonts w:ascii="Times" w:hAnsi="Times"/>
                <w:sz w:val="16"/>
                <w:szCs w:val="18"/>
              </w:rPr>
              <w:t>12219.1</w:t>
            </w:r>
          </w:p>
        </w:tc>
        <w:tc>
          <w:tcPr>
            <w:tcW w:w="709" w:type="dxa"/>
            <w:tcBorders>
              <w:top w:val="single" w:sz="4" w:space="0" w:color="auto"/>
            </w:tcBorders>
            <w:shd w:val="clear" w:color="auto" w:fill="auto"/>
          </w:tcPr>
          <w:p w14:paraId="0A377467" w14:textId="77777777" w:rsidR="0052730F" w:rsidRPr="00924B3A" w:rsidRDefault="0052730F">
            <w:pPr>
              <w:jc w:val="center"/>
              <w:rPr>
                <w:rFonts w:ascii="Times" w:hAnsi="Times"/>
                <w:sz w:val="16"/>
                <w:szCs w:val="18"/>
              </w:rPr>
            </w:pPr>
            <w:r w:rsidRPr="00924B3A">
              <w:rPr>
                <w:rFonts w:ascii="Times" w:hAnsi="Times"/>
                <w:sz w:val="16"/>
                <w:szCs w:val="18"/>
              </w:rPr>
              <w:t>399</w:t>
            </w:r>
          </w:p>
        </w:tc>
        <w:tc>
          <w:tcPr>
            <w:tcW w:w="850" w:type="dxa"/>
            <w:tcBorders>
              <w:top w:val="single" w:sz="4" w:space="0" w:color="auto"/>
            </w:tcBorders>
            <w:shd w:val="clear" w:color="auto" w:fill="auto"/>
          </w:tcPr>
          <w:p w14:paraId="0C794566" w14:textId="77777777" w:rsidR="0052730F" w:rsidRPr="00924B3A" w:rsidRDefault="0052730F" w:rsidP="0052730F">
            <w:pPr>
              <w:jc w:val="center"/>
              <w:rPr>
                <w:rFonts w:ascii="Times" w:hAnsi="Times"/>
                <w:sz w:val="16"/>
              </w:rPr>
            </w:pPr>
            <w:r w:rsidRPr="00924B3A">
              <w:rPr>
                <w:rFonts w:ascii="Times" w:hAnsi="Times"/>
                <w:sz w:val="16"/>
                <w:szCs w:val="18"/>
              </w:rPr>
              <w:t>9123.0</w:t>
            </w:r>
          </w:p>
        </w:tc>
        <w:tc>
          <w:tcPr>
            <w:tcW w:w="851" w:type="dxa"/>
            <w:tcBorders>
              <w:top w:val="single" w:sz="4" w:space="0" w:color="auto"/>
            </w:tcBorders>
          </w:tcPr>
          <w:p w14:paraId="23681374" w14:textId="77777777" w:rsidR="0052730F" w:rsidRPr="00924B3A" w:rsidRDefault="0052730F">
            <w:pPr>
              <w:jc w:val="center"/>
              <w:rPr>
                <w:rFonts w:ascii="Times" w:hAnsi="Times"/>
                <w:sz w:val="16"/>
                <w:szCs w:val="18"/>
              </w:rPr>
            </w:pPr>
            <w:r w:rsidRPr="00924B3A">
              <w:rPr>
                <w:rFonts w:ascii="Times" w:hAnsi="Times"/>
                <w:sz w:val="16"/>
                <w:szCs w:val="18"/>
              </w:rPr>
              <w:t>158.689</w:t>
            </w:r>
          </w:p>
        </w:tc>
        <w:tc>
          <w:tcPr>
            <w:tcW w:w="992" w:type="dxa"/>
            <w:tcBorders>
              <w:top w:val="single" w:sz="4" w:space="0" w:color="auto"/>
            </w:tcBorders>
            <w:shd w:val="clear" w:color="auto" w:fill="auto"/>
          </w:tcPr>
          <w:p w14:paraId="6ABF01DC" w14:textId="77777777" w:rsidR="0052730F" w:rsidRPr="00924B3A" w:rsidRDefault="0052730F" w:rsidP="0052730F">
            <w:pPr>
              <w:jc w:val="center"/>
              <w:rPr>
                <w:rFonts w:ascii="Times" w:hAnsi="Times"/>
                <w:sz w:val="16"/>
                <w:szCs w:val="18"/>
              </w:rPr>
            </w:pPr>
            <w:r w:rsidRPr="00924B3A">
              <w:rPr>
                <w:rFonts w:ascii="Times" w:hAnsi="Times"/>
                <w:sz w:val="16"/>
                <w:szCs w:val="18"/>
              </w:rPr>
              <w:t>&lt; 2.2e-16</w:t>
            </w:r>
          </w:p>
        </w:tc>
        <w:tc>
          <w:tcPr>
            <w:tcW w:w="567" w:type="dxa"/>
            <w:tcBorders>
              <w:top w:val="single" w:sz="4" w:space="0" w:color="auto"/>
            </w:tcBorders>
            <w:shd w:val="clear" w:color="auto" w:fill="auto"/>
          </w:tcPr>
          <w:p w14:paraId="3CB74205" w14:textId="77777777" w:rsidR="0052730F" w:rsidRPr="00924B3A" w:rsidRDefault="0052730F" w:rsidP="0052730F">
            <w:pPr>
              <w:jc w:val="center"/>
              <w:rPr>
                <w:rFonts w:ascii="Times" w:hAnsi="Times"/>
                <w:sz w:val="16"/>
                <w:szCs w:val="18"/>
              </w:rPr>
            </w:pPr>
            <w:r w:rsidRPr="00924B3A">
              <w:rPr>
                <w:rFonts w:ascii="Times" w:hAnsi="Times"/>
                <w:sz w:val="16"/>
                <w:szCs w:val="18"/>
              </w:rPr>
              <w:t>***</w:t>
            </w:r>
          </w:p>
        </w:tc>
      </w:tr>
      <w:tr w:rsidR="0052730F" w:rsidRPr="00DF079E" w14:paraId="5B85CC93" w14:textId="77777777" w:rsidTr="0052730F">
        <w:trPr>
          <w:jc w:val="center"/>
        </w:trPr>
        <w:tc>
          <w:tcPr>
            <w:tcW w:w="1242" w:type="dxa"/>
            <w:shd w:val="clear" w:color="auto" w:fill="auto"/>
          </w:tcPr>
          <w:p w14:paraId="265B88E2" w14:textId="77777777" w:rsidR="0052730F" w:rsidRPr="00924B3A" w:rsidRDefault="0052730F" w:rsidP="0052730F">
            <w:pPr>
              <w:jc w:val="center"/>
              <w:rPr>
                <w:rFonts w:ascii="Times" w:hAnsi="Times"/>
                <w:sz w:val="16"/>
              </w:rPr>
            </w:pPr>
          </w:p>
        </w:tc>
        <w:tc>
          <w:tcPr>
            <w:tcW w:w="1134" w:type="dxa"/>
            <w:shd w:val="clear" w:color="auto" w:fill="auto"/>
          </w:tcPr>
          <w:p w14:paraId="209F0186" w14:textId="77777777" w:rsidR="0052730F" w:rsidRPr="00924B3A" w:rsidRDefault="0052730F" w:rsidP="0052730F">
            <w:pPr>
              <w:jc w:val="center"/>
              <w:rPr>
                <w:rFonts w:ascii="Times" w:hAnsi="Times"/>
                <w:sz w:val="16"/>
              </w:rPr>
            </w:pPr>
            <w:r w:rsidRPr="00924B3A">
              <w:rPr>
                <w:rFonts w:ascii="Times" w:hAnsi="Times"/>
                <w:sz w:val="16"/>
              </w:rPr>
              <w:t>Aspect</w:t>
            </w:r>
          </w:p>
        </w:tc>
        <w:tc>
          <w:tcPr>
            <w:tcW w:w="426" w:type="dxa"/>
            <w:shd w:val="clear" w:color="auto" w:fill="auto"/>
          </w:tcPr>
          <w:p w14:paraId="0F0A26BB" w14:textId="77777777" w:rsidR="0052730F" w:rsidRPr="00924B3A" w:rsidRDefault="0052730F" w:rsidP="0052730F">
            <w:pPr>
              <w:jc w:val="center"/>
              <w:rPr>
                <w:rFonts w:ascii="Times" w:hAnsi="Times"/>
                <w:sz w:val="16"/>
              </w:rPr>
            </w:pPr>
            <w:r w:rsidRPr="00924B3A">
              <w:rPr>
                <w:rFonts w:ascii="Times" w:hAnsi="Times"/>
                <w:sz w:val="16"/>
                <w:szCs w:val="18"/>
              </w:rPr>
              <w:t>2</w:t>
            </w:r>
          </w:p>
        </w:tc>
        <w:tc>
          <w:tcPr>
            <w:tcW w:w="850" w:type="dxa"/>
            <w:shd w:val="clear" w:color="auto" w:fill="auto"/>
          </w:tcPr>
          <w:p w14:paraId="137C9E7E" w14:textId="77777777" w:rsidR="0052730F" w:rsidRPr="00924B3A" w:rsidRDefault="0052730F">
            <w:pPr>
              <w:jc w:val="center"/>
              <w:rPr>
                <w:rFonts w:ascii="Times" w:hAnsi="Times"/>
                <w:sz w:val="16"/>
                <w:szCs w:val="18"/>
              </w:rPr>
            </w:pPr>
            <w:r w:rsidRPr="00924B3A">
              <w:rPr>
                <w:rFonts w:ascii="Times" w:hAnsi="Times"/>
                <w:sz w:val="16"/>
                <w:szCs w:val="18"/>
              </w:rPr>
              <w:t>1588.2</w:t>
            </w:r>
          </w:p>
        </w:tc>
        <w:tc>
          <w:tcPr>
            <w:tcW w:w="709" w:type="dxa"/>
            <w:shd w:val="clear" w:color="auto" w:fill="auto"/>
          </w:tcPr>
          <w:p w14:paraId="2ED8F0FC" w14:textId="77777777" w:rsidR="0052730F" w:rsidRPr="00924B3A" w:rsidRDefault="0052730F">
            <w:pPr>
              <w:jc w:val="center"/>
              <w:rPr>
                <w:rFonts w:ascii="Times" w:hAnsi="Times"/>
                <w:sz w:val="16"/>
                <w:szCs w:val="18"/>
              </w:rPr>
            </w:pPr>
            <w:r w:rsidRPr="00924B3A">
              <w:rPr>
                <w:rFonts w:ascii="Times" w:hAnsi="Times"/>
                <w:sz w:val="16"/>
                <w:szCs w:val="18"/>
              </w:rPr>
              <w:t>397</w:t>
            </w:r>
          </w:p>
        </w:tc>
        <w:tc>
          <w:tcPr>
            <w:tcW w:w="850" w:type="dxa"/>
            <w:shd w:val="clear" w:color="auto" w:fill="auto"/>
          </w:tcPr>
          <w:p w14:paraId="53A1C9A3" w14:textId="77777777" w:rsidR="0052730F" w:rsidRPr="00924B3A" w:rsidRDefault="0052730F" w:rsidP="0052730F">
            <w:pPr>
              <w:jc w:val="center"/>
              <w:rPr>
                <w:rFonts w:ascii="Times" w:hAnsi="Times"/>
                <w:sz w:val="16"/>
              </w:rPr>
            </w:pPr>
            <w:r w:rsidRPr="00924B3A">
              <w:rPr>
                <w:rFonts w:ascii="Times" w:hAnsi="Times"/>
                <w:sz w:val="16"/>
                <w:szCs w:val="18"/>
              </w:rPr>
              <w:t>7534.8</w:t>
            </w:r>
          </w:p>
        </w:tc>
        <w:tc>
          <w:tcPr>
            <w:tcW w:w="851" w:type="dxa"/>
          </w:tcPr>
          <w:p w14:paraId="00C1671B" w14:textId="77777777" w:rsidR="0052730F" w:rsidRPr="00924B3A" w:rsidRDefault="0052730F">
            <w:pPr>
              <w:jc w:val="center"/>
              <w:rPr>
                <w:rFonts w:ascii="Times" w:hAnsi="Times"/>
                <w:sz w:val="16"/>
                <w:szCs w:val="18"/>
              </w:rPr>
            </w:pPr>
            <w:r w:rsidRPr="00924B3A">
              <w:rPr>
                <w:rFonts w:ascii="Times" w:hAnsi="Times"/>
                <w:sz w:val="16"/>
                <w:szCs w:val="18"/>
              </w:rPr>
              <w:t>30.9393</w:t>
            </w:r>
          </w:p>
        </w:tc>
        <w:tc>
          <w:tcPr>
            <w:tcW w:w="992" w:type="dxa"/>
            <w:shd w:val="clear" w:color="auto" w:fill="auto"/>
          </w:tcPr>
          <w:p w14:paraId="169D3813" w14:textId="77777777" w:rsidR="0052730F" w:rsidRPr="00924B3A" w:rsidRDefault="0052730F" w:rsidP="0052730F">
            <w:pPr>
              <w:jc w:val="center"/>
              <w:rPr>
                <w:rFonts w:ascii="Times" w:hAnsi="Times"/>
                <w:sz w:val="16"/>
                <w:szCs w:val="18"/>
              </w:rPr>
            </w:pPr>
            <w:r w:rsidRPr="00924B3A">
              <w:rPr>
                <w:rFonts w:ascii="Times" w:hAnsi="Times"/>
                <w:sz w:val="16"/>
                <w:szCs w:val="18"/>
              </w:rPr>
              <w:t>3.358e-13</w:t>
            </w:r>
          </w:p>
        </w:tc>
        <w:tc>
          <w:tcPr>
            <w:tcW w:w="567" w:type="dxa"/>
            <w:shd w:val="clear" w:color="auto" w:fill="auto"/>
          </w:tcPr>
          <w:p w14:paraId="287CEC66" w14:textId="77777777" w:rsidR="0052730F" w:rsidRPr="00924B3A" w:rsidRDefault="0052730F" w:rsidP="0052730F">
            <w:pPr>
              <w:jc w:val="center"/>
              <w:rPr>
                <w:rFonts w:ascii="Times" w:hAnsi="Times"/>
                <w:sz w:val="16"/>
                <w:szCs w:val="18"/>
              </w:rPr>
            </w:pPr>
            <w:r w:rsidRPr="00924B3A">
              <w:rPr>
                <w:rFonts w:ascii="Times" w:hAnsi="Times"/>
                <w:sz w:val="16"/>
                <w:szCs w:val="18"/>
              </w:rPr>
              <w:t>***</w:t>
            </w:r>
          </w:p>
        </w:tc>
      </w:tr>
      <w:tr w:rsidR="0052730F" w:rsidRPr="00DF079E" w14:paraId="0FB48FC2" w14:textId="77777777" w:rsidTr="0052730F">
        <w:trPr>
          <w:jc w:val="center"/>
        </w:trPr>
        <w:tc>
          <w:tcPr>
            <w:tcW w:w="1242" w:type="dxa"/>
            <w:shd w:val="clear" w:color="auto" w:fill="auto"/>
          </w:tcPr>
          <w:p w14:paraId="3705F87C" w14:textId="77777777" w:rsidR="0052730F" w:rsidRPr="00924B3A" w:rsidRDefault="0052730F" w:rsidP="0052730F">
            <w:pPr>
              <w:jc w:val="center"/>
              <w:rPr>
                <w:rFonts w:ascii="Times" w:hAnsi="Times"/>
                <w:sz w:val="16"/>
              </w:rPr>
            </w:pPr>
          </w:p>
        </w:tc>
        <w:tc>
          <w:tcPr>
            <w:tcW w:w="1134" w:type="dxa"/>
            <w:shd w:val="clear" w:color="auto" w:fill="auto"/>
          </w:tcPr>
          <w:p w14:paraId="7B1A7D5E" w14:textId="77777777" w:rsidR="0052730F" w:rsidRPr="00924B3A" w:rsidRDefault="0052730F" w:rsidP="0052730F">
            <w:pPr>
              <w:jc w:val="center"/>
              <w:rPr>
                <w:rFonts w:ascii="Times" w:hAnsi="Times"/>
                <w:sz w:val="16"/>
              </w:rPr>
            </w:pPr>
            <w:r w:rsidRPr="00924B3A">
              <w:rPr>
                <w:rFonts w:ascii="Times" w:hAnsi="Times"/>
                <w:sz w:val="16"/>
              </w:rPr>
              <w:t>Pop * Aspect</w:t>
            </w:r>
          </w:p>
        </w:tc>
        <w:tc>
          <w:tcPr>
            <w:tcW w:w="426" w:type="dxa"/>
            <w:shd w:val="clear" w:color="auto" w:fill="auto"/>
          </w:tcPr>
          <w:p w14:paraId="42487490" w14:textId="77777777" w:rsidR="0052730F" w:rsidRPr="00924B3A" w:rsidRDefault="0052730F" w:rsidP="005273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w:hAnsi="Times" w:cs="Monaco"/>
                <w:sz w:val="16"/>
              </w:rPr>
            </w:pPr>
            <w:r w:rsidRPr="00924B3A">
              <w:rPr>
                <w:rFonts w:ascii="Times" w:hAnsi="Times"/>
                <w:sz w:val="16"/>
                <w:szCs w:val="18"/>
              </w:rPr>
              <w:t>6</w:t>
            </w:r>
          </w:p>
        </w:tc>
        <w:tc>
          <w:tcPr>
            <w:tcW w:w="850" w:type="dxa"/>
            <w:shd w:val="clear" w:color="auto" w:fill="auto"/>
          </w:tcPr>
          <w:p w14:paraId="70AC8410" w14:textId="77777777" w:rsidR="0052730F" w:rsidRPr="00924B3A" w:rsidRDefault="0052730F">
            <w:pPr>
              <w:jc w:val="center"/>
              <w:rPr>
                <w:rFonts w:ascii="Times" w:hAnsi="Times"/>
                <w:sz w:val="16"/>
                <w:szCs w:val="18"/>
              </w:rPr>
            </w:pPr>
            <w:r w:rsidRPr="00924B3A">
              <w:rPr>
                <w:rFonts w:ascii="Times" w:hAnsi="Times"/>
                <w:sz w:val="16"/>
                <w:szCs w:val="18"/>
              </w:rPr>
              <w:t>212.7</w:t>
            </w:r>
          </w:p>
        </w:tc>
        <w:tc>
          <w:tcPr>
            <w:tcW w:w="709" w:type="dxa"/>
            <w:shd w:val="clear" w:color="auto" w:fill="auto"/>
          </w:tcPr>
          <w:p w14:paraId="25534C28" w14:textId="77777777" w:rsidR="0052730F" w:rsidRPr="00924B3A" w:rsidRDefault="0052730F">
            <w:pPr>
              <w:jc w:val="center"/>
              <w:rPr>
                <w:rFonts w:ascii="Times" w:hAnsi="Times"/>
                <w:sz w:val="16"/>
                <w:szCs w:val="18"/>
              </w:rPr>
            </w:pPr>
            <w:r w:rsidRPr="00924B3A">
              <w:rPr>
                <w:rFonts w:ascii="Times" w:hAnsi="Times"/>
                <w:sz w:val="16"/>
                <w:szCs w:val="18"/>
              </w:rPr>
              <w:t>391</w:t>
            </w:r>
          </w:p>
        </w:tc>
        <w:tc>
          <w:tcPr>
            <w:tcW w:w="850" w:type="dxa"/>
            <w:shd w:val="clear" w:color="auto" w:fill="auto"/>
          </w:tcPr>
          <w:p w14:paraId="079D5534" w14:textId="77777777" w:rsidR="0052730F" w:rsidRPr="00924B3A" w:rsidRDefault="0052730F" w:rsidP="0052730F">
            <w:pPr>
              <w:jc w:val="center"/>
              <w:rPr>
                <w:rFonts w:ascii="Times" w:hAnsi="Times"/>
                <w:sz w:val="16"/>
              </w:rPr>
            </w:pPr>
            <w:r w:rsidRPr="00924B3A">
              <w:rPr>
                <w:rFonts w:ascii="Times" w:hAnsi="Times"/>
                <w:sz w:val="16"/>
                <w:szCs w:val="18"/>
              </w:rPr>
              <w:t>7322.1</w:t>
            </w:r>
          </w:p>
        </w:tc>
        <w:tc>
          <w:tcPr>
            <w:tcW w:w="851" w:type="dxa"/>
          </w:tcPr>
          <w:p w14:paraId="39DA67FC" w14:textId="77777777" w:rsidR="0052730F" w:rsidRPr="00924B3A" w:rsidRDefault="0052730F">
            <w:pPr>
              <w:jc w:val="center"/>
              <w:rPr>
                <w:rFonts w:ascii="Times" w:hAnsi="Times"/>
                <w:sz w:val="16"/>
                <w:szCs w:val="18"/>
              </w:rPr>
            </w:pPr>
            <w:r w:rsidRPr="00924B3A">
              <w:rPr>
                <w:rFonts w:ascii="Times" w:hAnsi="Times"/>
                <w:sz w:val="16"/>
                <w:szCs w:val="18"/>
              </w:rPr>
              <w:t>1.3811</w:t>
            </w:r>
          </w:p>
        </w:tc>
        <w:tc>
          <w:tcPr>
            <w:tcW w:w="992" w:type="dxa"/>
            <w:shd w:val="clear" w:color="auto" w:fill="auto"/>
          </w:tcPr>
          <w:p w14:paraId="0AD3FBF4" w14:textId="77777777" w:rsidR="0052730F" w:rsidRPr="00924B3A" w:rsidRDefault="0052730F" w:rsidP="0052730F">
            <w:pPr>
              <w:jc w:val="center"/>
              <w:rPr>
                <w:rFonts w:ascii="Times" w:hAnsi="Times"/>
                <w:sz w:val="16"/>
                <w:szCs w:val="18"/>
              </w:rPr>
            </w:pPr>
            <w:r w:rsidRPr="00924B3A">
              <w:rPr>
                <w:rFonts w:ascii="Times" w:hAnsi="Times"/>
                <w:sz w:val="16"/>
                <w:szCs w:val="18"/>
              </w:rPr>
              <w:t>0.2209</w:t>
            </w:r>
          </w:p>
        </w:tc>
        <w:tc>
          <w:tcPr>
            <w:tcW w:w="567" w:type="dxa"/>
            <w:shd w:val="clear" w:color="auto" w:fill="auto"/>
          </w:tcPr>
          <w:p w14:paraId="0175651C" w14:textId="77777777" w:rsidR="0052730F" w:rsidRPr="00924B3A" w:rsidRDefault="0052730F" w:rsidP="0052730F">
            <w:pPr>
              <w:jc w:val="center"/>
              <w:rPr>
                <w:rFonts w:ascii="Times" w:hAnsi="Times"/>
                <w:sz w:val="16"/>
              </w:rPr>
            </w:pPr>
          </w:p>
        </w:tc>
      </w:tr>
      <w:tr w:rsidR="0052730F" w:rsidRPr="00DF079E" w14:paraId="13D006CC" w14:textId="77777777" w:rsidTr="0052730F">
        <w:trPr>
          <w:jc w:val="center"/>
        </w:trPr>
        <w:tc>
          <w:tcPr>
            <w:tcW w:w="1242" w:type="dxa"/>
            <w:tcBorders>
              <w:bottom w:val="single" w:sz="4" w:space="0" w:color="auto"/>
            </w:tcBorders>
            <w:shd w:val="clear" w:color="auto" w:fill="auto"/>
          </w:tcPr>
          <w:p w14:paraId="1CFBBBE1" w14:textId="77777777" w:rsidR="0052730F" w:rsidRPr="00924B3A" w:rsidRDefault="0052730F" w:rsidP="0052730F">
            <w:pPr>
              <w:jc w:val="center"/>
              <w:rPr>
                <w:rFonts w:ascii="Times" w:hAnsi="Times"/>
                <w:sz w:val="16"/>
              </w:rPr>
            </w:pPr>
          </w:p>
        </w:tc>
        <w:tc>
          <w:tcPr>
            <w:tcW w:w="1134" w:type="dxa"/>
            <w:tcBorders>
              <w:bottom w:val="single" w:sz="4" w:space="0" w:color="auto"/>
            </w:tcBorders>
            <w:shd w:val="clear" w:color="auto" w:fill="auto"/>
          </w:tcPr>
          <w:p w14:paraId="006360C6" w14:textId="77777777" w:rsidR="0052730F" w:rsidRPr="00924B3A" w:rsidRDefault="0052730F" w:rsidP="0052730F">
            <w:pPr>
              <w:jc w:val="center"/>
              <w:rPr>
                <w:rFonts w:ascii="Times" w:hAnsi="Times"/>
                <w:sz w:val="16"/>
              </w:rPr>
            </w:pPr>
            <w:r w:rsidRPr="00924B3A">
              <w:rPr>
                <w:rFonts w:ascii="Times" w:hAnsi="Times"/>
                <w:sz w:val="16"/>
              </w:rPr>
              <w:t>Error</w:t>
            </w:r>
          </w:p>
        </w:tc>
        <w:tc>
          <w:tcPr>
            <w:tcW w:w="426" w:type="dxa"/>
            <w:tcBorders>
              <w:bottom w:val="single" w:sz="4" w:space="0" w:color="auto"/>
            </w:tcBorders>
            <w:shd w:val="clear" w:color="auto" w:fill="auto"/>
          </w:tcPr>
          <w:p w14:paraId="7F844655" w14:textId="77777777" w:rsidR="0052730F" w:rsidRPr="00924B3A" w:rsidRDefault="0052730F" w:rsidP="0052730F">
            <w:pPr>
              <w:jc w:val="center"/>
              <w:rPr>
                <w:rFonts w:ascii="Times" w:hAnsi="Times"/>
                <w:sz w:val="16"/>
              </w:rPr>
            </w:pPr>
          </w:p>
        </w:tc>
        <w:tc>
          <w:tcPr>
            <w:tcW w:w="850" w:type="dxa"/>
            <w:tcBorders>
              <w:bottom w:val="single" w:sz="4" w:space="0" w:color="auto"/>
            </w:tcBorders>
            <w:shd w:val="clear" w:color="auto" w:fill="auto"/>
          </w:tcPr>
          <w:p w14:paraId="108B2E7F" w14:textId="77777777" w:rsidR="0052730F" w:rsidRPr="00924B3A" w:rsidRDefault="0052730F">
            <w:pPr>
              <w:jc w:val="center"/>
              <w:rPr>
                <w:rFonts w:ascii="Times" w:hAnsi="Times"/>
                <w:sz w:val="16"/>
                <w:szCs w:val="18"/>
              </w:rPr>
            </w:pPr>
          </w:p>
        </w:tc>
        <w:tc>
          <w:tcPr>
            <w:tcW w:w="709" w:type="dxa"/>
            <w:tcBorders>
              <w:bottom w:val="single" w:sz="4" w:space="0" w:color="auto"/>
            </w:tcBorders>
            <w:shd w:val="clear" w:color="auto" w:fill="auto"/>
          </w:tcPr>
          <w:p w14:paraId="46836EEA" w14:textId="77777777" w:rsidR="0052730F" w:rsidRPr="00924B3A" w:rsidRDefault="0052730F" w:rsidP="0052730F">
            <w:pPr>
              <w:jc w:val="center"/>
              <w:rPr>
                <w:rFonts w:ascii="Times" w:hAnsi="Times"/>
                <w:sz w:val="16"/>
                <w:szCs w:val="18"/>
              </w:rPr>
            </w:pPr>
            <w:r w:rsidRPr="00924B3A">
              <w:rPr>
                <w:rFonts w:ascii="Times" w:hAnsi="Times"/>
                <w:sz w:val="16"/>
                <w:szCs w:val="18"/>
              </w:rPr>
              <w:t xml:space="preserve">402    </w:t>
            </w:r>
          </w:p>
        </w:tc>
        <w:tc>
          <w:tcPr>
            <w:tcW w:w="850" w:type="dxa"/>
            <w:tcBorders>
              <w:bottom w:val="single" w:sz="4" w:space="0" w:color="auto"/>
            </w:tcBorders>
            <w:shd w:val="clear" w:color="auto" w:fill="auto"/>
          </w:tcPr>
          <w:p w14:paraId="3B42EA5D" w14:textId="77777777" w:rsidR="0052730F" w:rsidRPr="00924B3A" w:rsidRDefault="0052730F" w:rsidP="0052730F">
            <w:pPr>
              <w:jc w:val="center"/>
              <w:rPr>
                <w:rFonts w:ascii="Times" w:hAnsi="Times"/>
                <w:sz w:val="16"/>
              </w:rPr>
            </w:pPr>
            <w:r w:rsidRPr="00924B3A">
              <w:rPr>
                <w:rFonts w:ascii="Times" w:hAnsi="Times"/>
                <w:sz w:val="16"/>
                <w:szCs w:val="18"/>
              </w:rPr>
              <w:t>21342.1</w:t>
            </w:r>
          </w:p>
        </w:tc>
        <w:tc>
          <w:tcPr>
            <w:tcW w:w="851" w:type="dxa"/>
            <w:tcBorders>
              <w:bottom w:val="single" w:sz="4" w:space="0" w:color="auto"/>
            </w:tcBorders>
          </w:tcPr>
          <w:p w14:paraId="1125C615" w14:textId="77777777" w:rsidR="0052730F" w:rsidRPr="00924B3A" w:rsidRDefault="0052730F">
            <w:pPr>
              <w:jc w:val="center"/>
              <w:rPr>
                <w:rFonts w:ascii="Times" w:hAnsi="Times"/>
                <w:sz w:val="16"/>
                <w:szCs w:val="18"/>
              </w:rPr>
            </w:pPr>
          </w:p>
        </w:tc>
        <w:tc>
          <w:tcPr>
            <w:tcW w:w="992" w:type="dxa"/>
            <w:tcBorders>
              <w:bottom w:val="single" w:sz="4" w:space="0" w:color="auto"/>
            </w:tcBorders>
            <w:shd w:val="clear" w:color="auto" w:fill="auto"/>
          </w:tcPr>
          <w:p w14:paraId="712CD45D" w14:textId="77777777" w:rsidR="0052730F" w:rsidRPr="00924B3A" w:rsidRDefault="0052730F" w:rsidP="0052730F">
            <w:pPr>
              <w:jc w:val="center"/>
              <w:rPr>
                <w:rFonts w:ascii="Times" w:hAnsi="Times"/>
                <w:sz w:val="16"/>
                <w:szCs w:val="18"/>
              </w:rPr>
            </w:pPr>
          </w:p>
        </w:tc>
        <w:tc>
          <w:tcPr>
            <w:tcW w:w="567" w:type="dxa"/>
            <w:tcBorders>
              <w:bottom w:val="single" w:sz="4" w:space="0" w:color="auto"/>
            </w:tcBorders>
            <w:shd w:val="clear" w:color="auto" w:fill="auto"/>
          </w:tcPr>
          <w:p w14:paraId="5FDBF197" w14:textId="77777777" w:rsidR="0052730F" w:rsidRPr="00924B3A" w:rsidRDefault="0052730F" w:rsidP="0052730F">
            <w:pPr>
              <w:jc w:val="center"/>
              <w:rPr>
                <w:rFonts w:ascii="Times" w:hAnsi="Times"/>
                <w:sz w:val="16"/>
              </w:rPr>
            </w:pPr>
          </w:p>
        </w:tc>
      </w:tr>
      <w:tr w:rsidR="0052730F" w:rsidRPr="00DF079E" w14:paraId="2BFD5034" w14:textId="77777777" w:rsidTr="0052730F">
        <w:trPr>
          <w:jc w:val="center"/>
        </w:trPr>
        <w:tc>
          <w:tcPr>
            <w:tcW w:w="1242" w:type="dxa"/>
            <w:tcBorders>
              <w:top w:val="single" w:sz="4" w:space="0" w:color="auto"/>
            </w:tcBorders>
            <w:shd w:val="clear" w:color="auto" w:fill="auto"/>
          </w:tcPr>
          <w:p w14:paraId="2EA18AE4" w14:textId="77777777" w:rsidR="0052730F" w:rsidRPr="00924B3A" w:rsidRDefault="0052730F" w:rsidP="0052730F">
            <w:pPr>
              <w:jc w:val="center"/>
              <w:rPr>
                <w:rFonts w:ascii="Times" w:hAnsi="Times"/>
                <w:sz w:val="16"/>
              </w:rPr>
            </w:pPr>
            <w:r w:rsidRPr="00924B3A">
              <w:rPr>
                <w:rFonts w:ascii="Times" w:hAnsi="Times"/>
                <w:sz w:val="16"/>
              </w:rPr>
              <w:t>Grazing</w:t>
            </w:r>
          </w:p>
        </w:tc>
        <w:tc>
          <w:tcPr>
            <w:tcW w:w="1134" w:type="dxa"/>
            <w:tcBorders>
              <w:top w:val="single" w:sz="4" w:space="0" w:color="auto"/>
            </w:tcBorders>
            <w:shd w:val="clear" w:color="auto" w:fill="auto"/>
          </w:tcPr>
          <w:p w14:paraId="065A0AF3" w14:textId="77777777" w:rsidR="0052730F" w:rsidRPr="00924B3A" w:rsidRDefault="0052730F" w:rsidP="0052730F">
            <w:pPr>
              <w:jc w:val="center"/>
              <w:rPr>
                <w:rFonts w:ascii="Times" w:hAnsi="Times"/>
                <w:sz w:val="16"/>
              </w:rPr>
            </w:pPr>
            <w:r w:rsidRPr="00924B3A">
              <w:rPr>
                <w:rFonts w:ascii="Times" w:hAnsi="Times"/>
                <w:sz w:val="16"/>
              </w:rPr>
              <w:t>Population</w:t>
            </w:r>
          </w:p>
        </w:tc>
        <w:tc>
          <w:tcPr>
            <w:tcW w:w="426" w:type="dxa"/>
            <w:tcBorders>
              <w:top w:val="single" w:sz="4" w:space="0" w:color="auto"/>
            </w:tcBorders>
            <w:shd w:val="clear" w:color="auto" w:fill="auto"/>
          </w:tcPr>
          <w:p w14:paraId="4762AFA5" w14:textId="77777777" w:rsidR="0052730F" w:rsidRPr="00924B3A" w:rsidRDefault="0052730F" w:rsidP="0052730F">
            <w:pPr>
              <w:jc w:val="center"/>
              <w:rPr>
                <w:rFonts w:ascii="Times" w:hAnsi="Times"/>
                <w:sz w:val="16"/>
              </w:rPr>
            </w:pPr>
            <w:r w:rsidRPr="00924B3A">
              <w:rPr>
                <w:rFonts w:ascii="Times" w:hAnsi="Times"/>
                <w:sz w:val="16"/>
              </w:rPr>
              <w:t>4</w:t>
            </w:r>
          </w:p>
        </w:tc>
        <w:tc>
          <w:tcPr>
            <w:tcW w:w="850" w:type="dxa"/>
            <w:tcBorders>
              <w:top w:val="single" w:sz="4" w:space="0" w:color="auto"/>
            </w:tcBorders>
            <w:shd w:val="clear" w:color="auto" w:fill="auto"/>
          </w:tcPr>
          <w:p w14:paraId="2FF91C97" w14:textId="77777777" w:rsidR="0052730F" w:rsidRPr="00924B3A" w:rsidRDefault="0052730F" w:rsidP="0052730F">
            <w:pPr>
              <w:jc w:val="center"/>
              <w:rPr>
                <w:rFonts w:ascii="Times" w:hAnsi="Times"/>
                <w:sz w:val="16"/>
              </w:rPr>
            </w:pPr>
            <w:r w:rsidRPr="00924B3A">
              <w:rPr>
                <w:rFonts w:ascii="Times" w:hAnsi="Times"/>
                <w:sz w:val="16"/>
              </w:rPr>
              <w:t xml:space="preserve">13935        </w:t>
            </w:r>
          </w:p>
        </w:tc>
        <w:tc>
          <w:tcPr>
            <w:tcW w:w="709" w:type="dxa"/>
            <w:tcBorders>
              <w:top w:val="single" w:sz="4" w:space="0" w:color="auto"/>
            </w:tcBorders>
            <w:shd w:val="clear" w:color="auto" w:fill="auto"/>
          </w:tcPr>
          <w:p w14:paraId="02CAA9EC" w14:textId="77777777" w:rsidR="0052730F" w:rsidRPr="00924B3A" w:rsidRDefault="0052730F" w:rsidP="0052730F">
            <w:pPr>
              <w:rPr>
                <w:rFonts w:ascii="Times" w:hAnsi="Times"/>
                <w:sz w:val="16"/>
              </w:rPr>
            </w:pPr>
            <w:r w:rsidRPr="00924B3A">
              <w:rPr>
                <w:rFonts w:ascii="Times" w:hAnsi="Times"/>
                <w:sz w:val="16"/>
              </w:rPr>
              <w:t xml:space="preserve">632     </w:t>
            </w:r>
          </w:p>
        </w:tc>
        <w:tc>
          <w:tcPr>
            <w:tcW w:w="850" w:type="dxa"/>
            <w:tcBorders>
              <w:top w:val="single" w:sz="4" w:space="0" w:color="auto"/>
            </w:tcBorders>
            <w:shd w:val="clear" w:color="auto" w:fill="auto"/>
          </w:tcPr>
          <w:p w14:paraId="33E566C7" w14:textId="77777777" w:rsidR="0052730F" w:rsidRPr="00924B3A" w:rsidRDefault="0052730F" w:rsidP="0052730F">
            <w:pPr>
              <w:jc w:val="center"/>
              <w:rPr>
                <w:rFonts w:ascii="Times" w:hAnsi="Times"/>
                <w:sz w:val="16"/>
              </w:rPr>
            </w:pPr>
            <w:r w:rsidRPr="00924B3A">
              <w:rPr>
                <w:rFonts w:ascii="Times" w:hAnsi="Times"/>
                <w:sz w:val="16"/>
              </w:rPr>
              <w:t xml:space="preserve">37222 </w:t>
            </w:r>
          </w:p>
        </w:tc>
        <w:tc>
          <w:tcPr>
            <w:tcW w:w="851" w:type="dxa"/>
            <w:tcBorders>
              <w:top w:val="single" w:sz="4" w:space="0" w:color="auto"/>
            </w:tcBorders>
          </w:tcPr>
          <w:p w14:paraId="02A4A1F0" w14:textId="77777777" w:rsidR="0052730F" w:rsidRPr="00924B3A" w:rsidRDefault="0052730F">
            <w:pPr>
              <w:jc w:val="center"/>
              <w:rPr>
                <w:rFonts w:ascii="Times" w:hAnsi="Times"/>
                <w:sz w:val="16"/>
              </w:rPr>
            </w:pPr>
            <w:r w:rsidRPr="00924B3A">
              <w:rPr>
                <w:rFonts w:ascii="Times" w:hAnsi="Times"/>
                <w:sz w:val="16"/>
              </w:rPr>
              <w:t>3483.734</w:t>
            </w:r>
          </w:p>
        </w:tc>
        <w:tc>
          <w:tcPr>
            <w:tcW w:w="992" w:type="dxa"/>
            <w:tcBorders>
              <w:top w:val="single" w:sz="4" w:space="0" w:color="auto"/>
            </w:tcBorders>
            <w:shd w:val="clear" w:color="auto" w:fill="auto"/>
          </w:tcPr>
          <w:p w14:paraId="00E51CCE" w14:textId="77777777" w:rsidR="0052730F" w:rsidRPr="00924B3A" w:rsidRDefault="0052730F" w:rsidP="0052730F">
            <w:pPr>
              <w:jc w:val="center"/>
              <w:rPr>
                <w:rFonts w:ascii="Times" w:hAnsi="Times"/>
                <w:sz w:val="16"/>
                <w:szCs w:val="18"/>
              </w:rPr>
            </w:pPr>
            <w:r w:rsidRPr="00924B3A">
              <w:rPr>
                <w:rFonts w:ascii="Times" w:hAnsi="Times"/>
                <w:sz w:val="16"/>
              </w:rPr>
              <w:t>&lt; 2.2e-16</w:t>
            </w:r>
          </w:p>
        </w:tc>
        <w:tc>
          <w:tcPr>
            <w:tcW w:w="567" w:type="dxa"/>
            <w:tcBorders>
              <w:top w:val="single" w:sz="4" w:space="0" w:color="auto"/>
            </w:tcBorders>
            <w:shd w:val="clear" w:color="auto" w:fill="auto"/>
          </w:tcPr>
          <w:p w14:paraId="708EA92E" w14:textId="77777777" w:rsidR="0052730F" w:rsidRPr="00924B3A" w:rsidRDefault="0052730F" w:rsidP="0052730F">
            <w:pPr>
              <w:jc w:val="center"/>
              <w:rPr>
                <w:rFonts w:ascii="Times" w:hAnsi="Times"/>
                <w:sz w:val="16"/>
              </w:rPr>
            </w:pPr>
            <w:r w:rsidRPr="00924B3A">
              <w:rPr>
                <w:rFonts w:ascii="Times" w:hAnsi="Times"/>
                <w:sz w:val="16"/>
              </w:rPr>
              <w:t>***</w:t>
            </w:r>
          </w:p>
        </w:tc>
      </w:tr>
      <w:tr w:rsidR="0052730F" w:rsidRPr="00DF079E" w14:paraId="6AEF4DC3" w14:textId="77777777" w:rsidTr="0052730F">
        <w:trPr>
          <w:jc w:val="center"/>
        </w:trPr>
        <w:tc>
          <w:tcPr>
            <w:tcW w:w="1242" w:type="dxa"/>
            <w:shd w:val="clear" w:color="auto" w:fill="auto"/>
          </w:tcPr>
          <w:p w14:paraId="2FFAA359" w14:textId="77777777" w:rsidR="0052730F" w:rsidRPr="00924B3A" w:rsidRDefault="0052730F" w:rsidP="0052730F">
            <w:pPr>
              <w:jc w:val="center"/>
              <w:rPr>
                <w:rFonts w:ascii="Times" w:hAnsi="Times"/>
                <w:sz w:val="16"/>
              </w:rPr>
            </w:pPr>
            <w:r w:rsidRPr="00924B3A">
              <w:rPr>
                <w:rFonts w:ascii="Times" w:hAnsi="Times"/>
                <w:sz w:val="16"/>
              </w:rPr>
              <w:t>intensity</w:t>
            </w:r>
          </w:p>
        </w:tc>
        <w:tc>
          <w:tcPr>
            <w:tcW w:w="1134" w:type="dxa"/>
            <w:shd w:val="clear" w:color="auto" w:fill="auto"/>
          </w:tcPr>
          <w:p w14:paraId="3D59599C" w14:textId="77777777" w:rsidR="0052730F" w:rsidRPr="00924B3A" w:rsidRDefault="0052730F" w:rsidP="0052730F">
            <w:pPr>
              <w:jc w:val="center"/>
              <w:rPr>
                <w:rFonts w:ascii="Times" w:hAnsi="Times"/>
                <w:sz w:val="16"/>
              </w:rPr>
            </w:pPr>
            <w:r w:rsidRPr="00924B3A">
              <w:rPr>
                <w:rFonts w:ascii="Times" w:hAnsi="Times"/>
                <w:sz w:val="16"/>
              </w:rPr>
              <w:t>Aspect</w:t>
            </w:r>
          </w:p>
        </w:tc>
        <w:tc>
          <w:tcPr>
            <w:tcW w:w="426" w:type="dxa"/>
            <w:shd w:val="clear" w:color="auto" w:fill="auto"/>
          </w:tcPr>
          <w:p w14:paraId="27CF8C11" w14:textId="77777777" w:rsidR="0052730F" w:rsidRPr="00924B3A" w:rsidRDefault="0052730F" w:rsidP="0052730F">
            <w:pPr>
              <w:jc w:val="center"/>
              <w:rPr>
                <w:rFonts w:ascii="Times" w:hAnsi="Times"/>
                <w:sz w:val="16"/>
              </w:rPr>
            </w:pPr>
            <w:r w:rsidRPr="00924B3A">
              <w:rPr>
                <w:rFonts w:ascii="Times" w:hAnsi="Times"/>
                <w:sz w:val="16"/>
              </w:rPr>
              <w:t>2</w:t>
            </w:r>
          </w:p>
        </w:tc>
        <w:tc>
          <w:tcPr>
            <w:tcW w:w="850" w:type="dxa"/>
            <w:shd w:val="clear" w:color="auto" w:fill="auto"/>
          </w:tcPr>
          <w:p w14:paraId="603D2C36" w14:textId="77777777" w:rsidR="0052730F" w:rsidRPr="00924B3A" w:rsidRDefault="0052730F" w:rsidP="0052730F">
            <w:pPr>
              <w:jc w:val="center"/>
              <w:rPr>
                <w:rFonts w:ascii="Times" w:hAnsi="Times"/>
                <w:sz w:val="16"/>
              </w:rPr>
            </w:pPr>
            <w:r w:rsidRPr="00924B3A">
              <w:rPr>
                <w:rFonts w:ascii="Times" w:hAnsi="Times"/>
                <w:sz w:val="16"/>
              </w:rPr>
              <w:t xml:space="preserve">138        </w:t>
            </w:r>
          </w:p>
        </w:tc>
        <w:tc>
          <w:tcPr>
            <w:tcW w:w="709" w:type="dxa"/>
            <w:shd w:val="clear" w:color="auto" w:fill="auto"/>
          </w:tcPr>
          <w:p w14:paraId="25D5EAC3" w14:textId="77777777" w:rsidR="0052730F" w:rsidRPr="00924B3A" w:rsidRDefault="0052730F">
            <w:pPr>
              <w:jc w:val="center"/>
              <w:rPr>
                <w:rFonts w:ascii="Times" w:hAnsi="Times"/>
                <w:sz w:val="16"/>
              </w:rPr>
            </w:pPr>
            <w:r w:rsidRPr="00924B3A">
              <w:rPr>
                <w:rFonts w:ascii="Times" w:hAnsi="Times"/>
                <w:sz w:val="16"/>
              </w:rPr>
              <w:t xml:space="preserve">628      </w:t>
            </w:r>
          </w:p>
        </w:tc>
        <w:tc>
          <w:tcPr>
            <w:tcW w:w="850" w:type="dxa"/>
            <w:shd w:val="clear" w:color="auto" w:fill="auto"/>
          </w:tcPr>
          <w:p w14:paraId="1A9BF7D6" w14:textId="77777777" w:rsidR="0052730F" w:rsidRPr="00924B3A" w:rsidRDefault="0052730F">
            <w:pPr>
              <w:jc w:val="center"/>
              <w:rPr>
                <w:rFonts w:ascii="Times" w:hAnsi="Times"/>
                <w:sz w:val="16"/>
                <w:szCs w:val="18"/>
              </w:rPr>
            </w:pPr>
            <w:r w:rsidRPr="00924B3A">
              <w:rPr>
                <w:rFonts w:ascii="Times" w:hAnsi="Times"/>
                <w:sz w:val="16"/>
              </w:rPr>
              <w:t xml:space="preserve">23287 </w:t>
            </w:r>
          </w:p>
        </w:tc>
        <w:tc>
          <w:tcPr>
            <w:tcW w:w="851" w:type="dxa"/>
          </w:tcPr>
          <w:p w14:paraId="6C7F7AAC" w14:textId="77777777" w:rsidR="0052730F" w:rsidRPr="00924B3A" w:rsidRDefault="0052730F">
            <w:pPr>
              <w:jc w:val="center"/>
              <w:rPr>
                <w:rFonts w:ascii="Times" w:hAnsi="Times"/>
                <w:sz w:val="16"/>
              </w:rPr>
            </w:pPr>
            <w:r w:rsidRPr="00924B3A">
              <w:rPr>
                <w:rFonts w:ascii="Times" w:hAnsi="Times"/>
                <w:sz w:val="16"/>
              </w:rPr>
              <w:t>68.977</w:t>
            </w:r>
          </w:p>
        </w:tc>
        <w:tc>
          <w:tcPr>
            <w:tcW w:w="992" w:type="dxa"/>
            <w:shd w:val="clear" w:color="auto" w:fill="auto"/>
          </w:tcPr>
          <w:p w14:paraId="7191FF95" w14:textId="77777777" w:rsidR="0052730F" w:rsidRPr="00924B3A" w:rsidRDefault="0052730F" w:rsidP="0052730F">
            <w:pPr>
              <w:jc w:val="center"/>
              <w:rPr>
                <w:rFonts w:ascii="Times" w:hAnsi="Times"/>
                <w:sz w:val="16"/>
                <w:szCs w:val="18"/>
              </w:rPr>
            </w:pPr>
            <w:r w:rsidRPr="00924B3A">
              <w:rPr>
                <w:rFonts w:ascii="Times" w:hAnsi="Times"/>
                <w:sz w:val="16"/>
              </w:rPr>
              <w:t>&lt; 2.2e-16</w:t>
            </w:r>
          </w:p>
        </w:tc>
        <w:tc>
          <w:tcPr>
            <w:tcW w:w="567" w:type="dxa"/>
            <w:shd w:val="clear" w:color="auto" w:fill="auto"/>
          </w:tcPr>
          <w:p w14:paraId="0906F4F0" w14:textId="77777777" w:rsidR="0052730F" w:rsidRPr="00924B3A" w:rsidRDefault="0052730F" w:rsidP="0052730F">
            <w:pPr>
              <w:jc w:val="center"/>
              <w:rPr>
                <w:rFonts w:ascii="Times" w:hAnsi="Times"/>
                <w:sz w:val="16"/>
              </w:rPr>
            </w:pPr>
            <w:r w:rsidRPr="00924B3A">
              <w:rPr>
                <w:rFonts w:ascii="Times" w:hAnsi="Times"/>
                <w:sz w:val="16"/>
              </w:rPr>
              <w:t>***</w:t>
            </w:r>
          </w:p>
        </w:tc>
      </w:tr>
      <w:tr w:rsidR="0052730F" w:rsidRPr="00DF079E" w14:paraId="40C73902" w14:textId="77777777" w:rsidTr="0052730F">
        <w:trPr>
          <w:jc w:val="center"/>
        </w:trPr>
        <w:tc>
          <w:tcPr>
            <w:tcW w:w="1242" w:type="dxa"/>
            <w:shd w:val="clear" w:color="auto" w:fill="auto"/>
          </w:tcPr>
          <w:p w14:paraId="798722FA" w14:textId="77777777" w:rsidR="0052730F" w:rsidRPr="00924B3A" w:rsidRDefault="0052730F" w:rsidP="0052730F">
            <w:pPr>
              <w:jc w:val="center"/>
              <w:rPr>
                <w:rFonts w:ascii="Times" w:hAnsi="Times"/>
                <w:sz w:val="16"/>
              </w:rPr>
            </w:pPr>
          </w:p>
        </w:tc>
        <w:tc>
          <w:tcPr>
            <w:tcW w:w="1134" w:type="dxa"/>
            <w:shd w:val="clear" w:color="auto" w:fill="auto"/>
          </w:tcPr>
          <w:p w14:paraId="5055DBD0" w14:textId="77777777" w:rsidR="0052730F" w:rsidRPr="00924B3A" w:rsidRDefault="0052730F" w:rsidP="0052730F">
            <w:pPr>
              <w:jc w:val="center"/>
              <w:rPr>
                <w:rFonts w:ascii="Times" w:hAnsi="Times"/>
                <w:sz w:val="16"/>
              </w:rPr>
            </w:pPr>
            <w:r w:rsidRPr="00924B3A">
              <w:rPr>
                <w:rFonts w:ascii="Times" w:hAnsi="Times"/>
                <w:sz w:val="16"/>
              </w:rPr>
              <w:t>Pop * Aspect</w:t>
            </w:r>
          </w:p>
        </w:tc>
        <w:tc>
          <w:tcPr>
            <w:tcW w:w="426" w:type="dxa"/>
            <w:shd w:val="clear" w:color="auto" w:fill="auto"/>
          </w:tcPr>
          <w:p w14:paraId="08DE924F" w14:textId="77777777" w:rsidR="0052730F" w:rsidRPr="00924B3A" w:rsidRDefault="0052730F" w:rsidP="0052730F">
            <w:pPr>
              <w:jc w:val="center"/>
              <w:rPr>
                <w:rFonts w:ascii="Times" w:hAnsi="Times"/>
                <w:sz w:val="16"/>
              </w:rPr>
            </w:pPr>
            <w:r w:rsidRPr="00924B3A">
              <w:rPr>
                <w:rFonts w:ascii="Times" w:hAnsi="Times"/>
                <w:sz w:val="16"/>
              </w:rPr>
              <w:t>8</w:t>
            </w:r>
          </w:p>
        </w:tc>
        <w:tc>
          <w:tcPr>
            <w:tcW w:w="850" w:type="dxa"/>
            <w:shd w:val="clear" w:color="auto" w:fill="auto"/>
          </w:tcPr>
          <w:p w14:paraId="5D9F88B6" w14:textId="77777777" w:rsidR="0052730F" w:rsidRPr="00924B3A" w:rsidRDefault="0052730F">
            <w:pPr>
              <w:jc w:val="center"/>
              <w:rPr>
                <w:rFonts w:ascii="Times" w:hAnsi="Times"/>
                <w:sz w:val="16"/>
              </w:rPr>
            </w:pPr>
            <w:r w:rsidRPr="00924B3A">
              <w:rPr>
                <w:rFonts w:ascii="Times" w:hAnsi="Times"/>
                <w:sz w:val="16"/>
              </w:rPr>
              <w:t xml:space="preserve">1689       </w:t>
            </w:r>
          </w:p>
        </w:tc>
        <w:tc>
          <w:tcPr>
            <w:tcW w:w="709" w:type="dxa"/>
            <w:shd w:val="clear" w:color="auto" w:fill="auto"/>
          </w:tcPr>
          <w:p w14:paraId="4C4C87CE" w14:textId="77777777" w:rsidR="0052730F" w:rsidRPr="00924B3A" w:rsidRDefault="0052730F">
            <w:pPr>
              <w:jc w:val="center"/>
              <w:rPr>
                <w:rFonts w:ascii="Times" w:hAnsi="Times"/>
                <w:sz w:val="16"/>
              </w:rPr>
            </w:pPr>
            <w:r w:rsidRPr="00924B3A">
              <w:rPr>
                <w:rFonts w:ascii="Times" w:hAnsi="Times"/>
                <w:sz w:val="16"/>
              </w:rPr>
              <w:t xml:space="preserve">618      </w:t>
            </w:r>
          </w:p>
        </w:tc>
        <w:tc>
          <w:tcPr>
            <w:tcW w:w="850" w:type="dxa"/>
            <w:shd w:val="clear" w:color="auto" w:fill="auto"/>
          </w:tcPr>
          <w:p w14:paraId="2F02D3F0" w14:textId="77777777" w:rsidR="0052730F" w:rsidRPr="00924B3A" w:rsidRDefault="0052730F">
            <w:pPr>
              <w:jc w:val="center"/>
              <w:rPr>
                <w:rFonts w:ascii="Times" w:hAnsi="Times"/>
                <w:sz w:val="16"/>
                <w:szCs w:val="18"/>
              </w:rPr>
            </w:pPr>
            <w:r w:rsidRPr="00924B3A">
              <w:rPr>
                <w:rFonts w:ascii="Times" w:hAnsi="Times"/>
                <w:sz w:val="16"/>
              </w:rPr>
              <w:t xml:space="preserve">23149 </w:t>
            </w:r>
          </w:p>
        </w:tc>
        <w:tc>
          <w:tcPr>
            <w:tcW w:w="851" w:type="dxa"/>
          </w:tcPr>
          <w:p w14:paraId="1A895975" w14:textId="77777777" w:rsidR="0052730F" w:rsidRPr="00924B3A" w:rsidRDefault="0052730F">
            <w:pPr>
              <w:jc w:val="center"/>
              <w:rPr>
                <w:rFonts w:ascii="Times" w:hAnsi="Times"/>
                <w:sz w:val="16"/>
              </w:rPr>
            </w:pPr>
            <w:r w:rsidRPr="00924B3A">
              <w:rPr>
                <w:rFonts w:ascii="Times" w:hAnsi="Times"/>
                <w:sz w:val="16"/>
              </w:rPr>
              <w:t>211.120</w:t>
            </w:r>
          </w:p>
        </w:tc>
        <w:tc>
          <w:tcPr>
            <w:tcW w:w="992" w:type="dxa"/>
            <w:shd w:val="clear" w:color="auto" w:fill="auto"/>
          </w:tcPr>
          <w:p w14:paraId="2239AAFB" w14:textId="77777777" w:rsidR="0052730F" w:rsidRPr="00924B3A" w:rsidRDefault="0052730F" w:rsidP="0052730F">
            <w:pPr>
              <w:jc w:val="center"/>
              <w:rPr>
                <w:rFonts w:ascii="Times" w:hAnsi="Times"/>
                <w:sz w:val="16"/>
                <w:szCs w:val="18"/>
              </w:rPr>
            </w:pPr>
            <w:r w:rsidRPr="00924B3A">
              <w:rPr>
                <w:rFonts w:ascii="Times" w:hAnsi="Times"/>
                <w:sz w:val="16"/>
              </w:rPr>
              <w:t>&lt; 2.2e-16</w:t>
            </w:r>
          </w:p>
        </w:tc>
        <w:tc>
          <w:tcPr>
            <w:tcW w:w="567" w:type="dxa"/>
            <w:shd w:val="clear" w:color="auto" w:fill="auto"/>
          </w:tcPr>
          <w:p w14:paraId="196131FB" w14:textId="77777777" w:rsidR="0052730F" w:rsidRPr="00924B3A" w:rsidRDefault="0052730F" w:rsidP="0052730F">
            <w:pPr>
              <w:jc w:val="center"/>
              <w:rPr>
                <w:rFonts w:ascii="Times" w:hAnsi="Times"/>
                <w:sz w:val="16"/>
              </w:rPr>
            </w:pPr>
            <w:r w:rsidRPr="00924B3A">
              <w:rPr>
                <w:rFonts w:ascii="Times" w:hAnsi="Times"/>
                <w:sz w:val="16"/>
              </w:rPr>
              <w:t>***</w:t>
            </w:r>
          </w:p>
        </w:tc>
      </w:tr>
      <w:tr w:rsidR="0052730F" w:rsidRPr="00DF079E" w14:paraId="45A49EC3" w14:textId="77777777" w:rsidTr="0052730F">
        <w:trPr>
          <w:jc w:val="center"/>
        </w:trPr>
        <w:tc>
          <w:tcPr>
            <w:tcW w:w="1242" w:type="dxa"/>
            <w:tcBorders>
              <w:bottom w:val="single" w:sz="4" w:space="0" w:color="auto"/>
            </w:tcBorders>
            <w:shd w:val="clear" w:color="auto" w:fill="auto"/>
          </w:tcPr>
          <w:p w14:paraId="35E2DEDD" w14:textId="77777777" w:rsidR="0052730F" w:rsidRPr="00924B3A" w:rsidRDefault="0052730F" w:rsidP="0052730F">
            <w:pPr>
              <w:jc w:val="center"/>
              <w:rPr>
                <w:rFonts w:ascii="Times" w:hAnsi="Times"/>
                <w:sz w:val="16"/>
              </w:rPr>
            </w:pPr>
          </w:p>
        </w:tc>
        <w:tc>
          <w:tcPr>
            <w:tcW w:w="1134" w:type="dxa"/>
            <w:tcBorders>
              <w:bottom w:val="single" w:sz="4" w:space="0" w:color="auto"/>
            </w:tcBorders>
            <w:shd w:val="clear" w:color="auto" w:fill="auto"/>
          </w:tcPr>
          <w:p w14:paraId="5B8C95A8" w14:textId="77777777" w:rsidR="0052730F" w:rsidRPr="00924B3A" w:rsidRDefault="0052730F" w:rsidP="0052730F">
            <w:pPr>
              <w:jc w:val="center"/>
              <w:rPr>
                <w:rFonts w:ascii="Times" w:hAnsi="Times"/>
                <w:sz w:val="16"/>
              </w:rPr>
            </w:pPr>
            <w:r w:rsidRPr="00924B3A">
              <w:rPr>
                <w:rFonts w:ascii="Times" w:hAnsi="Times"/>
                <w:sz w:val="16"/>
              </w:rPr>
              <w:t>Error</w:t>
            </w:r>
          </w:p>
        </w:tc>
        <w:tc>
          <w:tcPr>
            <w:tcW w:w="426" w:type="dxa"/>
            <w:tcBorders>
              <w:bottom w:val="single" w:sz="4" w:space="0" w:color="auto"/>
            </w:tcBorders>
            <w:shd w:val="clear" w:color="auto" w:fill="auto"/>
          </w:tcPr>
          <w:p w14:paraId="3B5631E9" w14:textId="77777777" w:rsidR="0052730F" w:rsidRPr="00924B3A" w:rsidRDefault="0052730F" w:rsidP="0052730F">
            <w:pPr>
              <w:jc w:val="center"/>
              <w:rPr>
                <w:rFonts w:ascii="Times" w:hAnsi="Times"/>
                <w:sz w:val="16"/>
              </w:rPr>
            </w:pPr>
          </w:p>
        </w:tc>
        <w:tc>
          <w:tcPr>
            <w:tcW w:w="850" w:type="dxa"/>
            <w:tcBorders>
              <w:bottom w:val="single" w:sz="4" w:space="0" w:color="auto"/>
            </w:tcBorders>
            <w:shd w:val="clear" w:color="auto" w:fill="auto"/>
          </w:tcPr>
          <w:p w14:paraId="74C5965A" w14:textId="77777777" w:rsidR="0052730F" w:rsidRPr="00924B3A" w:rsidRDefault="0052730F">
            <w:pPr>
              <w:jc w:val="center"/>
              <w:rPr>
                <w:rFonts w:ascii="Times" w:hAnsi="Times"/>
                <w:sz w:val="16"/>
              </w:rPr>
            </w:pPr>
          </w:p>
        </w:tc>
        <w:tc>
          <w:tcPr>
            <w:tcW w:w="709" w:type="dxa"/>
            <w:tcBorders>
              <w:bottom w:val="single" w:sz="4" w:space="0" w:color="auto"/>
            </w:tcBorders>
            <w:shd w:val="clear" w:color="auto" w:fill="auto"/>
          </w:tcPr>
          <w:p w14:paraId="5B25EB50" w14:textId="77777777" w:rsidR="0052730F" w:rsidRPr="00924B3A" w:rsidRDefault="0052730F">
            <w:pPr>
              <w:jc w:val="center"/>
              <w:rPr>
                <w:rFonts w:ascii="Times" w:hAnsi="Times"/>
                <w:sz w:val="16"/>
              </w:rPr>
            </w:pPr>
            <w:r w:rsidRPr="00924B3A">
              <w:rPr>
                <w:rFonts w:ascii="Times" w:hAnsi="Times"/>
                <w:sz w:val="16"/>
              </w:rPr>
              <w:t>618</w:t>
            </w:r>
          </w:p>
        </w:tc>
        <w:tc>
          <w:tcPr>
            <w:tcW w:w="850" w:type="dxa"/>
            <w:tcBorders>
              <w:bottom w:val="single" w:sz="4" w:space="0" w:color="auto"/>
            </w:tcBorders>
            <w:shd w:val="clear" w:color="auto" w:fill="auto"/>
          </w:tcPr>
          <w:p w14:paraId="58C13633" w14:textId="77777777" w:rsidR="0052730F" w:rsidRPr="00924B3A" w:rsidRDefault="0052730F">
            <w:pPr>
              <w:jc w:val="center"/>
              <w:rPr>
                <w:rFonts w:ascii="Times" w:hAnsi="Times"/>
                <w:sz w:val="16"/>
                <w:szCs w:val="18"/>
              </w:rPr>
            </w:pPr>
            <w:r w:rsidRPr="00924B3A">
              <w:rPr>
                <w:rFonts w:ascii="Times" w:hAnsi="Times"/>
                <w:sz w:val="16"/>
                <w:szCs w:val="18"/>
              </w:rPr>
              <w:t>21460</w:t>
            </w:r>
          </w:p>
        </w:tc>
        <w:tc>
          <w:tcPr>
            <w:tcW w:w="851" w:type="dxa"/>
            <w:tcBorders>
              <w:bottom w:val="single" w:sz="4" w:space="0" w:color="auto"/>
            </w:tcBorders>
          </w:tcPr>
          <w:p w14:paraId="07493014" w14:textId="77777777" w:rsidR="0052730F" w:rsidRPr="00924B3A" w:rsidRDefault="0052730F">
            <w:pPr>
              <w:jc w:val="center"/>
              <w:rPr>
                <w:rFonts w:ascii="Times" w:hAnsi="Times"/>
                <w:sz w:val="16"/>
                <w:szCs w:val="18"/>
              </w:rPr>
            </w:pPr>
          </w:p>
        </w:tc>
        <w:tc>
          <w:tcPr>
            <w:tcW w:w="992" w:type="dxa"/>
            <w:tcBorders>
              <w:bottom w:val="single" w:sz="4" w:space="0" w:color="auto"/>
            </w:tcBorders>
            <w:shd w:val="clear" w:color="auto" w:fill="auto"/>
          </w:tcPr>
          <w:p w14:paraId="1DC611CF" w14:textId="77777777" w:rsidR="0052730F" w:rsidRPr="00924B3A" w:rsidRDefault="0052730F" w:rsidP="0052730F">
            <w:pPr>
              <w:jc w:val="center"/>
              <w:rPr>
                <w:rFonts w:ascii="Times" w:hAnsi="Times"/>
                <w:sz w:val="16"/>
                <w:szCs w:val="18"/>
              </w:rPr>
            </w:pPr>
          </w:p>
        </w:tc>
        <w:tc>
          <w:tcPr>
            <w:tcW w:w="567" w:type="dxa"/>
            <w:tcBorders>
              <w:bottom w:val="single" w:sz="4" w:space="0" w:color="auto"/>
            </w:tcBorders>
            <w:shd w:val="clear" w:color="auto" w:fill="auto"/>
          </w:tcPr>
          <w:p w14:paraId="52A601EC" w14:textId="77777777" w:rsidR="0052730F" w:rsidRPr="00924B3A" w:rsidRDefault="0052730F" w:rsidP="0052730F">
            <w:pPr>
              <w:jc w:val="center"/>
              <w:rPr>
                <w:rFonts w:ascii="Times" w:hAnsi="Times"/>
                <w:sz w:val="16"/>
              </w:rPr>
            </w:pPr>
          </w:p>
        </w:tc>
      </w:tr>
      <w:tr w:rsidR="0052730F" w:rsidRPr="00DF079E" w14:paraId="49075D3E" w14:textId="77777777" w:rsidTr="0052730F">
        <w:trPr>
          <w:jc w:val="center"/>
        </w:trPr>
        <w:tc>
          <w:tcPr>
            <w:tcW w:w="1242" w:type="dxa"/>
            <w:tcBorders>
              <w:top w:val="single" w:sz="4" w:space="0" w:color="auto"/>
            </w:tcBorders>
            <w:shd w:val="clear" w:color="auto" w:fill="auto"/>
          </w:tcPr>
          <w:p w14:paraId="576B8B7C" w14:textId="77777777" w:rsidR="0052730F" w:rsidRPr="00924B3A" w:rsidRDefault="0052730F" w:rsidP="0052730F">
            <w:pPr>
              <w:jc w:val="center"/>
              <w:rPr>
                <w:rFonts w:ascii="Times" w:hAnsi="Times"/>
                <w:sz w:val="16"/>
              </w:rPr>
            </w:pPr>
            <w:r w:rsidRPr="00924B3A">
              <w:rPr>
                <w:rFonts w:ascii="Times" w:hAnsi="Times"/>
                <w:sz w:val="16"/>
              </w:rPr>
              <w:t xml:space="preserve">Perennial </w:t>
            </w:r>
          </w:p>
        </w:tc>
        <w:tc>
          <w:tcPr>
            <w:tcW w:w="1134" w:type="dxa"/>
            <w:tcBorders>
              <w:top w:val="single" w:sz="4" w:space="0" w:color="auto"/>
            </w:tcBorders>
            <w:shd w:val="clear" w:color="auto" w:fill="auto"/>
          </w:tcPr>
          <w:p w14:paraId="53D2FC6C" w14:textId="77777777" w:rsidR="0052730F" w:rsidRPr="00924B3A" w:rsidRDefault="0052730F" w:rsidP="0052730F">
            <w:pPr>
              <w:jc w:val="center"/>
              <w:rPr>
                <w:rFonts w:ascii="Times" w:hAnsi="Times"/>
                <w:sz w:val="16"/>
              </w:rPr>
            </w:pPr>
            <w:r w:rsidRPr="00924B3A">
              <w:rPr>
                <w:rFonts w:ascii="Times" w:hAnsi="Times"/>
                <w:sz w:val="16"/>
              </w:rPr>
              <w:t>Population</w:t>
            </w:r>
          </w:p>
        </w:tc>
        <w:tc>
          <w:tcPr>
            <w:tcW w:w="426" w:type="dxa"/>
            <w:tcBorders>
              <w:top w:val="single" w:sz="4" w:space="0" w:color="auto"/>
            </w:tcBorders>
            <w:shd w:val="clear" w:color="auto" w:fill="auto"/>
          </w:tcPr>
          <w:p w14:paraId="602A960C" w14:textId="77777777" w:rsidR="0052730F" w:rsidRPr="00924B3A" w:rsidRDefault="0052730F" w:rsidP="0052730F">
            <w:pPr>
              <w:jc w:val="center"/>
              <w:rPr>
                <w:rFonts w:ascii="Times" w:hAnsi="Times"/>
                <w:sz w:val="16"/>
              </w:rPr>
            </w:pPr>
          </w:p>
        </w:tc>
        <w:tc>
          <w:tcPr>
            <w:tcW w:w="850" w:type="dxa"/>
            <w:tcBorders>
              <w:top w:val="single" w:sz="4" w:space="0" w:color="auto"/>
            </w:tcBorders>
            <w:shd w:val="clear" w:color="auto" w:fill="auto"/>
          </w:tcPr>
          <w:p w14:paraId="5CCB29E4" w14:textId="77777777" w:rsidR="0052730F" w:rsidRPr="00924B3A" w:rsidRDefault="0052730F" w:rsidP="0052730F">
            <w:pPr>
              <w:jc w:val="center"/>
              <w:rPr>
                <w:rFonts w:ascii="Times" w:hAnsi="Times"/>
                <w:sz w:val="16"/>
              </w:rPr>
            </w:pPr>
            <w:r w:rsidRPr="00924B3A">
              <w:rPr>
                <w:rFonts w:ascii="Times" w:hAnsi="Times"/>
                <w:sz w:val="16"/>
              </w:rPr>
              <w:t xml:space="preserve">34.550        </w:t>
            </w:r>
          </w:p>
        </w:tc>
        <w:tc>
          <w:tcPr>
            <w:tcW w:w="709" w:type="dxa"/>
            <w:tcBorders>
              <w:top w:val="single" w:sz="4" w:space="0" w:color="auto"/>
            </w:tcBorders>
            <w:shd w:val="clear" w:color="auto" w:fill="auto"/>
          </w:tcPr>
          <w:p w14:paraId="7913005E" w14:textId="77777777" w:rsidR="0052730F" w:rsidRPr="00924B3A" w:rsidRDefault="0052730F">
            <w:pPr>
              <w:jc w:val="center"/>
              <w:rPr>
                <w:rFonts w:ascii="Times" w:hAnsi="Times"/>
                <w:sz w:val="16"/>
              </w:rPr>
            </w:pPr>
            <w:r w:rsidRPr="00924B3A">
              <w:rPr>
                <w:rFonts w:ascii="Times" w:hAnsi="Times"/>
                <w:sz w:val="16"/>
              </w:rPr>
              <w:t>628</w:t>
            </w:r>
          </w:p>
        </w:tc>
        <w:tc>
          <w:tcPr>
            <w:tcW w:w="850" w:type="dxa"/>
            <w:tcBorders>
              <w:top w:val="single" w:sz="4" w:space="0" w:color="auto"/>
            </w:tcBorders>
            <w:shd w:val="clear" w:color="auto" w:fill="auto"/>
          </w:tcPr>
          <w:p w14:paraId="69020F9B" w14:textId="77777777" w:rsidR="0052730F" w:rsidRPr="00924B3A" w:rsidRDefault="0052730F" w:rsidP="0052730F">
            <w:pPr>
              <w:jc w:val="center"/>
              <w:rPr>
                <w:rFonts w:ascii="Times" w:hAnsi="Times"/>
                <w:sz w:val="16"/>
              </w:rPr>
            </w:pPr>
            <w:r w:rsidRPr="00924B3A">
              <w:rPr>
                <w:rFonts w:ascii="Times" w:hAnsi="Times"/>
                <w:sz w:val="16"/>
              </w:rPr>
              <w:t>40.551</w:t>
            </w:r>
          </w:p>
        </w:tc>
        <w:tc>
          <w:tcPr>
            <w:tcW w:w="851" w:type="dxa"/>
            <w:tcBorders>
              <w:top w:val="single" w:sz="4" w:space="0" w:color="auto"/>
            </w:tcBorders>
          </w:tcPr>
          <w:p w14:paraId="0F1D9816" w14:textId="77777777" w:rsidR="0052730F" w:rsidRPr="00924B3A" w:rsidRDefault="0052730F">
            <w:pPr>
              <w:jc w:val="center"/>
              <w:rPr>
                <w:rFonts w:ascii="Times" w:hAnsi="Times"/>
                <w:sz w:val="16"/>
              </w:rPr>
            </w:pPr>
          </w:p>
        </w:tc>
        <w:tc>
          <w:tcPr>
            <w:tcW w:w="992" w:type="dxa"/>
            <w:tcBorders>
              <w:top w:val="single" w:sz="4" w:space="0" w:color="auto"/>
            </w:tcBorders>
            <w:shd w:val="clear" w:color="auto" w:fill="auto"/>
          </w:tcPr>
          <w:p w14:paraId="7D60313F" w14:textId="77777777" w:rsidR="0052730F" w:rsidRPr="00924B3A" w:rsidRDefault="0052730F" w:rsidP="0052730F">
            <w:pPr>
              <w:jc w:val="center"/>
              <w:rPr>
                <w:rFonts w:ascii="Times" w:hAnsi="Times"/>
                <w:sz w:val="16"/>
                <w:szCs w:val="18"/>
              </w:rPr>
            </w:pPr>
            <w:r w:rsidRPr="00924B3A">
              <w:rPr>
                <w:rFonts w:ascii="Times" w:hAnsi="Times"/>
                <w:sz w:val="16"/>
              </w:rPr>
              <w:t>&lt; 2.2e-16</w:t>
            </w:r>
          </w:p>
        </w:tc>
        <w:tc>
          <w:tcPr>
            <w:tcW w:w="567" w:type="dxa"/>
            <w:tcBorders>
              <w:top w:val="single" w:sz="4" w:space="0" w:color="auto"/>
            </w:tcBorders>
            <w:shd w:val="clear" w:color="auto" w:fill="auto"/>
          </w:tcPr>
          <w:p w14:paraId="6E4E32FF" w14:textId="77777777" w:rsidR="0052730F" w:rsidRPr="00924B3A" w:rsidRDefault="0052730F" w:rsidP="0052730F">
            <w:pPr>
              <w:jc w:val="center"/>
              <w:rPr>
                <w:rFonts w:ascii="Times" w:hAnsi="Times"/>
                <w:sz w:val="16"/>
              </w:rPr>
            </w:pPr>
            <w:r w:rsidRPr="00924B3A">
              <w:rPr>
                <w:rFonts w:ascii="Times" w:hAnsi="Times"/>
                <w:sz w:val="16"/>
              </w:rPr>
              <w:t>***</w:t>
            </w:r>
          </w:p>
        </w:tc>
      </w:tr>
      <w:tr w:rsidR="0052730F" w:rsidRPr="00DF079E" w14:paraId="4C793434" w14:textId="77777777" w:rsidTr="0052730F">
        <w:trPr>
          <w:jc w:val="center"/>
        </w:trPr>
        <w:tc>
          <w:tcPr>
            <w:tcW w:w="1242" w:type="dxa"/>
            <w:shd w:val="clear" w:color="auto" w:fill="auto"/>
          </w:tcPr>
          <w:p w14:paraId="3A90F00F" w14:textId="77777777" w:rsidR="0052730F" w:rsidRPr="00924B3A" w:rsidRDefault="0052730F" w:rsidP="0052730F">
            <w:pPr>
              <w:jc w:val="center"/>
              <w:rPr>
                <w:rFonts w:ascii="Times" w:hAnsi="Times"/>
                <w:sz w:val="16"/>
              </w:rPr>
            </w:pPr>
            <w:r w:rsidRPr="00924B3A">
              <w:rPr>
                <w:rFonts w:ascii="Times" w:hAnsi="Times"/>
                <w:sz w:val="16"/>
              </w:rPr>
              <w:t>cover</w:t>
            </w:r>
          </w:p>
        </w:tc>
        <w:tc>
          <w:tcPr>
            <w:tcW w:w="1134" w:type="dxa"/>
            <w:shd w:val="clear" w:color="auto" w:fill="auto"/>
          </w:tcPr>
          <w:p w14:paraId="655655CD" w14:textId="77777777" w:rsidR="0052730F" w:rsidRPr="00924B3A" w:rsidRDefault="0052730F" w:rsidP="0052730F">
            <w:pPr>
              <w:jc w:val="center"/>
              <w:rPr>
                <w:rFonts w:ascii="Times" w:hAnsi="Times"/>
                <w:sz w:val="16"/>
              </w:rPr>
            </w:pPr>
            <w:r w:rsidRPr="00924B3A">
              <w:rPr>
                <w:rFonts w:ascii="Times" w:hAnsi="Times"/>
                <w:sz w:val="16"/>
              </w:rPr>
              <w:t>Aspect</w:t>
            </w:r>
          </w:p>
        </w:tc>
        <w:tc>
          <w:tcPr>
            <w:tcW w:w="426" w:type="dxa"/>
            <w:shd w:val="clear" w:color="auto" w:fill="auto"/>
          </w:tcPr>
          <w:p w14:paraId="3C2677F5" w14:textId="77777777" w:rsidR="0052730F" w:rsidRPr="00924B3A" w:rsidRDefault="0052730F" w:rsidP="0052730F">
            <w:pPr>
              <w:jc w:val="center"/>
              <w:rPr>
                <w:rFonts w:ascii="Times" w:hAnsi="Times"/>
                <w:sz w:val="16"/>
              </w:rPr>
            </w:pPr>
            <w:r w:rsidRPr="00924B3A">
              <w:rPr>
                <w:rFonts w:ascii="Times" w:hAnsi="Times"/>
                <w:sz w:val="16"/>
              </w:rPr>
              <w:t>2</w:t>
            </w:r>
          </w:p>
        </w:tc>
        <w:tc>
          <w:tcPr>
            <w:tcW w:w="850" w:type="dxa"/>
            <w:shd w:val="clear" w:color="auto" w:fill="auto"/>
          </w:tcPr>
          <w:p w14:paraId="2AD4CDB8" w14:textId="77777777" w:rsidR="0052730F" w:rsidRPr="00924B3A" w:rsidRDefault="0052730F">
            <w:pPr>
              <w:jc w:val="center"/>
              <w:rPr>
                <w:rFonts w:ascii="Times" w:hAnsi="Times"/>
                <w:sz w:val="16"/>
              </w:rPr>
            </w:pPr>
            <w:r w:rsidRPr="00924B3A">
              <w:rPr>
                <w:rFonts w:ascii="Times" w:hAnsi="Times"/>
                <w:sz w:val="16"/>
              </w:rPr>
              <w:t>0.763</w:t>
            </w:r>
          </w:p>
        </w:tc>
        <w:tc>
          <w:tcPr>
            <w:tcW w:w="709" w:type="dxa"/>
            <w:shd w:val="clear" w:color="auto" w:fill="auto"/>
          </w:tcPr>
          <w:p w14:paraId="40E4CBE8" w14:textId="77777777" w:rsidR="0052730F" w:rsidRPr="00924B3A" w:rsidRDefault="0052730F">
            <w:pPr>
              <w:jc w:val="center"/>
              <w:rPr>
                <w:rFonts w:ascii="Times" w:hAnsi="Times"/>
                <w:sz w:val="16"/>
              </w:rPr>
            </w:pPr>
            <w:r w:rsidRPr="00924B3A">
              <w:rPr>
                <w:rFonts w:ascii="Times" w:hAnsi="Times"/>
                <w:sz w:val="16"/>
              </w:rPr>
              <w:t>626</w:t>
            </w:r>
          </w:p>
        </w:tc>
        <w:tc>
          <w:tcPr>
            <w:tcW w:w="850" w:type="dxa"/>
            <w:shd w:val="clear" w:color="auto" w:fill="auto"/>
          </w:tcPr>
          <w:p w14:paraId="246F68BC" w14:textId="77777777" w:rsidR="0052730F" w:rsidRPr="00924B3A" w:rsidRDefault="0052730F" w:rsidP="0052730F">
            <w:pPr>
              <w:jc w:val="center"/>
              <w:rPr>
                <w:rFonts w:ascii="Times" w:hAnsi="Times"/>
                <w:sz w:val="16"/>
              </w:rPr>
            </w:pPr>
            <w:r w:rsidRPr="00924B3A">
              <w:rPr>
                <w:rFonts w:ascii="Times" w:hAnsi="Times"/>
                <w:sz w:val="16"/>
              </w:rPr>
              <w:t>39.788</w:t>
            </w:r>
          </w:p>
        </w:tc>
        <w:tc>
          <w:tcPr>
            <w:tcW w:w="851" w:type="dxa"/>
          </w:tcPr>
          <w:p w14:paraId="6111CBE3" w14:textId="77777777" w:rsidR="0052730F" w:rsidRPr="00924B3A" w:rsidRDefault="0052730F">
            <w:pPr>
              <w:jc w:val="center"/>
              <w:rPr>
                <w:rFonts w:ascii="Times" w:hAnsi="Times"/>
                <w:sz w:val="16"/>
              </w:rPr>
            </w:pPr>
          </w:p>
        </w:tc>
        <w:tc>
          <w:tcPr>
            <w:tcW w:w="992" w:type="dxa"/>
            <w:shd w:val="clear" w:color="auto" w:fill="auto"/>
          </w:tcPr>
          <w:p w14:paraId="02C7AA45" w14:textId="77777777" w:rsidR="0052730F" w:rsidRPr="00924B3A" w:rsidRDefault="0052730F" w:rsidP="0052730F">
            <w:pPr>
              <w:jc w:val="center"/>
              <w:rPr>
                <w:rFonts w:ascii="Times" w:hAnsi="Times"/>
                <w:sz w:val="16"/>
                <w:szCs w:val="18"/>
              </w:rPr>
            </w:pPr>
            <w:r w:rsidRPr="00924B3A">
              <w:rPr>
                <w:rFonts w:ascii="Times" w:hAnsi="Times"/>
                <w:sz w:val="16"/>
              </w:rPr>
              <w:t>0.006799</w:t>
            </w:r>
          </w:p>
        </w:tc>
        <w:tc>
          <w:tcPr>
            <w:tcW w:w="567" w:type="dxa"/>
            <w:shd w:val="clear" w:color="auto" w:fill="auto"/>
          </w:tcPr>
          <w:p w14:paraId="40DBD4A2" w14:textId="77777777" w:rsidR="0052730F" w:rsidRPr="00924B3A" w:rsidRDefault="0052730F" w:rsidP="0052730F">
            <w:pPr>
              <w:jc w:val="center"/>
              <w:rPr>
                <w:rFonts w:ascii="Times" w:hAnsi="Times"/>
                <w:sz w:val="16"/>
              </w:rPr>
            </w:pPr>
            <w:r w:rsidRPr="00924B3A">
              <w:rPr>
                <w:rFonts w:ascii="Times" w:hAnsi="Times"/>
                <w:sz w:val="16"/>
              </w:rPr>
              <w:t xml:space="preserve">** </w:t>
            </w:r>
          </w:p>
        </w:tc>
      </w:tr>
      <w:tr w:rsidR="0052730F" w:rsidRPr="00DF079E" w14:paraId="03C68B4F" w14:textId="77777777" w:rsidTr="0052730F">
        <w:trPr>
          <w:jc w:val="center"/>
        </w:trPr>
        <w:tc>
          <w:tcPr>
            <w:tcW w:w="1242" w:type="dxa"/>
            <w:shd w:val="clear" w:color="auto" w:fill="auto"/>
          </w:tcPr>
          <w:p w14:paraId="60D48834" w14:textId="77777777" w:rsidR="0052730F" w:rsidRPr="00924B3A" w:rsidRDefault="0052730F" w:rsidP="0052730F">
            <w:pPr>
              <w:jc w:val="center"/>
              <w:rPr>
                <w:rFonts w:ascii="Times" w:hAnsi="Times"/>
                <w:sz w:val="16"/>
              </w:rPr>
            </w:pPr>
          </w:p>
        </w:tc>
        <w:tc>
          <w:tcPr>
            <w:tcW w:w="1134" w:type="dxa"/>
            <w:shd w:val="clear" w:color="auto" w:fill="auto"/>
          </w:tcPr>
          <w:p w14:paraId="547A2083" w14:textId="77777777" w:rsidR="0052730F" w:rsidRPr="00924B3A" w:rsidRDefault="0052730F" w:rsidP="0052730F">
            <w:pPr>
              <w:jc w:val="center"/>
              <w:rPr>
                <w:rFonts w:ascii="Times" w:hAnsi="Times"/>
                <w:sz w:val="16"/>
              </w:rPr>
            </w:pPr>
            <w:r w:rsidRPr="00924B3A">
              <w:rPr>
                <w:rFonts w:ascii="Times" w:hAnsi="Times"/>
                <w:sz w:val="16"/>
              </w:rPr>
              <w:t>Pop * Aspect</w:t>
            </w:r>
          </w:p>
        </w:tc>
        <w:tc>
          <w:tcPr>
            <w:tcW w:w="426" w:type="dxa"/>
            <w:shd w:val="clear" w:color="auto" w:fill="auto"/>
          </w:tcPr>
          <w:p w14:paraId="6C3E1176" w14:textId="77777777" w:rsidR="0052730F" w:rsidRPr="00924B3A" w:rsidRDefault="0052730F" w:rsidP="0052730F">
            <w:pPr>
              <w:jc w:val="center"/>
              <w:rPr>
                <w:rFonts w:ascii="Times" w:hAnsi="Times"/>
                <w:sz w:val="16"/>
              </w:rPr>
            </w:pPr>
            <w:r w:rsidRPr="00924B3A">
              <w:rPr>
                <w:rFonts w:ascii="Times" w:hAnsi="Times"/>
                <w:sz w:val="16"/>
              </w:rPr>
              <w:t>8</w:t>
            </w:r>
          </w:p>
        </w:tc>
        <w:tc>
          <w:tcPr>
            <w:tcW w:w="850" w:type="dxa"/>
            <w:shd w:val="clear" w:color="auto" w:fill="auto"/>
          </w:tcPr>
          <w:p w14:paraId="2430CDD6" w14:textId="77777777" w:rsidR="0052730F" w:rsidRPr="00924B3A" w:rsidRDefault="0052730F">
            <w:pPr>
              <w:jc w:val="center"/>
              <w:rPr>
                <w:rFonts w:ascii="Times" w:hAnsi="Times"/>
                <w:sz w:val="16"/>
              </w:rPr>
            </w:pPr>
            <w:r w:rsidRPr="00924B3A">
              <w:rPr>
                <w:rFonts w:ascii="Times" w:hAnsi="Times"/>
                <w:sz w:val="16"/>
              </w:rPr>
              <w:t>0.160</w:t>
            </w:r>
          </w:p>
        </w:tc>
        <w:tc>
          <w:tcPr>
            <w:tcW w:w="709" w:type="dxa"/>
            <w:shd w:val="clear" w:color="auto" w:fill="auto"/>
          </w:tcPr>
          <w:p w14:paraId="7F5548DB" w14:textId="77777777" w:rsidR="0052730F" w:rsidRPr="00924B3A" w:rsidRDefault="0052730F">
            <w:pPr>
              <w:jc w:val="center"/>
              <w:rPr>
                <w:rFonts w:ascii="Times" w:hAnsi="Times"/>
                <w:sz w:val="16"/>
              </w:rPr>
            </w:pPr>
            <w:r w:rsidRPr="00924B3A">
              <w:rPr>
                <w:rFonts w:ascii="Times" w:hAnsi="Times"/>
                <w:sz w:val="16"/>
              </w:rPr>
              <w:t>618</w:t>
            </w:r>
          </w:p>
        </w:tc>
        <w:tc>
          <w:tcPr>
            <w:tcW w:w="850" w:type="dxa"/>
            <w:shd w:val="clear" w:color="auto" w:fill="auto"/>
          </w:tcPr>
          <w:p w14:paraId="05D8E9A8" w14:textId="77777777" w:rsidR="0052730F" w:rsidRPr="00924B3A" w:rsidRDefault="0052730F" w:rsidP="0052730F">
            <w:pPr>
              <w:jc w:val="center"/>
              <w:rPr>
                <w:rFonts w:ascii="Times" w:hAnsi="Times"/>
                <w:sz w:val="16"/>
              </w:rPr>
            </w:pPr>
            <w:r w:rsidRPr="00924B3A">
              <w:rPr>
                <w:rFonts w:ascii="Times" w:hAnsi="Times"/>
                <w:sz w:val="16"/>
              </w:rPr>
              <w:t>39.627</w:t>
            </w:r>
          </w:p>
        </w:tc>
        <w:tc>
          <w:tcPr>
            <w:tcW w:w="851" w:type="dxa"/>
          </w:tcPr>
          <w:p w14:paraId="6D887B50" w14:textId="77777777" w:rsidR="0052730F" w:rsidRPr="00924B3A" w:rsidRDefault="0052730F">
            <w:pPr>
              <w:jc w:val="center"/>
              <w:rPr>
                <w:rFonts w:ascii="Times" w:hAnsi="Times"/>
                <w:sz w:val="16"/>
              </w:rPr>
            </w:pPr>
          </w:p>
        </w:tc>
        <w:tc>
          <w:tcPr>
            <w:tcW w:w="992" w:type="dxa"/>
            <w:shd w:val="clear" w:color="auto" w:fill="auto"/>
          </w:tcPr>
          <w:p w14:paraId="27EFAF7D" w14:textId="77777777" w:rsidR="0052730F" w:rsidRPr="00924B3A" w:rsidRDefault="0052730F" w:rsidP="0052730F">
            <w:pPr>
              <w:jc w:val="center"/>
              <w:rPr>
                <w:rFonts w:ascii="Times" w:hAnsi="Times"/>
                <w:sz w:val="16"/>
                <w:szCs w:val="18"/>
              </w:rPr>
            </w:pPr>
            <w:r w:rsidRPr="00924B3A">
              <w:rPr>
                <w:rFonts w:ascii="Times" w:hAnsi="Times"/>
                <w:sz w:val="16"/>
              </w:rPr>
              <w:t>0.977841</w:t>
            </w:r>
          </w:p>
        </w:tc>
        <w:tc>
          <w:tcPr>
            <w:tcW w:w="567" w:type="dxa"/>
            <w:shd w:val="clear" w:color="auto" w:fill="auto"/>
          </w:tcPr>
          <w:p w14:paraId="312C18F7" w14:textId="77777777" w:rsidR="0052730F" w:rsidRPr="00924B3A" w:rsidRDefault="0052730F" w:rsidP="0052730F">
            <w:pPr>
              <w:jc w:val="center"/>
              <w:rPr>
                <w:rFonts w:ascii="Times" w:hAnsi="Times"/>
                <w:sz w:val="16"/>
              </w:rPr>
            </w:pPr>
          </w:p>
        </w:tc>
      </w:tr>
      <w:tr w:rsidR="0052730F" w:rsidRPr="00DF079E" w14:paraId="1B4B57A0" w14:textId="77777777" w:rsidTr="0052730F">
        <w:trPr>
          <w:jc w:val="center"/>
        </w:trPr>
        <w:tc>
          <w:tcPr>
            <w:tcW w:w="1242" w:type="dxa"/>
            <w:tcBorders>
              <w:bottom w:val="single" w:sz="4" w:space="0" w:color="auto"/>
            </w:tcBorders>
            <w:shd w:val="clear" w:color="auto" w:fill="auto"/>
          </w:tcPr>
          <w:p w14:paraId="72DB056D" w14:textId="77777777" w:rsidR="0052730F" w:rsidRPr="00924B3A" w:rsidRDefault="0052730F" w:rsidP="0052730F">
            <w:pPr>
              <w:jc w:val="center"/>
              <w:rPr>
                <w:rFonts w:ascii="Times" w:hAnsi="Times"/>
                <w:sz w:val="16"/>
              </w:rPr>
            </w:pPr>
          </w:p>
        </w:tc>
        <w:tc>
          <w:tcPr>
            <w:tcW w:w="1134" w:type="dxa"/>
            <w:tcBorders>
              <w:bottom w:val="single" w:sz="4" w:space="0" w:color="auto"/>
            </w:tcBorders>
            <w:shd w:val="clear" w:color="auto" w:fill="auto"/>
          </w:tcPr>
          <w:p w14:paraId="576C1B7C" w14:textId="77777777" w:rsidR="0052730F" w:rsidRPr="00924B3A" w:rsidRDefault="0052730F" w:rsidP="0052730F">
            <w:pPr>
              <w:jc w:val="center"/>
              <w:rPr>
                <w:rFonts w:ascii="Times" w:hAnsi="Times"/>
                <w:sz w:val="16"/>
              </w:rPr>
            </w:pPr>
            <w:r w:rsidRPr="00924B3A">
              <w:rPr>
                <w:rFonts w:ascii="Times" w:hAnsi="Times"/>
                <w:sz w:val="16"/>
              </w:rPr>
              <w:t>Error</w:t>
            </w:r>
          </w:p>
        </w:tc>
        <w:tc>
          <w:tcPr>
            <w:tcW w:w="426" w:type="dxa"/>
            <w:tcBorders>
              <w:bottom w:val="single" w:sz="4" w:space="0" w:color="auto"/>
            </w:tcBorders>
            <w:shd w:val="clear" w:color="auto" w:fill="auto"/>
          </w:tcPr>
          <w:p w14:paraId="69674BAC" w14:textId="77777777" w:rsidR="0052730F" w:rsidRPr="00924B3A" w:rsidRDefault="0052730F" w:rsidP="0052730F">
            <w:pPr>
              <w:jc w:val="center"/>
              <w:rPr>
                <w:rFonts w:ascii="Times" w:hAnsi="Times"/>
                <w:sz w:val="16"/>
              </w:rPr>
            </w:pPr>
          </w:p>
        </w:tc>
        <w:tc>
          <w:tcPr>
            <w:tcW w:w="850" w:type="dxa"/>
            <w:tcBorders>
              <w:bottom w:val="single" w:sz="4" w:space="0" w:color="auto"/>
            </w:tcBorders>
            <w:shd w:val="clear" w:color="auto" w:fill="auto"/>
          </w:tcPr>
          <w:p w14:paraId="3ACEE757" w14:textId="77777777" w:rsidR="0052730F" w:rsidRPr="00924B3A" w:rsidRDefault="0052730F">
            <w:pPr>
              <w:jc w:val="center"/>
              <w:rPr>
                <w:rFonts w:ascii="Times" w:hAnsi="Times"/>
                <w:sz w:val="16"/>
              </w:rPr>
            </w:pPr>
          </w:p>
        </w:tc>
        <w:tc>
          <w:tcPr>
            <w:tcW w:w="709" w:type="dxa"/>
            <w:tcBorders>
              <w:bottom w:val="single" w:sz="4" w:space="0" w:color="auto"/>
            </w:tcBorders>
            <w:shd w:val="clear" w:color="auto" w:fill="auto"/>
          </w:tcPr>
          <w:p w14:paraId="2E8DD6FD" w14:textId="77777777" w:rsidR="0052730F" w:rsidRPr="00924B3A" w:rsidRDefault="0052730F" w:rsidP="0052730F">
            <w:pPr>
              <w:jc w:val="center"/>
              <w:rPr>
                <w:rFonts w:ascii="Times" w:hAnsi="Times"/>
                <w:sz w:val="16"/>
              </w:rPr>
            </w:pPr>
            <w:r w:rsidRPr="00924B3A">
              <w:rPr>
                <w:rFonts w:ascii="Times" w:hAnsi="Times"/>
                <w:sz w:val="16"/>
              </w:rPr>
              <w:t xml:space="preserve">632     </w:t>
            </w:r>
          </w:p>
        </w:tc>
        <w:tc>
          <w:tcPr>
            <w:tcW w:w="850" w:type="dxa"/>
            <w:tcBorders>
              <w:bottom w:val="single" w:sz="4" w:space="0" w:color="auto"/>
            </w:tcBorders>
            <w:shd w:val="clear" w:color="auto" w:fill="auto"/>
          </w:tcPr>
          <w:p w14:paraId="127D6E59" w14:textId="77777777" w:rsidR="0052730F" w:rsidRPr="00924B3A" w:rsidRDefault="0052730F" w:rsidP="0052730F">
            <w:pPr>
              <w:jc w:val="center"/>
              <w:rPr>
                <w:rFonts w:ascii="Times" w:hAnsi="Times"/>
                <w:sz w:val="16"/>
              </w:rPr>
            </w:pPr>
            <w:r w:rsidRPr="00924B3A">
              <w:rPr>
                <w:rFonts w:ascii="Times" w:hAnsi="Times"/>
                <w:sz w:val="16"/>
              </w:rPr>
              <w:t>75.101</w:t>
            </w:r>
          </w:p>
        </w:tc>
        <w:tc>
          <w:tcPr>
            <w:tcW w:w="851" w:type="dxa"/>
            <w:tcBorders>
              <w:bottom w:val="single" w:sz="4" w:space="0" w:color="auto"/>
            </w:tcBorders>
          </w:tcPr>
          <w:p w14:paraId="70FEF5EA" w14:textId="77777777" w:rsidR="0052730F" w:rsidRPr="00924B3A" w:rsidRDefault="0052730F">
            <w:pPr>
              <w:jc w:val="center"/>
              <w:rPr>
                <w:rFonts w:ascii="Times" w:hAnsi="Times"/>
                <w:sz w:val="16"/>
                <w:szCs w:val="18"/>
              </w:rPr>
            </w:pPr>
          </w:p>
        </w:tc>
        <w:tc>
          <w:tcPr>
            <w:tcW w:w="992" w:type="dxa"/>
            <w:tcBorders>
              <w:bottom w:val="single" w:sz="4" w:space="0" w:color="auto"/>
            </w:tcBorders>
            <w:shd w:val="clear" w:color="auto" w:fill="auto"/>
          </w:tcPr>
          <w:p w14:paraId="002D0AF2" w14:textId="77777777" w:rsidR="0052730F" w:rsidRPr="00924B3A" w:rsidRDefault="0052730F" w:rsidP="0052730F">
            <w:pPr>
              <w:jc w:val="center"/>
              <w:rPr>
                <w:rFonts w:ascii="Times" w:hAnsi="Times"/>
                <w:sz w:val="16"/>
                <w:szCs w:val="18"/>
              </w:rPr>
            </w:pPr>
          </w:p>
        </w:tc>
        <w:tc>
          <w:tcPr>
            <w:tcW w:w="567" w:type="dxa"/>
            <w:tcBorders>
              <w:bottom w:val="single" w:sz="4" w:space="0" w:color="auto"/>
            </w:tcBorders>
            <w:shd w:val="clear" w:color="auto" w:fill="auto"/>
          </w:tcPr>
          <w:p w14:paraId="5B099FFB" w14:textId="77777777" w:rsidR="0052730F" w:rsidRPr="00924B3A" w:rsidRDefault="0052730F" w:rsidP="0052730F">
            <w:pPr>
              <w:jc w:val="center"/>
              <w:rPr>
                <w:rFonts w:ascii="Times" w:hAnsi="Times"/>
                <w:sz w:val="16"/>
              </w:rPr>
            </w:pPr>
          </w:p>
        </w:tc>
      </w:tr>
      <w:tr w:rsidR="0052730F" w:rsidRPr="00DF079E" w14:paraId="15357A01" w14:textId="77777777" w:rsidTr="0052730F">
        <w:trPr>
          <w:jc w:val="center"/>
        </w:trPr>
        <w:tc>
          <w:tcPr>
            <w:tcW w:w="1242" w:type="dxa"/>
            <w:tcBorders>
              <w:top w:val="single" w:sz="4" w:space="0" w:color="auto"/>
            </w:tcBorders>
            <w:shd w:val="clear" w:color="auto" w:fill="auto"/>
          </w:tcPr>
          <w:p w14:paraId="346D4528" w14:textId="77777777" w:rsidR="0052730F" w:rsidRPr="00924B3A" w:rsidRDefault="0052730F" w:rsidP="0052730F">
            <w:pPr>
              <w:jc w:val="center"/>
              <w:rPr>
                <w:rFonts w:ascii="Times" w:hAnsi="Times"/>
                <w:sz w:val="16"/>
              </w:rPr>
            </w:pPr>
            <w:r w:rsidRPr="00924B3A">
              <w:rPr>
                <w:rFonts w:ascii="Times" w:hAnsi="Times"/>
                <w:sz w:val="16"/>
              </w:rPr>
              <w:t>Moss cover</w:t>
            </w:r>
          </w:p>
        </w:tc>
        <w:tc>
          <w:tcPr>
            <w:tcW w:w="1134" w:type="dxa"/>
            <w:tcBorders>
              <w:top w:val="single" w:sz="4" w:space="0" w:color="auto"/>
            </w:tcBorders>
            <w:shd w:val="clear" w:color="auto" w:fill="auto"/>
          </w:tcPr>
          <w:p w14:paraId="5F02D391" w14:textId="77777777" w:rsidR="0052730F" w:rsidRPr="00924B3A" w:rsidRDefault="0052730F" w:rsidP="0052730F">
            <w:pPr>
              <w:jc w:val="center"/>
              <w:rPr>
                <w:rFonts w:ascii="Times" w:hAnsi="Times"/>
                <w:sz w:val="16"/>
              </w:rPr>
            </w:pPr>
            <w:r w:rsidRPr="00924B3A">
              <w:rPr>
                <w:rFonts w:ascii="Times" w:hAnsi="Times"/>
                <w:sz w:val="16"/>
              </w:rPr>
              <w:t>Population</w:t>
            </w:r>
          </w:p>
        </w:tc>
        <w:tc>
          <w:tcPr>
            <w:tcW w:w="426" w:type="dxa"/>
            <w:tcBorders>
              <w:top w:val="single" w:sz="4" w:space="0" w:color="auto"/>
            </w:tcBorders>
            <w:shd w:val="clear" w:color="auto" w:fill="auto"/>
          </w:tcPr>
          <w:p w14:paraId="0A7B38D2" w14:textId="77777777" w:rsidR="0052730F" w:rsidRPr="00924B3A" w:rsidRDefault="0052730F" w:rsidP="0052730F">
            <w:pPr>
              <w:jc w:val="center"/>
              <w:rPr>
                <w:rFonts w:ascii="Times" w:hAnsi="Times"/>
                <w:sz w:val="16"/>
              </w:rPr>
            </w:pPr>
            <w:r w:rsidRPr="00924B3A">
              <w:rPr>
                <w:rFonts w:ascii="Times" w:hAnsi="Times"/>
                <w:sz w:val="16"/>
              </w:rPr>
              <w:t xml:space="preserve"> 4   </w:t>
            </w:r>
          </w:p>
        </w:tc>
        <w:tc>
          <w:tcPr>
            <w:tcW w:w="850" w:type="dxa"/>
            <w:tcBorders>
              <w:top w:val="single" w:sz="4" w:space="0" w:color="auto"/>
            </w:tcBorders>
            <w:shd w:val="clear" w:color="auto" w:fill="auto"/>
          </w:tcPr>
          <w:p w14:paraId="343F8D48" w14:textId="77777777" w:rsidR="0052730F" w:rsidRPr="00924B3A" w:rsidRDefault="0052730F" w:rsidP="0052730F">
            <w:pPr>
              <w:jc w:val="center"/>
              <w:rPr>
                <w:rFonts w:ascii="Times" w:hAnsi="Times"/>
                <w:sz w:val="16"/>
              </w:rPr>
            </w:pPr>
            <w:r w:rsidRPr="00924B3A">
              <w:rPr>
                <w:rFonts w:ascii="Times" w:hAnsi="Times"/>
                <w:sz w:val="16"/>
              </w:rPr>
              <w:t xml:space="preserve">13.989       </w:t>
            </w:r>
          </w:p>
        </w:tc>
        <w:tc>
          <w:tcPr>
            <w:tcW w:w="709" w:type="dxa"/>
            <w:tcBorders>
              <w:top w:val="single" w:sz="4" w:space="0" w:color="auto"/>
            </w:tcBorders>
            <w:shd w:val="clear" w:color="auto" w:fill="auto"/>
          </w:tcPr>
          <w:p w14:paraId="051BD774" w14:textId="77777777" w:rsidR="0052730F" w:rsidRPr="00924B3A" w:rsidRDefault="0052730F">
            <w:pPr>
              <w:jc w:val="center"/>
              <w:rPr>
                <w:rFonts w:ascii="Times" w:hAnsi="Times"/>
                <w:sz w:val="16"/>
              </w:rPr>
            </w:pPr>
            <w:r w:rsidRPr="00924B3A">
              <w:rPr>
                <w:rFonts w:ascii="Times" w:hAnsi="Times"/>
                <w:sz w:val="16"/>
              </w:rPr>
              <w:t xml:space="preserve">628     </w:t>
            </w:r>
          </w:p>
        </w:tc>
        <w:tc>
          <w:tcPr>
            <w:tcW w:w="850" w:type="dxa"/>
            <w:tcBorders>
              <w:top w:val="single" w:sz="4" w:space="0" w:color="auto"/>
            </w:tcBorders>
            <w:shd w:val="clear" w:color="auto" w:fill="auto"/>
          </w:tcPr>
          <w:p w14:paraId="18253DE2" w14:textId="77777777" w:rsidR="0052730F" w:rsidRPr="00924B3A" w:rsidRDefault="0052730F" w:rsidP="0052730F">
            <w:pPr>
              <w:jc w:val="center"/>
              <w:rPr>
                <w:rFonts w:ascii="Times" w:hAnsi="Times"/>
                <w:sz w:val="16"/>
              </w:rPr>
            </w:pPr>
            <w:r w:rsidRPr="00924B3A">
              <w:rPr>
                <w:rFonts w:ascii="Times" w:hAnsi="Times"/>
                <w:sz w:val="16"/>
              </w:rPr>
              <w:t xml:space="preserve">243.32 </w:t>
            </w:r>
          </w:p>
        </w:tc>
        <w:tc>
          <w:tcPr>
            <w:tcW w:w="851" w:type="dxa"/>
            <w:tcBorders>
              <w:top w:val="single" w:sz="4" w:space="0" w:color="auto"/>
            </w:tcBorders>
          </w:tcPr>
          <w:p w14:paraId="67C3B82D" w14:textId="77777777" w:rsidR="0052730F" w:rsidRPr="00924B3A" w:rsidRDefault="0052730F">
            <w:pPr>
              <w:jc w:val="center"/>
              <w:rPr>
                <w:rFonts w:ascii="Times" w:hAnsi="Times"/>
                <w:sz w:val="16"/>
              </w:rPr>
            </w:pPr>
          </w:p>
        </w:tc>
        <w:tc>
          <w:tcPr>
            <w:tcW w:w="992" w:type="dxa"/>
            <w:tcBorders>
              <w:top w:val="single" w:sz="4" w:space="0" w:color="auto"/>
            </w:tcBorders>
            <w:shd w:val="clear" w:color="auto" w:fill="auto"/>
          </w:tcPr>
          <w:p w14:paraId="5A7D9593" w14:textId="77777777" w:rsidR="0052730F" w:rsidRPr="00924B3A" w:rsidRDefault="0052730F" w:rsidP="0052730F">
            <w:pPr>
              <w:jc w:val="center"/>
              <w:rPr>
                <w:rFonts w:ascii="Times" w:hAnsi="Times"/>
                <w:sz w:val="16"/>
                <w:szCs w:val="18"/>
              </w:rPr>
            </w:pPr>
            <w:r w:rsidRPr="00924B3A">
              <w:rPr>
                <w:rFonts w:ascii="Times" w:hAnsi="Times"/>
                <w:sz w:val="16"/>
              </w:rPr>
              <w:t>1.179e-07</w:t>
            </w:r>
          </w:p>
        </w:tc>
        <w:tc>
          <w:tcPr>
            <w:tcW w:w="567" w:type="dxa"/>
            <w:tcBorders>
              <w:top w:val="single" w:sz="4" w:space="0" w:color="auto"/>
            </w:tcBorders>
            <w:shd w:val="clear" w:color="auto" w:fill="auto"/>
          </w:tcPr>
          <w:p w14:paraId="1EE01294" w14:textId="77777777" w:rsidR="0052730F" w:rsidRPr="00924B3A" w:rsidRDefault="0052730F" w:rsidP="0052730F">
            <w:pPr>
              <w:jc w:val="center"/>
              <w:rPr>
                <w:rFonts w:ascii="Times" w:hAnsi="Times"/>
                <w:sz w:val="16"/>
              </w:rPr>
            </w:pPr>
            <w:r w:rsidRPr="00924B3A">
              <w:rPr>
                <w:rFonts w:ascii="Times" w:hAnsi="Times"/>
                <w:sz w:val="16"/>
              </w:rPr>
              <w:t>***</w:t>
            </w:r>
          </w:p>
        </w:tc>
      </w:tr>
      <w:tr w:rsidR="0052730F" w:rsidRPr="00DF079E" w14:paraId="404DDBC1" w14:textId="77777777" w:rsidTr="0052730F">
        <w:trPr>
          <w:jc w:val="center"/>
        </w:trPr>
        <w:tc>
          <w:tcPr>
            <w:tcW w:w="1242" w:type="dxa"/>
            <w:shd w:val="clear" w:color="auto" w:fill="auto"/>
          </w:tcPr>
          <w:p w14:paraId="3F9641B8" w14:textId="77777777" w:rsidR="0052730F" w:rsidRPr="00924B3A" w:rsidRDefault="0052730F" w:rsidP="0052730F">
            <w:pPr>
              <w:jc w:val="center"/>
              <w:rPr>
                <w:rFonts w:ascii="Times" w:hAnsi="Times"/>
                <w:sz w:val="16"/>
              </w:rPr>
            </w:pPr>
          </w:p>
        </w:tc>
        <w:tc>
          <w:tcPr>
            <w:tcW w:w="1134" w:type="dxa"/>
            <w:shd w:val="clear" w:color="auto" w:fill="auto"/>
          </w:tcPr>
          <w:p w14:paraId="02640305" w14:textId="77777777" w:rsidR="0052730F" w:rsidRPr="00924B3A" w:rsidRDefault="0052730F" w:rsidP="0052730F">
            <w:pPr>
              <w:jc w:val="center"/>
              <w:rPr>
                <w:rFonts w:ascii="Times" w:hAnsi="Times"/>
                <w:sz w:val="16"/>
              </w:rPr>
            </w:pPr>
            <w:r w:rsidRPr="00924B3A">
              <w:rPr>
                <w:rFonts w:ascii="Times" w:hAnsi="Times"/>
                <w:sz w:val="16"/>
              </w:rPr>
              <w:t>Aspect</w:t>
            </w:r>
          </w:p>
        </w:tc>
        <w:tc>
          <w:tcPr>
            <w:tcW w:w="426" w:type="dxa"/>
            <w:shd w:val="clear" w:color="auto" w:fill="auto"/>
          </w:tcPr>
          <w:p w14:paraId="51D47BC1" w14:textId="77777777" w:rsidR="0052730F" w:rsidRPr="00924B3A" w:rsidRDefault="0052730F" w:rsidP="0052730F">
            <w:pPr>
              <w:jc w:val="center"/>
              <w:rPr>
                <w:rFonts w:ascii="Times" w:hAnsi="Times"/>
                <w:sz w:val="16"/>
              </w:rPr>
            </w:pPr>
            <w:r w:rsidRPr="00924B3A">
              <w:rPr>
                <w:rFonts w:ascii="Times" w:hAnsi="Times"/>
                <w:sz w:val="16"/>
              </w:rPr>
              <w:t>2</w:t>
            </w:r>
          </w:p>
        </w:tc>
        <w:tc>
          <w:tcPr>
            <w:tcW w:w="850" w:type="dxa"/>
            <w:shd w:val="clear" w:color="auto" w:fill="auto"/>
          </w:tcPr>
          <w:p w14:paraId="5F9C8A02" w14:textId="77777777" w:rsidR="0052730F" w:rsidRPr="00924B3A" w:rsidRDefault="0052730F">
            <w:pPr>
              <w:jc w:val="center"/>
              <w:rPr>
                <w:rFonts w:ascii="Times" w:hAnsi="Times"/>
                <w:sz w:val="16"/>
              </w:rPr>
            </w:pPr>
            <w:r w:rsidRPr="00924B3A">
              <w:rPr>
                <w:rFonts w:ascii="Times" w:hAnsi="Times"/>
                <w:sz w:val="16"/>
              </w:rPr>
              <w:t xml:space="preserve">    0.358       </w:t>
            </w:r>
          </w:p>
        </w:tc>
        <w:tc>
          <w:tcPr>
            <w:tcW w:w="709" w:type="dxa"/>
            <w:shd w:val="clear" w:color="auto" w:fill="auto"/>
          </w:tcPr>
          <w:p w14:paraId="136758FA" w14:textId="77777777" w:rsidR="0052730F" w:rsidRPr="00924B3A" w:rsidRDefault="0052730F">
            <w:pPr>
              <w:jc w:val="center"/>
              <w:rPr>
                <w:rFonts w:ascii="Times" w:hAnsi="Times"/>
                <w:sz w:val="16"/>
              </w:rPr>
            </w:pPr>
            <w:r w:rsidRPr="00924B3A">
              <w:rPr>
                <w:rFonts w:ascii="Times" w:hAnsi="Times"/>
                <w:sz w:val="16"/>
              </w:rPr>
              <w:t xml:space="preserve">626     </w:t>
            </w:r>
          </w:p>
        </w:tc>
        <w:tc>
          <w:tcPr>
            <w:tcW w:w="850" w:type="dxa"/>
            <w:shd w:val="clear" w:color="auto" w:fill="auto"/>
          </w:tcPr>
          <w:p w14:paraId="7ECD3806" w14:textId="77777777" w:rsidR="0052730F" w:rsidRPr="00924B3A" w:rsidRDefault="0052730F" w:rsidP="0052730F">
            <w:pPr>
              <w:jc w:val="center"/>
              <w:rPr>
                <w:rFonts w:ascii="Times" w:hAnsi="Times"/>
                <w:sz w:val="16"/>
              </w:rPr>
            </w:pPr>
            <w:r w:rsidRPr="00924B3A">
              <w:rPr>
                <w:rFonts w:ascii="Times" w:hAnsi="Times"/>
                <w:sz w:val="16"/>
              </w:rPr>
              <w:t xml:space="preserve">242.96 </w:t>
            </w:r>
          </w:p>
        </w:tc>
        <w:tc>
          <w:tcPr>
            <w:tcW w:w="851" w:type="dxa"/>
          </w:tcPr>
          <w:p w14:paraId="21EB29C7" w14:textId="77777777" w:rsidR="0052730F" w:rsidRPr="00924B3A" w:rsidRDefault="0052730F">
            <w:pPr>
              <w:jc w:val="center"/>
              <w:rPr>
                <w:rFonts w:ascii="Times" w:hAnsi="Times"/>
                <w:sz w:val="16"/>
              </w:rPr>
            </w:pPr>
          </w:p>
        </w:tc>
        <w:tc>
          <w:tcPr>
            <w:tcW w:w="992" w:type="dxa"/>
            <w:shd w:val="clear" w:color="auto" w:fill="auto"/>
          </w:tcPr>
          <w:p w14:paraId="55AE8AD6" w14:textId="77777777" w:rsidR="0052730F" w:rsidRPr="00924B3A" w:rsidRDefault="0052730F" w:rsidP="0052730F">
            <w:pPr>
              <w:jc w:val="center"/>
              <w:rPr>
                <w:rFonts w:ascii="Times" w:hAnsi="Times"/>
                <w:sz w:val="16"/>
              </w:rPr>
            </w:pPr>
            <w:r w:rsidRPr="00924B3A">
              <w:rPr>
                <w:rFonts w:ascii="Times" w:hAnsi="Times"/>
                <w:sz w:val="16"/>
              </w:rPr>
              <w:t>0.6157343</w:t>
            </w:r>
          </w:p>
        </w:tc>
        <w:tc>
          <w:tcPr>
            <w:tcW w:w="567" w:type="dxa"/>
            <w:shd w:val="clear" w:color="auto" w:fill="auto"/>
          </w:tcPr>
          <w:p w14:paraId="241121E4" w14:textId="77777777" w:rsidR="0052730F" w:rsidRPr="00924B3A" w:rsidRDefault="0052730F" w:rsidP="0052730F">
            <w:pPr>
              <w:jc w:val="center"/>
              <w:rPr>
                <w:rFonts w:ascii="Times" w:hAnsi="Times"/>
                <w:sz w:val="16"/>
              </w:rPr>
            </w:pPr>
          </w:p>
        </w:tc>
      </w:tr>
      <w:tr w:rsidR="0052730F" w:rsidRPr="00DF079E" w14:paraId="07415DDF" w14:textId="77777777" w:rsidTr="0052730F">
        <w:trPr>
          <w:jc w:val="center"/>
        </w:trPr>
        <w:tc>
          <w:tcPr>
            <w:tcW w:w="1242" w:type="dxa"/>
            <w:shd w:val="clear" w:color="auto" w:fill="auto"/>
          </w:tcPr>
          <w:p w14:paraId="05F4503C" w14:textId="77777777" w:rsidR="0052730F" w:rsidRPr="00924B3A" w:rsidRDefault="0052730F" w:rsidP="0052730F">
            <w:pPr>
              <w:jc w:val="center"/>
              <w:rPr>
                <w:rFonts w:ascii="Times" w:hAnsi="Times"/>
                <w:sz w:val="16"/>
              </w:rPr>
            </w:pPr>
          </w:p>
        </w:tc>
        <w:tc>
          <w:tcPr>
            <w:tcW w:w="1134" w:type="dxa"/>
            <w:shd w:val="clear" w:color="auto" w:fill="auto"/>
          </w:tcPr>
          <w:p w14:paraId="08B6CE77" w14:textId="77777777" w:rsidR="0052730F" w:rsidRPr="00924B3A" w:rsidRDefault="0052730F" w:rsidP="0052730F">
            <w:pPr>
              <w:jc w:val="center"/>
              <w:rPr>
                <w:rFonts w:ascii="Times" w:hAnsi="Times"/>
                <w:sz w:val="16"/>
              </w:rPr>
            </w:pPr>
            <w:r w:rsidRPr="00924B3A">
              <w:rPr>
                <w:rFonts w:ascii="Times" w:hAnsi="Times"/>
                <w:sz w:val="16"/>
              </w:rPr>
              <w:t>Pop * Aspect</w:t>
            </w:r>
          </w:p>
        </w:tc>
        <w:tc>
          <w:tcPr>
            <w:tcW w:w="426" w:type="dxa"/>
            <w:shd w:val="clear" w:color="auto" w:fill="auto"/>
          </w:tcPr>
          <w:p w14:paraId="681B5557" w14:textId="77777777" w:rsidR="0052730F" w:rsidRPr="00924B3A" w:rsidRDefault="0052730F" w:rsidP="0052730F">
            <w:pPr>
              <w:jc w:val="center"/>
              <w:rPr>
                <w:rFonts w:ascii="Times" w:hAnsi="Times"/>
                <w:sz w:val="16"/>
              </w:rPr>
            </w:pPr>
            <w:r w:rsidRPr="00924B3A">
              <w:rPr>
                <w:rFonts w:ascii="Times" w:hAnsi="Times"/>
                <w:sz w:val="16"/>
              </w:rPr>
              <w:t>8</w:t>
            </w:r>
          </w:p>
        </w:tc>
        <w:tc>
          <w:tcPr>
            <w:tcW w:w="850" w:type="dxa"/>
            <w:shd w:val="clear" w:color="auto" w:fill="auto"/>
          </w:tcPr>
          <w:p w14:paraId="7BA5C797" w14:textId="77777777" w:rsidR="0052730F" w:rsidRPr="00924B3A" w:rsidRDefault="0052730F">
            <w:pPr>
              <w:jc w:val="center"/>
              <w:rPr>
                <w:rFonts w:ascii="Times" w:hAnsi="Times"/>
                <w:sz w:val="16"/>
              </w:rPr>
            </w:pPr>
            <w:r w:rsidRPr="00924B3A">
              <w:rPr>
                <w:rFonts w:ascii="Times" w:hAnsi="Times"/>
                <w:sz w:val="16"/>
              </w:rPr>
              <w:t xml:space="preserve">11.288       </w:t>
            </w:r>
          </w:p>
        </w:tc>
        <w:tc>
          <w:tcPr>
            <w:tcW w:w="709" w:type="dxa"/>
            <w:shd w:val="clear" w:color="auto" w:fill="auto"/>
          </w:tcPr>
          <w:p w14:paraId="21E6D5A8" w14:textId="77777777" w:rsidR="0052730F" w:rsidRPr="00924B3A" w:rsidRDefault="0052730F">
            <w:pPr>
              <w:jc w:val="center"/>
              <w:rPr>
                <w:rFonts w:ascii="Times" w:hAnsi="Times"/>
                <w:sz w:val="16"/>
              </w:rPr>
            </w:pPr>
            <w:r w:rsidRPr="00924B3A">
              <w:rPr>
                <w:rFonts w:ascii="Times" w:hAnsi="Times"/>
                <w:sz w:val="16"/>
              </w:rPr>
              <w:t xml:space="preserve">618     </w:t>
            </w:r>
          </w:p>
        </w:tc>
        <w:tc>
          <w:tcPr>
            <w:tcW w:w="850" w:type="dxa"/>
            <w:shd w:val="clear" w:color="auto" w:fill="auto"/>
          </w:tcPr>
          <w:p w14:paraId="2F9F53CA" w14:textId="77777777" w:rsidR="0052730F" w:rsidRPr="00924B3A" w:rsidRDefault="0052730F" w:rsidP="0052730F">
            <w:pPr>
              <w:jc w:val="center"/>
              <w:rPr>
                <w:rFonts w:ascii="Times" w:hAnsi="Times"/>
                <w:sz w:val="16"/>
              </w:rPr>
            </w:pPr>
            <w:r w:rsidRPr="00924B3A">
              <w:rPr>
                <w:rFonts w:ascii="Times" w:hAnsi="Times"/>
                <w:sz w:val="16"/>
              </w:rPr>
              <w:t xml:space="preserve">231.67 </w:t>
            </w:r>
          </w:p>
        </w:tc>
        <w:tc>
          <w:tcPr>
            <w:tcW w:w="851" w:type="dxa"/>
          </w:tcPr>
          <w:p w14:paraId="0E5E4A59" w14:textId="77777777" w:rsidR="0052730F" w:rsidRPr="00924B3A" w:rsidRDefault="0052730F">
            <w:pPr>
              <w:jc w:val="center"/>
              <w:rPr>
                <w:rFonts w:ascii="Times" w:hAnsi="Times"/>
                <w:sz w:val="16"/>
              </w:rPr>
            </w:pPr>
          </w:p>
        </w:tc>
        <w:tc>
          <w:tcPr>
            <w:tcW w:w="992" w:type="dxa"/>
            <w:shd w:val="clear" w:color="auto" w:fill="auto"/>
          </w:tcPr>
          <w:p w14:paraId="5256E344" w14:textId="77777777" w:rsidR="0052730F" w:rsidRPr="00924B3A" w:rsidRDefault="0052730F" w:rsidP="0052730F">
            <w:pPr>
              <w:jc w:val="center"/>
              <w:rPr>
                <w:rFonts w:ascii="Times" w:hAnsi="Times"/>
                <w:sz w:val="16"/>
                <w:szCs w:val="18"/>
              </w:rPr>
            </w:pPr>
            <w:r w:rsidRPr="00924B3A">
              <w:rPr>
                <w:rFonts w:ascii="Times" w:hAnsi="Times"/>
                <w:sz w:val="16"/>
              </w:rPr>
              <w:t>0.0001671</w:t>
            </w:r>
          </w:p>
        </w:tc>
        <w:tc>
          <w:tcPr>
            <w:tcW w:w="567" w:type="dxa"/>
            <w:shd w:val="clear" w:color="auto" w:fill="auto"/>
          </w:tcPr>
          <w:p w14:paraId="6A59849D" w14:textId="77777777" w:rsidR="0052730F" w:rsidRPr="00924B3A" w:rsidRDefault="0052730F" w:rsidP="0052730F">
            <w:pPr>
              <w:jc w:val="center"/>
              <w:rPr>
                <w:rFonts w:ascii="Times" w:hAnsi="Times"/>
                <w:sz w:val="16"/>
              </w:rPr>
            </w:pPr>
            <w:r w:rsidRPr="00924B3A">
              <w:rPr>
                <w:rFonts w:ascii="Times" w:hAnsi="Times"/>
                <w:sz w:val="16"/>
              </w:rPr>
              <w:t>***</w:t>
            </w:r>
          </w:p>
        </w:tc>
      </w:tr>
      <w:tr w:rsidR="0052730F" w:rsidRPr="00DF079E" w14:paraId="140E47F2" w14:textId="77777777" w:rsidTr="0052730F">
        <w:trPr>
          <w:jc w:val="center"/>
        </w:trPr>
        <w:tc>
          <w:tcPr>
            <w:tcW w:w="1242" w:type="dxa"/>
            <w:tcBorders>
              <w:bottom w:val="single" w:sz="4" w:space="0" w:color="auto"/>
            </w:tcBorders>
            <w:shd w:val="clear" w:color="auto" w:fill="auto"/>
          </w:tcPr>
          <w:p w14:paraId="71BAD786" w14:textId="77777777" w:rsidR="0052730F" w:rsidRPr="00924B3A" w:rsidRDefault="0052730F" w:rsidP="0052730F">
            <w:pPr>
              <w:jc w:val="center"/>
              <w:rPr>
                <w:rFonts w:ascii="Times" w:hAnsi="Times"/>
                <w:sz w:val="16"/>
              </w:rPr>
            </w:pPr>
          </w:p>
        </w:tc>
        <w:tc>
          <w:tcPr>
            <w:tcW w:w="1134" w:type="dxa"/>
            <w:tcBorders>
              <w:bottom w:val="single" w:sz="4" w:space="0" w:color="auto"/>
            </w:tcBorders>
            <w:shd w:val="clear" w:color="auto" w:fill="auto"/>
          </w:tcPr>
          <w:p w14:paraId="27EB33A1" w14:textId="77777777" w:rsidR="0052730F" w:rsidRPr="00924B3A" w:rsidRDefault="0052730F" w:rsidP="0052730F">
            <w:pPr>
              <w:jc w:val="center"/>
              <w:rPr>
                <w:rFonts w:ascii="Times" w:hAnsi="Times"/>
                <w:sz w:val="16"/>
              </w:rPr>
            </w:pPr>
            <w:r w:rsidRPr="00924B3A">
              <w:rPr>
                <w:rFonts w:ascii="Times" w:hAnsi="Times"/>
                <w:sz w:val="16"/>
              </w:rPr>
              <w:t>Error</w:t>
            </w:r>
          </w:p>
        </w:tc>
        <w:tc>
          <w:tcPr>
            <w:tcW w:w="426" w:type="dxa"/>
            <w:tcBorders>
              <w:bottom w:val="single" w:sz="4" w:space="0" w:color="auto"/>
            </w:tcBorders>
            <w:shd w:val="clear" w:color="auto" w:fill="auto"/>
          </w:tcPr>
          <w:p w14:paraId="05287C63" w14:textId="77777777" w:rsidR="0052730F" w:rsidRPr="00924B3A" w:rsidRDefault="0052730F" w:rsidP="0052730F">
            <w:pPr>
              <w:jc w:val="center"/>
              <w:rPr>
                <w:rFonts w:ascii="Times" w:hAnsi="Times"/>
                <w:sz w:val="16"/>
              </w:rPr>
            </w:pPr>
          </w:p>
        </w:tc>
        <w:tc>
          <w:tcPr>
            <w:tcW w:w="850" w:type="dxa"/>
            <w:tcBorders>
              <w:bottom w:val="single" w:sz="4" w:space="0" w:color="auto"/>
            </w:tcBorders>
            <w:shd w:val="clear" w:color="auto" w:fill="auto"/>
          </w:tcPr>
          <w:p w14:paraId="7D388DB8" w14:textId="77777777" w:rsidR="0052730F" w:rsidRPr="00924B3A" w:rsidRDefault="0052730F">
            <w:pPr>
              <w:jc w:val="center"/>
              <w:rPr>
                <w:rFonts w:ascii="Times" w:hAnsi="Times"/>
                <w:sz w:val="16"/>
              </w:rPr>
            </w:pPr>
          </w:p>
        </w:tc>
        <w:tc>
          <w:tcPr>
            <w:tcW w:w="709" w:type="dxa"/>
            <w:tcBorders>
              <w:bottom w:val="single" w:sz="4" w:space="0" w:color="auto"/>
            </w:tcBorders>
            <w:shd w:val="clear" w:color="auto" w:fill="auto"/>
          </w:tcPr>
          <w:p w14:paraId="7DA1CF0A" w14:textId="77777777" w:rsidR="0052730F" w:rsidRPr="00924B3A" w:rsidRDefault="0052730F">
            <w:pPr>
              <w:jc w:val="center"/>
              <w:rPr>
                <w:rFonts w:ascii="Times" w:hAnsi="Times"/>
                <w:sz w:val="16"/>
              </w:rPr>
            </w:pPr>
            <w:r w:rsidRPr="00924B3A">
              <w:rPr>
                <w:rFonts w:ascii="Times" w:hAnsi="Times"/>
                <w:sz w:val="16"/>
              </w:rPr>
              <w:t>632</w:t>
            </w:r>
          </w:p>
        </w:tc>
        <w:tc>
          <w:tcPr>
            <w:tcW w:w="850" w:type="dxa"/>
            <w:tcBorders>
              <w:bottom w:val="single" w:sz="4" w:space="0" w:color="auto"/>
            </w:tcBorders>
            <w:shd w:val="clear" w:color="auto" w:fill="auto"/>
          </w:tcPr>
          <w:p w14:paraId="4390B4EF" w14:textId="77777777" w:rsidR="0052730F" w:rsidRPr="00924B3A" w:rsidRDefault="0052730F" w:rsidP="0052730F">
            <w:pPr>
              <w:jc w:val="center"/>
              <w:rPr>
                <w:rFonts w:ascii="Times" w:hAnsi="Times"/>
                <w:sz w:val="16"/>
              </w:rPr>
            </w:pPr>
            <w:r w:rsidRPr="00924B3A">
              <w:rPr>
                <w:rFonts w:ascii="Times" w:hAnsi="Times"/>
                <w:sz w:val="16"/>
              </w:rPr>
              <w:t>257.31</w:t>
            </w:r>
          </w:p>
        </w:tc>
        <w:tc>
          <w:tcPr>
            <w:tcW w:w="851" w:type="dxa"/>
            <w:tcBorders>
              <w:bottom w:val="single" w:sz="4" w:space="0" w:color="auto"/>
            </w:tcBorders>
          </w:tcPr>
          <w:p w14:paraId="217A09DF" w14:textId="77777777" w:rsidR="0052730F" w:rsidRPr="00924B3A" w:rsidRDefault="0052730F">
            <w:pPr>
              <w:jc w:val="center"/>
              <w:rPr>
                <w:rFonts w:ascii="Times" w:hAnsi="Times"/>
                <w:sz w:val="16"/>
                <w:szCs w:val="18"/>
              </w:rPr>
            </w:pPr>
          </w:p>
        </w:tc>
        <w:tc>
          <w:tcPr>
            <w:tcW w:w="992" w:type="dxa"/>
            <w:tcBorders>
              <w:bottom w:val="single" w:sz="4" w:space="0" w:color="auto"/>
            </w:tcBorders>
            <w:shd w:val="clear" w:color="auto" w:fill="auto"/>
          </w:tcPr>
          <w:p w14:paraId="61D969B4" w14:textId="77777777" w:rsidR="0052730F" w:rsidRPr="00924B3A" w:rsidRDefault="0052730F" w:rsidP="0052730F">
            <w:pPr>
              <w:jc w:val="center"/>
              <w:rPr>
                <w:rFonts w:ascii="Times" w:hAnsi="Times"/>
                <w:sz w:val="16"/>
                <w:szCs w:val="18"/>
              </w:rPr>
            </w:pPr>
          </w:p>
        </w:tc>
        <w:tc>
          <w:tcPr>
            <w:tcW w:w="567" w:type="dxa"/>
            <w:tcBorders>
              <w:bottom w:val="single" w:sz="4" w:space="0" w:color="auto"/>
            </w:tcBorders>
            <w:shd w:val="clear" w:color="auto" w:fill="auto"/>
          </w:tcPr>
          <w:p w14:paraId="6CB91958" w14:textId="77777777" w:rsidR="0052730F" w:rsidRPr="00924B3A" w:rsidRDefault="0052730F" w:rsidP="0052730F">
            <w:pPr>
              <w:jc w:val="center"/>
              <w:rPr>
                <w:rFonts w:ascii="Times" w:hAnsi="Times"/>
                <w:sz w:val="16"/>
              </w:rPr>
            </w:pPr>
          </w:p>
        </w:tc>
      </w:tr>
      <w:tr w:rsidR="0052730F" w:rsidRPr="00DF079E" w14:paraId="6A720C53" w14:textId="77777777" w:rsidTr="0052730F">
        <w:trPr>
          <w:jc w:val="center"/>
        </w:trPr>
        <w:tc>
          <w:tcPr>
            <w:tcW w:w="1242" w:type="dxa"/>
            <w:tcBorders>
              <w:top w:val="single" w:sz="4" w:space="0" w:color="auto"/>
            </w:tcBorders>
            <w:shd w:val="clear" w:color="auto" w:fill="auto"/>
          </w:tcPr>
          <w:p w14:paraId="02EAD5E0" w14:textId="77777777" w:rsidR="0052730F" w:rsidRPr="00924B3A" w:rsidRDefault="0052730F" w:rsidP="0052730F">
            <w:pPr>
              <w:jc w:val="center"/>
              <w:rPr>
                <w:rFonts w:ascii="Times" w:hAnsi="Times"/>
                <w:sz w:val="16"/>
              </w:rPr>
            </w:pPr>
            <w:r w:rsidRPr="00924B3A">
              <w:rPr>
                <w:rFonts w:ascii="Times" w:hAnsi="Times"/>
                <w:sz w:val="16"/>
              </w:rPr>
              <w:t>Lichen cover</w:t>
            </w:r>
          </w:p>
        </w:tc>
        <w:tc>
          <w:tcPr>
            <w:tcW w:w="1134" w:type="dxa"/>
            <w:tcBorders>
              <w:top w:val="single" w:sz="4" w:space="0" w:color="auto"/>
            </w:tcBorders>
            <w:shd w:val="clear" w:color="auto" w:fill="auto"/>
          </w:tcPr>
          <w:p w14:paraId="061BA661" w14:textId="77777777" w:rsidR="0052730F" w:rsidRPr="00924B3A" w:rsidRDefault="0052730F" w:rsidP="0052730F">
            <w:pPr>
              <w:jc w:val="center"/>
              <w:rPr>
                <w:rFonts w:ascii="Times" w:hAnsi="Times"/>
                <w:sz w:val="16"/>
              </w:rPr>
            </w:pPr>
            <w:r w:rsidRPr="00924B3A">
              <w:rPr>
                <w:rFonts w:ascii="Times" w:hAnsi="Times"/>
                <w:sz w:val="16"/>
              </w:rPr>
              <w:t>Population</w:t>
            </w:r>
          </w:p>
        </w:tc>
        <w:tc>
          <w:tcPr>
            <w:tcW w:w="426" w:type="dxa"/>
            <w:tcBorders>
              <w:top w:val="single" w:sz="4" w:space="0" w:color="auto"/>
            </w:tcBorders>
            <w:shd w:val="clear" w:color="auto" w:fill="auto"/>
          </w:tcPr>
          <w:p w14:paraId="6DCA8CF6" w14:textId="77777777" w:rsidR="0052730F" w:rsidRPr="00924B3A" w:rsidRDefault="0052730F" w:rsidP="0052730F">
            <w:pPr>
              <w:jc w:val="center"/>
              <w:rPr>
                <w:rFonts w:ascii="Times" w:hAnsi="Times"/>
                <w:sz w:val="16"/>
              </w:rPr>
            </w:pPr>
          </w:p>
        </w:tc>
        <w:tc>
          <w:tcPr>
            <w:tcW w:w="850" w:type="dxa"/>
            <w:tcBorders>
              <w:top w:val="single" w:sz="4" w:space="0" w:color="auto"/>
            </w:tcBorders>
            <w:shd w:val="clear" w:color="auto" w:fill="auto"/>
          </w:tcPr>
          <w:p w14:paraId="0E8EB345" w14:textId="77777777" w:rsidR="0052730F" w:rsidRPr="00924B3A" w:rsidRDefault="0052730F" w:rsidP="0052730F">
            <w:pPr>
              <w:jc w:val="center"/>
              <w:rPr>
                <w:rFonts w:ascii="Times" w:hAnsi="Times"/>
                <w:sz w:val="16"/>
              </w:rPr>
            </w:pPr>
            <w:r w:rsidRPr="00924B3A">
              <w:rPr>
                <w:rFonts w:ascii="Times" w:hAnsi="Times"/>
                <w:sz w:val="16"/>
              </w:rPr>
              <w:t xml:space="preserve">21.5299       </w:t>
            </w:r>
          </w:p>
        </w:tc>
        <w:tc>
          <w:tcPr>
            <w:tcW w:w="709" w:type="dxa"/>
            <w:tcBorders>
              <w:top w:val="single" w:sz="4" w:space="0" w:color="auto"/>
            </w:tcBorders>
            <w:shd w:val="clear" w:color="auto" w:fill="auto"/>
          </w:tcPr>
          <w:p w14:paraId="138016A4" w14:textId="77777777" w:rsidR="0052730F" w:rsidRPr="00924B3A" w:rsidRDefault="0052730F">
            <w:pPr>
              <w:jc w:val="center"/>
              <w:rPr>
                <w:rFonts w:ascii="Times" w:hAnsi="Times"/>
                <w:sz w:val="16"/>
              </w:rPr>
            </w:pPr>
            <w:r w:rsidRPr="00924B3A">
              <w:rPr>
                <w:rFonts w:ascii="Times" w:hAnsi="Times"/>
                <w:sz w:val="16"/>
              </w:rPr>
              <w:t>632</w:t>
            </w:r>
          </w:p>
        </w:tc>
        <w:tc>
          <w:tcPr>
            <w:tcW w:w="850" w:type="dxa"/>
            <w:tcBorders>
              <w:top w:val="single" w:sz="4" w:space="0" w:color="auto"/>
            </w:tcBorders>
            <w:shd w:val="clear" w:color="auto" w:fill="auto"/>
          </w:tcPr>
          <w:p w14:paraId="33F14A60" w14:textId="77777777" w:rsidR="0052730F" w:rsidRPr="00924B3A" w:rsidRDefault="0052730F" w:rsidP="0052730F">
            <w:pPr>
              <w:jc w:val="center"/>
              <w:rPr>
                <w:rFonts w:ascii="Times" w:hAnsi="Times"/>
                <w:sz w:val="16"/>
              </w:rPr>
            </w:pPr>
            <w:r w:rsidRPr="00924B3A">
              <w:rPr>
                <w:rFonts w:ascii="Times" w:hAnsi="Times"/>
                <w:sz w:val="16"/>
              </w:rPr>
              <w:t xml:space="preserve">75.562 </w:t>
            </w:r>
          </w:p>
        </w:tc>
        <w:tc>
          <w:tcPr>
            <w:tcW w:w="851" w:type="dxa"/>
            <w:tcBorders>
              <w:top w:val="single" w:sz="4" w:space="0" w:color="auto"/>
            </w:tcBorders>
          </w:tcPr>
          <w:p w14:paraId="4ABF1293" w14:textId="77777777" w:rsidR="0052730F" w:rsidRPr="00924B3A" w:rsidRDefault="0052730F">
            <w:pPr>
              <w:jc w:val="center"/>
              <w:rPr>
                <w:rFonts w:ascii="Times" w:hAnsi="Times"/>
                <w:sz w:val="16"/>
              </w:rPr>
            </w:pPr>
          </w:p>
        </w:tc>
        <w:tc>
          <w:tcPr>
            <w:tcW w:w="992" w:type="dxa"/>
            <w:tcBorders>
              <w:top w:val="single" w:sz="4" w:space="0" w:color="auto"/>
            </w:tcBorders>
            <w:shd w:val="clear" w:color="auto" w:fill="auto"/>
          </w:tcPr>
          <w:p w14:paraId="1F38791B" w14:textId="77777777" w:rsidR="0052730F" w:rsidRPr="00924B3A" w:rsidRDefault="0052730F" w:rsidP="0052730F">
            <w:pPr>
              <w:jc w:val="center"/>
              <w:rPr>
                <w:rFonts w:ascii="Times" w:hAnsi="Times"/>
                <w:sz w:val="16"/>
                <w:szCs w:val="18"/>
              </w:rPr>
            </w:pPr>
            <w:r w:rsidRPr="00924B3A">
              <w:rPr>
                <w:rFonts w:ascii="Times" w:hAnsi="Times"/>
                <w:sz w:val="16"/>
              </w:rPr>
              <w:t>2&lt; .2e-16</w:t>
            </w:r>
          </w:p>
        </w:tc>
        <w:tc>
          <w:tcPr>
            <w:tcW w:w="567" w:type="dxa"/>
            <w:tcBorders>
              <w:top w:val="single" w:sz="4" w:space="0" w:color="auto"/>
            </w:tcBorders>
            <w:shd w:val="clear" w:color="auto" w:fill="auto"/>
          </w:tcPr>
          <w:p w14:paraId="548AC345" w14:textId="77777777" w:rsidR="0052730F" w:rsidRPr="00924B3A" w:rsidRDefault="0052730F" w:rsidP="0052730F">
            <w:pPr>
              <w:jc w:val="center"/>
              <w:rPr>
                <w:rFonts w:ascii="Times" w:hAnsi="Times"/>
                <w:sz w:val="16"/>
              </w:rPr>
            </w:pPr>
            <w:r w:rsidRPr="00924B3A">
              <w:rPr>
                <w:rFonts w:ascii="Times" w:hAnsi="Times"/>
                <w:sz w:val="16"/>
              </w:rPr>
              <w:t>***</w:t>
            </w:r>
          </w:p>
        </w:tc>
      </w:tr>
      <w:tr w:rsidR="0052730F" w:rsidRPr="00DF079E" w14:paraId="50940482" w14:textId="77777777" w:rsidTr="0052730F">
        <w:trPr>
          <w:jc w:val="center"/>
        </w:trPr>
        <w:tc>
          <w:tcPr>
            <w:tcW w:w="1242" w:type="dxa"/>
            <w:shd w:val="clear" w:color="auto" w:fill="auto"/>
          </w:tcPr>
          <w:p w14:paraId="344FB953" w14:textId="77777777" w:rsidR="0052730F" w:rsidRPr="00924B3A" w:rsidRDefault="0052730F" w:rsidP="0052730F">
            <w:pPr>
              <w:jc w:val="center"/>
              <w:rPr>
                <w:rFonts w:ascii="Times" w:hAnsi="Times"/>
                <w:sz w:val="16"/>
              </w:rPr>
            </w:pPr>
          </w:p>
        </w:tc>
        <w:tc>
          <w:tcPr>
            <w:tcW w:w="1134" w:type="dxa"/>
            <w:shd w:val="clear" w:color="auto" w:fill="auto"/>
          </w:tcPr>
          <w:p w14:paraId="71857194" w14:textId="77777777" w:rsidR="0052730F" w:rsidRPr="00924B3A" w:rsidRDefault="0052730F" w:rsidP="0052730F">
            <w:pPr>
              <w:jc w:val="center"/>
              <w:rPr>
                <w:rFonts w:ascii="Times" w:hAnsi="Times"/>
                <w:sz w:val="16"/>
              </w:rPr>
            </w:pPr>
            <w:r w:rsidRPr="00924B3A">
              <w:rPr>
                <w:rFonts w:ascii="Times" w:hAnsi="Times"/>
                <w:sz w:val="16"/>
              </w:rPr>
              <w:t>Aspect</w:t>
            </w:r>
          </w:p>
        </w:tc>
        <w:tc>
          <w:tcPr>
            <w:tcW w:w="426" w:type="dxa"/>
            <w:shd w:val="clear" w:color="auto" w:fill="auto"/>
          </w:tcPr>
          <w:p w14:paraId="27631F19" w14:textId="77777777" w:rsidR="0052730F" w:rsidRPr="00924B3A" w:rsidRDefault="0052730F" w:rsidP="0052730F">
            <w:pPr>
              <w:jc w:val="center"/>
              <w:rPr>
                <w:rFonts w:ascii="Times" w:hAnsi="Times"/>
                <w:sz w:val="16"/>
              </w:rPr>
            </w:pPr>
            <w:r w:rsidRPr="00924B3A">
              <w:rPr>
                <w:rFonts w:ascii="Times" w:hAnsi="Times"/>
                <w:sz w:val="16"/>
              </w:rPr>
              <w:t>2</w:t>
            </w:r>
          </w:p>
        </w:tc>
        <w:tc>
          <w:tcPr>
            <w:tcW w:w="850" w:type="dxa"/>
            <w:shd w:val="clear" w:color="auto" w:fill="auto"/>
          </w:tcPr>
          <w:p w14:paraId="20ACBDF4" w14:textId="77777777" w:rsidR="0052730F" w:rsidRPr="00924B3A" w:rsidRDefault="0052730F">
            <w:pPr>
              <w:jc w:val="center"/>
              <w:rPr>
                <w:rFonts w:ascii="Times" w:hAnsi="Times"/>
                <w:sz w:val="16"/>
              </w:rPr>
            </w:pPr>
            <w:r w:rsidRPr="00924B3A">
              <w:rPr>
                <w:rFonts w:ascii="Times" w:hAnsi="Times"/>
                <w:sz w:val="16"/>
              </w:rPr>
              <w:t xml:space="preserve">1.7073       </w:t>
            </w:r>
          </w:p>
        </w:tc>
        <w:tc>
          <w:tcPr>
            <w:tcW w:w="709" w:type="dxa"/>
            <w:shd w:val="clear" w:color="auto" w:fill="auto"/>
          </w:tcPr>
          <w:p w14:paraId="1DFFF224" w14:textId="77777777" w:rsidR="0052730F" w:rsidRPr="00924B3A" w:rsidRDefault="0052730F">
            <w:pPr>
              <w:jc w:val="center"/>
              <w:rPr>
                <w:rFonts w:ascii="Times" w:hAnsi="Times"/>
                <w:sz w:val="16"/>
              </w:rPr>
            </w:pPr>
            <w:r w:rsidRPr="00924B3A">
              <w:rPr>
                <w:rFonts w:ascii="Times" w:hAnsi="Times"/>
                <w:sz w:val="16"/>
              </w:rPr>
              <w:t>626</w:t>
            </w:r>
          </w:p>
        </w:tc>
        <w:tc>
          <w:tcPr>
            <w:tcW w:w="850" w:type="dxa"/>
            <w:shd w:val="clear" w:color="auto" w:fill="auto"/>
          </w:tcPr>
          <w:p w14:paraId="7EF900E7" w14:textId="77777777" w:rsidR="0052730F" w:rsidRPr="00924B3A" w:rsidRDefault="0052730F" w:rsidP="0052730F">
            <w:pPr>
              <w:jc w:val="center"/>
              <w:rPr>
                <w:rFonts w:ascii="Times" w:hAnsi="Times"/>
                <w:sz w:val="16"/>
              </w:rPr>
            </w:pPr>
            <w:r w:rsidRPr="00924B3A">
              <w:rPr>
                <w:rFonts w:ascii="Times" w:hAnsi="Times"/>
                <w:sz w:val="16"/>
              </w:rPr>
              <w:t xml:space="preserve">73.855  </w:t>
            </w:r>
          </w:p>
        </w:tc>
        <w:tc>
          <w:tcPr>
            <w:tcW w:w="851" w:type="dxa"/>
          </w:tcPr>
          <w:p w14:paraId="31A4961B" w14:textId="77777777" w:rsidR="0052730F" w:rsidRPr="00924B3A" w:rsidRDefault="0052730F">
            <w:pPr>
              <w:jc w:val="center"/>
              <w:rPr>
                <w:rFonts w:ascii="Times" w:hAnsi="Times"/>
                <w:sz w:val="16"/>
              </w:rPr>
            </w:pPr>
          </w:p>
        </w:tc>
        <w:tc>
          <w:tcPr>
            <w:tcW w:w="992" w:type="dxa"/>
            <w:shd w:val="clear" w:color="auto" w:fill="auto"/>
          </w:tcPr>
          <w:p w14:paraId="121F4AC6" w14:textId="77777777" w:rsidR="0052730F" w:rsidRPr="00924B3A" w:rsidRDefault="0052730F" w:rsidP="0052730F">
            <w:pPr>
              <w:jc w:val="center"/>
              <w:rPr>
                <w:rFonts w:ascii="Times" w:hAnsi="Times"/>
                <w:sz w:val="16"/>
                <w:szCs w:val="18"/>
              </w:rPr>
            </w:pPr>
            <w:r w:rsidRPr="00924B3A">
              <w:rPr>
                <w:rFonts w:ascii="Times" w:hAnsi="Times"/>
                <w:sz w:val="16"/>
              </w:rPr>
              <w:t>0.008157</w:t>
            </w:r>
          </w:p>
        </w:tc>
        <w:tc>
          <w:tcPr>
            <w:tcW w:w="567" w:type="dxa"/>
            <w:shd w:val="clear" w:color="auto" w:fill="auto"/>
          </w:tcPr>
          <w:p w14:paraId="558453E9" w14:textId="77777777" w:rsidR="0052730F" w:rsidRPr="00924B3A" w:rsidRDefault="0052730F" w:rsidP="0052730F">
            <w:pPr>
              <w:jc w:val="center"/>
              <w:rPr>
                <w:rFonts w:ascii="Times" w:hAnsi="Times"/>
                <w:sz w:val="16"/>
              </w:rPr>
            </w:pPr>
            <w:r w:rsidRPr="00924B3A">
              <w:rPr>
                <w:rFonts w:ascii="Times" w:hAnsi="Times"/>
                <w:sz w:val="16"/>
              </w:rPr>
              <w:t xml:space="preserve">** </w:t>
            </w:r>
          </w:p>
        </w:tc>
      </w:tr>
      <w:tr w:rsidR="0052730F" w:rsidRPr="00DF079E" w14:paraId="49008887" w14:textId="77777777" w:rsidTr="0052730F">
        <w:trPr>
          <w:jc w:val="center"/>
        </w:trPr>
        <w:tc>
          <w:tcPr>
            <w:tcW w:w="1242" w:type="dxa"/>
            <w:shd w:val="clear" w:color="auto" w:fill="auto"/>
          </w:tcPr>
          <w:p w14:paraId="597DDA86" w14:textId="77777777" w:rsidR="0052730F" w:rsidRPr="00924B3A" w:rsidRDefault="0052730F" w:rsidP="0052730F">
            <w:pPr>
              <w:jc w:val="center"/>
              <w:rPr>
                <w:rFonts w:ascii="Times" w:hAnsi="Times"/>
                <w:sz w:val="16"/>
              </w:rPr>
            </w:pPr>
          </w:p>
        </w:tc>
        <w:tc>
          <w:tcPr>
            <w:tcW w:w="1134" w:type="dxa"/>
            <w:shd w:val="clear" w:color="auto" w:fill="auto"/>
          </w:tcPr>
          <w:p w14:paraId="4C3524B7" w14:textId="77777777" w:rsidR="0052730F" w:rsidRPr="00924B3A" w:rsidRDefault="0052730F" w:rsidP="0052730F">
            <w:pPr>
              <w:jc w:val="center"/>
              <w:rPr>
                <w:rFonts w:ascii="Times" w:hAnsi="Times"/>
                <w:sz w:val="16"/>
              </w:rPr>
            </w:pPr>
            <w:r w:rsidRPr="00924B3A">
              <w:rPr>
                <w:rFonts w:ascii="Times" w:hAnsi="Times"/>
                <w:sz w:val="16"/>
              </w:rPr>
              <w:t>Pop * Aspect</w:t>
            </w:r>
          </w:p>
        </w:tc>
        <w:tc>
          <w:tcPr>
            <w:tcW w:w="426" w:type="dxa"/>
            <w:shd w:val="clear" w:color="auto" w:fill="auto"/>
          </w:tcPr>
          <w:p w14:paraId="2DCE58BF" w14:textId="77777777" w:rsidR="0052730F" w:rsidRPr="00924B3A" w:rsidRDefault="0052730F" w:rsidP="0052730F">
            <w:pPr>
              <w:jc w:val="center"/>
              <w:rPr>
                <w:rFonts w:ascii="Times" w:hAnsi="Times"/>
                <w:sz w:val="16"/>
              </w:rPr>
            </w:pPr>
            <w:r w:rsidRPr="00924B3A">
              <w:rPr>
                <w:rFonts w:ascii="Times" w:hAnsi="Times"/>
                <w:sz w:val="16"/>
              </w:rPr>
              <w:t>8</w:t>
            </w:r>
          </w:p>
        </w:tc>
        <w:tc>
          <w:tcPr>
            <w:tcW w:w="850" w:type="dxa"/>
            <w:shd w:val="clear" w:color="auto" w:fill="auto"/>
          </w:tcPr>
          <w:p w14:paraId="602F702D" w14:textId="77777777" w:rsidR="0052730F" w:rsidRPr="00924B3A" w:rsidRDefault="0052730F">
            <w:pPr>
              <w:jc w:val="center"/>
              <w:rPr>
                <w:rFonts w:ascii="Times" w:hAnsi="Times"/>
                <w:sz w:val="16"/>
              </w:rPr>
            </w:pPr>
            <w:r w:rsidRPr="00924B3A">
              <w:rPr>
                <w:rFonts w:ascii="Times" w:hAnsi="Times"/>
                <w:sz w:val="16"/>
              </w:rPr>
              <w:t xml:space="preserve">   6.4974       </w:t>
            </w:r>
          </w:p>
        </w:tc>
        <w:tc>
          <w:tcPr>
            <w:tcW w:w="709" w:type="dxa"/>
            <w:shd w:val="clear" w:color="auto" w:fill="auto"/>
          </w:tcPr>
          <w:p w14:paraId="16EF518E" w14:textId="77777777" w:rsidR="0052730F" w:rsidRPr="00924B3A" w:rsidRDefault="0052730F">
            <w:pPr>
              <w:jc w:val="center"/>
              <w:rPr>
                <w:rFonts w:ascii="Times" w:hAnsi="Times"/>
                <w:sz w:val="16"/>
              </w:rPr>
            </w:pPr>
            <w:r w:rsidRPr="00924B3A">
              <w:rPr>
                <w:rFonts w:ascii="Times" w:hAnsi="Times"/>
                <w:sz w:val="16"/>
              </w:rPr>
              <w:t>618</w:t>
            </w:r>
          </w:p>
        </w:tc>
        <w:tc>
          <w:tcPr>
            <w:tcW w:w="850" w:type="dxa"/>
            <w:shd w:val="clear" w:color="auto" w:fill="auto"/>
          </w:tcPr>
          <w:p w14:paraId="76187AF1" w14:textId="77777777" w:rsidR="0052730F" w:rsidRPr="00924B3A" w:rsidRDefault="0052730F" w:rsidP="0052730F">
            <w:pPr>
              <w:jc w:val="center"/>
              <w:rPr>
                <w:rFonts w:ascii="Times" w:hAnsi="Times"/>
                <w:sz w:val="16"/>
              </w:rPr>
            </w:pPr>
            <w:r w:rsidRPr="00924B3A">
              <w:rPr>
                <w:rFonts w:ascii="Times" w:hAnsi="Times"/>
                <w:sz w:val="16"/>
              </w:rPr>
              <w:t>67.358</w:t>
            </w:r>
          </w:p>
        </w:tc>
        <w:tc>
          <w:tcPr>
            <w:tcW w:w="851" w:type="dxa"/>
          </w:tcPr>
          <w:p w14:paraId="24315EE5" w14:textId="77777777" w:rsidR="0052730F" w:rsidRPr="00924B3A" w:rsidRDefault="0052730F">
            <w:pPr>
              <w:jc w:val="center"/>
              <w:rPr>
                <w:rFonts w:ascii="Times" w:hAnsi="Times"/>
                <w:sz w:val="16"/>
              </w:rPr>
            </w:pPr>
          </w:p>
        </w:tc>
        <w:tc>
          <w:tcPr>
            <w:tcW w:w="992" w:type="dxa"/>
            <w:shd w:val="clear" w:color="auto" w:fill="auto"/>
          </w:tcPr>
          <w:p w14:paraId="15124E09" w14:textId="77777777" w:rsidR="0052730F" w:rsidRPr="00924B3A" w:rsidRDefault="0052730F" w:rsidP="0052730F">
            <w:pPr>
              <w:jc w:val="center"/>
              <w:rPr>
                <w:rFonts w:ascii="Times" w:hAnsi="Times"/>
                <w:sz w:val="16"/>
                <w:szCs w:val="18"/>
              </w:rPr>
            </w:pPr>
            <w:r w:rsidRPr="00924B3A">
              <w:rPr>
                <w:rFonts w:ascii="Times" w:hAnsi="Times"/>
                <w:sz w:val="16"/>
              </w:rPr>
              <w:t>1.362e-05</w:t>
            </w:r>
          </w:p>
        </w:tc>
        <w:tc>
          <w:tcPr>
            <w:tcW w:w="567" w:type="dxa"/>
            <w:shd w:val="clear" w:color="auto" w:fill="auto"/>
          </w:tcPr>
          <w:p w14:paraId="7A4876BF" w14:textId="77777777" w:rsidR="0052730F" w:rsidRPr="00924B3A" w:rsidRDefault="0052730F" w:rsidP="0052730F">
            <w:pPr>
              <w:jc w:val="center"/>
              <w:rPr>
                <w:rFonts w:ascii="Times" w:hAnsi="Times"/>
                <w:sz w:val="16"/>
              </w:rPr>
            </w:pPr>
          </w:p>
        </w:tc>
      </w:tr>
      <w:tr w:rsidR="0052730F" w:rsidRPr="00DF079E" w14:paraId="46D9B224" w14:textId="77777777" w:rsidTr="0052730F">
        <w:trPr>
          <w:jc w:val="center"/>
        </w:trPr>
        <w:tc>
          <w:tcPr>
            <w:tcW w:w="1242" w:type="dxa"/>
            <w:tcBorders>
              <w:bottom w:val="single" w:sz="4" w:space="0" w:color="auto"/>
            </w:tcBorders>
            <w:shd w:val="clear" w:color="auto" w:fill="auto"/>
          </w:tcPr>
          <w:p w14:paraId="348288B9" w14:textId="77777777" w:rsidR="0052730F" w:rsidRPr="00924B3A" w:rsidRDefault="0052730F" w:rsidP="0052730F">
            <w:pPr>
              <w:jc w:val="center"/>
              <w:rPr>
                <w:rFonts w:ascii="Times" w:hAnsi="Times"/>
                <w:sz w:val="16"/>
              </w:rPr>
            </w:pPr>
          </w:p>
        </w:tc>
        <w:tc>
          <w:tcPr>
            <w:tcW w:w="1134" w:type="dxa"/>
            <w:tcBorders>
              <w:bottom w:val="single" w:sz="4" w:space="0" w:color="auto"/>
            </w:tcBorders>
            <w:shd w:val="clear" w:color="auto" w:fill="auto"/>
          </w:tcPr>
          <w:p w14:paraId="0EC3E758" w14:textId="77777777" w:rsidR="0052730F" w:rsidRPr="00924B3A" w:rsidRDefault="0052730F" w:rsidP="0052730F">
            <w:pPr>
              <w:jc w:val="center"/>
              <w:rPr>
                <w:rFonts w:ascii="Times" w:hAnsi="Times"/>
                <w:sz w:val="16"/>
              </w:rPr>
            </w:pPr>
            <w:r w:rsidRPr="00924B3A">
              <w:rPr>
                <w:rFonts w:ascii="Times" w:hAnsi="Times"/>
                <w:sz w:val="16"/>
              </w:rPr>
              <w:t>Error</w:t>
            </w:r>
          </w:p>
        </w:tc>
        <w:tc>
          <w:tcPr>
            <w:tcW w:w="426" w:type="dxa"/>
            <w:tcBorders>
              <w:bottom w:val="single" w:sz="4" w:space="0" w:color="auto"/>
            </w:tcBorders>
            <w:shd w:val="clear" w:color="auto" w:fill="auto"/>
          </w:tcPr>
          <w:p w14:paraId="0C8ECF0C" w14:textId="77777777" w:rsidR="0052730F" w:rsidRPr="00924B3A" w:rsidRDefault="0052730F" w:rsidP="0052730F">
            <w:pPr>
              <w:jc w:val="center"/>
              <w:rPr>
                <w:rFonts w:ascii="Times" w:hAnsi="Times"/>
                <w:sz w:val="16"/>
              </w:rPr>
            </w:pPr>
          </w:p>
        </w:tc>
        <w:tc>
          <w:tcPr>
            <w:tcW w:w="850" w:type="dxa"/>
            <w:tcBorders>
              <w:bottom w:val="single" w:sz="4" w:space="0" w:color="auto"/>
            </w:tcBorders>
            <w:shd w:val="clear" w:color="auto" w:fill="auto"/>
          </w:tcPr>
          <w:p w14:paraId="5DA9BC0D" w14:textId="77777777" w:rsidR="0052730F" w:rsidRPr="00924B3A" w:rsidRDefault="0052730F">
            <w:pPr>
              <w:jc w:val="center"/>
              <w:rPr>
                <w:rFonts w:ascii="Times" w:hAnsi="Times"/>
                <w:sz w:val="16"/>
              </w:rPr>
            </w:pPr>
          </w:p>
        </w:tc>
        <w:tc>
          <w:tcPr>
            <w:tcW w:w="709" w:type="dxa"/>
            <w:tcBorders>
              <w:bottom w:val="single" w:sz="4" w:space="0" w:color="auto"/>
            </w:tcBorders>
            <w:shd w:val="clear" w:color="auto" w:fill="auto"/>
          </w:tcPr>
          <w:p w14:paraId="53A01D82" w14:textId="77777777" w:rsidR="0052730F" w:rsidRPr="00924B3A" w:rsidRDefault="0052730F">
            <w:pPr>
              <w:jc w:val="center"/>
              <w:rPr>
                <w:rFonts w:ascii="Times" w:hAnsi="Times"/>
                <w:sz w:val="16"/>
              </w:rPr>
            </w:pPr>
          </w:p>
        </w:tc>
        <w:tc>
          <w:tcPr>
            <w:tcW w:w="850" w:type="dxa"/>
            <w:tcBorders>
              <w:bottom w:val="single" w:sz="4" w:space="0" w:color="auto"/>
            </w:tcBorders>
            <w:shd w:val="clear" w:color="auto" w:fill="auto"/>
          </w:tcPr>
          <w:p w14:paraId="4098D573" w14:textId="77777777" w:rsidR="0052730F" w:rsidRPr="00924B3A" w:rsidRDefault="0052730F" w:rsidP="0052730F">
            <w:pPr>
              <w:jc w:val="center"/>
              <w:rPr>
                <w:rFonts w:ascii="Times" w:hAnsi="Times"/>
                <w:sz w:val="16"/>
              </w:rPr>
            </w:pPr>
          </w:p>
        </w:tc>
        <w:tc>
          <w:tcPr>
            <w:tcW w:w="851" w:type="dxa"/>
            <w:tcBorders>
              <w:bottom w:val="single" w:sz="4" w:space="0" w:color="auto"/>
            </w:tcBorders>
          </w:tcPr>
          <w:p w14:paraId="424172B8" w14:textId="77777777" w:rsidR="0052730F" w:rsidRPr="00924B3A" w:rsidRDefault="0052730F">
            <w:pPr>
              <w:jc w:val="center"/>
              <w:rPr>
                <w:rFonts w:ascii="Times" w:hAnsi="Times"/>
                <w:sz w:val="16"/>
                <w:szCs w:val="18"/>
              </w:rPr>
            </w:pPr>
          </w:p>
        </w:tc>
        <w:tc>
          <w:tcPr>
            <w:tcW w:w="992" w:type="dxa"/>
            <w:tcBorders>
              <w:bottom w:val="single" w:sz="4" w:space="0" w:color="auto"/>
            </w:tcBorders>
            <w:shd w:val="clear" w:color="auto" w:fill="auto"/>
          </w:tcPr>
          <w:p w14:paraId="63DAE3CB" w14:textId="77777777" w:rsidR="0052730F" w:rsidRPr="00924B3A" w:rsidRDefault="0052730F" w:rsidP="0052730F">
            <w:pPr>
              <w:jc w:val="center"/>
              <w:rPr>
                <w:rFonts w:ascii="Times" w:hAnsi="Times"/>
                <w:sz w:val="16"/>
                <w:szCs w:val="18"/>
              </w:rPr>
            </w:pPr>
          </w:p>
        </w:tc>
        <w:tc>
          <w:tcPr>
            <w:tcW w:w="567" w:type="dxa"/>
            <w:tcBorders>
              <w:bottom w:val="single" w:sz="4" w:space="0" w:color="auto"/>
            </w:tcBorders>
            <w:shd w:val="clear" w:color="auto" w:fill="auto"/>
          </w:tcPr>
          <w:p w14:paraId="5F61D29D" w14:textId="77777777" w:rsidR="0052730F" w:rsidRPr="00924B3A" w:rsidRDefault="0052730F" w:rsidP="0052730F">
            <w:pPr>
              <w:jc w:val="center"/>
              <w:rPr>
                <w:rFonts w:ascii="Times" w:hAnsi="Times"/>
                <w:sz w:val="16"/>
              </w:rPr>
            </w:pPr>
          </w:p>
        </w:tc>
      </w:tr>
    </w:tbl>
    <w:p w14:paraId="2893F881" w14:textId="77777777" w:rsidR="0052730F" w:rsidRPr="00DF079E" w:rsidRDefault="0052730F" w:rsidP="0052730F">
      <w:pPr>
        <w:spacing w:line="360" w:lineRule="auto"/>
        <w:rPr>
          <w:rFonts w:ascii="Times" w:hAnsi="Times"/>
          <w:b/>
        </w:rPr>
      </w:pPr>
    </w:p>
    <w:p w14:paraId="4FB13624" w14:textId="77777777" w:rsidR="0052730F" w:rsidRPr="00DF079E" w:rsidRDefault="0052730F" w:rsidP="0052730F">
      <w:pPr>
        <w:spacing w:line="360" w:lineRule="auto"/>
        <w:rPr>
          <w:rFonts w:ascii="Times" w:hAnsi="Times"/>
          <w:b/>
        </w:rPr>
      </w:pPr>
    </w:p>
    <w:p w14:paraId="5C76F5A4" w14:textId="77777777" w:rsidR="0052730F" w:rsidRPr="00DF079E" w:rsidRDefault="0052730F" w:rsidP="0052730F">
      <w:pPr>
        <w:spacing w:line="360" w:lineRule="auto"/>
        <w:rPr>
          <w:rFonts w:ascii="Times" w:hAnsi="Times"/>
          <w:b/>
        </w:rPr>
      </w:pPr>
    </w:p>
    <w:p w14:paraId="5ABA8A5D" w14:textId="77777777" w:rsidR="0052730F" w:rsidRPr="00DF079E" w:rsidRDefault="0052730F" w:rsidP="0052730F">
      <w:pPr>
        <w:spacing w:line="360" w:lineRule="auto"/>
        <w:rPr>
          <w:rFonts w:ascii="Times" w:hAnsi="Times"/>
          <w:b/>
        </w:rPr>
      </w:pPr>
    </w:p>
    <w:p w14:paraId="415B004E" w14:textId="77777777" w:rsidR="0052730F" w:rsidRPr="00DF079E" w:rsidRDefault="0052730F" w:rsidP="0052730F">
      <w:pPr>
        <w:spacing w:line="360" w:lineRule="auto"/>
        <w:rPr>
          <w:rFonts w:ascii="Times" w:hAnsi="Times"/>
          <w:b/>
        </w:rPr>
      </w:pPr>
    </w:p>
    <w:p w14:paraId="5B27871A" w14:textId="77777777" w:rsidR="0052730F" w:rsidRPr="00DF079E" w:rsidRDefault="0052730F" w:rsidP="0052730F">
      <w:pPr>
        <w:spacing w:line="360" w:lineRule="auto"/>
        <w:rPr>
          <w:rFonts w:ascii="Times" w:hAnsi="Times"/>
          <w:b/>
        </w:rPr>
      </w:pPr>
    </w:p>
    <w:p w14:paraId="1676D753" w14:textId="77777777" w:rsidR="0052730F" w:rsidRPr="00DF079E" w:rsidRDefault="0052730F" w:rsidP="0052730F">
      <w:pPr>
        <w:spacing w:line="360" w:lineRule="auto"/>
        <w:rPr>
          <w:rFonts w:ascii="Times" w:hAnsi="Times"/>
          <w:b/>
        </w:rPr>
      </w:pPr>
    </w:p>
    <w:p w14:paraId="682F4DB0" w14:textId="77777777" w:rsidR="0052730F" w:rsidRPr="00DF079E" w:rsidRDefault="0052730F" w:rsidP="0052730F">
      <w:pPr>
        <w:spacing w:line="360" w:lineRule="auto"/>
        <w:rPr>
          <w:rFonts w:ascii="Times" w:hAnsi="Times"/>
          <w:b/>
        </w:rPr>
      </w:pPr>
    </w:p>
    <w:p w14:paraId="2921DF50" w14:textId="77777777" w:rsidR="0052730F" w:rsidRPr="00735DDD" w:rsidRDefault="0052730F" w:rsidP="00B66E45">
      <w:pPr>
        <w:pStyle w:val="subheadingMINOR"/>
      </w:pPr>
      <w:bookmarkStart w:id="91" w:name="_Toc291410096"/>
      <w:r w:rsidRPr="00735DDD">
        <w:t>Description of Field Sampling</w:t>
      </w:r>
      <w:bookmarkEnd w:id="91"/>
    </w:p>
    <w:p w14:paraId="1380C41A" w14:textId="77777777" w:rsidR="0052730F" w:rsidRPr="00F31D84" w:rsidRDefault="0052730F" w:rsidP="0052730F">
      <w:pPr>
        <w:pStyle w:val="BodyJB"/>
      </w:pPr>
      <w:r w:rsidRPr="00F31D84">
        <w:tab/>
        <w:t>See Methods ‘2.2.3- Metabolic Analysis Methods’</w:t>
      </w:r>
      <w:r>
        <w:t xml:space="preserve"> for details of metabolite sample harvesting, metabolite extraction and mass spectrometry analysis. </w:t>
      </w:r>
    </w:p>
    <w:p w14:paraId="4DEFCA39" w14:textId="77777777" w:rsidR="0052730F" w:rsidRDefault="0052730F" w:rsidP="0052730F">
      <w:pPr>
        <w:pStyle w:val="BodyJB"/>
        <w:rPr>
          <w:b/>
        </w:rPr>
      </w:pPr>
    </w:p>
    <w:p w14:paraId="032DD011" w14:textId="77777777" w:rsidR="0052730F" w:rsidRDefault="0052730F" w:rsidP="0052730F">
      <w:pPr>
        <w:pStyle w:val="BodyJB"/>
        <w:rPr>
          <w:b/>
        </w:rPr>
      </w:pPr>
    </w:p>
    <w:p w14:paraId="0F93CA1C" w14:textId="77777777" w:rsidR="0052730F" w:rsidRPr="00DF079E" w:rsidRDefault="0052730F" w:rsidP="00B66E45">
      <w:pPr>
        <w:pStyle w:val="subheadingMINOR"/>
      </w:pPr>
      <w:bookmarkStart w:id="92" w:name="_Toc291410097"/>
      <w:r w:rsidRPr="00DF079E">
        <w:t>Data Analysis</w:t>
      </w:r>
      <w:bookmarkEnd w:id="92"/>
    </w:p>
    <w:p w14:paraId="33BD54EA" w14:textId="77777777" w:rsidR="0052730F" w:rsidRPr="0081184A" w:rsidRDefault="0052730F" w:rsidP="0052730F">
      <w:pPr>
        <w:pStyle w:val="BodyJB"/>
        <w:rPr>
          <w:b/>
        </w:rPr>
      </w:pPr>
      <w:r w:rsidRPr="0081184A">
        <w:t xml:space="preserve">For details of pre-processing of metabolite data see </w:t>
      </w:r>
      <w:r>
        <w:t>‘</w:t>
      </w:r>
      <w:r w:rsidRPr="0081184A">
        <w:t>2.2.3.4- Metabolomic Data Analysis</w:t>
      </w:r>
      <w:r>
        <w:t>’</w:t>
      </w:r>
      <w:r w:rsidRPr="0081184A">
        <w:t>.</w:t>
      </w:r>
    </w:p>
    <w:p w14:paraId="016F5D18" w14:textId="77777777" w:rsidR="0052730F" w:rsidRDefault="0052730F" w:rsidP="0052730F">
      <w:pPr>
        <w:pStyle w:val="BodyJB"/>
      </w:pPr>
      <w:r>
        <w:t xml:space="preserve">First, </w:t>
      </w:r>
      <w:r w:rsidRPr="00DF079E">
        <w:t>Principal Component Analysis using Simca-P</w:t>
      </w:r>
      <w:r>
        <w:t xml:space="preserve"> was conducted to visualise metabolomic differentiation between samples from all populations simultaneously. For details of PCA analysis see ‘</w:t>
      </w:r>
      <w:r w:rsidRPr="0081184A">
        <w:t>2.2.3.4- Metabolomic Data Analysis</w:t>
      </w:r>
      <w:r>
        <w:t>’.</w:t>
      </w:r>
    </w:p>
    <w:p w14:paraId="28530B28" w14:textId="77777777" w:rsidR="0052730F" w:rsidRDefault="0052730F" w:rsidP="0052730F">
      <w:pPr>
        <w:pStyle w:val="BodyJB"/>
      </w:pPr>
      <w:r>
        <w:tab/>
        <w:t>In the case of the occurrence of PCA plots indicating sample separation into two groups Orthogonal partial least-square discriminant analysis (OPLS-DA) was performed. See Methods ‘2.2.3.4- Metabolomic Data Analysis’ for details of analysis. OPLS-DA methods were used to identify lists of metabolite biomarkers associated with experimental variation.</w:t>
      </w:r>
    </w:p>
    <w:p w14:paraId="14DFC22B" w14:textId="77777777" w:rsidR="0052730F" w:rsidRDefault="0052730F" w:rsidP="0052730F">
      <w:pPr>
        <w:pStyle w:val="BodyJB"/>
      </w:pPr>
      <w:r>
        <w:tab/>
        <w:t>Univariate analyses were also performed to determine statistical differences in the concentration of compounds within each bin, according to experimental variation. See Methods ‘2.2.3.4- Metabolomic Data Analysis’ for details of this analysis</w:t>
      </w:r>
    </w:p>
    <w:p w14:paraId="6728B948" w14:textId="77777777" w:rsidR="0052730F" w:rsidRDefault="0052730F" w:rsidP="0052730F">
      <w:pPr>
        <w:pStyle w:val="BodyJB"/>
      </w:pPr>
      <w:r>
        <w:t>The most discriminatory mass bins according to experimental variation relating to scale of environmental heterogeneity were then putatively identified based on the average accurate mass detected within each bin, see “</w:t>
      </w:r>
      <w:r w:rsidRPr="0081184A">
        <w:t>2.2.3.4- Metabolomic Data Analysis</w:t>
      </w:r>
      <w:r>
        <w:t>” for details.</w:t>
      </w:r>
    </w:p>
    <w:p w14:paraId="2058F68F" w14:textId="77777777" w:rsidR="0052730F" w:rsidRDefault="0052730F" w:rsidP="0052730F">
      <w:pPr>
        <w:pStyle w:val="BodyJB"/>
      </w:pPr>
      <w:r w:rsidRPr="00DF079E">
        <w:t xml:space="preserve"> </w:t>
      </w:r>
      <w:r>
        <w:tab/>
        <w:t>P</w:t>
      </w:r>
      <w:r w:rsidRPr="00DF079E">
        <w:t>utative identifications were analysed using MetaboAnalyst’s f</w:t>
      </w:r>
      <w:r>
        <w:t>unctional interpretation tools</w:t>
      </w:r>
      <w:r w:rsidRPr="00DF079E">
        <w:t xml:space="preserve"> to detect potential key pathways that were up-regulated or down-regulated in different sample classes. Metabolic pathway analysis on MetaboAnalyst facilitates the understanding of complex relationships between metabolites studied by combining visualization maps and more quantitative statistical analysis such as multiple ANOVAs. </w:t>
      </w:r>
      <w:r>
        <w:t xml:space="preserve"> Metabolic variation between two sample classes was also mapped using PlantCyc OMICs viewer. The output of this analysis is limited to the constraints of print format and is designed for digital exploration, it is included here to present a wide overview of data that can be interpreted without details. </w:t>
      </w:r>
    </w:p>
    <w:p w14:paraId="0FF77D41" w14:textId="77777777" w:rsidR="0052730F" w:rsidRDefault="0052730F" w:rsidP="0052730F">
      <w:pPr>
        <w:pStyle w:val="BodyJB"/>
      </w:pPr>
    </w:p>
    <w:p w14:paraId="248CEE06" w14:textId="77777777" w:rsidR="0052730F" w:rsidRPr="00DF079E" w:rsidRDefault="0052730F" w:rsidP="00B66E45">
      <w:pPr>
        <w:pStyle w:val="SubheadingJB"/>
      </w:pPr>
      <w:bookmarkStart w:id="93" w:name="_Toc291410098"/>
      <w:r>
        <w:t xml:space="preserve">6.3- </w:t>
      </w:r>
      <w:r w:rsidRPr="00DF079E">
        <w:t>Results</w:t>
      </w:r>
      <w:bookmarkEnd w:id="93"/>
    </w:p>
    <w:p w14:paraId="4D9413A0" w14:textId="77777777" w:rsidR="0052730F" w:rsidRDefault="0052730F" w:rsidP="0052730F">
      <w:pPr>
        <w:spacing w:line="360" w:lineRule="auto"/>
        <w:ind w:right="-170"/>
        <w:rPr>
          <w:rFonts w:ascii="Times" w:hAnsi="Times"/>
          <w:b/>
        </w:rPr>
      </w:pPr>
    </w:p>
    <w:p w14:paraId="44C1CAD9" w14:textId="77777777" w:rsidR="0052730F" w:rsidRPr="009C1C83" w:rsidRDefault="0052730F" w:rsidP="00B66E45">
      <w:pPr>
        <w:pStyle w:val="subheadingMINOR"/>
      </w:pPr>
      <w:bookmarkStart w:id="94" w:name="_Toc291410099"/>
      <w:r w:rsidRPr="009C1C83">
        <w:t>Large scale variation in metabolism</w:t>
      </w:r>
      <w:bookmarkEnd w:id="94"/>
    </w:p>
    <w:p w14:paraId="598FCBFC" w14:textId="77777777" w:rsidR="0052730F" w:rsidRDefault="0052730F" w:rsidP="00B66E45">
      <w:pPr>
        <w:pStyle w:val="BodyJB"/>
        <w:ind w:firstLine="720"/>
      </w:pPr>
      <w:r>
        <w:t xml:space="preserve">PCA model of samples growing in different aspects at all sites, show metabolic variation between populations and regions (Fig. 6.2). The PCA score plot </w:t>
      </w:r>
      <w:r w:rsidRPr="00DF079E">
        <w:t>indicate</w:t>
      </w:r>
      <w:r>
        <w:t>d</w:t>
      </w:r>
      <w:r w:rsidRPr="00DF079E">
        <w:t xml:space="preserve"> metabolic differences between all five populations (</w:t>
      </w:r>
      <w:r>
        <w:t>Fig. 6.2</w:t>
      </w:r>
      <w:r w:rsidRPr="00DF079E">
        <w:t>)</w:t>
      </w:r>
      <w:r>
        <w:t>, though the strength of these differences were smaller than the regional differences</w:t>
      </w:r>
      <w:r w:rsidRPr="00DF079E">
        <w:t xml:space="preserve">. French populations (Fr1, Fr2, Fr4) separated from GB populations (GB1, GB2) along PC1, which explained </w:t>
      </w:r>
      <w:r>
        <w:t>16.6</w:t>
      </w:r>
      <w:r w:rsidRPr="00DF079E">
        <w:t xml:space="preserve">% of </w:t>
      </w:r>
      <w:r>
        <w:t>the variance. PC2 explained 11.8</w:t>
      </w:r>
      <w:r w:rsidRPr="00DF079E">
        <w:t xml:space="preserve">% of the </w:t>
      </w:r>
      <w:r>
        <w:t>modelled metabolic variation</w:t>
      </w:r>
      <w:r w:rsidRPr="00DF079E">
        <w:t xml:space="preserve">, samples taken from flat areas from GB2, GB1 and Fr2 sites separated along this axis.  </w:t>
      </w:r>
    </w:p>
    <w:p w14:paraId="7C9164A0" w14:textId="77777777" w:rsidR="0052730F" w:rsidRDefault="0052730F" w:rsidP="0052730F">
      <w:pPr>
        <w:pStyle w:val="BodyJB"/>
      </w:pPr>
      <w:r>
        <w:tab/>
        <w:t xml:space="preserve">Metabolic variation between regions of Great Britain and France were studied in more detail using OPLS-DA. </w:t>
      </w:r>
      <w:r>
        <w:tab/>
        <w:t>This revealed an evident statistically significant separation (p&gt;0.05). The OPLS-DA fitted model resulted in one predictive and 1 orthogonal component. 24% of the variation in the data (R</w:t>
      </w:r>
      <w:r w:rsidRPr="0023670E">
        <w:rPr>
          <w:vertAlign w:val="superscript"/>
        </w:rPr>
        <w:t>2</w:t>
      </w:r>
      <w:r>
        <w:t>X cum) was used to explain 92% of the variance in class separation (R</w:t>
      </w:r>
      <w:r w:rsidRPr="0023670E">
        <w:rPr>
          <w:vertAlign w:val="superscript"/>
        </w:rPr>
        <w:t>2</w:t>
      </w:r>
      <w:r>
        <w:t xml:space="preserve">Y), cross-validated predictive ability of the model was 79.1%. The S-plot was used to select metabolite mass bins showing high magnitude and high reliability of modelled variance (top-right and bottom-left quadrant of the plot).  The top ten most discriminatory mass bins are listed and putatively identifications based on the average accurate mass within each bin (Table 6.2). In total 28 bins were considered to be strongly controlling separation of British plants, and 37 for France (based on scores within Fig 6.2.b.  </w:t>
      </w:r>
    </w:p>
    <w:p w14:paraId="70CE4568" w14:textId="77777777" w:rsidR="0052730F" w:rsidRDefault="0052730F" w:rsidP="0052730F">
      <w:pPr>
        <w:pStyle w:val="BodyJB"/>
      </w:pPr>
      <w:r>
        <w:tab/>
        <w:t xml:space="preserve">Fold change in concentration of each mass bin was calculated based on country averages between French plants and British plants. Accurate putative identifications were then calculated for mass bins with a fold change greater than 1. These were mapped onto a diagram of global plant metabolism (Fig. 6.3). Up-regulation of large suites of pathways is not apparent in this overview. </w:t>
      </w:r>
    </w:p>
    <w:p w14:paraId="3449AD94" w14:textId="77777777" w:rsidR="0052730F" w:rsidRDefault="0052730F" w:rsidP="0052730F">
      <w:pPr>
        <w:pStyle w:val="BodyJB"/>
      </w:pPr>
      <w:r>
        <w:tab/>
        <w:t xml:space="preserve">Putative identifications of these 65 most discriminatory mass bins were mapped onto pathways using MetaboAnalyst (Table 6.3). Up-regulated putatively identified compounds mostly map onto phenylalanine biosynthesis, pyrimidine and purine metabolism in French plants (Table. 6.3.). </w:t>
      </w:r>
    </w:p>
    <w:p w14:paraId="0994D7EB" w14:textId="77777777" w:rsidR="0052730F" w:rsidRDefault="0052730F" w:rsidP="0052730F">
      <w:pPr>
        <w:pStyle w:val="BodyJB"/>
      </w:pPr>
      <w:r>
        <w:tab/>
      </w:r>
    </w:p>
    <w:p w14:paraId="2E2BFAFC" w14:textId="77777777" w:rsidR="0052730F" w:rsidRDefault="0052730F" w:rsidP="0036017D">
      <w:pPr>
        <w:spacing w:line="360" w:lineRule="auto"/>
        <w:ind w:left="720" w:right="-170"/>
        <w:rPr>
          <w:rFonts w:ascii="Times" w:hAnsi="Times"/>
          <w:b/>
        </w:rPr>
      </w:pPr>
      <w:r>
        <w:rPr>
          <w:rFonts w:ascii="Times" w:hAnsi="Times"/>
          <w:b/>
          <w:noProof/>
          <w:lang w:val="en-US" w:eastAsia="en-US"/>
        </w:rPr>
        <w:drawing>
          <wp:inline distT="0" distB="0" distL="0" distR="0" wp14:anchorId="07D5A81A" wp14:editId="7EED5386">
            <wp:extent cx="4940440" cy="4572000"/>
            <wp:effectExtent l="0" t="0" r="1270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e graph fig 1 chap 6.jpg"/>
                    <pic:cNvPicPr/>
                  </pic:nvPicPr>
                  <pic:blipFill>
                    <a:blip r:embed="rId57">
                      <a:extLst>
                        <a:ext uri="{28A0092B-C50C-407E-A947-70E740481C1C}">
                          <a14:useLocalDpi xmlns:a14="http://schemas.microsoft.com/office/drawing/2010/main" val="0"/>
                        </a:ext>
                      </a:extLst>
                    </a:blip>
                    <a:stretch>
                      <a:fillRect/>
                    </a:stretch>
                  </pic:blipFill>
                  <pic:spPr>
                    <a:xfrm>
                      <a:off x="0" y="0"/>
                      <a:ext cx="4940749" cy="4572286"/>
                    </a:xfrm>
                    <a:prstGeom prst="rect">
                      <a:avLst/>
                    </a:prstGeom>
                  </pic:spPr>
                </pic:pic>
              </a:graphicData>
            </a:graphic>
          </wp:inline>
        </w:drawing>
      </w:r>
    </w:p>
    <w:p w14:paraId="68485A41" w14:textId="77777777" w:rsidR="0052730F" w:rsidRPr="00DF079E" w:rsidRDefault="0052730F" w:rsidP="0052730F">
      <w:pPr>
        <w:ind w:right="-170"/>
        <w:rPr>
          <w:rFonts w:ascii="Times" w:hAnsi="Times"/>
          <w:color w:val="FF6600"/>
        </w:rPr>
      </w:pPr>
    </w:p>
    <w:p w14:paraId="3ABB5F1B" w14:textId="77777777" w:rsidR="0052730F" w:rsidRDefault="0052730F" w:rsidP="0052730F">
      <w:pPr>
        <w:pStyle w:val="BodyJB"/>
        <w:spacing w:line="240" w:lineRule="auto"/>
      </w:pPr>
      <w:r>
        <w:t>Fig. 6</w:t>
      </w:r>
      <w:r w:rsidRPr="00DF079E">
        <w:t xml:space="preserve">.2. Analysis of m/z values (binned to 0.2 Da) obtained by metabolic fingerprinting of five populations of </w:t>
      </w:r>
      <w:r w:rsidRPr="00DF079E">
        <w:rPr>
          <w:i/>
        </w:rPr>
        <w:t>Erodium cicutarium,</w:t>
      </w:r>
      <w:r w:rsidRPr="00DF079E">
        <w:t xml:space="preserve"> Fr1 (red), Fr2 (orange), Fr</w:t>
      </w:r>
      <w:r>
        <w:t>4 (dark green</w:t>
      </w:r>
      <w:r w:rsidRPr="00DF079E">
        <w:t>), GB1 (</w:t>
      </w:r>
      <w:r>
        <w:t>light blue</w:t>
      </w:r>
      <w:r w:rsidRPr="00DF079E">
        <w:t>), GB2 (dark blue)</w:t>
      </w:r>
      <w:r>
        <w:t>, location details are provided in the legend to support interpretation</w:t>
      </w:r>
      <w:r w:rsidRPr="00DF079E">
        <w:t xml:space="preserve"> </w:t>
      </w:r>
      <w:r>
        <w:t>P</w:t>
      </w:r>
      <w:r w:rsidRPr="00DF079E">
        <w:t>ercent of the variation of the data explained by each component is provided</w:t>
      </w:r>
      <w:r>
        <w:t>.</w:t>
      </w:r>
    </w:p>
    <w:p w14:paraId="413C7370" w14:textId="77777777" w:rsidR="0052730F" w:rsidRDefault="0052730F" w:rsidP="0052730F">
      <w:pPr>
        <w:rPr>
          <w:rFonts w:ascii="Times" w:hAnsi="Times"/>
        </w:rPr>
      </w:pPr>
    </w:p>
    <w:p w14:paraId="4725675A" w14:textId="77777777" w:rsidR="0052730F" w:rsidRDefault="0052730F" w:rsidP="0052730F">
      <w:pPr>
        <w:rPr>
          <w:rFonts w:ascii="Times" w:hAnsi="Times"/>
        </w:rPr>
      </w:pPr>
    </w:p>
    <w:p w14:paraId="00FAD578" w14:textId="77777777" w:rsidR="0052730F" w:rsidRDefault="0052730F" w:rsidP="0052730F">
      <w:pPr>
        <w:rPr>
          <w:rFonts w:ascii="Times" w:hAnsi="Times"/>
        </w:rPr>
      </w:pPr>
    </w:p>
    <w:p w14:paraId="31DC140B" w14:textId="77777777" w:rsidR="0052730F" w:rsidRDefault="0052730F" w:rsidP="0052730F">
      <w:pPr>
        <w:rPr>
          <w:rFonts w:ascii="Times" w:hAnsi="Times"/>
        </w:rPr>
      </w:pPr>
    </w:p>
    <w:p w14:paraId="62F9AD5B" w14:textId="77777777" w:rsidR="0052730F" w:rsidRDefault="0052730F" w:rsidP="0052730F">
      <w:pPr>
        <w:rPr>
          <w:rFonts w:ascii="Times" w:hAnsi="Times"/>
        </w:rPr>
      </w:pPr>
    </w:p>
    <w:p w14:paraId="1F7C6CB7" w14:textId="77777777" w:rsidR="0052730F" w:rsidRDefault="0052730F" w:rsidP="0052730F">
      <w:pPr>
        <w:rPr>
          <w:rFonts w:ascii="Times" w:hAnsi="Times"/>
        </w:rPr>
      </w:pPr>
    </w:p>
    <w:p w14:paraId="036372D0" w14:textId="77777777" w:rsidR="0052730F" w:rsidRDefault="0052730F" w:rsidP="0052730F">
      <w:pPr>
        <w:rPr>
          <w:rFonts w:ascii="Times" w:hAnsi="Times"/>
        </w:rPr>
      </w:pPr>
    </w:p>
    <w:p w14:paraId="1938503C" w14:textId="77777777" w:rsidR="0052730F" w:rsidRDefault="0052730F" w:rsidP="0052730F">
      <w:pPr>
        <w:rPr>
          <w:rFonts w:ascii="Times" w:hAnsi="Times"/>
        </w:rPr>
      </w:pPr>
    </w:p>
    <w:p w14:paraId="206AC9E4" w14:textId="77777777" w:rsidR="0052730F" w:rsidRDefault="0052730F" w:rsidP="0011040D">
      <w:pPr>
        <w:ind w:left="720"/>
        <w:rPr>
          <w:rFonts w:ascii="Times" w:hAnsi="Times"/>
        </w:rPr>
      </w:pPr>
      <w:r>
        <w:rPr>
          <w:rFonts w:ascii="Times" w:hAnsi="Times"/>
          <w:noProof/>
          <w:lang w:val="en-US" w:eastAsia="en-US"/>
        </w:rPr>
        <w:drawing>
          <wp:inline distT="0" distB="0" distL="0" distR="0" wp14:anchorId="20DB6311" wp14:editId="0A6CCCE1">
            <wp:extent cx="4225502" cy="7284780"/>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o graphs fig 2 chap 6.jpg"/>
                    <pic:cNvPicPr/>
                  </pic:nvPicPr>
                  <pic:blipFill rotWithShape="1">
                    <a:blip r:embed="rId58">
                      <a:extLst>
                        <a:ext uri="{28A0092B-C50C-407E-A947-70E740481C1C}">
                          <a14:useLocalDpi xmlns:a14="http://schemas.microsoft.com/office/drawing/2010/main" val="0"/>
                        </a:ext>
                      </a:extLst>
                    </a:blip>
                    <a:srcRect b="2078"/>
                    <a:stretch/>
                  </pic:blipFill>
                  <pic:spPr bwMode="auto">
                    <a:xfrm>
                      <a:off x="0" y="0"/>
                      <a:ext cx="4226495" cy="7286492"/>
                    </a:xfrm>
                    <a:prstGeom prst="rect">
                      <a:avLst/>
                    </a:prstGeom>
                    <a:ln>
                      <a:noFill/>
                    </a:ln>
                    <a:extLst>
                      <a:ext uri="{53640926-AAD7-44d8-BBD7-CCE9431645EC}">
                        <a14:shadowObscured xmlns:a14="http://schemas.microsoft.com/office/drawing/2010/main"/>
                      </a:ext>
                    </a:extLst>
                  </pic:spPr>
                </pic:pic>
              </a:graphicData>
            </a:graphic>
          </wp:inline>
        </w:drawing>
      </w:r>
    </w:p>
    <w:p w14:paraId="35328C43" w14:textId="77777777" w:rsidR="0052730F" w:rsidRPr="001D1F87" w:rsidRDefault="0052730F" w:rsidP="0052730F">
      <w:pPr>
        <w:pStyle w:val="BodyJB"/>
        <w:spacing w:line="240" w:lineRule="auto"/>
        <w:rPr>
          <w:sz w:val="21"/>
          <w:szCs w:val="21"/>
        </w:rPr>
        <w:sectPr w:rsidR="0052730F" w:rsidRPr="001D1F87" w:rsidSect="000612B7">
          <w:footerReference w:type="default" r:id="rId59"/>
          <w:pgSz w:w="12240" w:h="15840"/>
          <w:pgMar w:top="1440" w:right="1134" w:bottom="1440" w:left="2268" w:header="709" w:footer="851" w:gutter="0"/>
          <w:cols w:space="708"/>
        </w:sectPr>
      </w:pPr>
      <w:r w:rsidRPr="001D1F87">
        <w:rPr>
          <w:sz w:val="21"/>
          <w:szCs w:val="21"/>
        </w:rPr>
        <w:t>Fig 6.3. Orthogonal partial least-square discriminant analysis (OPLS-DA) of country. a. Score plots displaying predictive t[1] versus orthogonal t</w:t>
      </w:r>
      <w:r w:rsidRPr="001D1F87">
        <w:rPr>
          <w:sz w:val="21"/>
          <w:szCs w:val="21"/>
          <w:vertAlign w:val="subscript"/>
        </w:rPr>
        <w:t>O</w:t>
      </w:r>
      <w:r w:rsidRPr="001D1F87">
        <w:rPr>
          <w:sz w:val="21"/>
          <w:szCs w:val="21"/>
        </w:rPr>
        <w:t xml:space="preserve">[1] components are shown, with 95% confidence ellipses (based on Hotelling's T2 statistic). b. S-plot used to visualize model loadings causing separation in plot a.  p[1]  axis represents model loadings (magnitude of each mass bin in relation to the model), p(corr)[1] axis represents the reliability modelled correlation. </w:t>
      </w:r>
    </w:p>
    <w:p w14:paraId="61400247" w14:textId="77777777" w:rsidR="0052730F" w:rsidRDefault="0052730F" w:rsidP="0052730F">
      <w:pPr>
        <w:ind w:right="-170"/>
        <w:rPr>
          <w:rFonts w:ascii="Times" w:hAnsi="Times"/>
        </w:rPr>
      </w:pPr>
    </w:p>
    <w:p w14:paraId="6FA45933" w14:textId="77777777" w:rsidR="0052730F" w:rsidRPr="009711BF" w:rsidRDefault="0052730F" w:rsidP="0052730F">
      <w:pPr>
        <w:pStyle w:val="BodyJB"/>
        <w:spacing w:line="240" w:lineRule="auto"/>
      </w:pPr>
      <w:r>
        <w:t xml:space="preserve">Table 6.2. </w:t>
      </w:r>
      <w:r w:rsidRPr="00A911EB">
        <w:t xml:space="preserve">Summary of putative identifications for </w:t>
      </w:r>
      <w:r>
        <w:t xml:space="preserve">top 10 mass bins selected from S-plot Fig 6.2.b. as compounds showing the largest correlation to modelled split between plants of different countries. </w:t>
      </w:r>
      <w:r w:rsidRPr="00A911EB">
        <w:t xml:space="preserve">Putative identifications are based on accurate mass. Identifications </w:t>
      </w:r>
      <w:r>
        <w:t>included</w:t>
      </w:r>
      <w:r w:rsidRPr="00A911EB">
        <w:t xml:space="preserve"> here are chosen based on similarity to the average mass value and known occurrence in plants.</w:t>
      </w:r>
    </w:p>
    <w:p w14:paraId="0EFED997" w14:textId="77777777" w:rsidR="0052730F" w:rsidRDefault="0052730F" w:rsidP="0052730F">
      <w:pPr>
        <w:ind w:right="-170"/>
        <w:rPr>
          <w:rFonts w:ascii="Times" w:hAnsi="Times"/>
        </w:rPr>
      </w:pPr>
    </w:p>
    <w:p w14:paraId="61EE243C" w14:textId="77777777" w:rsidR="0052730F" w:rsidRDefault="0052730F" w:rsidP="0052730F">
      <w:pPr>
        <w:ind w:right="-170"/>
        <w:rPr>
          <w:rFonts w:ascii="Times" w:hAnsi="Times"/>
        </w:rPr>
      </w:pPr>
    </w:p>
    <w:p w14:paraId="07F0FC59" w14:textId="77777777" w:rsidR="0052730F" w:rsidRPr="00DF079E" w:rsidRDefault="0052730F" w:rsidP="001D1F87">
      <w:pPr>
        <w:ind w:right="-170"/>
        <w:rPr>
          <w:rFonts w:ascii="Times" w:hAnsi="Times"/>
        </w:rPr>
      </w:pPr>
      <w:r>
        <w:rPr>
          <w:rFonts w:ascii="Times" w:hAnsi="Times"/>
          <w:noProof/>
          <w:lang w:val="en-US" w:eastAsia="en-US"/>
        </w:rPr>
        <w:drawing>
          <wp:inline distT="0" distB="0" distL="0" distR="0" wp14:anchorId="56332163" wp14:editId="12A5D422">
            <wp:extent cx="8750275" cy="3743113"/>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750875" cy="3743370"/>
                    </a:xfrm>
                    <a:prstGeom prst="rect">
                      <a:avLst/>
                    </a:prstGeom>
                    <a:noFill/>
                    <a:ln>
                      <a:noFill/>
                    </a:ln>
                  </pic:spPr>
                </pic:pic>
              </a:graphicData>
            </a:graphic>
          </wp:inline>
        </w:drawing>
      </w:r>
    </w:p>
    <w:p w14:paraId="430DA10C" w14:textId="77777777" w:rsidR="0052730F" w:rsidRPr="00DF079E" w:rsidRDefault="0052730F" w:rsidP="0052730F">
      <w:pPr>
        <w:ind w:right="-170"/>
        <w:rPr>
          <w:rFonts w:ascii="Times" w:hAnsi="Times"/>
          <w:color w:val="FF6600"/>
        </w:rPr>
      </w:pPr>
    </w:p>
    <w:p w14:paraId="7CE82478" w14:textId="77777777" w:rsidR="0052730F" w:rsidRPr="00747EF2" w:rsidRDefault="0052730F" w:rsidP="0052730F">
      <w:pPr>
        <w:ind w:right="-170"/>
        <w:rPr>
          <w:rFonts w:ascii="Times" w:hAnsi="Times"/>
          <w:color w:val="FF6600"/>
          <w:sz w:val="20"/>
          <w:szCs w:val="20"/>
        </w:rPr>
      </w:pPr>
    </w:p>
    <w:p w14:paraId="70CC0AFF" w14:textId="77777777" w:rsidR="0052730F" w:rsidRPr="00747EF2" w:rsidRDefault="0052730F" w:rsidP="0052730F">
      <w:pPr>
        <w:ind w:right="-170"/>
        <w:rPr>
          <w:rFonts w:ascii="Times" w:hAnsi="Times"/>
          <w:color w:val="FF6600"/>
          <w:sz w:val="20"/>
          <w:szCs w:val="20"/>
        </w:rPr>
      </w:pPr>
    </w:p>
    <w:p w14:paraId="15916E3D" w14:textId="4A2C45A7" w:rsidR="00F812C7" w:rsidRDefault="00F812C7" w:rsidP="001D1F87">
      <w:pPr>
        <w:ind w:right="-170"/>
        <w:rPr>
          <w:rFonts w:ascii="Times" w:hAnsi="Times"/>
        </w:rPr>
      </w:pPr>
      <w:r>
        <w:rPr>
          <w:rFonts w:ascii="Times" w:hAnsi="Times"/>
          <w:noProof/>
          <w:lang w:val="en-US" w:eastAsia="en-US"/>
        </w:rPr>
        <w:drawing>
          <wp:inline distT="0" distB="0" distL="0" distR="0" wp14:anchorId="662E5A4A" wp14:editId="297D32BF">
            <wp:extent cx="8458835" cy="4717208"/>
            <wp:effectExtent l="0" t="0" r="0" b="7620"/>
            <wp:docPr id="64" name="Picture 64" descr="Mac HD:Users:Rachel:Desktop:Chapt 6- patterns of bi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 HD:Users:Rachel:Desktop:Chapt 6- patterns of bins.pd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458835" cy="4717208"/>
                    </a:xfrm>
                    <a:prstGeom prst="rect">
                      <a:avLst/>
                    </a:prstGeom>
                    <a:noFill/>
                    <a:ln>
                      <a:noFill/>
                    </a:ln>
                  </pic:spPr>
                </pic:pic>
              </a:graphicData>
            </a:graphic>
          </wp:inline>
        </w:drawing>
      </w:r>
    </w:p>
    <w:p w14:paraId="1FE7D7FE" w14:textId="01551405" w:rsidR="00787D6A" w:rsidRDefault="00787D6A" w:rsidP="0052730F">
      <w:pPr>
        <w:ind w:right="-170"/>
        <w:rPr>
          <w:rFonts w:ascii="Times" w:hAnsi="Times"/>
        </w:rPr>
      </w:pPr>
      <w:r>
        <w:rPr>
          <w:rFonts w:ascii="Times" w:hAnsi="Times"/>
        </w:rPr>
        <w:t>Fig. 6.4. Normalized concentrations (averaged per population of origin) of the top five mass bins discriminating British plants (OPLS analysis, Fig. 6.3b), top row; and the top five mass bins discriminating French plants, bottom row. Averages are indicated by the central bar of the box plot and standard deviation by the error bars.</w:t>
      </w:r>
    </w:p>
    <w:p w14:paraId="13128D79" w14:textId="77777777" w:rsidR="00F812C7" w:rsidRDefault="00F812C7" w:rsidP="0052730F">
      <w:pPr>
        <w:ind w:right="-170"/>
        <w:rPr>
          <w:rFonts w:ascii="Times" w:hAnsi="Times"/>
        </w:rPr>
      </w:pPr>
    </w:p>
    <w:p w14:paraId="5ECEDF22" w14:textId="77777777" w:rsidR="0052730F" w:rsidRPr="00747EF2" w:rsidRDefault="0052730F" w:rsidP="0052730F">
      <w:pPr>
        <w:ind w:right="-170"/>
        <w:rPr>
          <w:rFonts w:ascii="Times" w:hAnsi="Times"/>
        </w:rPr>
      </w:pPr>
      <w:r w:rsidRPr="00747EF2">
        <w:rPr>
          <w:rFonts w:ascii="Times" w:hAnsi="Times"/>
        </w:rPr>
        <w:t>Table 6.</w:t>
      </w:r>
      <w:r>
        <w:rPr>
          <w:rFonts w:ascii="Times" w:hAnsi="Times"/>
        </w:rPr>
        <w:t>3</w:t>
      </w:r>
      <w:r w:rsidRPr="00747EF2">
        <w:rPr>
          <w:rFonts w:ascii="Times" w:hAnsi="Times"/>
        </w:rPr>
        <w:t>. Pathways of interest based on the most discriminatory mass bins determined by ANOVA. Putative identifications of the accurate mass contained within each mass bin was first determined and then uploaded onto MetabolAnalyst mapping software.</w:t>
      </w:r>
    </w:p>
    <w:p w14:paraId="4152F6FD" w14:textId="77777777" w:rsidR="0052730F" w:rsidRPr="00747EF2" w:rsidRDefault="0052730F" w:rsidP="0052730F">
      <w:pPr>
        <w:ind w:right="-170"/>
        <w:rPr>
          <w:rFonts w:ascii="Times" w:hAnsi="Times"/>
          <w:color w:val="FF6600"/>
          <w:sz w:val="20"/>
          <w:szCs w:val="20"/>
        </w:rPr>
      </w:pPr>
    </w:p>
    <w:p w14:paraId="26DA275F" w14:textId="77777777" w:rsidR="0052730F" w:rsidRDefault="0052730F" w:rsidP="0052730F">
      <w:pPr>
        <w:ind w:right="-170"/>
        <w:rPr>
          <w:rFonts w:ascii="Times" w:hAnsi="Times"/>
          <w:color w:val="FF6600"/>
        </w:rPr>
      </w:pPr>
      <w:r>
        <w:rPr>
          <w:rFonts w:ascii="Times" w:hAnsi="Times"/>
          <w:noProof/>
          <w:color w:val="FF6600"/>
          <w:lang w:val="en-US" w:eastAsia="en-US"/>
        </w:rPr>
        <w:drawing>
          <wp:inline distT="0" distB="0" distL="0" distR="0" wp14:anchorId="201485B6" wp14:editId="4E5A67D1">
            <wp:extent cx="8712200" cy="4597400"/>
            <wp:effectExtent l="0" t="0" r="0" b="0"/>
            <wp:docPr id="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712200" cy="4597400"/>
                    </a:xfrm>
                    <a:prstGeom prst="rect">
                      <a:avLst/>
                    </a:prstGeom>
                    <a:noFill/>
                    <a:ln>
                      <a:noFill/>
                    </a:ln>
                  </pic:spPr>
                </pic:pic>
              </a:graphicData>
            </a:graphic>
          </wp:inline>
        </w:drawing>
      </w:r>
    </w:p>
    <w:p w14:paraId="6A968938" w14:textId="77777777" w:rsidR="00D242EA" w:rsidRDefault="00D242EA" w:rsidP="0052730F">
      <w:pPr>
        <w:rPr>
          <w:rFonts w:ascii="Times" w:hAnsi="Times"/>
          <w:b/>
        </w:rPr>
        <w:sectPr w:rsidR="00D242EA" w:rsidSect="00C277C0">
          <w:footerReference w:type="default" r:id="rId63"/>
          <w:pgSz w:w="16840" w:h="11901" w:orient="landscape"/>
          <w:pgMar w:top="2268" w:right="1440" w:bottom="1134" w:left="1134" w:header="709" w:footer="851" w:gutter="0"/>
          <w:cols w:space="708"/>
          <w:docGrid w:linePitch="360"/>
        </w:sectPr>
      </w:pPr>
    </w:p>
    <w:p w14:paraId="0D49E586" w14:textId="77777777" w:rsidR="00B5005F" w:rsidRDefault="00B66E45" w:rsidP="00B5005F">
      <w:pPr>
        <w:ind w:left="720"/>
        <w:rPr>
          <w:rFonts w:ascii="Times" w:hAnsi="Times"/>
          <w:sz w:val="20"/>
          <w:szCs w:val="20"/>
        </w:rPr>
      </w:pPr>
      <w:r w:rsidRPr="00B5005F">
        <w:rPr>
          <w:rFonts w:ascii="Times" w:hAnsi="Times"/>
          <w:noProof/>
          <w:lang w:val="en-US" w:eastAsia="en-US"/>
        </w:rPr>
        <w:drawing>
          <wp:inline distT="0" distB="0" distL="0" distR="0" wp14:anchorId="7EC7D598" wp14:editId="7CEBD72B">
            <wp:extent cx="8120386" cy="5224568"/>
            <wp:effectExtent l="0" t="0" r="7620" b="8255"/>
            <wp:docPr id="36" name="Picture 36" descr="Macintosh HD:Users:Rach:Google Drive:analysis :chapt 6:figs:ero fold change FIG:ERO fold change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ach:Google Drive:analysis :chapt 6:figs:ero fold change FIG:ERO fold change map.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120700" cy="5224770"/>
                    </a:xfrm>
                    <a:prstGeom prst="rect">
                      <a:avLst/>
                    </a:prstGeom>
                    <a:noFill/>
                    <a:ln>
                      <a:noFill/>
                    </a:ln>
                  </pic:spPr>
                </pic:pic>
              </a:graphicData>
            </a:graphic>
          </wp:inline>
        </w:drawing>
      </w:r>
    </w:p>
    <w:p w14:paraId="7EAA7D16" w14:textId="5D86BBC9" w:rsidR="00B5005F" w:rsidRPr="001F1CFB" w:rsidRDefault="0052730F" w:rsidP="00B5005F">
      <w:pPr>
        <w:ind w:left="720"/>
        <w:rPr>
          <w:rFonts w:ascii="Times" w:hAnsi="Times"/>
          <w:sz w:val="21"/>
          <w:szCs w:val="21"/>
        </w:rPr>
      </w:pPr>
      <w:r w:rsidRPr="001F1CFB">
        <w:rPr>
          <w:rFonts w:ascii="Times" w:hAnsi="Times"/>
          <w:sz w:val="21"/>
          <w:szCs w:val="21"/>
        </w:rPr>
        <w:t>Fig 6.</w:t>
      </w:r>
      <w:r w:rsidR="00787D6A" w:rsidRPr="001F1CFB">
        <w:rPr>
          <w:rFonts w:ascii="Times" w:hAnsi="Times"/>
          <w:sz w:val="21"/>
          <w:szCs w:val="21"/>
        </w:rPr>
        <w:t>5</w:t>
      </w:r>
      <w:r w:rsidRPr="001F1CFB">
        <w:rPr>
          <w:rFonts w:ascii="Times" w:hAnsi="Times"/>
          <w:sz w:val="21"/>
          <w:szCs w:val="21"/>
        </w:rPr>
        <w:t>. Overview diagram of metabolite pathways overlaid with data of fold change in concentration betwe</w:t>
      </w:r>
      <w:r w:rsidR="003B522D" w:rsidRPr="001F1CFB">
        <w:rPr>
          <w:rFonts w:ascii="Times" w:hAnsi="Times"/>
          <w:sz w:val="21"/>
          <w:szCs w:val="21"/>
        </w:rPr>
        <w:t>en the two classes, orange highlights represent compounds up-regulated in France plants, blue highlights represent compounds up-regulated in British plants.</w:t>
      </w:r>
    </w:p>
    <w:p w14:paraId="6DC5D91C" w14:textId="6D8DBE7C" w:rsidR="0052730F" w:rsidRPr="00B5005F" w:rsidRDefault="0052730F" w:rsidP="00B5005F">
      <w:pPr>
        <w:ind w:left="720"/>
        <w:rPr>
          <w:rFonts w:ascii="Times" w:hAnsi="Times"/>
          <w:sz w:val="20"/>
          <w:szCs w:val="20"/>
        </w:rPr>
      </w:pPr>
      <w:r w:rsidRPr="00B5005F">
        <w:rPr>
          <w:rFonts w:ascii="Times" w:hAnsi="Times"/>
          <w:sz w:val="20"/>
          <w:szCs w:val="20"/>
        </w:rPr>
        <w:t xml:space="preserve"> </w:t>
      </w:r>
    </w:p>
    <w:p w14:paraId="5A26E967" w14:textId="77777777" w:rsidR="0052730F" w:rsidRDefault="0052730F" w:rsidP="0052730F">
      <w:pPr>
        <w:rPr>
          <w:rFonts w:ascii="Times" w:hAnsi="Times"/>
          <w:b/>
        </w:rPr>
        <w:sectPr w:rsidR="0052730F" w:rsidSect="00B5005F">
          <w:pgSz w:w="16840" w:h="11901" w:orient="landscape"/>
          <w:pgMar w:top="1418" w:right="1440" w:bottom="1134" w:left="1440" w:header="709" w:footer="851" w:gutter="0"/>
          <w:cols w:space="708"/>
          <w:docGrid w:linePitch="360"/>
        </w:sectPr>
      </w:pPr>
    </w:p>
    <w:p w14:paraId="0188A2DC" w14:textId="77777777" w:rsidR="0052730F" w:rsidRPr="009C1C83" w:rsidRDefault="0052730F" w:rsidP="00B66E45">
      <w:pPr>
        <w:pStyle w:val="subheadingMINOR"/>
      </w:pPr>
      <w:bookmarkStart w:id="95" w:name="_Toc291410100"/>
      <w:r w:rsidRPr="009C1C83">
        <w:t>Local scale variation in metabolism</w:t>
      </w:r>
      <w:bookmarkEnd w:id="95"/>
    </w:p>
    <w:p w14:paraId="71DC7942" w14:textId="77777777" w:rsidR="0052730F" w:rsidRDefault="0052730F" w:rsidP="00B66E45">
      <w:pPr>
        <w:pStyle w:val="BodyJB"/>
        <w:ind w:firstLine="720"/>
      </w:pPr>
      <w:r>
        <w:t xml:space="preserve">PCA model parameters indicated poor fit and predictive power in these samples, indicating low levels of variance between the samples analysed. </w:t>
      </w:r>
      <w:r w:rsidRPr="00DF079E">
        <w:t>At sites Fr</w:t>
      </w:r>
      <w:r>
        <w:t>4</w:t>
      </w:r>
      <w:r w:rsidRPr="00DF079E">
        <w:t xml:space="preserve">, </w:t>
      </w:r>
      <w:r>
        <w:t>GB1</w:t>
      </w:r>
      <w:r w:rsidRPr="00DF079E">
        <w:t xml:space="preserve"> and GB2 metabolite fingerprints did not cluster based on the flat, north-facing or south-facing aspect of the areas that were sampled.</w:t>
      </w:r>
      <w:r>
        <w:t xml:space="preserve"> (Fig. 6.5)</w:t>
      </w:r>
      <w:r w:rsidRPr="00DF079E">
        <w:t xml:space="preserve"> At site Fr</w:t>
      </w:r>
      <w:r>
        <w:t xml:space="preserve">2 PCA shows that variables show some clustering based on aspect grown (Fig. 6.5d.). Samples from flat sampling areas clustered quite tightly together and separated from samples from north-facing and south-facing slopes along PC1. </w:t>
      </w:r>
    </w:p>
    <w:p w14:paraId="3224C0AE" w14:textId="77777777" w:rsidR="0052730F" w:rsidRDefault="0052730F" w:rsidP="0052730F">
      <w:pPr>
        <w:rPr>
          <w:rFonts w:ascii="Times" w:hAnsi="Times"/>
          <w:b/>
        </w:rPr>
      </w:pPr>
    </w:p>
    <w:p w14:paraId="4700A136" w14:textId="77777777" w:rsidR="0052730F" w:rsidRDefault="0052730F" w:rsidP="0052730F">
      <w:pPr>
        <w:spacing w:line="360" w:lineRule="auto"/>
        <w:ind w:right="-170"/>
        <w:rPr>
          <w:rFonts w:ascii="Times" w:hAnsi="Times"/>
          <w:b/>
        </w:rPr>
      </w:pPr>
    </w:p>
    <w:p w14:paraId="7E3571D3" w14:textId="77777777" w:rsidR="0052730F" w:rsidRDefault="0052730F" w:rsidP="0052730F">
      <w:pPr>
        <w:spacing w:line="360" w:lineRule="auto"/>
        <w:ind w:right="-170"/>
        <w:rPr>
          <w:rFonts w:ascii="Times" w:hAnsi="Times"/>
          <w:b/>
        </w:rPr>
      </w:pPr>
    </w:p>
    <w:p w14:paraId="635CAA5B" w14:textId="77777777" w:rsidR="0052730F" w:rsidRDefault="0052730F" w:rsidP="0052730F">
      <w:pPr>
        <w:spacing w:line="360" w:lineRule="auto"/>
        <w:ind w:right="-170"/>
        <w:rPr>
          <w:rFonts w:ascii="Times" w:hAnsi="Times"/>
          <w:b/>
        </w:rPr>
      </w:pPr>
    </w:p>
    <w:p w14:paraId="750044E4" w14:textId="77777777" w:rsidR="0052730F" w:rsidRDefault="0052730F" w:rsidP="0052730F">
      <w:pPr>
        <w:spacing w:line="360" w:lineRule="auto"/>
        <w:ind w:right="-170"/>
        <w:rPr>
          <w:rFonts w:ascii="Times" w:hAnsi="Times"/>
          <w:b/>
        </w:rPr>
      </w:pPr>
    </w:p>
    <w:p w14:paraId="265FC4E2" w14:textId="77777777" w:rsidR="0052730F" w:rsidRDefault="0052730F" w:rsidP="0052730F">
      <w:pPr>
        <w:spacing w:line="360" w:lineRule="auto"/>
        <w:ind w:right="-170"/>
        <w:rPr>
          <w:rFonts w:ascii="Times" w:hAnsi="Times"/>
          <w:b/>
        </w:rPr>
      </w:pPr>
    </w:p>
    <w:p w14:paraId="4310D4DD" w14:textId="77777777" w:rsidR="0052730F" w:rsidRDefault="0052730F" w:rsidP="0052730F">
      <w:pPr>
        <w:spacing w:line="360" w:lineRule="auto"/>
        <w:ind w:right="-170"/>
        <w:rPr>
          <w:rFonts w:ascii="Times" w:hAnsi="Times"/>
          <w:b/>
        </w:rPr>
      </w:pPr>
    </w:p>
    <w:p w14:paraId="77C2F60D" w14:textId="77777777" w:rsidR="0052730F" w:rsidRDefault="0052730F" w:rsidP="0052730F">
      <w:pPr>
        <w:spacing w:line="360" w:lineRule="auto"/>
        <w:ind w:right="-170"/>
        <w:rPr>
          <w:rFonts w:ascii="Times" w:hAnsi="Times"/>
          <w:b/>
        </w:rPr>
      </w:pPr>
    </w:p>
    <w:p w14:paraId="0D6653C7" w14:textId="77777777" w:rsidR="0052730F" w:rsidRDefault="0052730F" w:rsidP="0052730F">
      <w:pPr>
        <w:spacing w:line="360" w:lineRule="auto"/>
        <w:ind w:right="-170"/>
        <w:rPr>
          <w:rFonts w:ascii="Times" w:hAnsi="Times"/>
          <w:b/>
        </w:rPr>
      </w:pPr>
    </w:p>
    <w:p w14:paraId="29A8A0EF" w14:textId="77777777" w:rsidR="0052730F" w:rsidRDefault="0052730F" w:rsidP="0052730F">
      <w:pPr>
        <w:spacing w:line="360" w:lineRule="auto"/>
        <w:ind w:right="-170"/>
        <w:rPr>
          <w:rFonts w:ascii="Times" w:hAnsi="Times"/>
          <w:b/>
        </w:rPr>
      </w:pPr>
    </w:p>
    <w:p w14:paraId="4532A7AC" w14:textId="77777777" w:rsidR="0052730F" w:rsidRDefault="0052730F" w:rsidP="0052730F">
      <w:pPr>
        <w:spacing w:line="360" w:lineRule="auto"/>
        <w:ind w:right="-170"/>
        <w:rPr>
          <w:rFonts w:ascii="Times" w:hAnsi="Times"/>
          <w:b/>
        </w:rPr>
      </w:pPr>
    </w:p>
    <w:p w14:paraId="435749D3" w14:textId="77777777" w:rsidR="0052730F" w:rsidRDefault="0052730F" w:rsidP="0052730F">
      <w:pPr>
        <w:spacing w:line="360" w:lineRule="auto"/>
        <w:ind w:right="-170"/>
        <w:rPr>
          <w:rFonts w:ascii="Times" w:hAnsi="Times"/>
          <w:b/>
        </w:rPr>
      </w:pPr>
    </w:p>
    <w:p w14:paraId="06B8036A" w14:textId="77777777" w:rsidR="0052730F" w:rsidRPr="00DF079E" w:rsidRDefault="0052730F" w:rsidP="0052730F">
      <w:pPr>
        <w:ind w:right="-170"/>
        <w:jc w:val="center"/>
        <w:rPr>
          <w:rFonts w:ascii="Times" w:hAnsi="Times"/>
        </w:rPr>
      </w:pPr>
      <w:r>
        <w:rPr>
          <w:rFonts w:ascii="Times" w:hAnsi="Times"/>
          <w:noProof/>
          <w:lang w:val="en-US" w:eastAsia="en-US"/>
        </w:rPr>
        <w:drawing>
          <wp:inline distT="0" distB="0" distL="0" distR="0" wp14:anchorId="48329C3B" wp14:editId="5D629653">
            <wp:extent cx="5204460" cy="4584138"/>
            <wp:effectExtent l="0" t="0" r="2540" b="0"/>
            <wp:docPr id="37" name="Picture 10" descr="Fig 5 aspect plot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 aspect plots.pdf"/>
                    <pic:cNvPicPr/>
                  </pic:nvPicPr>
                  <pic:blipFill>
                    <a:blip r:embed="rId65"/>
                    <a:stretch>
                      <a:fillRect/>
                    </a:stretch>
                  </pic:blipFill>
                  <pic:spPr>
                    <a:xfrm>
                      <a:off x="0" y="0"/>
                      <a:ext cx="5204460" cy="4584138"/>
                    </a:xfrm>
                    <a:prstGeom prst="rect">
                      <a:avLst/>
                    </a:prstGeom>
                  </pic:spPr>
                </pic:pic>
              </a:graphicData>
            </a:graphic>
          </wp:inline>
        </w:drawing>
      </w:r>
    </w:p>
    <w:p w14:paraId="5C67B23A" w14:textId="77777777" w:rsidR="0052730F" w:rsidRPr="00DF079E" w:rsidRDefault="0052730F" w:rsidP="0052730F">
      <w:pPr>
        <w:ind w:right="-170"/>
        <w:rPr>
          <w:rFonts w:ascii="Times" w:hAnsi="Times"/>
        </w:rPr>
      </w:pPr>
    </w:p>
    <w:p w14:paraId="112D482B" w14:textId="77777777" w:rsidR="0052730F" w:rsidRPr="00DF079E" w:rsidRDefault="0052730F" w:rsidP="0052730F">
      <w:pPr>
        <w:ind w:right="-170"/>
        <w:rPr>
          <w:rFonts w:ascii="Times" w:hAnsi="Times"/>
        </w:rPr>
      </w:pPr>
    </w:p>
    <w:p w14:paraId="11365F15" w14:textId="73A537AA" w:rsidR="0052730F" w:rsidRDefault="0052730F" w:rsidP="0052730F">
      <w:pPr>
        <w:pStyle w:val="BodyJB"/>
        <w:spacing w:line="240" w:lineRule="auto"/>
        <w:rPr>
          <w:b/>
        </w:rPr>
      </w:pPr>
      <w:r>
        <w:t>Fig. 6.</w:t>
      </w:r>
      <w:r w:rsidR="00787D6A">
        <w:t>6</w:t>
      </w:r>
      <w:r w:rsidRPr="00DF079E">
        <w:t xml:space="preserve">. Analysis of m/z values (binned to 0.2 Da) obtained by metabolic fingerprinting of four populations of </w:t>
      </w:r>
      <w:r w:rsidRPr="00DF079E">
        <w:rPr>
          <w:i/>
        </w:rPr>
        <w:t>Erodium cicutarium</w:t>
      </w:r>
      <w:r w:rsidRPr="00DF079E">
        <w:t>, a. Fr2, b. Fr4, c. GB1, d. GB2. Plots show metabolic differences between plots with different aspects, flat (</w:t>
      </w:r>
      <w:r>
        <w:t>diamonds</w:t>
      </w:r>
      <w:r w:rsidRPr="00DF079E">
        <w:t>), north-facing (</w:t>
      </w:r>
      <w:r>
        <w:t>triangles</w:t>
      </w:r>
      <w:r w:rsidRPr="00DF079E">
        <w:t>), south-facing (</w:t>
      </w:r>
      <w:r>
        <w:t>downward triangles). Data from, princip</w:t>
      </w:r>
      <w:r w:rsidRPr="00DF079E">
        <w:t>l</w:t>
      </w:r>
      <w:r>
        <w:t>e</w:t>
      </w:r>
      <w:r w:rsidRPr="00DF079E">
        <w:t xml:space="preserve"> component analysis is expressed in score plot form showing data spread along PC1 and PC2 (</w:t>
      </w:r>
      <w:r>
        <w:t>Fig. 6.2</w:t>
      </w:r>
      <w:r w:rsidRPr="00DF079E">
        <w:t>.a)(percent of the variation of the data explained by each component is provided).  Since score plots do not so separation between treatments, corresponding loadings plots are not shown.</w:t>
      </w:r>
    </w:p>
    <w:p w14:paraId="6DEA6AB7" w14:textId="77777777" w:rsidR="0052730F" w:rsidRDefault="0052730F" w:rsidP="0052730F">
      <w:pPr>
        <w:rPr>
          <w:rFonts w:ascii="Times" w:hAnsi="Times"/>
          <w:b/>
        </w:rPr>
      </w:pPr>
    </w:p>
    <w:p w14:paraId="550CD043" w14:textId="77777777" w:rsidR="0052730F" w:rsidRDefault="0052730F" w:rsidP="0052730F">
      <w:pPr>
        <w:rPr>
          <w:rFonts w:ascii="Times" w:hAnsi="Times"/>
          <w:b/>
        </w:rPr>
      </w:pPr>
    </w:p>
    <w:p w14:paraId="679E75D3" w14:textId="77777777" w:rsidR="0052730F" w:rsidRDefault="0052730F" w:rsidP="0052730F">
      <w:pPr>
        <w:rPr>
          <w:rFonts w:ascii="Times" w:hAnsi="Times"/>
          <w:b/>
        </w:rPr>
      </w:pPr>
    </w:p>
    <w:p w14:paraId="451B178A" w14:textId="77777777" w:rsidR="0052730F" w:rsidRDefault="0052730F" w:rsidP="0052730F">
      <w:pPr>
        <w:rPr>
          <w:rFonts w:ascii="Times" w:hAnsi="Times"/>
          <w:b/>
        </w:rPr>
      </w:pPr>
    </w:p>
    <w:p w14:paraId="3B62D496" w14:textId="77777777" w:rsidR="0052730F" w:rsidRDefault="0052730F" w:rsidP="0052730F">
      <w:pPr>
        <w:rPr>
          <w:rFonts w:ascii="Times" w:hAnsi="Times"/>
          <w:b/>
        </w:rPr>
      </w:pPr>
    </w:p>
    <w:p w14:paraId="598254F5" w14:textId="77777777" w:rsidR="0052730F" w:rsidRDefault="0052730F" w:rsidP="0052730F">
      <w:pPr>
        <w:rPr>
          <w:rFonts w:ascii="Times" w:hAnsi="Times"/>
          <w:b/>
        </w:rPr>
      </w:pPr>
    </w:p>
    <w:p w14:paraId="78022C5E" w14:textId="77777777" w:rsidR="0052730F" w:rsidRDefault="0052730F" w:rsidP="0052730F">
      <w:pPr>
        <w:rPr>
          <w:rFonts w:ascii="Times" w:hAnsi="Times"/>
          <w:b/>
        </w:rPr>
      </w:pPr>
    </w:p>
    <w:p w14:paraId="066D0B89" w14:textId="77777777" w:rsidR="0052730F" w:rsidRDefault="0052730F" w:rsidP="0052730F">
      <w:pPr>
        <w:rPr>
          <w:rFonts w:ascii="Times" w:hAnsi="Times"/>
          <w:b/>
        </w:rPr>
      </w:pPr>
    </w:p>
    <w:p w14:paraId="20604423" w14:textId="77777777" w:rsidR="0052730F" w:rsidRDefault="0052730F" w:rsidP="0052730F">
      <w:pPr>
        <w:rPr>
          <w:rFonts w:ascii="Times" w:hAnsi="Times"/>
          <w:b/>
        </w:rPr>
      </w:pPr>
    </w:p>
    <w:p w14:paraId="2822C37D" w14:textId="77777777" w:rsidR="0052730F" w:rsidRDefault="0052730F" w:rsidP="0052730F">
      <w:pPr>
        <w:rPr>
          <w:rFonts w:ascii="Times" w:hAnsi="Times"/>
          <w:b/>
        </w:rPr>
      </w:pPr>
    </w:p>
    <w:p w14:paraId="58B264E8" w14:textId="77777777" w:rsidR="0052730F" w:rsidRDefault="0052730F" w:rsidP="0052730F">
      <w:pPr>
        <w:rPr>
          <w:rFonts w:ascii="Times" w:hAnsi="Times"/>
          <w:b/>
        </w:rPr>
      </w:pPr>
    </w:p>
    <w:p w14:paraId="4ED5F198" w14:textId="77777777" w:rsidR="0052730F" w:rsidRDefault="0052730F" w:rsidP="0052730F">
      <w:pPr>
        <w:rPr>
          <w:rFonts w:ascii="Times" w:hAnsi="Times"/>
          <w:b/>
        </w:rPr>
      </w:pPr>
    </w:p>
    <w:p w14:paraId="00A241D8" w14:textId="77777777" w:rsidR="0052730F" w:rsidRDefault="0052730F" w:rsidP="0052730F">
      <w:pPr>
        <w:rPr>
          <w:rFonts w:ascii="Times" w:hAnsi="Times"/>
          <w:b/>
        </w:rPr>
      </w:pPr>
    </w:p>
    <w:p w14:paraId="516E353D" w14:textId="77777777" w:rsidR="00670E7B" w:rsidRDefault="00670E7B" w:rsidP="0052730F">
      <w:pPr>
        <w:rPr>
          <w:rFonts w:ascii="Times" w:hAnsi="Times"/>
          <w:b/>
        </w:rPr>
      </w:pPr>
    </w:p>
    <w:p w14:paraId="6BC4A4FA" w14:textId="7E7F54A6" w:rsidR="0052730F" w:rsidRPr="002C5F95" w:rsidRDefault="00B66E45" w:rsidP="0052730F">
      <w:pPr>
        <w:pStyle w:val="SubheadingJB"/>
      </w:pPr>
      <w:bookmarkStart w:id="96" w:name="_Toc291410101"/>
      <w:r>
        <w:t xml:space="preserve">6.4- </w:t>
      </w:r>
      <w:r w:rsidR="0052730F" w:rsidRPr="002C5F95">
        <w:t>D</w:t>
      </w:r>
      <w:r>
        <w:t>iscussion</w:t>
      </w:r>
      <w:bookmarkEnd w:id="96"/>
    </w:p>
    <w:p w14:paraId="71F9FCC9" w14:textId="77777777" w:rsidR="0052730F" w:rsidRPr="002C5F95" w:rsidRDefault="0052730F" w:rsidP="0052730F">
      <w:pPr>
        <w:pStyle w:val="BodyJB"/>
      </w:pPr>
    </w:p>
    <w:p w14:paraId="1E639B0A" w14:textId="00E456DB" w:rsidR="0052730F" w:rsidRDefault="0052730F" w:rsidP="00B66E45">
      <w:pPr>
        <w:pStyle w:val="BodyJB"/>
        <w:ind w:firstLine="720"/>
      </w:pPr>
      <w:r w:rsidRPr="002C5F95">
        <w:t xml:space="preserve">In order to predict the impact of future climate changes on plant populations it is important to understand the evolution of both plasticity and evolutionary genetic trait responses that are determined by the patterns of environmental heterogeneity populations are exposed to </w:t>
      </w:r>
      <w:r w:rsidRPr="002C5F95">
        <w:fldChar w:fldCharType="begin" w:fldLock="1"/>
      </w:r>
      <w:r w:rsidR="007C2FF9">
        <w:instrText>ADDIN CSL_CITATION { "citationItems" : [ { "id" : "ITEM-1", "itemData" : { "author" : [ { "dropping-particle" : "", "family" : "Gianoli", "given" : "Ernesto", "non-dropping-particle" : "", "parse-names" : false, "suffix" : "" } ], "container-title" : "International Journal of Plant Sciences", "id" : "ITEM-1", "issue" : "5", "issued" : { "date-parts" : [ [ "2004" ] ] }, "page" : "825-832", "title" : "Plasticity of Traits and Correlations in Two Populations of Convolvulus arvensis ( Convolvulaceae ) Differing in Environmental Heterogeneity", "type" : "article-journal", "volume" : "165" }, "uris" : [ "http://www.mendeley.com/documents/?uuid=aa0e0975-e356-4f50-b3da-3123012ab7f7" ] } ], "mendeley" : { "formattedCitation" : "(Gianoli, 2004)", "plainTextFormattedCitation" : "(Gianoli, 2004)", "previouslyFormattedCitation" : "(Gianoli, 2004)" }, "properties" : { "noteIndex" : 0 }, "schema" : "https://github.com/citation-style-language/schema/raw/master/csl-citation.json" }</w:instrText>
      </w:r>
      <w:r w:rsidRPr="002C5F95">
        <w:fldChar w:fldCharType="separate"/>
      </w:r>
      <w:r w:rsidRPr="009055D1">
        <w:rPr>
          <w:noProof/>
        </w:rPr>
        <w:t>(Gianoli, 2004)</w:t>
      </w:r>
      <w:r w:rsidRPr="002C5F95">
        <w:fldChar w:fldCharType="end"/>
      </w:r>
      <w:r w:rsidRPr="002C5F95">
        <w:t xml:space="preserve">. As the distance separating their locations increases populations are expected to be </w:t>
      </w:r>
      <w:r w:rsidR="006E6E03">
        <w:t xml:space="preserve">more </w:t>
      </w:r>
      <w:r w:rsidRPr="002C5F95">
        <w:t>locally adapted</w:t>
      </w:r>
      <w:r w:rsidR="006E6E03">
        <w:t xml:space="preserve"> (and therefore more biologically differentiated from one another), because of the</w:t>
      </w:r>
      <w:r w:rsidRPr="002C5F95">
        <w:t xml:space="preserve"> increase in the heterogeneity of environmental conditions </w:t>
      </w:r>
      <w:r w:rsidRPr="002C5F95">
        <w:fldChar w:fldCharType="begin" w:fldLock="1"/>
      </w:r>
      <w:r w:rsidR="007C2FF9">
        <w:instrText>ADDIN CSL_CITATION { "citationItems" : [ { "id" : "ITEM-1", "itemData" : { "ISSN" : "0014-3820", "PMID" : "11005286", "abstract" : "Studies of many plants species have demonstrated adaptive genetic differentiation to local environmental conditions. Typically these studies are conducted to evaluate adaptation to contrasting environments. As a consequence, although local adaptation has been frequently demonstrated, we have little information as to the spatial scale of adaptive evolution. We evaluated adaptive differentiation between populations of the annual legume Chamaecrista fasciculata using a replicated common-garden design. Study sites were established in three field locations that are home to native populations of C. fasciculata. Each location was planted for two years with seed from the population native to the study site (home population) and populations located six distances (0.1-2000 km) from each site (transplanted populations). Seeds were planted into the study sites with minimum disturbance to determine the scale of local adaptation, as measured by a home-site fitness advantage, for five fitness components: germination, survival, vegetative biomass, fruit production, and the number of fruit produced per seed planted (an estimate of cumulative fitness). For all characters there was little evidence for local adaptation, except at the furthest spatial scales. Patterns of adaptive differentiation were fairly consistent in two of the three sites, but varied between years. Little genetic variation was expressed at the third site. These results, combined with previous estimates of limited gene flow, suggest that metapopulation processes and temporal environmental variation act together to reduce local adaptation, except over long distances.", "author" : [ { "dropping-particle" : "", "family" : "Galloway", "given" : "L F", "non-dropping-particle" : "", "parse-names" : false, "suffix" : "" }, { "dropping-particle" : "", "family" : "Fenster", "given" : "C B", "non-dropping-particle" : "", "parse-names" : false, "suffix" : "" } ], "container-title" : "Evolution; international journal of organic evolution", "id" : "ITEM-1", "issue" : "4", "issued" : { "date-parts" : [ [ "2000", "8" ] ] }, "page" : "1173-81", "title" : "Population differentiation in an annual legume: local adaptation.", "type" : "article-journal", "volume" : "54" }, "uris" : [ "http://www.mendeley.com/documents/?uuid=66719885-feca-49a8-b1e9-c5550493fbb8" ] } ], "mendeley" : { "formattedCitation" : "(Galloway and Fenster, 2000)", "plainTextFormattedCitation" : "(Galloway and Fenster, 2000)", "previouslyFormattedCitation" : "(Galloway and Fenster, 2000)" }, "properties" : { "noteIndex" : 0 }, "schema" : "https://github.com/citation-style-language/schema/raw/master/csl-citation.json" }</w:instrText>
      </w:r>
      <w:r w:rsidRPr="002C5F95">
        <w:fldChar w:fldCharType="separate"/>
      </w:r>
      <w:r w:rsidR="00134C22" w:rsidRPr="00134C22">
        <w:rPr>
          <w:noProof/>
        </w:rPr>
        <w:t>(Galloway and Fenster, 2000)</w:t>
      </w:r>
      <w:r w:rsidRPr="002C5F95">
        <w:fldChar w:fldCharType="end"/>
      </w:r>
      <w:r w:rsidR="006E6E03">
        <w:t>. M</w:t>
      </w:r>
      <w:r w:rsidRPr="002C5F95">
        <w:t>eta-analys</w:t>
      </w:r>
      <w:r w:rsidR="006E6E03">
        <w:t>e</w:t>
      </w:r>
      <w:r w:rsidRPr="002C5F95">
        <w:t xml:space="preserve">s of studies suggests that this is not the case </w:t>
      </w:r>
      <w:r w:rsidRPr="002C5F95">
        <w:fldChar w:fldCharType="begin" w:fldLock="1"/>
      </w:r>
      <w:r w:rsidR="007C2FF9">
        <w:instrText>ADDIN CSL_CITATION { "citationItems" : [ { "id" : "ITEM-1", "itemData" : { "DOI" : "10.1371/journal.pone.0004010", "ISSN" : "1932-6203", "PMID" : "19104660", "abstract" : "Local adaptation is of fundamental importance in evolutionary, population, conservation, and global-change biology. The generality of local adaptation in plants and whether and how it is influenced by specific species, population and habitat characteristics have, however, not been quantitatively reviewed. Therefore, we examined published data on the outcomes of reciprocal transplant experiments using two approaches. We conducted a meta-analysis to compare the performance of local and foreign plants at all transplant sites. In addition, we analysed frequencies of pairs of plant origin to examine whether local plants perform better than foreign plants at both compared transplant sites. In both approaches, we also examined the effects of population size, and of the habitat and species characteristics that are predicted to affect local adaptation. We show that, overall, local plants performed significantly better than foreign plants at their site of origin: this was found to be the case in 71.0% of the studied sites. However, local plants performed better than foreign plants at both sites of a pair-wise comparison (strict definition of local adaption) only in 45.3% of the 1032 compared population pairs. Furthermore, we found local adaptation much more common for large plant populations (&gt;1000 flowering individuals) than for small populations (&lt;1000 flowering individuals) for which local adaptation was very rare. The degree of local adaptation was independent of plant life history, spatial or temporal habitat heterogeneity, and geographic scale. Our results suggest that local adaptation is less common in plant populations than generally assumed. Moreover, our findings reinforce the fundamental importance of population size for evolutionary theory. The clear role of population size for the ability to evolve local adaptation raises considerable doubt on the ability of small plant populations to cope with changing environments.", "author" : [ { "dropping-particle" : "", "family" : "Leimu", "given" : "Roosa", "non-dropping-particle" : "", "parse-names" : false, "suffix" : "" }, { "dropping-particle" : "", "family" : "Fischer", "given" : "Markus", "non-dropping-particle" : "", "parse-names" : false, "suffix" : "" } ], "container-title" : "PloS one", "id" : "ITEM-1", "issue" : "12", "issued" : { "date-parts" : [ [ "2008", "1" ] ] }, "page" : "e4010", "title" : "A meta-analysis of local adaptation in plants.", "type" : "article-journal", "volume" : "3" }, "uris" : [ "http://www.mendeley.com/documents/?uuid=4a305ac3-749a-4311-b28f-8a6a2f41b41e" ] } ], "mendeley" : { "formattedCitation" : "(Leimu and Fischer, 2008)", "plainTextFormattedCitation" : "(Leimu and Fischer, 2008)", "previouslyFormattedCitation" : "(Leimu and Fischer, 2008)" }, "properties" : { "noteIndex" : 0 }, "schema" : "https://github.com/citation-style-language/schema/raw/master/csl-citation.json" }</w:instrText>
      </w:r>
      <w:r w:rsidRPr="002C5F95">
        <w:fldChar w:fldCharType="separate"/>
      </w:r>
      <w:r w:rsidR="00134C22" w:rsidRPr="00134C22">
        <w:rPr>
          <w:noProof/>
        </w:rPr>
        <w:t>(Leimu and Fischer, 2008)</w:t>
      </w:r>
      <w:r w:rsidRPr="002C5F95">
        <w:fldChar w:fldCharType="end"/>
      </w:r>
      <w:r w:rsidRPr="002C5F95">
        <w:t xml:space="preserve">. </w:t>
      </w:r>
    </w:p>
    <w:p w14:paraId="6E3F9763" w14:textId="6FDE2B5A" w:rsidR="0052730F" w:rsidRDefault="006E6E03" w:rsidP="0052730F">
      <w:pPr>
        <w:pStyle w:val="BodyJB"/>
      </w:pPr>
      <w:r>
        <w:t>The work presented in</w:t>
      </w:r>
      <w:r w:rsidR="0052730F" w:rsidRPr="002C5F95">
        <w:t xml:space="preserve"> study </w:t>
      </w:r>
      <w:r>
        <w:t>suggests</w:t>
      </w:r>
      <w:r w:rsidR="0052730F" w:rsidRPr="002C5F95">
        <w:t xml:space="preserve"> that plant metabolism is not adapted to smaller scale</w:t>
      </w:r>
      <w:r>
        <w:t>,</w:t>
      </w:r>
      <w:r w:rsidR="0052730F" w:rsidRPr="002C5F95">
        <w:t xml:space="preserve"> within-site</w:t>
      </w:r>
      <w:r>
        <w:t>,</w:t>
      </w:r>
      <w:r w:rsidR="0052730F" w:rsidRPr="002C5F95">
        <w:t xml:space="preserve"> </w:t>
      </w:r>
      <w:r w:rsidR="00074967">
        <w:t xml:space="preserve">environmental </w:t>
      </w:r>
      <w:r w:rsidR="0052730F" w:rsidRPr="002C5F95">
        <w:t>conditions associated with dune topography</w:t>
      </w:r>
      <w:r>
        <w:t>. I</w:t>
      </w:r>
      <w:r w:rsidR="0052730F" w:rsidRPr="002C5F95">
        <w:t xml:space="preserve">nstead metabolism becomes more distinct between plants at much larger spatial scales. The approach presented here provides one of only a few examples in the literature of the employment of environmental metabolomic analysis to discern biological variation in field grown populations. </w:t>
      </w:r>
    </w:p>
    <w:p w14:paraId="189F991E" w14:textId="77777777" w:rsidR="0052730F" w:rsidRPr="002C5F95" w:rsidRDefault="0052730F" w:rsidP="0052730F">
      <w:pPr>
        <w:pStyle w:val="BodyJB"/>
      </w:pPr>
    </w:p>
    <w:p w14:paraId="3DC1D9F5" w14:textId="77777777" w:rsidR="0052730F" w:rsidRPr="009C1C83" w:rsidRDefault="0052730F" w:rsidP="00B66E45">
      <w:pPr>
        <w:pStyle w:val="subheadingMINOR"/>
      </w:pPr>
      <w:bookmarkStart w:id="97" w:name="_Toc291410102"/>
      <w:r w:rsidRPr="009C1C83">
        <w:t>Local variation in metabolism</w:t>
      </w:r>
      <w:bookmarkEnd w:id="97"/>
    </w:p>
    <w:p w14:paraId="50D35F79" w14:textId="5E4F452E" w:rsidR="0052730F" w:rsidRPr="002C5F95" w:rsidRDefault="0052730F" w:rsidP="00B66E45">
      <w:pPr>
        <w:pStyle w:val="BodyJB"/>
        <w:ind w:firstLine="720"/>
      </w:pPr>
      <w:r w:rsidRPr="002C5F95">
        <w:t>Metabolite fingerprint analysis of plants growing in different topographical areas within each site indicated little metabolic variation between flat, north-facing and south-facing plots (Fig. 6.</w:t>
      </w:r>
      <w:r>
        <w:t>5</w:t>
      </w:r>
      <w:r w:rsidRPr="002C5F95">
        <w:t xml:space="preserve">). At smaller spatial scales patterns of trait plasticity and adaptive evolution are driven by factors such as soil conditions </w:t>
      </w:r>
      <w:r w:rsidRPr="002C5F95">
        <w:fldChar w:fldCharType="begin" w:fldLock="1"/>
      </w:r>
      <w:r w:rsidR="007C2FF9">
        <w:instrText>ADDIN CSL_CITATION { "citationItems" : [ { "id" : "ITEM-1", "itemData" : { "ISSN" : "0012-9658", "PMID" : "19739374", "abstract" : "Plant distributions are in part determined by environmental heterogeneity on both large (landscape) and small (several meters) spatial scales. Plant populations can respond to environmental heterogeneity via genetic differentiation between large distinct patches, and via phenotypic plasticity in response to heterogeneity occurring at small scales relative to dispersal distance. As a result, the level of environmental heterogeneity experienced across generations, as determined by seed dispersal distance, may itself be under selection. Selection could act to increase or decrease seed dispersal distance, depending on patterns of heterogeneity in environmental quality with distance from a maternal home site. Serpentine soils, which impose harsh and variable abiotic stress on non-adapted plants, have been partially invaded by Erodium cicutarium in northern California, USA. Using nearby grassland sites characterized as either serpentine or non-serpentine, we collected seeds from dense patches of E. cicutarium on both soil types in spring 2004 and subsequently dispersed those seeds to one of four distances from their maternal home site (0, 0.5, 1, or 10 m). We examined distance-dependent patterns of variation in offspring lifetime fitness, conspecific density, soil availability, soil water content, and aboveground grass and forb biomass. ANOVA revealed a distinct fitness peak when seeds were dispersed 0.5 m from their maternal home site on serpentine patches. In non-serpentine patches, fitness was reduced only for seeds placed back into the maternal home site. Conspecific density was uniformly high within 1 m of a maternal home site on both soils, whereas soil water content and grass biomass were significantly heterogeneous among dispersal distances only on serpentine soils. Structural equation modeling and multigroup analysis revealed significantly stronger direct and indirect effects linking abiotic and biotic variation to offspring performance on serpentine soils than on non-serpentine soils, indicating the potential for soil-specific selection on seed dispersal distance in this invasive species.", "author" : [ { "dropping-particle" : "", "family" : "Baythavong", "given" : "Brooke S", "non-dropping-particle" : "", "parse-names" : false, "suffix" : "" }, { "dropping-particle" : "", "family" : "Stanton", "given" : "Maureen L", "non-dropping-particle" : "", "parse-names" : false, "suffix" : "" }, { "dropping-particle" : "", "family" : "Rice", "given" : "Kevin J", "non-dropping-particle" : "", "parse-names" : false, "suffix" : "" } ], "container-title" : "Ecology", "id" : "ITEM-1", "issue" : "8", "issued" : { "date-parts" : [ [ "2009", "8" ] ] }, "page" : "2118-28", "title" : "Understanding the consequences of seed dispersal in a heterogeneous environment.", "type" : "article-journal", "volume" : "90" }, "uris" : [ "http://www.mendeley.com/documents/?uuid=4334df10-11d0-467a-86cd-fefa361adf3e" ] }, { "id" : "ITEM-2", "itemData" : { "DOI" : "10.1093/jxb/eri280", "ISSN" : "0022-0957", "PMID" : "16172138", "abstract" : "Soil nutrients are distributed in a non-uniform or 'patchy' manner. It is well established that the modular nature of root systems allows them to show both morphological and/or physiological plasticity upon encountering nutrient-rich patches. These plastic responses are widely believed to be foraging mechanisms by the plant to enhance nutrient resource capture. Although morphological plasticity has traditionally been viewed as the more expensive option as it requires new root construction, more recent evidence suggests this may not necessarily be the case. Moreover, plants may be able to recapture most of the initial outlay involved in new root construction, again lowering the overall cost to the plant. Under natural conditions the roots of most plant species have an additional nutrient acquisition mechanism namely mycorrhizal symbiosis. However, the impact of these important symbiotic associations upon the host plant's response to nutrient patches has received relatively little attention. The mycorrhizal fungal symbiont should, in theory, be better able to compete directly with the rest of the microbial community for the nutrients in the patch. This could potentially be important to the host plant, as generally, root proliferation responses are more important for interspecific plant, than plant-microbial, competition.", "author" : [ { "dropping-particle" : "", "family" : "Hodge", "given" : "a", "non-dropping-particle" : "", "parse-names" : false, "suffix" : "" } ], "container-title" : "Journal of experimental botany", "id" : "ITEM-2", "issue" : "2", "issued" : { "date-parts" : [ [ "2006", "1" ] ] }, "page" : "401-11", "title" : "Plastic plants and patchy soils.", "type" : "article-journal", "volume" : "57" }, "uris" : [ "http://www.mendeley.com/documents/?uuid=383e3f00-2352-4ac2-a4f1-2d4712db7cec", "http://www.mendeley.com/documents/?uuid=016df0b5-fa76-46d0-aed7-1699ae17d5fb" ] } ], "mendeley" : { "formattedCitation" : "(Hodge, 2006; Baythavong et al., 2009)", "plainTextFormattedCitation" : "(Hodge, 2006; Baythavong et al., 2009)", "previouslyFormattedCitation" : "(Hodge, 2006; Baythavong et al., 2009)" }, "properties" : { "noteIndex" : 0 }, "schema" : "https://github.com/citation-style-language/schema/raw/master/csl-citation.json" }</w:instrText>
      </w:r>
      <w:r w:rsidRPr="002C5F95">
        <w:fldChar w:fldCharType="separate"/>
      </w:r>
      <w:r w:rsidRPr="009055D1">
        <w:rPr>
          <w:noProof/>
        </w:rPr>
        <w:t xml:space="preserve">(Hodge, 2006; Baythavong </w:t>
      </w:r>
      <w:r w:rsidRPr="009055D1">
        <w:rPr>
          <w:i/>
          <w:noProof/>
        </w:rPr>
        <w:t>et al.</w:t>
      </w:r>
      <w:r w:rsidRPr="009055D1">
        <w:rPr>
          <w:noProof/>
        </w:rPr>
        <w:t>, 2009)</w:t>
      </w:r>
      <w:r w:rsidRPr="002C5F95">
        <w:fldChar w:fldCharType="end"/>
      </w:r>
      <w:r w:rsidRPr="002C5F95">
        <w:t xml:space="preserve">, competition, parasites and herbivores </w:t>
      </w:r>
      <w:r w:rsidRPr="002C5F95">
        <w:fldChar w:fldCharType="begin" w:fldLock="1"/>
      </w:r>
      <w:r w:rsidR="007C2FF9">
        <w:instrText>ADDIN CSL_CITATION { "citationItems" : [ { "id" : "ITEM-1", "itemData" : { "DOI" : "10.1007/s00442-007-0831-y", "ISSN" : "0029-8549", "PMID" : "17704951", "abstract" : "Few previous studies have assessed the role of herbivores and the third trophic level in the evolution of local adaptation in plants. The overall objectives of this study were to determine (1) whether local adaptation is present in the ant-defended plant, Chamaecrista fasciculata, and (2) the contribution of ant-plant-herbivore interactions and soil source to such adaptation. We used three C. fasciculata populations and performed both a field and a greenhouse experiment. The first involved reciprocally transplanting C. fasciculata seedlings from each population-source to each site, and subsequently applying one of three treatments to one-third of the seedlings of each population-source at each site: control, reduced ant density and reduced folivory. The greenhouse experiment involved reciprocal transplants of population-sources with soil sources to test for a soil-source effect on flower production and local adaptation to soil conditions. Field results showed that ant and herbivore treatments reduced ant density (increasing folivory) and herbivore damage relative to controls, respectively; however, these manipulations did not impact C. fasciculata reproduction or the likelihood of survival. In contrast, greenhouse results showed that soil source significantly affected flower production. Overall, plants in both experiments, regardless of population-source, always had higher reproductive output at one specific site. Native populations did not outperform nonnative ones, causing us to reject the hypothesis of local adaptation. The absence of treatment effects on plant reproduction and the likelihood of survival suggest a limited effect of ants and folivores on C. fasciculata fitness and local adaptation during the study year. Temporally inconsistent effects of biotic forces across years, coupled with the young age of populations, relative proximity of populations and possible counter effects of seed predators may reduce the likelihood of local adaptation in the populations studied.", "author" : [ { "dropping-particle" : "", "family" : "Abdala-Roberts", "given" : "Luis", "non-dropping-particle" : "", "parse-names" : false, "suffix" : "" }, { "dropping-particle" : "", "family" : "Marquis", "given" : "Robert J", "non-dropping-particle" : "", "parse-names" : false, "suffix" : "" } ], "container-title" : "Oecologia", "id" : "ITEM-1", "issue" : "2", "issued" : { "date-parts" : [ [ "2007", "11" ] ] }, "page" : "315-26", "title" : "Test of local adaptation to biotic interactions and soil abiotic conditions in the ant-tended Chamaecrista fasciculata (Fabaceae).", "type" : "article-journal", "volume" : "154" }, "uris" : [ "http://www.mendeley.com/documents/?uuid=7f7106fe-f6c4-4040-bcef-55eaf9ec6fc3", "http://www.mendeley.com/documents/?uuid=dcce61ad-cb68-44bc-9605-62f020fd1986" ] }, { "id" : "ITEM-2", "itemData" : { "DOI" : "10.1146/annurev.ecolsys.27.1.237", "ISSN" : "0066-4162", "author" : [ { "dropping-particle" : "", "family" : "Linhart", "given" : "Yan B.", "non-dropping-particle" : "", "parse-names" : false, "suffix" : "" }, { "dropping-particle" : "", "family" : "Grant", "given" : "Michael C.", "non-dropping-particle" : "", "parse-names" : false, "suffix" : "" } ], "container-title" : "Annual Review of Ecology and Systematics", "id" : "ITEM-2", "issue" : "1", "issued" : { "date-parts" : [ [ "1996", "11" ] ] }, "page" : "237-277", "title" : "Evolutionary Significance of Local Genetic Differentiation in Plants", "type" : "article-journal", "volume" : "27" }, "uris" : [ "http://www.mendeley.com/documents/?uuid=67e62024-dff4-4176-8e82-d66572c24260" ] } ], "mendeley" : { "formattedCitation" : "(Linhart and Grant, 1996b; Abdala-Roberts and Marquis, 2007)", "plainTextFormattedCitation" : "(Linhart and Grant, 1996b; Abdala-Roberts and Marquis, 2007)", "previouslyFormattedCitation" : "(Linhart and Grant, 1996b; Abdala-Roberts and Marquis, 2007)" }, "properties" : { "noteIndex" : 0 }, "schema" : "https://github.com/citation-style-language/schema/raw/master/csl-citation.json" }</w:instrText>
      </w:r>
      <w:r w:rsidRPr="002C5F95">
        <w:fldChar w:fldCharType="separate"/>
      </w:r>
      <w:r w:rsidR="00134C22" w:rsidRPr="00134C22">
        <w:rPr>
          <w:noProof/>
        </w:rPr>
        <w:t>(Linhart and Grant, 1996b; Abdala-Roberts and Marquis, 2007)</w:t>
      </w:r>
      <w:r w:rsidRPr="002C5F95">
        <w:fldChar w:fldCharType="end"/>
      </w:r>
      <w:r w:rsidRPr="002C5F95">
        <w:t xml:space="preserve">. It has been reported that factors such as wind and soil texture vary across sand dune sites at the local level, and that these can lead to variation in plant community dynamics </w:t>
      </w:r>
      <w:r w:rsidRPr="002C5F95">
        <w:fldChar w:fldCharType="begin" w:fldLock="1"/>
      </w:r>
      <w:r w:rsidR="007C2FF9">
        <w:instrText>ADDIN CSL_CITATION { "citationItems" : [ { "id" : "ITEM-1", "itemData" : { "DOI" : "10.1111/j.1365-2745.2007.01231.x", "ISSN" : "0022-0477", "author" : [ { "dropping-particle" : "", "family" : "Lortie", "given" : "Christopher J.", "non-dropping-particle" : "", "parse-names" : false, "suffix" : "" }, { "dropping-particle" : "", "family" : "Cushman", "given" : "J. Hall", "non-dropping-particle" : "", "parse-names" : false, "suffix" : "" } ], "container-title" : "Journal of Ecology", "id" : "ITEM-1", "issue" : "3", "issued" : { "date-parts" : [ [ "2007", "5" ] ] }, "page" : "468-481", "title" : "Effects of a directional abiotic gradient on plant community dynamics and invasion in a coastal dune system", "type" : "article-journal", "volume" : "95" }, "uris" : [ "http://www.mendeley.com/documents/?uuid=40f75837-c9cd-419f-a2d3-7942a23dc83d" ] } ], "mendeley" : { "formattedCitation" : "(Lortie and Cushman, 2007)", "plainTextFormattedCitation" : "(Lortie and Cushman, 2007)", "previouslyFormattedCitation" : "(Lortie and Cushman, 2007)" }, "properties" : { "noteIndex" : 0 }, "schema" : "https://github.com/citation-style-language/schema/raw/master/csl-citation.json" }</w:instrText>
      </w:r>
      <w:r w:rsidRPr="002C5F95">
        <w:fldChar w:fldCharType="separate"/>
      </w:r>
      <w:r w:rsidR="00134C22" w:rsidRPr="00134C22">
        <w:rPr>
          <w:noProof/>
        </w:rPr>
        <w:t>(Lortie and Cushman, 2007)</w:t>
      </w:r>
      <w:r w:rsidRPr="002C5F95">
        <w:fldChar w:fldCharType="end"/>
      </w:r>
      <w:r w:rsidRPr="002C5F95">
        <w:t xml:space="preserve">. Plants are also known to respond to factors such as these at the metabolic level, the variety of metabolite alterations have been comprehensively summarized in review papers such as </w:t>
      </w:r>
      <w:r w:rsidR="00074967">
        <w:fldChar w:fldCharType="begin" w:fldLock="1"/>
      </w:r>
      <w:r w:rsidR="00074967">
        <w:instrText>ADDIN CSL_CITATION { "citationItems" : [ { "id" : "ITEM-1", "itemData" : { "DOI" : "10.2478/v10216-011-0012-0", "ISSN" : "1898-6196", "author" : [ { "dropping-particle" : "", "family" : "Kr\u00e1\u013eov\u00e1", "given" : "Katar\u00edna", "non-dropping-particle" : "", "parse-names" : false, "suffix" : "" }, { "dropping-particle" : "", "family" : "Jamp\u00edlek", "given" : "Josef", "non-dropping-particle" : "", "parse-names" : false, "suffix" : "" }, { "dropping-particle" : "", "family" : "Ostrovsk\u00fd", "given" : "Ivan", "non-dropping-particle" : "", "parse-names" : false, "suffix" : "" } ], "container-title" : "Ecological Chemistry and Engineering S", "id" : "ITEM-1", "issue" : "2", "issued" : { "date-parts" : [ [ "2012", "1", "1" ] ] }, "page" : "133-161", "title" : "Metabolomics - Useful Tool for Study of Plant Responses to Abiotic Stresses", "type" : "article-journal", "volume" : "19" }, "uris" : [ "http://www.mendeley.com/documents/?uuid=b2f4eddd-1546-49f8-a548-f2b95b2f7615" ] }, { "id" : "ITEM-2", "itemData" : { "DOI" : "10.1007/s00049-011-0083-5", "ISSN" : "0937-7409", "author" : [ { "dropping-particle" : "", "family" : "Sardans", "given" : "Jordi", "non-dropping-particle" : "", "parse-names" : false, "suffix" : "" }, { "dropping-particle" : "", "family" : "Pe\u00f1uelas", "given" : "Josep", "non-dropping-particle" : "", "parse-names" : false, "suffix" : "" }, { "dropping-particle" : "", "family" : "Rivas-Ubach", "given" : "Albert", "non-dropping-particle" : "", "parse-names" : false, "suffix" : "" } ], "container-title" : "Chemoecology", "id" : "ITEM-2", "issue" : "4", "issued" : { "date-parts" : [ [ "2011", "6", "23" ] ] }, "page" : "191-225", "title" : "Ecological metabolomics: overview of current developments and future challenges", "type" : "article-journal", "volume" : "21" }, "uris" : [ "http://www.mendeley.com/documents/?uuid=4ba99fb3-df75-4a4e-a48b-c97bf787bd24" ] } ], "mendeley" : { "formattedCitation" : "(Sardans et al., 2011; Kr\u00e1\u013eov\u00e1 et al., 2012)", "plainTextFormattedCitation" : "(Sardans et al., 2011; Kr\u00e1\u013eov\u00e1 et al., 2012)", "previouslyFormattedCitation" : "(Sardans et al., 2011; Kr\u00e1\u013eov\u00e1 et al., 2012)" }, "properties" : { "noteIndex" : 0 }, "schema" : "https://github.com/citation-style-language/schema/raw/master/csl-citation.json" }</w:instrText>
      </w:r>
      <w:r w:rsidR="00074967">
        <w:fldChar w:fldCharType="separate"/>
      </w:r>
      <w:r w:rsidR="00074967" w:rsidRPr="00074967">
        <w:rPr>
          <w:rFonts w:hint="eastAsia"/>
          <w:noProof/>
        </w:rPr>
        <w:t>(Sardans et al., 2011; Kráľová et al., 2012)</w:t>
      </w:r>
      <w:r w:rsidR="00074967">
        <w:fldChar w:fldCharType="end"/>
      </w:r>
    </w:p>
    <w:p w14:paraId="58028C22" w14:textId="30164441" w:rsidR="0052730F" w:rsidRPr="002C5F95" w:rsidRDefault="0052730F" w:rsidP="0052730F">
      <w:pPr>
        <w:pStyle w:val="BodyJB"/>
      </w:pPr>
      <w:r w:rsidRPr="002C5F95">
        <w:tab/>
        <w:t>Grey dune systems can be typified by explicit microrelief that causes fine-scale variability in microclimate and edaphic factors</w:t>
      </w:r>
      <w:r w:rsidR="00074967">
        <w:t xml:space="preserve"> </w:t>
      </w:r>
      <w:r w:rsidR="00074967">
        <w:fldChar w:fldCharType="begin" w:fldLock="1"/>
      </w:r>
      <w:r w:rsidR="00353510">
        <w:instrText>ADDIN CSL_CITATION { "citationItems" : [ { "id" : "ITEM-1", "itemData" : { "DOI" : "10.1652/1400-0350(2004)010[0033:EMAMOG]2.0.CO;2", "ISSN" : "1400-0350", "author" : [ { "dropping-particle" : "", "family" : "Provoost", "given" : "Sam", "non-dropping-particle" : "", "parse-names" : false, "suffix" : "" }, { "dropping-particle" : "", "family" : "Ampe", "given" : "Carole", "non-dropping-particle" : "", "parse-names" : false, "suffix" : "" }, { "dropping-particle" : "", "family" : "Bonte", "given" : "Dries", "non-dropping-particle" : "", "parse-names" : false, "suffix" : "" }, { "dropping-particle" : "", "family" : "Cosyns", "given" : "Eric", "non-dropping-particle" : "", "parse-names" : false, "suffix" : "" }, { "dropping-particle" : "", "family" : "Hoffmann", "given" : "Maurice", "non-dropping-particle" : "", "parse-names" : false, "suffix" : "" } ], "container-title" : "Journal of Coastal Conservation", "id" : "ITEM-1", "issue" : "1", "issued" : { "date-parts" : [ [ "2004" ] ] }, "page" : "33", "title" : "Ecology, management and monitoring of grey dunes in Flanders", "type" : "article-journal", "volume" : "10" }, "uris" : [ "http://www.mendeley.com/documents/?uuid=d03568bb-0261-4a13-aeab-7e97e49dc0ca" ] } ], "mendeley" : { "formattedCitation" : "(Provoost et al., 2004a)", "manualFormatting" : "(Provoost et al., 2004)", "plainTextFormattedCitation" : "(Provoost et al., 2004a)", "previouslyFormattedCitation" : "(Provoost et al., 2004a)" }, "properties" : { "noteIndex" : 0 }, "schema" : "https://github.com/citation-style-language/schema/raw/master/csl-citation.json" }</w:instrText>
      </w:r>
      <w:r w:rsidR="00074967">
        <w:fldChar w:fldCharType="separate"/>
      </w:r>
      <w:r w:rsidR="00074967">
        <w:rPr>
          <w:noProof/>
        </w:rPr>
        <w:t>(Provoost et al., 2004</w:t>
      </w:r>
      <w:r w:rsidR="00074967" w:rsidRPr="00074967">
        <w:rPr>
          <w:noProof/>
        </w:rPr>
        <w:t>)</w:t>
      </w:r>
      <w:r w:rsidR="00074967">
        <w:fldChar w:fldCharType="end"/>
      </w:r>
      <w:r w:rsidRPr="002C5F95">
        <w:t xml:space="preserve">. Dune hummocks for example, create a diverse topography and microclimates, shading plants growing in the hollow areas at their base </w:t>
      </w:r>
      <w:r w:rsidRPr="002C5F95">
        <w:fldChar w:fldCharType="begin" w:fldLock="1"/>
      </w:r>
      <w:r w:rsidR="007C2FF9">
        <w:instrText>ADDIN CSL_CITATION { "citationItems" : [ { "id" : "ITEM-1", "itemData" : { "author" : [ { "dropping-particle" : "", "family" : "Gibson", "given" : "DJ", "non-dropping-particle" : "", "parse-names" : false, "suffix" : "" } ], "container-title" : "The Journal of Ecology", "id" : "ITEM-1", "issue" : "2", "issued" : { "date-parts" : [ [ "1988" ] ] }, "page" : "497-508", "title" : "The Maintenance of Plant and Soil Heterogeneity in Dune Grassland", "type" : "article-journal", "volume" : "76" }, "uris" : [ "http://www.mendeley.com/documents/?uuid=2ec76680-38fd-49f3-8347-137f02133130" ] } ], "mendeley" : { "formattedCitation" : "(Gibson, 1988)", "plainTextFormattedCitation" : "(Gibson, 1988)", "previouslyFormattedCitation" : "(Gibson, 1988)" }, "properties" : { "noteIndex" : 0 }, "schema" : "https://github.com/citation-style-language/schema/raw/master/csl-citation.json" }</w:instrText>
      </w:r>
      <w:r w:rsidRPr="002C5F95">
        <w:fldChar w:fldCharType="separate"/>
      </w:r>
      <w:r w:rsidRPr="009055D1">
        <w:rPr>
          <w:noProof/>
        </w:rPr>
        <w:t>(Gibson, 1988)</w:t>
      </w:r>
      <w:r w:rsidRPr="002C5F95">
        <w:fldChar w:fldCharType="end"/>
      </w:r>
      <w:r w:rsidRPr="002C5F95">
        <w:t xml:space="preserve">. These hummocks create a mosaic of different slopes and aspects on which dune annual species may grow. The influence of slope and aspect on plant populations has been reported in a number of systems </w:t>
      </w:r>
      <w:r w:rsidRPr="002C5F95">
        <w:fldChar w:fldCharType="begin" w:fldLock="1"/>
      </w:r>
      <w:r w:rsidR="007C2FF9">
        <w:instrText>ADDIN CSL_CITATION { "citationItems" : [ { "id" : "ITEM-1", "itemData" : { "DOI" : "10.1016/0169-555X(94)90066-3", "ISSN" : "0169555X", "author" : [ { "dropping-particle" : "", "family" : "Sanchez", "given" : "Gerardo", "non-dropping-particle" : "", "parse-names" : false, "suffix" : "" }, { "dropping-particle" : "", "family" : "Puigdefabregas", "given" : "Juan", "non-dropping-particle" : "", "parse-names" : false, "suffix" : "" } ], "container-title" : "Geomorphology", "id" : "ITEM-1", "issue" : "3", "issued" : { "date-parts" : [ [ "1994", "5" ] ] }, "page" : "243-260", "title" : "Interactions of plant growth and sediment movement on slopes in a semi-arid environment", "type" : "article-journal", "volume" : "9" }, "uris" : [ "http://www.mendeley.com/documents/?uuid=c594041c-1d37-414d-949a-d0dcca566fa8" ] }, { "id" : "ITEM-2", "itemData" : { "DOI" : "10.1046/j.1440-1703.2001.00393.x", "ISSN" : "0912-3814", "author" : [ { "dropping-particle" : "", "family" : "Sternberg", "given" : "Marcelo", "non-dropping-particle" : "", "parse-names" : false, "suffix" : "" }, { "dropping-particle" : "", "family" : "Shoshany", "given" : "Maxim", "non-dropping-particle" : "", "parse-names" : false, "suffix" : "" } ], "container-title" : "Ecological Research", "id" : "ITEM-2", "issue" : "2", "issued" : { "date-parts" : [ [ "2001", "6" ] ] }, "page" : "335-345", "title" : "Influence of slope aspect on Mediterranean woody formations: Comparison of a semiarid and an arid site in Israel", "type" : "article-journal", "volume" : "16" }, "uris" : [ "http://www.mendeley.com/documents/?uuid=50ace18b-e4fd-4c2f-920d-2ca16fba0308" ] }, { "id" : "ITEM-3", "itemData" : { "DOI" : "10.1016/j.ecolmodel.2008.04.010", "ISSN" : "03043800", "author" : [ { "dropping-particle" : "", "family" : "Bennie", "given" : "Jonathan", "non-dropping-particle" : "", "parse-names" : false, "suffix" : "" }, { "dropping-particle" : "", "family" : "Huntley", "given" : "Brian", "non-dropping-particle" : "", "parse-names" : false, "suffix" : "" }, { "dropping-particle" : "", "family" : "Wiltshire", "given" : "Andrew", "non-dropping-particle" : "", "parse-names" : false, "suffix" : "" }, { "dropping-particle" : "", "family" : "Hill", "given" : "Mark O.", "non-dropping-particle" : "", "parse-names" : false, "suffix" : "" }, { "dropping-particle" : "", "family" : "Baxter", "given" : "Robert", "non-dropping-particle" : "", "parse-names" : false, "suffix" : "" } ], "container-title" : "Ecological Modelling", "id" : "ITEM-3", "issue" : "1", "issued" : { "date-parts" : [ [ "2008", "8" ] ] }, "page" : "47-59", "title" : "Slope, aspect and climate: Spatially explicit and implicit models of topographic microclimate in chalk grassland", "type" : "article-journal", "volume" : "216" }, "uris" : [ "http://www.mendeley.com/documents/?uuid=1c149755-5e41-4409-8fac-18775dca7c35" ] }, { "id" : "ITEM-4", "itemData" : { "ISBN" : "0012-9658", "abstract" : "We sampled the understory community in an old-growth, temperate forest to test alternative hypotheses explaining the establishment of exotic plants. We quantified the individual and net importance of distance from areas of human disturbance, native plant diversity, and environmental gradients in determining exotic plant establishment. Distance from disturbed areas, both within and around the reserve, was not correlated to exotic species richness. Numbers of native and exotic species were positively correlated at large (50 m(2)) and small (10 m(2)) plot sizes, a trend that persisted when relationships to environmental gradients were controlled statistically. Both native and exotic species richness increased with soil pH and decreased along a gradient of increasing nitrate availability. Exotic species were restricted to the upper portion of the pH gradient and had individualistic responses to the availability of soil resources. These results are inconsistent with both the diversity-resistance and resource-enrichment hypotheses for invasibility. Environmental conditions favoring native species richness also favor exotic species richness, and competitive interactions with the native flora do not appear to limit the entry of additional species into the understory community at this site. It appears that exotic species with niche requirements poorly represented in the regional flora of native species may establish with relatively little resistance or consequence for native species richness.", "author" : [ { "dropping-particle" : "", "family" : "Gilbert", "given" : "B", "non-dropping-particle" : "", "parse-names" : false, "suffix" : "" }, { "dropping-particle" : "", "family" : "Lechowicz", "given" : "M J", "non-dropping-particle" : "", "parse-names" : false, "suffix" : "" } ], "container-title" : "Ecology", "id" : "ITEM-4", "issue" : "7", "issued" : { "date-parts" : [ [ "2005" ] ] }, "language" : "English", "page" : "1848-1855", "title" : "Invasibility and abiotic gradients: The positive correlation between native and exotic plant diversity", "type" : "article-journal", "volume" : "86" }, "uris" : [ "http://www.mendeley.com/documents/?uuid=eb3f1278-5932-4a21-8f1b-140df80d9773" ] } ], "mendeley" : { "formattedCitation" : "(Sanchez and Puigdefabregas, 1994; Sternberg and Shoshany, 2001; Gilbert and Lechowicz, 2005; Bennie et al., 2008)", "plainTextFormattedCitation" : "(Sanchez and Puigdefabregas, 1994; Sternberg and Shoshany, 2001; Gilbert and Lechowicz, 2005; Bennie et al., 2008)", "previouslyFormattedCitation" : "(Sanchez and Puigdefabregas, 1994; Sternberg and Shoshany, 2001; Gilbert and Lechowicz, 2005; Bennie et al., 2008)" }, "properties" : { "noteIndex" : 0 }, "schema" : "https://github.com/citation-style-language/schema/raw/master/csl-citation.json" }</w:instrText>
      </w:r>
      <w:r w:rsidRPr="002C5F95">
        <w:fldChar w:fldCharType="separate"/>
      </w:r>
      <w:r w:rsidR="00134C22" w:rsidRPr="00134C22">
        <w:rPr>
          <w:noProof/>
        </w:rPr>
        <w:t>(Sanchez and Puigdefabregas, 1994; Sternberg and Shoshany, 2001; Gilbert and Lechowicz, 2005; Bennie et al., 2008)</w:t>
      </w:r>
      <w:r w:rsidRPr="002C5F95">
        <w:fldChar w:fldCharType="end"/>
      </w:r>
      <w:r w:rsidRPr="002C5F95">
        <w:t xml:space="preserve">. Typically south-facing slopes receive higher solar radiation which in turn affects temperature, soil moisture, nutrients and soil aggregation, while north-facing slopes generally receive lower solar radiation resulting in lower daily maximal temperatures and lower evapotranspiration rates </w:t>
      </w:r>
      <w:r w:rsidRPr="002C5F95">
        <w:fldChar w:fldCharType="begin" w:fldLock="1"/>
      </w:r>
      <w:r w:rsidR="007C2FF9">
        <w:instrText>ADDIN CSL_CITATION { "citationItems" : [ { "id" : "ITEM-1", "itemData" : { "DOI" : "10.1046/j.1440-1703.2001.00393.x", "ISSN" : "0912-3814", "author" : [ { "dropping-particle" : "", "family" : "Sternberg", "given" : "Marcelo", "non-dropping-particle" : "", "parse-names" : false, "suffix" : "" }, { "dropping-particle" : "", "family" : "Shoshany", "given" : "Maxim", "non-dropping-particle" : "", "parse-names" : false, "suffix" : "" } ], "container-title" : "Ecological Research", "id" : "ITEM-1", "issue" : "2", "issued" : { "date-parts" : [ [ "2001", "6" ] ] }, "page" : "335-345", "title" : "Influence of slope aspect on Mediterranean woody formations: Comparison of a semiarid and an arid site in Israel", "type" : "article-journal", "volume" : "16" }, "uris" : [ "http://www.mendeley.com/documents/?uuid=50ace18b-e4fd-4c2f-920d-2ca16fba0308" ] }, { "id" : "ITEM-2", "itemData" : { "DOI" : "10.1016/j.ecolmodel.2008.04.010", "ISSN" : "03043800", "author" : [ { "dropping-particle" : "", "family" : "Bennie", "given" : "Jonathan", "non-dropping-particle" : "", "parse-names" : false, "suffix" : "" }, { "dropping-particle" : "", "family" : "Huntley", "given" : "Brian", "non-dropping-particle" : "", "parse-names" : false, "suffix" : "" }, { "dropping-particle" : "", "family" : "Wiltshire", "given" : "Andrew", "non-dropping-particle" : "", "parse-names" : false, "suffix" : "" }, { "dropping-particle" : "", "family" : "Hill", "given" : "Mark O.", "non-dropping-particle" : "", "parse-names" : false, "suffix" : "" }, { "dropping-particle" : "", "family" : "Baxter", "given" : "Robert", "non-dropping-particle" : "", "parse-names" : false, "suffix" : "" } ], "container-title" : "Ecological Modelling", "id" : "ITEM-2", "issue" : "1", "issued" : { "date-parts" : [ [ "2008", "8" ] ] }, "page" : "47-59", "title" : "Slope, aspect and climate: Spatially explicit and implicit models of topographic microclimate in chalk grassland", "type" : "article-journal", "volume" : "216" }, "uris" : [ "http://www.mendeley.com/documents/?uuid=1c149755-5e41-4409-8fac-18775dca7c35" ] } ], "mendeley" : { "formattedCitation" : "(Sternberg and Shoshany, 2001; Bennie et al., 2008)", "plainTextFormattedCitation" : "(Sternberg and Shoshany, 2001; Bennie et al., 2008)", "previouslyFormattedCitation" : "(Sternberg and Shoshany, 2001; Bennie et al., 2008)" }, "properties" : { "noteIndex" : 0 }, "schema" : "https://github.com/citation-style-language/schema/raw/master/csl-citation.json" }</w:instrText>
      </w:r>
      <w:r w:rsidRPr="002C5F95">
        <w:fldChar w:fldCharType="separate"/>
      </w:r>
      <w:r w:rsidR="00134C22" w:rsidRPr="00134C22">
        <w:rPr>
          <w:noProof/>
        </w:rPr>
        <w:t>(Sternberg and Shoshany, 2001; Bennie et al., 2008)</w:t>
      </w:r>
      <w:r w:rsidRPr="002C5F95">
        <w:fldChar w:fldCharType="end"/>
      </w:r>
      <w:r w:rsidRPr="002C5F95">
        <w:t xml:space="preserve">. Impacts of slope variation include susceptibility to herbivores </w:t>
      </w:r>
      <w:r w:rsidRPr="002C5F95">
        <w:fldChar w:fldCharType="begin" w:fldLock="1"/>
      </w:r>
      <w:r w:rsidR="007C2FF9">
        <w:instrText>ADDIN CSL_CITATION { "citationItems" : [ { "id" : "ITEM-1", "itemData" : { "DOI" : "10.1016/S0140-1963(02)00281-1", "ISBN" : "9724983889", "ISSN" : "01401963", "author" : [ { "dropping-particle" : "", "family" : "Auslander", "given" : "M.", "non-dropping-particle" : "", "parse-names" : false, "suffix" : "" }, { "dropping-particle" : "", "family" : "Nevo", "given" : "E.", "non-dropping-particle" : "", "parse-names" : false, "suffix" : "" }, { "dropping-particle" : "", "family" : "Inbar", "given" : "M.", "non-dropping-particle" : "", "parse-names" : false, "suffix" : "" } ], "container-title" : "Journal of Arid Environments", "id" : "ITEM-1", "issue" : "3", "issued" : { "date-parts" : [ [ "2003", "11" ] ] }, "page" : "405-416", "title" : "The effects of slope orientation on plant growth, developmental instability and susceptibility to herbivores", "type" : "article-journal", "volume" : "55" }, "uris" : [ "http://www.mendeley.com/documents/?uuid=9e33f83f-46db-4ca4-951f-c7541ffd096b" ] } ], "mendeley" : { "formattedCitation" : "(Auslander et al., 2003)", "plainTextFormattedCitation" : "(Auslander et al., 2003)", "previouslyFormattedCitation" : "(Auslander et al., 2003)" }, "properties" : { "noteIndex" : 0 }, "schema" : "https://github.com/citation-style-language/schema/raw/master/csl-citation.json" }</w:instrText>
      </w:r>
      <w:r w:rsidRPr="002C5F95">
        <w:fldChar w:fldCharType="separate"/>
      </w:r>
      <w:r w:rsidRPr="009055D1">
        <w:rPr>
          <w:noProof/>
        </w:rPr>
        <w:t xml:space="preserve">(Auslander </w:t>
      </w:r>
      <w:r w:rsidRPr="009055D1">
        <w:rPr>
          <w:i/>
          <w:noProof/>
        </w:rPr>
        <w:t>et al.</w:t>
      </w:r>
      <w:r w:rsidRPr="009055D1">
        <w:rPr>
          <w:noProof/>
        </w:rPr>
        <w:t>, 2003)</w:t>
      </w:r>
      <w:r w:rsidRPr="002C5F95">
        <w:fldChar w:fldCharType="end"/>
      </w:r>
      <w:r w:rsidRPr="002C5F95">
        <w:t xml:space="preserve">, as well as significant effects on the composition, structure and density of plant communities </w:t>
      </w:r>
      <w:r w:rsidRPr="002C5F95">
        <w:fldChar w:fldCharType="begin" w:fldLock="1"/>
      </w:r>
      <w:r w:rsidR="007C2FF9">
        <w:instrText>ADDIN CSL_CITATION { "citationItems" : [ { "id" : "ITEM-1", "itemData" : { "DOI" : "10.1046/j.1440-1703.2001.00393.x", "ISSN" : "0912-3814", "author" : [ { "dropping-particle" : "", "family" : "Sternberg", "given" : "Marcelo", "non-dropping-particle" : "", "parse-names" : false, "suffix" : "" }, { "dropping-particle" : "", "family" : "Shoshany", "given" : "Maxim", "non-dropping-particle" : "", "parse-names" : false, "suffix" : "" } ], "container-title" : "Ecological Research", "id" : "ITEM-1", "issue" : "2", "issued" : { "date-parts" : [ [ "2001", "6" ] ] }, "page" : "335-345", "title" : "Influence of slope aspect on Mediterranean woody formations: Comparison of a semiarid and an arid site in Israel", "type" : "article-journal", "volume" : "16" }, "uris" : [ "http://www.mendeley.com/documents/?uuid=50ace18b-e4fd-4c2f-920d-2ca16fba0308" ] }, { "id" : "ITEM-2", "itemData" : { "author" : [ { "dropping-particle" : "", "family" : "Kutiel", "given" : "P", "non-dropping-particle" : "", "parse-names" : false, "suffix" : "" }, { "dropping-particle" : "", "family" : "Lavee", "given" : "H", "non-dropping-particle" : "", "parse-names" : false, "suffix" : "" } ], "container-title" : "Israel Journal of Plant Sciences", "id" : "ITEM-2", "issued" : { "date-parts" : [ [ "1999" ] ] }, "page" : "169-178", "title" : "Effect of slope aspect on soil and vegetation properties along an aridity transect.", "type" : "article-journal", "volume" : "47" }, "uris" : [ "http://www.mendeley.com/documents/?uuid=008cebb0-3464-4603-8e28-93d04633cf41" ] } ], "mendeley" : { "formattedCitation" : "(Kutiel and Lavee, 1999; Sternberg and Shoshany, 2001)", "plainTextFormattedCitation" : "(Kutiel and Lavee, 1999; Sternberg and Shoshany, 2001)", "previouslyFormattedCitation" : "(Kutiel and Lavee, 1999; Sternberg and Shoshany, 2001)" }, "properties" : { "noteIndex" : 0 }, "schema" : "https://github.com/citation-style-language/schema/raw/master/csl-citation.json" }</w:instrText>
      </w:r>
      <w:r w:rsidRPr="002C5F95">
        <w:fldChar w:fldCharType="separate"/>
      </w:r>
      <w:r w:rsidR="00134C22" w:rsidRPr="00134C22">
        <w:rPr>
          <w:noProof/>
        </w:rPr>
        <w:t>(Kutiel and Lavee, 1999; Sternberg and Shoshany, 2001)</w:t>
      </w:r>
      <w:r w:rsidRPr="002C5F95">
        <w:fldChar w:fldCharType="end"/>
      </w:r>
      <w:r w:rsidRPr="002C5F95">
        <w:t xml:space="preserve">. </w:t>
      </w:r>
    </w:p>
    <w:p w14:paraId="74C6D2C2" w14:textId="2B96DC72" w:rsidR="0052730F" w:rsidRPr="0025149D" w:rsidRDefault="0052730F" w:rsidP="0052730F">
      <w:pPr>
        <w:pStyle w:val="BodyJB"/>
      </w:pPr>
      <w:r w:rsidRPr="002C5F95">
        <w:tab/>
        <w:t>In light of this literature it is surprising that little variation in the metabolism of plants growing o</w:t>
      </w:r>
      <w:r>
        <w:t xml:space="preserve">n different slopes and aspects. Details of the </w:t>
      </w:r>
      <w:r w:rsidRPr="002C5F95">
        <w:t xml:space="preserve">precise environmental differences </w:t>
      </w:r>
      <w:r>
        <w:t xml:space="preserve">between slopes is lacking in this study. Since the dune habitat is typified by harsh environmental conditions, variation caused by topography may not elicit responses if it falls within the limits of stress that the plant can acclimate to. Environmental variation between slopes was inferred due to observations that abundance of annual species decreased on south-facing slopes. However, analysis indicates that unlike other dune annuals, the abundance of </w:t>
      </w:r>
      <w:r w:rsidRPr="00D742E5">
        <w:rPr>
          <w:i/>
        </w:rPr>
        <w:t>E. cicutarium</w:t>
      </w:r>
      <w:r>
        <w:t xml:space="preserve"> is not dependent on aspect (Fig. 6.1, Table 6.1). It is reasonable to suggest that </w:t>
      </w:r>
      <w:r w:rsidRPr="0025149D">
        <w:rPr>
          <w:i/>
        </w:rPr>
        <w:t>Erodium</w:t>
      </w:r>
      <w:r>
        <w:t xml:space="preserve"> has traits that differ to other dune annuals, allowing it to cope well in a range of environmental conditions. </w:t>
      </w:r>
      <w:r w:rsidR="0086291B">
        <w:t>These traits may, however, may not manifest themselves at the metabolic level</w:t>
      </w:r>
      <w:r w:rsidR="0086291B" w:rsidRPr="00353510">
        <w:rPr>
          <w:i/>
        </w:rPr>
        <w:t>.</w:t>
      </w:r>
      <w:r w:rsidR="00353510">
        <w:t xml:space="preserve"> For example, </w:t>
      </w:r>
      <w:r w:rsidR="00353510" w:rsidRPr="00353510">
        <w:rPr>
          <w:i/>
        </w:rPr>
        <w:t>E. cicutarium</w:t>
      </w:r>
      <w:r w:rsidR="00353510">
        <w:t xml:space="preserve"> produces a taproot, that can reach a length longer than 6cm in some large individuals </w:t>
      </w:r>
      <w:r w:rsidR="00353510">
        <w:fldChar w:fldCharType="begin" w:fldLock="1"/>
      </w:r>
      <w:r w:rsidR="004723CF">
        <w:instrText>ADDIN CSL_CITATION { "citationItems" : [ { "id" : "ITEM-1", "itemData" : { "ISSN" : "0012-9658", "PMID" : "19739374", "abstract" : "Plant distributions are in part determined by environmental heterogeneity on both large (landscape) and small (several meters) spatial scales. Plant populations can respond to environmental heterogeneity via genetic differentiation between large distinct patches, and via phenotypic plasticity in response to heterogeneity occurring at small scales relative to dispersal distance. As a result, the level of environmental heterogeneity experienced across generations, as determined by seed dispersal distance, may itself be under selection. Selection could act to increase or decrease seed dispersal distance, depending on patterns of heterogeneity in environmental quality with distance from a maternal home site. Serpentine soils, which impose harsh and variable abiotic stress on non-adapted plants, have been partially invaded by Erodium cicutarium in northern California, USA. Using nearby grassland sites characterized as either serpentine or non-serpentine, we collected seeds from dense patches of E. cicutarium on both soil types in spring 2004 and subsequently dispersed those seeds to one of four distances from their maternal home site (0, 0.5, 1, or 10 m). We examined distance-dependent patterns of variation in offspring lifetime fitness, conspecific density, soil availability, soil water content, and aboveground grass and forb biomass. ANOVA revealed a distinct fitness peak when seeds were dispersed 0.5 m from their maternal home site on serpentine patches. In non-serpentine patches, fitness was reduced only for seeds placed back into the maternal home site. Conspecific density was uniformly high within 1 m of a maternal home site on both soils, whereas soil water content and grass biomass were significantly heterogeneous among dispersal distances only on serpentine soils. Structural equation modeling and multigroup analysis revealed significantly stronger direct and indirect effects linking abiotic and biotic variation to offspring performance on serpentine soils than on non-serpentine soils, indicating the potential for soil-specific selection on seed dispersal distance in this invasive species.", "author" : [ { "dropping-particle" : "", "family" : "Baythavong", "given" : "Brooke S", "non-dropping-particle" : "", "parse-names" : false, "suffix" : "" }, { "dropping-particle" : "", "family" : "Stanton", "given" : "Maureen L", "non-dropping-particle" : "", "parse-names" : false, "suffix" : "" }, { "dropping-particle" : "", "family" : "Rice", "given" : "Kevin J", "non-dropping-particle" : "", "parse-names" : false, "suffix" : "" } ], "container-title" : "Ecology", "id" : "ITEM-1", "issue" : "8", "issued" : { "date-parts" : [ [ "2009", "8" ] ] }, "page" : "2118-28", "title" : "Understanding the consequences of seed dispersal in a heterogeneous environment.", "type" : "article-journal", "volume" : "90" }, "uris" : [ "http://www.mendeley.com/documents/?uuid=4334df10-11d0-467a-86cd-fefa361adf3e" ] } ], "mendeley" : { "formattedCitation" : "(Baythavong et al., 2009)", "plainTextFormattedCitation" : "(Baythavong et al., 2009)", "previouslyFormattedCitation" : "(Baythavong et al., 2009)" }, "properties" : { "noteIndex" : 0 }, "schema" : "https://github.com/citation-style-language/schema/raw/master/csl-citation.json" }</w:instrText>
      </w:r>
      <w:r w:rsidR="00353510">
        <w:fldChar w:fldCharType="separate"/>
      </w:r>
      <w:r w:rsidR="00353510" w:rsidRPr="00353510">
        <w:rPr>
          <w:noProof/>
        </w:rPr>
        <w:t>(Baythavong et al., 2009)</w:t>
      </w:r>
      <w:r w:rsidR="00353510">
        <w:fldChar w:fldCharType="end"/>
      </w:r>
      <w:r w:rsidR="00353510">
        <w:t xml:space="preserve">. This morphological feature, lacking in other species in this community, may allow this species to survive in theoretically more stressful conditions found on south-facing slopes. </w:t>
      </w:r>
      <w:r w:rsidRPr="002C5F95">
        <w:t xml:space="preserve">Further detailed analysis of the precise environmental differences in factors such as temperature, soil moisture content, soil nutrient status would benefit the understanding of why metabolism appears similar between treatments. </w:t>
      </w:r>
    </w:p>
    <w:p w14:paraId="0A905796" w14:textId="77777777" w:rsidR="0052730F" w:rsidRPr="002C5F95" w:rsidRDefault="0052730F" w:rsidP="0052730F">
      <w:pPr>
        <w:pStyle w:val="BodyJB"/>
        <w:rPr>
          <w:color w:val="FF6600"/>
        </w:rPr>
      </w:pPr>
    </w:p>
    <w:p w14:paraId="5E7CD9C0" w14:textId="77777777" w:rsidR="0052730F" w:rsidRPr="009C1C83" w:rsidRDefault="0052730F" w:rsidP="00B66E45">
      <w:pPr>
        <w:pStyle w:val="subheadingMINOR"/>
      </w:pPr>
      <w:bookmarkStart w:id="98" w:name="_Toc291410103"/>
      <w:r w:rsidRPr="009C1C83">
        <w:t>Landscape-scale metabolic variation</w:t>
      </w:r>
      <w:bookmarkEnd w:id="98"/>
    </w:p>
    <w:p w14:paraId="4C3D3105" w14:textId="6923AB1E" w:rsidR="00352C4C" w:rsidRDefault="0052730F" w:rsidP="00D957AC">
      <w:pPr>
        <w:pStyle w:val="BodyJB"/>
        <w:ind w:firstLine="720"/>
      </w:pPr>
      <w:r w:rsidRPr="002C5F95">
        <w:t>In the assessment of all slope and aspect treatments at all of the sites I find evidence of variation in metabolism (Fig. 6.</w:t>
      </w:r>
      <w:r>
        <w:t>2</w:t>
      </w:r>
      <w:r w:rsidRPr="002C5F95">
        <w:t>). No discernable patterns could be detected between samples growing on different slopes and aspects (Fig. 6.</w:t>
      </w:r>
      <w:r>
        <w:t>5</w:t>
      </w:r>
      <w:r w:rsidRPr="002C5F95">
        <w:t xml:space="preserve">). Instead metabolism varied </w:t>
      </w:r>
      <w:r w:rsidR="001E3ED1">
        <w:t>significantly according to</w:t>
      </w:r>
      <w:r w:rsidRPr="002C5F95">
        <w:t xml:space="preserve"> country of origin (Fig. 6.</w:t>
      </w:r>
      <w:r>
        <w:t>3</w:t>
      </w:r>
      <w:r w:rsidRPr="002C5F95">
        <w:t xml:space="preserve">). </w:t>
      </w:r>
      <w:r w:rsidR="001846FA">
        <w:t>Trends in the concentrations of the most discriminatory masses, revealed latitudinal patterns of expression (Fig. 6.4).</w:t>
      </w:r>
      <w:r w:rsidR="00D957AC">
        <w:t xml:space="preserve"> As has been found in other plant species </w:t>
      </w:r>
      <w:r w:rsidR="002E3AE1">
        <w:fldChar w:fldCharType="begin" w:fldLock="1"/>
      </w:r>
      <w:r w:rsidR="0018095C">
        <w:instrText>ADDIN CSL_CITATION { "citationItems" : [ { "id" : "ITEM-1", "itemData" : { "DOI" : "10.1111/j.1558-5646.2010.01119.x", "ISSN" : "1558-5646", "PMID" : "20812972", "abstract" : "Selection for local adaptation results in genetic differentiation in ecologically important traits. In a perennial, outcrossing model plant Arabidopsis lyrata, several differentiated phenotypic traits contribute to local adaptation, as demonstrated by fitness advantage of the local population at each site in reciprocal transplant experiments. Here we compared fitness components, hierarchical total fitness and differentiation in putatively ecologically important traits of plants from two diverged parental populations from different continents in the native climate conditions of the populations in Norway and in North Carolina (NC, U.S.A.). Survival and number of fruits per inflorescence indicated local advantage at both sites and aster life-history models provided additional evidence for local adaptation also at the level of hierarchical total fitness. Populations were also differentiated in flowering start date and floral display. We also included reciprocal experimental F(1) and F(2) hybrids to examine the genetic basis of adaptation. Surprisingly, the F(2) hybrids showed heterosis at the study site in Norway, likely because of a combination of beneficial dominance effects from different traits. At the NC site, hybrid fitness was mostly intermediate relative to the parental populations. Local cytoplasmic origin was associated with higher fitness, indicating that cytoplasmic genomes also may contribute to the evolution of local adaptation.", "author" : [ { "dropping-particle" : "", "family" : "Leinonen", "given" : "P\u00e4ivi H", "non-dropping-particle" : "", "parse-names" : false, "suffix" : "" }, { "dropping-particle" : "", "family" : "Remington", "given" : "David L", "non-dropping-particle" : "", "parse-names" : false, "suffix" : "" }, { "dropping-particle" : "", "family" : "Savolainen", "given" : "Outi", "non-dropping-particle" : "", "parse-names" : false, "suffix" : "" } ], "container-title" : "Evolution; international journal of organic evolution", "id" : "ITEM-1", "issue" : "1", "issued" : { "date-parts" : [ [ "2011", "1" ] ] }, "page" : "90-107", "title" : "Local adaptation, phenotypic differentiation, and hybrid fitness in diverged natural populations of Arabidopsis lyrata.", "type" : "article-journal", "volume" : "65" }, "uris" : [ "http://www.mendeley.com/documents/?uuid=eaaedd17-759c-45c8-8445-069e3e437afb" ] }, { "id" : "ITEM-2", "itemData" : { "DOI" : "10.1111/j.1469-8137.2011.04027.x", "ISSN" : "1469-8137", "PMID" : "22248127", "abstract" : "\u2022 Autumnal cold acclimation in conifers is a complex process, the timing and extent of which vary widely along latitudinal gradients for many tree species and reflect local adaptation to climate. Although previous studies have detailed some aspects of the metabolic remodelling that accompanies cold acclimation in conifers, little is known about global metabolic dynamics, or how these changes vary among phenotypically divergent populations. \u2022 Using untargeted GC-MS metabolite profiling, we monitored metabolic dynamics during autumnal cold acclimation in three populations of Sitka spruce from the southern, central, and northern portions of the species range, which differ in both the timing and extent of cold acclimation. \u2022 Latitudinal variation was evident in the nature, intensity, and timing of metabolic events. Early development of strong freezing tolerance in the northern population was associated with a transient accumulation of amino acids. By late autumn, metabolic profiles were highly similar between the northern and central populations, whereas profiles for the southern population were relatively distinct. \u2022 Our results provide insight into the metabolic architecture of latitudinal adaptive variation in autumn acclimation and show that different mechanisms are the basis of early October cold hardiness and autumn-acclimated cold hardiness.", "author" : [ { "dropping-particle" : "", "family" : "Dauwe", "given" : "Rebecca", "non-dropping-particle" : "", "parse-names" : false, "suffix" : "" }, { "dropping-particle" : "", "family" : "Holliday", "given" : "Jason a", "non-dropping-particle" : "", "parse-names" : false, "suffix" : "" }, { "dropping-particle" : "", "family" : "Aitken", "given" : "Sally N", "non-dropping-particle" : "", "parse-names" : false, "suffix" : "" }, { "dropping-particle" : "", "family" : "Mansfield", "given" : "Shawn D", "non-dropping-particle" : "", "parse-names" : false, "suffix" : "" } ], "container-title" : "The New phytologist", "id" : "ITEM-2", "issue" : "1", "issued" : { "date-parts" : [ [ "2012", "4" ] ] }, "page" : "192-205", "title" : "Metabolic dynamics during autumn cold acclimation within and among populations of Sitka spruce (Picea sitchensis).", "type" : "article-journal", "volume" : "194" }, "uris" : [ "http://www.mendeley.com/documents/?uuid=85059cc9-f55a-461b-a6f1-230664d77668" ] } ], "mendeley" : { "formattedCitation" : "(Leinonen et al., 2011; Dauwe et al., 2012)", "plainTextFormattedCitation" : "(Leinonen et al., 2011; Dauwe et al., 2012)", "previouslyFormattedCitation" : "(Leinonen et al., 2011; Dauwe et al., 2012)" }, "properties" : { "noteIndex" : 0 }, "schema" : "https://github.com/citation-style-language/schema/raw/master/csl-citation.json" }</w:instrText>
      </w:r>
      <w:r w:rsidR="002E3AE1">
        <w:fldChar w:fldCharType="separate"/>
      </w:r>
      <w:r w:rsidR="002E3AE1" w:rsidRPr="002E3AE1">
        <w:rPr>
          <w:noProof/>
        </w:rPr>
        <w:t>(Leinonen et al., 2011; Dauwe et al., 2012)</w:t>
      </w:r>
      <w:r w:rsidR="002E3AE1">
        <w:fldChar w:fldCharType="end"/>
      </w:r>
      <w:r w:rsidR="002E3AE1">
        <w:t xml:space="preserve"> </w:t>
      </w:r>
      <w:r w:rsidR="00D957AC">
        <w:t>these results could indicate that the metabolism of dune annuals res</w:t>
      </w:r>
      <w:r w:rsidR="002E3AE1">
        <w:t>ponds to environmental factors that are linear to latitude (e.g. temperature day length), rather than more fluctuating factors in this system (e.g. grazing).</w:t>
      </w:r>
    </w:p>
    <w:p w14:paraId="6CD21719" w14:textId="77777777" w:rsidR="0052730F" w:rsidRDefault="0052730F" w:rsidP="0052730F">
      <w:pPr>
        <w:pStyle w:val="BodyJB"/>
      </w:pPr>
    </w:p>
    <w:p w14:paraId="52CD15F0" w14:textId="1AA88381" w:rsidR="0052730F" w:rsidRDefault="0052730F" w:rsidP="00B66E45">
      <w:pPr>
        <w:pStyle w:val="BodyJB"/>
        <w:ind w:firstLine="720"/>
      </w:pPr>
      <w:r>
        <w:t>The patterns of metabolic variation in this research, mirror the findings in a study</w:t>
      </w:r>
      <w:r w:rsidRPr="002C5F95">
        <w:t xml:space="preserve"> of metabolic variation between populations of the arctic-alpine species </w:t>
      </w:r>
      <w:r w:rsidRPr="002C5F95">
        <w:rPr>
          <w:i/>
        </w:rPr>
        <w:t>Arabidopsis lyrata</w:t>
      </w:r>
      <w:r w:rsidRPr="002C5F95">
        <w:t xml:space="preserve"> spp. p</w:t>
      </w:r>
      <w:r w:rsidRPr="002C5F95">
        <w:rPr>
          <w:i/>
        </w:rPr>
        <w:t>etraea</w:t>
      </w:r>
      <w:r w:rsidRPr="002C5F95">
        <w:t xml:space="preserve"> grown in controlled laboratory conditions</w:t>
      </w:r>
      <w:r>
        <w:t xml:space="preserve"> </w:t>
      </w:r>
      <w:r>
        <w:fldChar w:fldCharType="begin" w:fldLock="1"/>
      </w:r>
      <w:r w:rsidR="007C1C5F">
        <w:instrText>ADDIN CSL_CITATION { "citationItems" : [ { "id" : "ITEM-1", "itemData" : { "DOI" : "10.1098/rspb.2008.1767", "ISSN" : "0962-8452", "PMID" : "19324821", "abstract" : "Range margins are spatially complex, with environmental, genetic and phenotypic variations occurring across a range of spatial scales. We examine variation in temperature, genes and metabolomic profiles within and between populations of the subalpine perennial plant Arabidopsis lyrata ssp. petraea from across its northwest European range. Our surveys cover a gradient of fragmentation from largely continuous populations in Iceland, through more fragmented Scandinavian populations, to increasingly widely scattered populations at the range margin in Scotland, Wales and Ireland. Temperature regimes vary substantially within some populations, but within-population variation represents a larger fraction of genetic and especially metabolomic variances. Both physical distance and temperature differences between sites are found to be associated with genetic profiles, but not metabolomic profiles, and no relationship was found between genetic and metabolomic population structures in any region. Genetic similarity between plants within populations is the highest in the fragmented populations at the range margin, but differentiation across space is the highest there as well, suggesting that regional patterns of genetic diversity may be scale dependent.", "author" : [ { "dropping-particle" : "", "family" : "Kunin", "given" : "William E", "non-dropping-particle" : "", "parse-names" : false, "suffix" : "" }, { "dropping-particle" : "", "family" : "Vergeer", "given" : "Philippine", "non-dropping-particle" : "", "parse-names" : false, "suffix" : "" }, { "dropping-particle" : "", "family" : "Kenta", "given" : "Tanaka", "non-dropping-particle" : "", "parse-names" : false, "suffix" : "" }, { "dropping-particle" : "", "family" : "Davey", "given" : "Matthew P", "non-dropping-particle" : "", "parse-names" : false, "suffix" : "" }, { "dropping-particle" : "", "family" : "Burke", "given" : "Terry", "non-dropping-particle" : "", "parse-names" : false, "suffix" : "" }, { "dropping-particle" : "", "family" : "Woodward", "given" : "F Ian", "non-dropping-particle" : "", "parse-names" : false, "suffix" : "" }, { "dropping-particle" : "", "family" : "Quick", "given" : "Paul", "non-dropping-particle" : "", "parse-names" : false, "suffix" : "" }, { "dropping-particle" : "", "family" : "Mannarelli", "given" : "Maria-Elena", "non-dropping-particle" : "", "parse-names" : false, "suffix" : "" }, { "dropping-particle" : "", "family" : "Watson-Haigh", "given" : "Nathan S", "non-dropping-particle" : "", "parse-names" : false, "suffix" : "" }, { "dropping-particle" : "", "family" : "Butlin", "given" : "Roger", "non-dropping-particle" : "", "parse-names" : false, "suffix" : "" } ], "container-title" : "Proceedings. Biological sciences / The Royal Society", "id" : "ITEM-1", "issue" : "1661", "issued" : { "date-parts" : [ [ "2009", "4", "22" ] ] }, "page" : "1495-506", "title" : "Variation at range margins across multiple spatial scales: environmental temperature, population genetics and metabolomic phenotype.", "type" : "article-journal", "volume" : "276" }, "uris" : [ "http://www.mendeley.com/documents/?uuid=9b1e1e50-d000-464d-9e33-28833264e1e9" ] } ], "mendeley" : { "formattedCitation" : "(Kunin et al., 2009)", "plainTextFormattedCitation" : "(Kunin et al., 2009)", "previouslyFormattedCitation" : "(Kunin et al., 2009)" }, "properties" : { "noteIndex" : 0 }, "schema" : "https://github.com/citation-style-language/schema/raw/master/csl-citation.json" }</w:instrText>
      </w:r>
      <w:r>
        <w:fldChar w:fldCharType="separate"/>
      </w:r>
      <w:r w:rsidR="007C2FF9" w:rsidRPr="007C2FF9">
        <w:rPr>
          <w:noProof/>
        </w:rPr>
        <w:t>(Kunin et al., 2009)</w:t>
      </w:r>
      <w:r>
        <w:fldChar w:fldCharType="end"/>
      </w:r>
      <w:r>
        <w:t xml:space="preserve">. In </w:t>
      </w:r>
      <w:r w:rsidRPr="002C5F95">
        <w:rPr>
          <w:i/>
        </w:rPr>
        <w:t xml:space="preserve">Arabidopsis </w:t>
      </w:r>
      <w:r w:rsidRPr="002C5F95">
        <w:t>metabolomic variation was only detectable at the region scale (hundreds of kilometres apart) rather than at a within-region</w:t>
      </w:r>
      <w:r>
        <w:t>, population</w:t>
      </w:r>
      <w:r w:rsidRPr="002C5F95">
        <w:t xml:space="preserve"> </w:t>
      </w:r>
      <w:r>
        <w:t xml:space="preserve">scale (ten of kilometres apart). Simultaneous analysis of temperature and genetic profiles found </w:t>
      </w:r>
      <w:r w:rsidRPr="002C5F95">
        <w:t>that the</w:t>
      </w:r>
      <w:r>
        <w:t>re was no significant relation</w:t>
      </w:r>
      <w:r w:rsidRPr="002C5F95">
        <w:t>ship between the metabolomic and genetic variation within a region</w:t>
      </w:r>
      <w:r>
        <w:t xml:space="preserve">. Since this study assessed metabolism without the influence of environmental variation findings suggested that </w:t>
      </w:r>
      <w:r w:rsidRPr="00142F8B">
        <w:t>plastic responses to the fine-scale environmental variation may be dominant</w:t>
      </w:r>
      <w:r>
        <w:t xml:space="preserve">, resulting in the lack of signal for adaptation. </w:t>
      </w:r>
    </w:p>
    <w:p w14:paraId="20CF7BC5" w14:textId="77777777" w:rsidR="0052730F" w:rsidRPr="00DF079E" w:rsidRDefault="0052730F" w:rsidP="0052730F">
      <w:pPr>
        <w:pStyle w:val="BodyJB"/>
      </w:pPr>
      <w:r>
        <w:tab/>
        <w:t xml:space="preserve">Further analysis of the fine scale environmental variation in the dune environment is required in order to understand the mechanisms causing metabolic similarities at the local scale. A direct comparison between the metabolomes of </w:t>
      </w:r>
      <w:r w:rsidRPr="0025149D">
        <w:rPr>
          <w:i/>
        </w:rPr>
        <w:t>E. cicutarium</w:t>
      </w:r>
      <w:r>
        <w:t xml:space="preserve"> and the other species analysed in previous studies within this thesis would be advantageous; as this may highlight pathways expressed in </w:t>
      </w:r>
      <w:r w:rsidRPr="0025149D">
        <w:rPr>
          <w:i/>
        </w:rPr>
        <w:t>Erodium</w:t>
      </w:r>
      <w:r>
        <w:t xml:space="preserve"> that allow this species to acclimate to sloped areas where other species do not occur. </w:t>
      </w:r>
    </w:p>
    <w:p w14:paraId="18533A72" w14:textId="77777777" w:rsidR="007E75B7" w:rsidRDefault="007E75B7">
      <w:pPr>
        <w:rPr>
          <w:rFonts w:ascii="Times" w:hAnsi="Times"/>
          <w:b/>
          <w:sz w:val="36"/>
        </w:rPr>
      </w:pPr>
      <w:bookmarkStart w:id="99" w:name="_Toc250638460"/>
      <w:r>
        <w:br w:type="page"/>
      </w:r>
    </w:p>
    <w:p w14:paraId="44E5F634" w14:textId="2DB87452" w:rsidR="0052730F" w:rsidRPr="008D1BB6" w:rsidRDefault="0052730F" w:rsidP="0052730F">
      <w:pPr>
        <w:pStyle w:val="HeadingJB"/>
      </w:pPr>
      <w:bookmarkStart w:id="100" w:name="_Toc291410104"/>
      <w:r w:rsidRPr="008D1BB6">
        <w:t>Chapter 7- D</w:t>
      </w:r>
      <w:bookmarkEnd w:id="99"/>
      <w:r w:rsidRPr="008D1BB6">
        <w:t>iscussion</w:t>
      </w:r>
      <w:bookmarkEnd w:id="100"/>
    </w:p>
    <w:p w14:paraId="452303B4" w14:textId="77777777" w:rsidR="0052730F" w:rsidRDefault="0052730F" w:rsidP="0052730F">
      <w:pPr>
        <w:pStyle w:val="SubheadingJB"/>
      </w:pPr>
      <w:bookmarkStart w:id="101" w:name="_Toc250638461"/>
    </w:p>
    <w:p w14:paraId="6B51EFEC" w14:textId="77777777" w:rsidR="0052730F" w:rsidRPr="00BA3C4B" w:rsidRDefault="0052730F" w:rsidP="0052730F">
      <w:pPr>
        <w:pStyle w:val="SubheadingJB"/>
      </w:pPr>
      <w:bookmarkStart w:id="102" w:name="_Toc291410105"/>
      <w:r w:rsidRPr="00BA3C4B">
        <w:t>7.1- Introduction</w:t>
      </w:r>
      <w:bookmarkEnd w:id="101"/>
      <w:bookmarkEnd w:id="102"/>
      <w:r w:rsidRPr="00BA3C4B">
        <w:t xml:space="preserve"> </w:t>
      </w:r>
    </w:p>
    <w:p w14:paraId="416E2147" w14:textId="77777777" w:rsidR="0052730F" w:rsidRPr="00BA3C4B" w:rsidRDefault="0052730F" w:rsidP="0052730F">
      <w:pPr>
        <w:pStyle w:val="BodyJB"/>
        <w:ind w:firstLine="720"/>
      </w:pPr>
      <w:r w:rsidRPr="00BA3C4B">
        <w:t>In this current era of anthropogenic climate change there is a growing need to predict the ability of species and communities to persist under future climate scenarios and land-use regimes. Improving our knowledge of the complex interplay between plants and the environment remains a key goal of the scientific community, though this task is not an easy one.  Plant populations may ameliorate the impact of harmful environmental change through a suite of response mechanisms including shifts in phenology, alterations of species ranges and trait plasticity. Populations may also express evolutionary responses to past and present environmental conditions as climate exerts strong selection pressures, resulting in population differentiation and local adaptation. These varying responses to environment do not act independent</w:t>
      </w:r>
      <w:r>
        <w:t>ly</w:t>
      </w:r>
      <w:r w:rsidRPr="00BA3C4B">
        <w:t xml:space="preserve"> of one another, occur over different temporal and spatial scales, and may have contrasting outcomes, making their study complex. The work in this thesis </w:t>
      </w:r>
      <w:r>
        <w:t>describes</w:t>
      </w:r>
      <w:r w:rsidRPr="00BA3C4B">
        <w:t xml:space="preserve"> the interaction between environment and plants in the metabolic phenotype, to elucidate the importance of the above response mechanisms. </w:t>
      </w:r>
    </w:p>
    <w:p w14:paraId="38FF740A" w14:textId="77777777" w:rsidR="0052730F" w:rsidRPr="00BA3C4B" w:rsidRDefault="0052730F" w:rsidP="0052730F">
      <w:pPr>
        <w:pStyle w:val="SubheadingJB"/>
      </w:pPr>
    </w:p>
    <w:p w14:paraId="3B1375E8" w14:textId="77777777" w:rsidR="0052730F" w:rsidRDefault="0052730F" w:rsidP="00B66E45">
      <w:pPr>
        <w:pStyle w:val="SubheadingJB"/>
      </w:pPr>
      <w:bookmarkStart w:id="103" w:name="_Toc291410106"/>
      <w:r w:rsidRPr="001F5282">
        <w:t>7.2- Intra-specific trait variation in a community</w:t>
      </w:r>
      <w:bookmarkEnd w:id="103"/>
    </w:p>
    <w:p w14:paraId="749F09B0" w14:textId="791D5061" w:rsidR="0052730F" w:rsidRDefault="0062579E" w:rsidP="0052730F">
      <w:pPr>
        <w:pStyle w:val="BodyJB"/>
        <w:ind w:firstLine="720"/>
      </w:pPr>
      <w:r>
        <w:t xml:space="preserve">In accordance with </w:t>
      </w:r>
      <w:r w:rsidRPr="0062579E">
        <w:rPr>
          <w:b/>
        </w:rPr>
        <w:t>Aim 1</w:t>
      </w:r>
      <w:r>
        <w:t xml:space="preserve"> p</w:t>
      </w:r>
      <w:r w:rsidR="0052730F">
        <w:t xml:space="preserve">opulation variation was </w:t>
      </w:r>
      <w:r w:rsidR="0052730F" w:rsidRPr="00E014D8">
        <w:t xml:space="preserve">first characterized in the phenotypic traits of a number of dune annual species </w:t>
      </w:r>
      <w:r w:rsidR="0052730F">
        <w:t xml:space="preserve">grown in standardized environmental conditions. This was </w:t>
      </w:r>
      <w:r w:rsidR="0052730F" w:rsidRPr="00E014D8">
        <w:t>to provide an important first insight into the control of plant traits that can be measured easily and influence population and community dynamics</w:t>
      </w:r>
      <w:r w:rsidR="0052730F">
        <w:t xml:space="preserve"> (Chapter 3)</w:t>
      </w:r>
      <w:r w:rsidR="0052730F" w:rsidRPr="00E014D8">
        <w:t xml:space="preserve">. The </w:t>
      </w:r>
      <w:r w:rsidR="0052730F">
        <w:t>measurement of three suites of traits in five species resulted in a number of different patterns of trait expression. In each of the five species flowering phenology showed</w:t>
      </w:r>
      <w:r w:rsidR="0052730F" w:rsidRPr="00191AD2">
        <w:t xml:space="preserve"> statistically</w:t>
      </w:r>
      <w:r w:rsidR="0052730F">
        <w:t xml:space="preserve"> highly significant differences</w:t>
      </w:r>
      <w:r w:rsidR="0052730F" w:rsidRPr="00191AD2">
        <w:t xml:space="preserve"> between populations</w:t>
      </w:r>
      <w:r w:rsidR="0052730F">
        <w:t xml:space="preserve">. Plants originating from southern populations flowered much earlier than northern population. Latitudinal trends were apparent in a number of other traits such as plant height for some of the species. </w:t>
      </w:r>
      <w:r w:rsidR="0052730F" w:rsidRPr="00191AD2">
        <w:t xml:space="preserve">The geographical structuring of reproductive traits between and within species follows patterns in other </w:t>
      </w:r>
      <w:r w:rsidR="0052730F">
        <w:t>phenotypic traits measured</w:t>
      </w:r>
      <w:r w:rsidR="0052730F" w:rsidRPr="00191AD2">
        <w:t>, most notably productivity traits</w:t>
      </w:r>
      <w:r w:rsidR="0052730F">
        <w:t xml:space="preserve">. The results added to a wealth of studies discovering phenotypic variation between populations </w:t>
      </w:r>
      <w:r w:rsidR="0052730F">
        <w:fldChar w:fldCharType="begin" w:fldLock="1"/>
      </w:r>
      <w:r w:rsidR="007C2FF9">
        <w:instrText>ADDIN CSL_CITATION { "citationItems" : [ { "id" : "ITEM-1", "itemData" : { "DOI" : "10.1007/s10682-006-9108-x", "ISSN" : "0269-7653", "author" : [ { "dropping-particle" : "", "family" : "Volis", "given" : "Sergei", "non-dropping-particle" : "", "parse-names" : false, "suffix" : "" } ], "container-title" : "Evolutionary Ecology", "id" : "ITEM-1", "issue" : "3", "issued" : { "date-parts" : [ [ "2007", "10", "21" ] ] }, "page" : "381-393", "title" : "Correlated patterns of variation in phenology and seed production in populations of two annual grasses along an aridity gradient", "type" : "article-journal", "volume" : "21" }, "uris" : [ "http://www.mendeley.com/documents/?uuid=ddb6ac16-6f2f-4856-99b3-7cb0eedd80c2" ] }, { "id" : "ITEM-2", "itemData" : { "DOI" : "10.1111/j.1469-8137.2007.02157.x", "ISSN" : "0028-646X", "PMID" : "17803645", "abstract" : "Here, patterns of phenotypic plasticity and trait integration of leaf characteristics in six geographically discrete populations of the perennial herb Pelargonium australe were compared. It was hypothesized that populations would show local adaptation in trait means, but similar patterns of plasticity and trait integration. Further, it was questioned whether phenotypic plasticity was positively correlated with environmental heterogeneity and whether plasticity for water-use traits in particular was adaptive. Seedlings were grown in a glasshouse at six combinations of water and nutrient availability. Leaf anatomical, morphological and gas exchange traits were measured. High amounts of plasticity in leaf traits were found in response to changes in growth conditions and there was evidence of local adaptation among the populations. While there were significant correlations between plasticity and environmental heterogeneity, not all were positive. Notably, patterns of plasticity and trait integration varied significantly among populations. Despite that variation, some of the observed plasticity was adaptive: fitness was correlated with conservative water use when water was limiting. Pelargonium arrived in Australia approximately 5 million yr ago. It is concluded here that high amounts of plasticity, in some cases adaptive, and weak integration among traits may be key to the spread and success of this species.", "author" : [ { "dropping-particle" : "", "family" : "Nicotra", "given" : "Adrienne B", "non-dropping-particle" : "", "parse-names" : false, "suffix" : "" }, { "dropping-particle" : "", "family" : "Hermes", "given" : "Jacob P", "non-dropping-particle" : "", "parse-names" : false, "suffix" : "" }, { "dropping-particle" : "", "family" : "Jones", "given" : "Cynthia S", "non-dropping-particle" : "", "parse-names" : false, "suffix" : "" }, { "dropping-particle" : "", "family" : "Schlichting", "given" : "Carl D", "non-dropping-particle" : "", "parse-names" : false, "suffix" : "" } ], "container-title" : "The New phytologist", "id" : "ITEM-2", "issue" : "1", "issued" : { "date-parts" : [ [ "2007", "1" ] ] }, "page" : "136-49", "title" : "Geographic variation and plasticity to water and nutrients in Pelargonium australe.", "type" : "article-journal", "volume" : "176" }, "uris" : [ "http://www.mendeley.com/documents/?uuid=e6324f4d-1fd3-4a3e-8eb2-b358b3d12f0f" ] }, { "id" : "ITEM-3", "itemData" : { "DOI" : "10.1073/pnas.0306401101", "ISSN" : "0027-8424", "PMID" : "15070783", "abstract" : "A latitudinal cline in flowering time in accessions of Arabidopsis thaliana has been widely predicted because the environmental cues that promote flowering vary systematically with latitude, but evidence for such clines has been lacking. Here, we report evidence of a significant latitudinal cline in flowering time among 70 Northern European and Mediterranean ecotypes when grown under ecologically realistic conditions in a common garden environment. The detected cline, however, is found only in ecotypes with alleles of the flowering time gene FRIGIDA (FRI) that lack major deletions that would disrupt protein function, whereas there is no relationship between flowering time and latitude of origin among accessions with FRI alleles containing such deletions. Analysis of climatological data suggests that late flowering in accessions with putatively functional FRI was associated with reduced January precipitation at the site of origin, consistent with previous reports of a positive genetic correlation between water use efficiency and flowering time in Arabidopsis, and the pleiotropic effects of FRI of increasing water use efficiency. In accessions collected from Southern latitudes, we detected that putatively functional FRI alleles were associated with accelerated flowering relative to accessions with nonfunctional FRI under the winter conditions of our experiment. These results suggest that the ecological function of the vernalization requirement conferred by FRI differs across latitudes. More generally, our results indicate that by combining ecological and molecular genetic data, it is possible to understand the forces acting on life history transitions at the level of specific loci.", "author" : [ { "dropping-particle" : "", "family" : "Stinchcombe", "given" : "John R", "non-dropping-particle" : "", "parse-names" : false, "suffix" : "" }, { "dropping-particle" : "", "family" : "Weinig", "given" : "Cynthia", "non-dropping-particle" : "", "parse-names" : false, "suffix" : "" }, { "dropping-particle" : "", "family" : "Ungerer", "given" : "Mark", "non-dropping-particle" : "", "parse-names" : false, "suffix" : "" }, { "dropping-particle" : "", "family" : "Olsen", "given" : "Kenneth M", "non-dropping-particle" : "", "parse-names" : false, "suffix" : "" }, { "dropping-particle" : "", "family" : "Mays", "given" : "Charlotte", "non-dropping-particle" : "", "parse-names" : false, "suffix" : "" }, { "dropping-particle" : "", "family" : "Halldorsdottir", "given" : "Solveig S", "non-dropping-particle" : "", "parse-names" : false, "suffix" : "" }, { "dropping-particle" : "", "family" : "Purugganan", "given" : "Michael D", "non-dropping-particle" : "", "parse-names" : false, "suffix" : "" }, { "dropping-particle" : "", "family" : "Schmitt", "given" : "Johanna", "non-dropping-particle" : "", "parse-names" : false, "suffix" : "" } ], "container-title" : "Proceedings of the National Academy of Sciences of the United States of America", "id" : "ITEM-3", "issue" : "13", "issued" : { "date-parts" : [ [ "2004", "3", "30" ] ] }, "page" : "4712-7", "title" : "A latitudinal cline in flowering time in Arabidopsis thaliana modulated by the flowering time gene FRIGIDA.", "type" : "article-journal", "volume" : "101" }, "uris" : [ "http://www.mendeley.com/documents/?uuid=fc42b8b1-396b-48e8-bb89-174dd76997a1" ] }, { "id" : "ITEM-4", "itemData" : { "DOI" : "10.1111/j.1420-9101.2005.01021.x", "ISSN" : "1010-061X", "PMID" : "16313471", "abstract" : "Adaptation to local environments may be an important determinant of species' geographic range. However, little is known about which traits contribute to adaptation or whether their further evolution would facilitate range expansion. In this study, we assessed the adaptive value of stress avoidance traits in the common annual Cocklebur (Xanthium strumarium) by performing a reciprocal transplant across a broad latitudinal gradient extending to the species' northern border. Populations were locally adapted and stress avoidance traits accounted for most fitness differences between populations. At the northern border where growing seasons are cooler and shorter, native populations had evolved to reproduce earlier than native populations in the lower latitude gardens. This clinal pattern in reproductive timing corresponded to a shift in selection from favouring later to earlier reproduction. Thus, earlier reproduction is an important adaptation to northern latitudes and constraint on the further evolution of this trait in marginal populations could potentially limit distribution.", "author" : [ { "dropping-particle" : "", "family" : "Griffith", "given" : "T M", "non-dropping-particle" : "", "parse-names" : false, "suffix" : "" }, { "dropping-particle" : "", "family" : "Watson", "given" : "M a", "non-dropping-particle" : "", "parse-names" : false, "suffix" : "" } ], "container-title" : "Journal of evolutionary biology", "id" : "ITEM-4", "issue" : "6", "issued" : { "date-parts" : [ [ "2005", "11" ] ] }, "page" : "1601-12", "title" : "Stress avoidance in a common annual: reproductive timing is important for local adaptation and geographic distribution.", "type" : "article-journal", "volume" : "18" }, "uris" : [ "http://www.mendeley.com/documents/?uuid=a9227f40-9654-4998-88f9-155136935728" ] } ], "mendeley" : { "formattedCitation" : "(Stinchcombe et al., 2004; Griffith and Watson, 2005; Nicotra et al., 2007; Volis, 2007)", "plainTextFormattedCitation" : "(Stinchcombe et al., 2004; Griffith and Watson, 2005; Nicotra et al., 2007; Volis, 2007)", "previouslyFormattedCitation" : "(Stinchcombe et al., 2004; Griffith and Watson, 2005; Nicotra et al., 2007; Volis, 2007)" }, "properties" : { "noteIndex" : 0 }, "schema" : "https://github.com/citation-style-language/schema/raw/master/csl-citation.json" }</w:instrText>
      </w:r>
      <w:r w:rsidR="0052730F">
        <w:fldChar w:fldCharType="separate"/>
      </w:r>
      <w:r w:rsidR="00134C22" w:rsidRPr="00134C22">
        <w:rPr>
          <w:noProof/>
        </w:rPr>
        <w:t>(Stinchcombe et al., 2004; Griffith and Watson, 2005; Nicotra et al., 2007; Volis, 2007)</w:t>
      </w:r>
      <w:r w:rsidR="0052730F">
        <w:fldChar w:fldCharType="end"/>
      </w:r>
      <w:r w:rsidR="0052730F">
        <w:t xml:space="preserve">. </w:t>
      </w:r>
    </w:p>
    <w:p w14:paraId="14439EEC" w14:textId="69939570" w:rsidR="0052730F" w:rsidRDefault="0052730F" w:rsidP="0062579E">
      <w:pPr>
        <w:pStyle w:val="BodyJB"/>
        <w:ind w:firstLine="720"/>
      </w:pPr>
      <w:r>
        <w:t xml:space="preserve">It has been </w:t>
      </w:r>
      <w:r w:rsidRPr="00D8612D">
        <w:t xml:space="preserve">suggested that studies assessing population variation in traits often conclude that variation results from microevolutionary responses to environmental conditions without providing the necessary evidence that the trait variation has a genetic basis </w:t>
      </w:r>
      <w:r w:rsidRPr="00D8612D">
        <w:fldChar w:fldCharType="begin" w:fldLock="1"/>
      </w:r>
      <w:r w:rsidR="007C2FF9">
        <w:instrText>ADDIN CSL_CITATION { "citationItems" : [ { "id" : "ITEM-1", "itemData" : { "DOI" : "10.1111/j.1365-294X.2007.03413.x", "ISSN" : "0962-1083", "PMID" : "18173499", "abstract" : "Rapid climate change is likely to impose strong selection pressures on traits important for fitness, and therefore, microevolution in response to climate-mediated selection is potentially an important mechanism mitigating negative consequences of climate change. We reviewed the empirical evidence for recent microevolutionary responses to climate change in longitudinal studies emphasizing the following three perspectives emerging from the published data. First, although signatures of climate change are clearly visible in many ecological processes, similar examples of microevolutionary responses in literature are in fact very rare. Second, the quality of evidence for microevolutionary responses to climate change is far from satisfactory as the documented responses are often - if not typically - based on nongenetic data. We reinforce the view that it is as important to make the distinction between genetic (evolutionary) and phenotypic (includes a nongenetic, plastic component) responses clear, as it is to understand the relative roles of plasticity and genetics in adaptation to climate change. Third, in order to illustrate the difficulties and their potential ubiquity in detection of microevolution in response to natural selection, we reviewed the quantitative genetic studies on microevolutionary responses to natural selection in the context of long-term studies of vertebrates. The available evidence points to the overall conclusion that many responses perceived as adaptations to changing environmental conditions could be environmentally induced plastic responses rather than microevolutionary adaptations. Hence, clear-cut evidence indicating a significant role for evolutionary adaptation to ongoing climate warming is conspicuously scarce.", "author" : [ { "dropping-particle" : "", "family" : "Gienapp", "given" : "P", "non-dropping-particle" : "", "parse-names" : false, "suffix" : "" }, { "dropping-particle" : "", "family" : "Teplitsky", "given" : "C", "non-dropping-particle" : "", "parse-names" : false, "suffix" : "" }, { "dropping-particle" : "", "family" : "Alho", "given" : "J S", "non-dropping-particle" : "", "parse-names" : false, "suffix" : "" }, { "dropping-particle" : "", "family" : "Mills", "given" : "J a", "non-dropping-particle" : "", "parse-names" : false, "suffix" : "" }, { "dropping-particle" : "", "family" : "Meril\u00e4", "given" : "J", "non-dropping-particle" : "", "parse-names" : false, "suffix" : "" } ], "container-title" : "Molecular ecology", "id" : "ITEM-1", "issue" : "1", "issued" : { "date-parts" : [ [ "2008", "1" ] ] }, "page" : "167-78", "title" : "Climate change and evolution: disentangling environmental and genetic responses.", "type" : "article-journal", "volume" : "17" }, "uris" : [ "http://www.mendeley.com/documents/?uuid=25b0780d-a7a4-4b4d-8b84-5e7225bc9965" ] } ], "mendeley" : { "formattedCitation" : "(Gienapp et al., 2008)", "plainTextFormattedCitation" : "(Gienapp et al., 2008)", "previouslyFormattedCitation" : "(Gienapp et al., 2008)" }, "properties" : { "noteIndex" : 0 }, "schema" : "https://github.com/citation-style-language/schema/raw/master/csl-citation.json" }</w:instrText>
      </w:r>
      <w:r w:rsidRPr="00D8612D">
        <w:fldChar w:fldCharType="separate"/>
      </w:r>
      <w:r w:rsidRPr="006C4845">
        <w:rPr>
          <w:noProof/>
        </w:rPr>
        <w:t xml:space="preserve">(Gienapp </w:t>
      </w:r>
      <w:r w:rsidRPr="006C4845">
        <w:rPr>
          <w:i/>
          <w:noProof/>
        </w:rPr>
        <w:t>et al.</w:t>
      </w:r>
      <w:r w:rsidRPr="006C4845">
        <w:rPr>
          <w:noProof/>
        </w:rPr>
        <w:t>, 2008)</w:t>
      </w:r>
      <w:r w:rsidRPr="00D8612D">
        <w:fldChar w:fldCharType="end"/>
      </w:r>
      <w:r w:rsidRPr="00D8612D">
        <w:t xml:space="preserve">. </w:t>
      </w:r>
      <w:r>
        <w:t xml:space="preserve">In our study growing dune annuals under standardized environmental conditions removed environmental variation the different populations were exposed to. The occurrence of well-defined trait differences between populations suggested, that these traits have a genetic basis.  </w:t>
      </w:r>
    </w:p>
    <w:p w14:paraId="0134927D" w14:textId="1F77D859" w:rsidR="0052730F" w:rsidRDefault="0052730F" w:rsidP="0052730F">
      <w:pPr>
        <w:pStyle w:val="BodyJB"/>
        <w:ind w:firstLine="720"/>
      </w:pPr>
      <w:r>
        <w:t xml:space="preserve">This study </w:t>
      </w:r>
      <w:r w:rsidRPr="000246E4">
        <w:t xml:space="preserve">incorporated a comparison of population trait variation between two generations of plants to reveal whether the trait expression in these species results from genetic adaptation to local environmental conditions or whether other responses to environment such as maternal effects were at play. Maternal effects are non-genetic developmental changes in the offspring that result from the environmental conditions experienced by the mother affecting the provisions of the seed </w:t>
      </w:r>
      <w:r w:rsidRPr="000246E4">
        <w:fldChar w:fldCharType="begin" w:fldLock="1"/>
      </w:r>
      <w:r w:rsidR="007C2FF9">
        <w:instrText>ADDIN CSL_CITATION { "citationItems" : [ { "id" : "ITEM-1", "itemData" : { "DOI" : "10.1111/j.1469-8137.2009.02939.x", "ISSN" : "1469-8137", "PMID" : "19572917", "abstract" : "Maternal effects are ubiquitous in nature. In plants, most work has focused on the effects of maternal environments on offspring trait expression. Less is known about the prevalence of genetic maternal effects and how they influence adaptive evolution. Here, we used multivariate genetic models to estimate the contributions of maternal and direct genetic (co)variance, the cross-generation direct-maternal covariance, and M, the matrix of maternal effect coefficients, for life-history traits in Campanulastrum americanum, a monocarpic herb. Following a three-generation breeding design, we grew paternal half-sib families with full-sib relatives of each parent and measured juvenile and adult traits. Seed size was influenced exclusively by maternal environmental effects, whereas maternal genetic effects influenced traits throughout the life cycle, including strong direct and maternal additive genetic correlations within and between generations for phenological and size traits. Examination of M suggested that both juvenile and adult traits in maternal plants influenced the expression of offspring traits. This study reveals substantial potential for genetic maternal effects to contribute to adaptive evolution including cross-generation direct-maternal correlations that may slow selection response, maternal effects on phenology that reinforce genetic correlations, and within- and between-generation genetic correlations that may influence life-history polymorphism.", "author" : [ { "dropping-particle" : "", "family" : "Galloway", "given" : "Laura F", "non-dropping-particle" : "", "parse-names" : false, "suffix" : "" }, { "dropping-particle" : "", "family" : "Etterson", "given" : "Julie R", "non-dropping-particle" : "", "parse-names" : false, "suffix" : "" }, { "dropping-particle" : "", "family" : "McGlothlin", "given" : "Joel W", "non-dropping-particle" : "", "parse-names" : false, "suffix" : "" } ], "container-title" : "The New phytologist", "id" : "ITEM-1", "issue" : "3", "issued" : { "date-parts" : [ [ "2009", "8" ] ] }, "page" : "826-38", "title" : "Contribution of direct and maternal genetic effects to life-history evolution.", "type" : "article-journal", "volume" : "183" }, "uris" : [ "http://www.mendeley.com/documents/?uuid=e3ff4e7c-8d49-4b66-abdf-e7ea570d7658" ] } ], "mendeley" : { "formattedCitation" : "(Galloway et al., 2009)", "plainTextFormattedCitation" : "(Galloway et al., 2009)", "previouslyFormattedCitation" : "(Galloway et al., 2009)" }, "properties" : { "noteIndex" : 0 }, "schema" : "https://github.com/citation-style-language/schema/raw/master/csl-citation.json" }</w:instrText>
      </w:r>
      <w:r w:rsidRPr="000246E4">
        <w:fldChar w:fldCharType="separate"/>
      </w:r>
      <w:r w:rsidRPr="006C4845">
        <w:rPr>
          <w:noProof/>
        </w:rPr>
        <w:t xml:space="preserve">(Galloway </w:t>
      </w:r>
      <w:r w:rsidRPr="006C4845">
        <w:rPr>
          <w:i/>
          <w:noProof/>
        </w:rPr>
        <w:t>et al.</w:t>
      </w:r>
      <w:r w:rsidRPr="006C4845">
        <w:rPr>
          <w:noProof/>
        </w:rPr>
        <w:t>, 2009)</w:t>
      </w:r>
      <w:r w:rsidRPr="000246E4">
        <w:fldChar w:fldCharType="end"/>
      </w:r>
      <w:r w:rsidRPr="000246E4">
        <w:t xml:space="preserve">. This response can result </w:t>
      </w:r>
      <w:r>
        <w:t xml:space="preserve">in </w:t>
      </w:r>
      <w:r w:rsidRPr="000246E4">
        <w:t xml:space="preserve">population differentiation </w:t>
      </w:r>
      <w:r>
        <w:t>of</w:t>
      </w:r>
      <w:r w:rsidRPr="000246E4">
        <w:t xml:space="preserve"> traits which </w:t>
      </w:r>
      <w:r>
        <w:t>is</w:t>
      </w:r>
      <w:r w:rsidRPr="000246E4">
        <w:t xml:space="preserve"> generated by differences in the growing conditions experienced by mother plants </w:t>
      </w:r>
      <w:r w:rsidRPr="000246E4">
        <w:fldChar w:fldCharType="begin" w:fldLock="1"/>
      </w:r>
      <w:r w:rsidR="007C2FF9">
        <w:instrText>ADDIN CSL_CITATION { "citationItems" : [ { "id" : "ITEM-1", "itemData" : { "author" : [ { "dropping-particle" : "", "family" : "Bischoff", "given" : "Armin", "non-dropping-particle" : "", "parse-names" : false, "suffix" : "" }, { "dropping-particle" : "", "family" : "M\u00fcller\u00e2-Sch\u00e4rer", "given" : "H", "non-dropping-particle" : "", "parse-names" : false, "suffix" : "" } ], "container-title" : "Oikos", "id" : "ITEM-1", "issue" : "3", "issued" : { "date-parts" : [ [ "2010" ] ] }, "page" : "445-454", "title" : "Testing population differentiation in plant species \u2013 how important are environmental maternal effects", "type" : "article-journal", "volume" : "119" }, "uris" : [ "http://www.mendeley.com/documents/?uuid=f0ed8124-04ea-4b41-8004-d3471551391a" ] } ], "mendeley" : { "formattedCitation" : "(Bischoff and M\u00fcller\u00e2-Sch\u00e4rer, 2010)", "plainTextFormattedCitation" : "(Bischoff and M\u00fcller\u00e2-Sch\u00e4rer, 2010)", "previouslyFormattedCitation" : "(Bischoff and M\u00fcller\u00e2-Sch\u00e4rer, 2010)" }, "properties" : { "noteIndex" : 0 }, "schema" : "https://github.com/citation-style-language/schema/raw/master/csl-citation.json" }</w:instrText>
      </w:r>
      <w:r w:rsidRPr="000246E4">
        <w:fldChar w:fldCharType="separate"/>
      </w:r>
      <w:r w:rsidR="00134C22" w:rsidRPr="00134C22">
        <w:rPr>
          <w:noProof/>
        </w:rPr>
        <w:t>(Bischoff and Müllerâ-Schärer, 2010)</w:t>
      </w:r>
      <w:r w:rsidRPr="000246E4">
        <w:fldChar w:fldCharType="end"/>
      </w:r>
      <w:r w:rsidRPr="000246E4">
        <w:t>.</w:t>
      </w:r>
      <w:r>
        <w:t xml:space="preserve"> Statistical analysis found that in some sand dune plants, changes in expression of particular traits met criteria that indicated maternal effect responses. I am cautious to conclude that maternal effects play a large role in the interaction of environmental conditions and the expression of these traits. Typically the expressions of maternal influences are detected in traits relating to direct provision mediated through seed size. However, </w:t>
      </w:r>
      <w:r w:rsidRPr="00707BA9">
        <w:t xml:space="preserve">there are a number of studies that indicate the influence of maternal effects on traits in adults such as leaf length </w:t>
      </w:r>
      <w:r w:rsidRPr="00707BA9">
        <w:fldChar w:fldCharType="begin" w:fldLock="1"/>
      </w:r>
      <w:r w:rsidR="007C2FF9">
        <w:instrText>ADDIN CSL_CITATION { "citationItems" : [ { "id" : "ITEM-1", "itemData" : { "author" : [ { "dropping-particle" : "", "family" : "Schmid", "given" : "B", "non-dropping-particle" : "", "parse-names" : false, "suffix" : "" }, { "dropping-particle" : "", "family" : "Dolt", "given" : "C", "non-dropping-particle" : "", "parse-names" : false, "suffix" : "" } ], "container-title" : "Evolution", "id" : "ITEM-1", "issue" : "5", "issued" : { "date-parts" : [ [ "1994" ] ] }, "page" : "1525-1549", "title" : "Effects of maternal and paternal environment and genotype on offspring phenotype in Solidago altissima L.", "type" : "article-journal", "volume" : "48" }, "uris" : [ "http://www.mendeley.com/documents/?uuid=b8c0ada4-f5f0-4394-866c-2510ee72ce47" ] } ], "mendeley" : { "formattedCitation" : "(Schmid and Dolt, 1994)", "plainTextFormattedCitation" : "(Schmid and Dolt, 1994)", "previouslyFormattedCitation" : "(Schmid and Dolt, 1994)" }, "properties" : { "noteIndex" : 0 }, "schema" : "https://github.com/citation-style-language/schema/raw/master/csl-citation.json" }</w:instrText>
      </w:r>
      <w:r w:rsidRPr="00707BA9">
        <w:fldChar w:fldCharType="separate"/>
      </w:r>
      <w:r w:rsidR="00134C22" w:rsidRPr="00134C22">
        <w:rPr>
          <w:noProof/>
        </w:rPr>
        <w:t>(Schmid and Dolt, 1994)</w:t>
      </w:r>
      <w:r w:rsidRPr="00707BA9">
        <w:fldChar w:fldCharType="end"/>
      </w:r>
      <w:r w:rsidRPr="00707BA9">
        <w:t xml:space="preserve">, reproductive output </w:t>
      </w:r>
      <w:r w:rsidRPr="00707BA9">
        <w:fldChar w:fldCharType="begin" w:fldLock="1"/>
      </w:r>
      <w:r w:rsidR="007C2FF9">
        <w:instrText>ADDIN CSL_CITATION { "citationItems" : [ { "id" : "ITEM-1", "itemData" : { "author" : [ { "dropping-particle" : "", "family" : "Hayward", "given" : "MD", "non-dropping-particle" : "", "parse-names" : false, "suffix" : "" } ], "container-title" : "Heredity", "id" : "ITEM-1", "issue" : "I", "issued" : { "date-parts" : [ [ "1967" ] ] }, "title" : "The genetic organisation of natural populations of Lolium perenne. II. Inflorescence production", "type" : "article-journal" }, "uris" : [ "http://www.mendeley.com/documents/?uuid=53daf61f-ec0f-4ad5-b5dc-5d7bff88e403" ] } ], "mendeley" : { "formattedCitation" : "(Hayward, 1967)", "plainTextFormattedCitation" : "(Hayward, 1967)", "previouslyFormattedCitation" : "(Hayward, 1967)" }, "properties" : { "noteIndex" : 0 }, "schema" : "https://github.com/citation-style-language/schema/raw/master/csl-citation.json" }</w:instrText>
      </w:r>
      <w:r w:rsidRPr="00707BA9">
        <w:fldChar w:fldCharType="separate"/>
      </w:r>
      <w:r w:rsidRPr="006C4845">
        <w:rPr>
          <w:noProof/>
        </w:rPr>
        <w:t>(Hayward, 1967)</w:t>
      </w:r>
      <w:r w:rsidRPr="00707BA9">
        <w:fldChar w:fldCharType="end"/>
      </w:r>
      <w:r w:rsidRPr="00707BA9">
        <w:t xml:space="preserve"> and metabolism </w:t>
      </w:r>
      <w:r w:rsidRPr="00707BA9">
        <w:fldChar w:fldCharType="begin" w:fldLock="1"/>
      </w:r>
      <w:r w:rsidR="007C2FF9">
        <w:instrText>ADDIN CSL_CITATION { "citationItems" : [ { "id" : "ITEM-1", "itemData" : { "DOI" : "10.1016/j.phytochem.2011.04.008", "ISSN" : "1873-3700", "PMID" : "21601898", "abstract" : "Differences between the metabolic content of cultivars and their related wild species not only have implications for breeding and food quality, but also for the increasingly studied area of crop to wild introgression. Wild and cultivated western carrots belong to the same outcrossing species and hybridize under natural conditions. The metabolic fingerprinting of Dutch wild carrot and of western orange carrot cultivar shoots using (1)H NMR showed only quantitative differences in chemical content, indicating relatively low divergence after domestication. Main differences reside in the primary metabolite content and in the concentrations of chlorogenic acid and feruloyl quinic acid in the shoots of the different carrot types. Wild\u00d7cultivar hybrids cannot be distinguished from wild plants based on the metabolome, suggesting maternal, maternal environment, or dominance effects, and indicating high hybrid fitness in wild conditions. Considering these similarities, introgression is a real possibility in carrots, but understanding its consequences would require further studies using backcrosses in a multiple environments.", "author" : [ { "dropping-particle" : "", "family" : "Grebenstein", "given" : "C", "non-dropping-particle" : "", "parse-names" : false, "suffix" : "" }, { "dropping-particle" : "", "family" : "Choi", "given" : "Y H", "non-dropping-particle" : "", "parse-names" : false, "suffix" : "" }, { "dropping-particle" : "", "family" : "Rong", "given" : "J", "non-dropping-particle" : "", "parse-names" : false, "suffix" : "" }, { "dropping-particle" : "", "family" : "Jong", "given" : "T J", "non-dropping-particle" : "de", "parse-names" : false, "suffix" : "" }, { "dropping-particle" : "", "family" : "Tamis", "given" : "W L M", "non-dropping-particle" : "", "parse-names" : false, "suffix" : "" } ], "container-title" : "Phytochemistry", "id" : "ITEM-1", "issue" : "11-12", "issued" : { "date-parts" : [ [ "2011", "8" ] ] }, "page" : "1341-7", "publisher" : "Elsevier Ltd", "title" : "Metabolic fingerprinting reveals differences between shoots of wild and cultivated carrot (Daucus carota L.) and suggests maternal inheritance or wild trait dominance in hybrids.", "type" : "article-journal", "volume" : "72" }, "uris" : [ "http://www.mendeley.com/documents/?uuid=c51fe148-e978-4766-bab0-bff85c754667" ] }, { "id" : "ITEM-2", "itemData" : { "author" : [ { "dropping-particle" : "", "family" : "Orians", "given" : "CM", "non-dropping-particle" : "", "parse-names" : false, "suffix" : "" } ], "container-title" : "American Journal of Botany", "id" : "ITEM-2", "issue" : "12", "issued" : { "date-parts" : [ [ "2000" ] ] }, "page" : "1749-1756", "title" : "The Effects of Hybridization in Plants on Secondary Chemistry : Implications for the Ecology and Evolution of Plant-Herbivore Interactions", "type" : "article-journal", "volume" : "87" }, "uris" : [ "http://www.mendeley.com/documents/?uuid=44db25a2-0798-4c63-b4d7-306762a9a527", "http://www.mendeley.com/documents/?uuid=4ce87e9a-caea-416a-b624-c10ea8d6c628" ] } ], "mendeley" : { "formattedCitation" : "(Orians, 2000; Grebenstein et al., 2011)", "plainTextFormattedCitation" : "(Orians, 2000; Grebenstein et al., 2011)", "previouslyFormattedCitation" : "(Orians, 2000; Grebenstein et al., 2011)" }, "properties" : { "noteIndex" : 0 }, "schema" : "https://github.com/citation-style-language/schema/raw/master/csl-citation.json" }</w:instrText>
      </w:r>
      <w:r w:rsidRPr="00707BA9">
        <w:fldChar w:fldCharType="separate"/>
      </w:r>
      <w:r w:rsidRPr="006C4845">
        <w:rPr>
          <w:noProof/>
        </w:rPr>
        <w:t xml:space="preserve">(Orians, 2000; Grebenstein </w:t>
      </w:r>
      <w:r w:rsidRPr="006C4845">
        <w:rPr>
          <w:i/>
          <w:noProof/>
        </w:rPr>
        <w:t>et al.</w:t>
      </w:r>
      <w:r w:rsidRPr="006C4845">
        <w:rPr>
          <w:noProof/>
        </w:rPr>
        <w:t>, 2011)</w:t>
      </w:r>
      <w:r w:rsidRPr="00707BA9">
        <w:fldChar w:fldCharType="end"/>
      </w:r>
      <w:r w:rsidRPr="00707BA9">
        <w:t xml:space="preserve">. </w:t>
      </w:r>
      <w:r>
        <w:t>Typically mater</w:t>
      </w:r>
      <w:r w:rsidRPr="00707BA9">
        <w:t xml:space="preserve">nal effects influence seed based traits such as seed size </w:t>
      </w:r>
      <w:r w:rsidRPr="00707BA9">
        <w:fldChar w:fldCharType="begin" w:fldLock="1"/>
      </w:r>
      <w:r w:rsidR="007C2FF9">
        <w:instrText>ADDIN CSL_CITATION { "citationItems" : [ { "id" : "ITEM-1", "itemData" : { "author" : [ { "dropping-particle" : "", "family" : "Waller", "given" : "DM", "non-dropping-particle" : "", "parse-names" : false, "suffix" : "" } ], "container-title" : "American journal of botany", "id" : "ITEM-1", "issue" : "9", "issued" : { "date-parts" : [ [ "1982" ] ] }, "page" : "1470-1475", "title" : "FACTORS INFLUENCING SEED WEIGHT IN IMPATIENS CAPENSIS (BALSAMINACEAE", "type" : "article-journal", "volume" : "69" }, "uris" : [ "http://www.mendeley.com/documents/?uuid=3b356dbf-a0da-4687-8a92-506ed25be1fd", "http://www.mendeley.com/documents/?uuid=873677ee-fc2d-46e3-9488-3ff39462452f" ] } ], "mendeley" : { "formattedCitation" : "(Waller, 1982)", "plainTextFormattedCitation" : "(Waller, 1982)", "previouslyFormattedCitation" : "(Waller, 1982)" }, "properties" : { "noteIndex" : 0 }, "schema" : "https://github.com/citation-style-language/schema/raw/master/csl-citation.json" }</w:instrText>
      </w:r>
      <w:r w:rsidRPr="00707BA9">
        <w:fldChar w:fldCharType="separate"/>
      </w:r>
      <w:r w:rsidRPr="006C4845">
        <w:rPr>
          <w:noProof/>
        </w:rPr>
        <w:t>(Waller, 1982)</w:t>
      </w:r>
      <w:r w:rsidRPr="00707BA9">
        <w:fldChar w:fldCharType="end"/>
      </w:r>
      <w:r w:rsidRPr="00707BA9">
        <w:t xml:space="preserve"> and germination </w:t>
      </w:r>
      <w:r w:rsidRPr="00707BA9">
        <w:fldChar w:fldCharType="begin" w:fldLock="1"/>
      </w:r>
      <w:r w:rsidR="007C2FF9">
        <w:instrText>ADDIN CSL_CITATION { "citationItems" : [ { "id" : "ITEM-1", "itemData" : { "DOI" : "10.1614/WS-D-09-00006.1", "ISSN" : "0043-1745", "author" : [ { "dropping-particle" : "", "family" : "Figueroa", "given" : "Rodrigo", "non-dropping-particle" : "", "parse-names" : false, "suffix" : "" }, { "dropping-particle" : "", "family" : "Herms", "given" : "Daniel a.", "non-dropping-particle" : "", "parse-names" : false, "suffix" : "" }, { "dropping-particle" : "", "family" : "Cardina", "given" : "John", "non-dropping-particle" : "", "parse-names" : false, "suffix" : "" }, { "dropping-particle" : "", "family" : "Doohan", "given" : "Doug", "non-dropping-particle" : "", "parse-names" : false, "suffix" : "" } ], "container-title" : "Weed Science", "id" : "ITEM-1", "issue" : "2", "issued" : { "date-parts" : [ [ "2010", "4" ] ] }, "page" : "160-166", "title" : "Maternal Environment Effects on Common Groundsel (Senecio vulgaris) Seed Dormancy", "type" : "article-journal", "volume" : "58" }, "uris" : [ "http://www.mendeley.com/documents/?uuid=90d2dfe6-c910-4fd5-b4fc-ffdb15efb419" ] } ], "mendeley" : { "formattedCitation" : "(Figueroa et al., 2010)", "plainTextFormattedCitation" : "(Figueroa et al., 2010)", "previouslyFormattedCitation" : "(Figueroa et al., 2010)" }, "properties" : { "noteIndex" : 0 }, "schema" : "https://github.com/citation-style-language/schema/raw/master/csl-citation.json" }</w:instrText>
      </w:r>
      <w:r w:rsidRPr="00707BA9">
        <w:fldChar w:fldCharType="separate"/>
      </w:r>
      <w:r w:rsidRPr="006C4845">
        <w:rPr>
          <w:noProof/>
        </w:rPr>
        <w:t xml:space="preserve">(Figueroa </w:t>
      </w:r>
      <w:r w:rsidRPr="006C4845">
        <w:rPr>
          <w:i/>
          <w:noProof/>
        </w:rPr>
        <w:t>et al.</w:t>
      </w:r>
      <w:r w:rsidRPr="006C4845">
        <w:rPr>
          <w:noProof/>
        </w:rPr>
        <w:t>, 2010)</w:t>
      </w:r>
      <w:r w:rsidRPr="00707BA9">
        <w:fldChar w:fldCharType="end"/>
      </w:r>
      <w:r w:rsidRPr="00707BA9">
        <w:t xml:space="preserve">. </w:t>
      </w:r>
      <w:r>
        <w:t xml:space="preserve">Further investigation of the role of maternal effects on trait variation in sand dune species is required to ensure than other processes such as epigenetic effects are not causing the same patterns of trait expression. </w:t>
      </w:r>
    </w:p>
    <w:p w14:paraId="58E47537" w14:textId="77777777" w:rsidR="0052730F" w:rsidRDefault="0052730F" w:rsidP="0052730F">
      <w:pPr>
        <w:pStyle w:val="SubheadingJB"/>
      </w:pPr>
    </w:p>
    <w:p w14:paraId="4F719479" w14:textId="77777777" w:rsidR="0052730F" w:rsidRDefault="0052730F" w:rsidP="0052730F">
      <w:pPr>
        <w:pStyle w:val="SubheadingJB"/>
      </w:pPr>
    </w:p>
    <w:p w14:paraId="5359D4ED" w14:textId="77777777" w:rsidR="0052730F" w:rsidRDefault="0052730F" w:rsidP="00B66E45">
      <w:pPr>
        <w:pStyle w:val="SubheadingJB"/>
      </w:pPr>
      <w:bookmarkStart w:id="104" w:name="_Toc291410107"/>
      <w:r w:rsidRPr="00063B3E">
        <w:t xml:space="preserve">7.3- </w:t>
      </w:r>
      <w:r>
        <w:t>Metabolic variation in the dune community</w:t>
      </w:r>
      <w:bookmarkEnd w:id="104"/>
    </w:p>
    <w:p w14:paraId="384A6250" w14:textId="6BD24947" w:rsidR="0052730F" w:rsidRDefault="0052730F" w:rsidP="0052730F">
      <w:pPr>
        <w:pStyle w:val="BodyJB"/>
        <w:ind w:firstLine="720"/>
      </w:pPr>
      <w:r w:rsidRPr="0062579E">
        <w:t xml:space="preserve">Study of the metabolome should provide interesting insights when addressing ecological questions relating plants to the environment.  When plants are responding to environmental variation via phenotypic plasticity they ameliorate the impacts of environmental change directly at the metabolic level of organisation. There are many metabolic traits associated with tolerance and amelioration of environmental stresses including, drought </w:t>
      </w:r>
      <w:r w:rsidRPr="0062579E">
        <w:fldChar w:fldCharType="begin" w:fldLock="1"/>
      </w:r>
      <w:r w:rsidR="007C2FF9" w:rsidRPr="0062579E">
        <w:instrText>ADDIN CSL_CITATION { "citationItems" : [ { "id" : "ITEM-1", "itemData" : { "DOI" : "10.1093/mp/ssr114", "ISSN" : "1752-9867", "PMID" : "22207720", "abstract" : "Drought has serious effects on the physiology of cereal crops. At the cellular and specifically the metabolite level, many individual compounds are increased to provide osmoprotective functions, prevent the dissociation of enzymes, and to decrease the number of reactive oxygen species present in the cell. We have used a targeted GC-MS approach to identify compounds that differ in three different cultivars of bread wheat characterized by different levels of tolerance to drought under drought stress (Kukri, intolerant; Excalibur and RAC875, tolerant). Levels of amino acids, most notably proline, tryptophan, and the branched chain amino acids leucine, isoleucine, and valine were increased under drought stress in all cultivars. In the two tolerant cultivars, a small decrease in a large number of organic acids was also evident. Excalibur, a cultivar genotypically related to Kukri, showed a pattern of response that was more similar to Kukri under well-watered conditions. Under drought stress, Excalibur and RAC875 had a similar response; however, Excalibur did not have the same magnitude of response as RAC875. Here, the results are discussed in the context of previous work in physiological and proteomic analyses of these cultivars under drought stress.", "author" : [ { "dropping-particle" : "", "family" : "Bowne", "given" : "Jairus B", "non-dropping-particle" : "", "parse-names" : false, "suffix" : "" }, { "dropping-particle" : "", "family" : "Erwin", "given" : "Tim a", "non-dropping-particle" : "", "parse-names" : false, "suffix" : "" }, { "dropping-particle" : "", "family" : "Juttner", "given" : "Juan", "non-dropping-particle" : "", "parse-names" : false, "suffix" : "" }, { "dropping-particle" : "", "family" : "Schnurbusch", "given" : "Thorsten", "non-dropping-particle" : "", "parse-names" : false, "suffix" : "" }, { "dropping-particle" : "", "family" : "Langridge", "given" : "Peter", "non-dropping-particle" : "", "parse-names" : false, "suffix" : "" }, { "dropping-particle" : "", "family" : "Bacic", "given" : "Antony", "non-dropping-particle" : "", "parse-names" : false, "suffix" : "" }, { "dropping-particle" : "", "family" : "Roessner", "given" : "Ute", "non-dropping-particle" : "", "parse-names" : false, "suffix" : "" } ], "container-title" : "Molecular plant", "id" : "ITEM-1", "issue" : "2", "issued" : { "date-parts" : [ [ "2012", "3" ] ] }, "page" : "418-29", "title" : "Drought responses of leaf tissues from wheat cultivars of differing drought tolerance at the metabolite level.", "type" : "article-journal", "volume" : "5" }, "uris" : [ "http://www.mendeley.com/documents/?uuid=75d83b7d-816d-4f3e-86d8-40cd3594d2e3" ] } ], "mendeley" : { "formattedCitation" : "(Bowne et al., 2012)", "plainTextFormattedCitation" : "(Bowne et al., 2012)", "previouslyFormattedCitation" : "(Bowne et al., 2012)" }, "properties" : { "noteIndex" : 0 }, "schema" : "https://github.com/citation-style-language/schema/raw/master/csl-citation.json" }</w:instrText>
      </w:r>
      <w:r w:rsidRPr="0062579E">
        <w:fldChar w:fldCharType="separate"/>
      </w:r>
      <w:r w:rsidRPr="0062579E">
        <w:rPr>
          <w:noProof/>
        </w:rPr>
        <w:t xml:space="preserve">(Bowne </w:t>
      </w:r>
      <w:r w:rsidRPr="0062579E">
        <w:rPr>
          <w:i/>
          <w:noProof/>
        </w:rPr>
        <w:t>et al.</w:t>
      </w:r>
      <w:r w:rsidRPr="0062579E">
        <w:rPr>
          <w:noProof/>
        </w:rPr>
        <w:t>, 2012)</w:t>
      </w:r>
      <w:r w:rsidRPr="0062579E">
        <w:fldChar w:fldCharType="end"/>
      </w:r>
      <w:r w:rsidRPr="0062579E">
        <w:t xml:space="preserve">, temperature </w:t>
      </w:r>
      <w:r w:rsidRPr="0062579E">
        <w:fldChar w:fldCharType="begin" w:fldLock="1"/>
      </w:r>
      <w:r w:rsidR="007C2FF9" w:rsidRPr="0062579E">
        <w:instrText>ADDIN CSL_CITATION { "citationItems" : [ { "id" : "ITEM-1", "itemData" : { "DOI" : "10.1111/j.1399-3054.2005.00507.x", "ISSN" : "0031-9317", "author" : [ { "dropping-particle" : "", "family" : "Gray", "given" : "Gordon R.", "non-dropping-particle" : "", "parse-names" : false, "suffix" : "" }, { "dropping-particle" : "", "family" : "Heath", "given" : "Doug", "non-dropping-particle" : "", "parse-names" : false, "suffix" : "" } ], "container-title" : "Physiologia Plantarum", "id" : "ITEM-1", "issue" : "2", "issued" : { "date-parts" : [ [ "2005", "6" ] ] }, "page" : "236-248", "title" : "A global reorganization of the metabolome in Arabidopsis during cold acclimation is revealed by metabolic fingerprinting", "type" : "article-journal", "volume" : "124" }, "uris" : [ "http://www.mendeley.com/documents/?uuid=13ae7866-faa1-4f08-adaa-d8e2abe7f31e" ] }, { "id" : "ITEM-2", "itemData" : { "DOI" : "10.1007/s11306-008-0127-1", "ISSN" : "1573-3882", "author" : [ { "dropping-particle" : "", "family" : "Davey", "given" : "Matthew P.", "non-dropping-particle" : "", "parse-names" : false, "suffix" : "" }, { "dropping-particle" : "", "family" : "Ian Woodward", "given" : "F.", "non-dropping-particle" : "", "parse-names" : false, "suffix" : "" }, { "dropping-particle" : "", "family" : "Paul Quick", "given" : "W.", "non-dropping-particle" : "", "parse-names" : false, "suffix" : "" } ], "container-title" : "Metabolomics", "id" : "ITEM-2", "issue" : "1", "issued" : { "date-parts" : [ [ "2008", "9", "2" ] ] }, "page" : "138-149", "title" : "Intraspecfic variation in cold-temperature metabolic phenotypes of Arabidopsis lyrata ssp. petraea", "type" : "article-journal", "volume" : "5" }, "uris" : [ "http://www.mendeley.com/documents/?uuid=23390ae3-b215-454d-88b9-0139808db8df" ] }, { "id" : "ITEM-3", "itemData" : { "DOI" : "Doi 10.1111/J.1399-3054.2007.00999.X", "ISBN" : "0031-9317", "abstract" : "Plants possess inducible tolerance mechanisms that extend the temperature range for survival during acute temperature stress. The inducible mechanisms of cold acclimation and acquired thermotolerance involve highly complex processes. These include perception and signal transduction of non-optimal temperatures or their physical consequences on cellular components that program extensive modification of the transcriptome, proteome, metabolome and composition and physical structure of the cytoplasm, membranes and cell walls. Therefore, a systems biology approach will be necessary to advance the understanding of plant stress responses and tolerance mechanisms. One promise of systems biology is that it will greatly enhance our understanding of individual and collective functions and thereby provide a more holistic view of plant stress responses. Past studies have found that several metabolites that could functionally contribute to induced stress tolerance have been associated with stress responses. Recent metabolite-profiling studies have refocused attention on these and other potentially important components found in the 'temperature-stress metabolome'. These metabolomic studies have demonstrated that active reconfiguration of the metabolome is regulated in part by changes in gene expression initiated by temperature-stress-activated signaling and stress-related transcription factors. One aspect of metabolism that is consistent across all of the temperature-stress metabolomic studies to date is the prominent role of central carbohydrate metabolism, which seems to be a major feature of the reprogramming of the metabolome during temperature stress. Future metabolomic studies of plant temperature-stress responses should reveal additional metabolic pathways that have important functions in temperature-stress tolerance mechanisms.", "author" : [ { "dropping-particle" : "", "family" : "Guy", "given" : "C", "non-dropping-particle" : "", "parse-names" : false, "suffix" : "" }, { "dropping-particle" : "", "family" : "Kaplan", "given" : "F", "non-dropping-particle" : "", "parse-names" : false, "suffix" : "" }, { "dropping-particle" : "", "family" : "Kopka", "given" : "J", "non-dropping-particle" : "", "parse-names" : false, "suffix" : "" }, { "dropping-particle" : "", "family" : "Selbig", "given" : "J", "non-dropping-particle" : "", "parse-names" : false, "suffix" : "" }, { "dropping-particle" : "", "family" : "Hincha", "given" : "D K", "non-dropping-particle" : "", "parse-names" : false, "suffix" : "" } ], "container-title" : "Physiologia Plantarum", "id" : "ITEM-3", "issue" : "2", "issued" : { "date-parts" : [ [ "2008" ] ] }, "language" : "English", "page" : "220-235", "title" : "Metabolomics of temperature stress", "type" : "article-journal", "volume" : "132" }, "uris" : [ "http://www.mendeley.com/documents/?uuid=fbd425ec-a6b7-42b6-893f-f91ebde17ec7" ] } ], "mendeley" : { "formattedCitation" : "(Gray and Heath, 2005; Guy et al., 2008; Davey et al., 2008b)", "plainTextFormattedCitation" : "(Gray and Heath, 2005; Guy et al., 2008; Davey et al., 2008b)", "previouslyFormattedCitation" : "(Gray and Heath, 2005; Guy et al., 2008; Davey et al., 2008b)" }, "properties" : { "noteIndex" : 0 }, "schema" : "https://github.com/citation-style-language/schema/raw/master/csl-citation.json" }</w:instrText>
      </w:r>
      <w:r w:rsidRPr="0062579E">
        <w:fldChar w:fldCharType="separate"/>
      </w:r>
      <w:r w:rsidR="00134C22" w:rsidRPr="0062579E">
        <w:rPr>
          <w:noProof/>
        </w:rPr>
        <w:t>(Gray and Heath, 2005; Guy et al., 2008; Davey et al., 2008b)</w:t>
      </w:r>
      <w:r w:rsidRPr="0062579E">
        <w:fldChar w:fldCharType="end"/>
      </w:r>
      <w:r w:rsidRPr="0062579E">
        <w:t xml:space="preserve">, salinity </w:t>
      </w:r>
      <w:r w:rsidRPr="0062579E">
        <w:fldChar w:fldCharType="begin" w:fldLock="1"/>
      </w:r>
      <w:r w:rsidR="007C2FF9" w:rsidRPr="0062579E">
        <w:instrText>ADDIN CSL_CITATION { "citationItems" : [ { "id" : "ITEM-1", "itemData" : { "author" : [ { "dropping-particle" : "", "family" : "Zhang", "given" : "Jingtao", "non-dropping-particle" : "", "parse-names" : false, "suffix" : "" }, { "dropping-particle" : "", "family" : "Zhang", "given" : "Yong", "non-dropping-particle" : "", "parse-names" : false, "suffix" : "" }, { "dropping-particle" : "", "family" : "Du", "given" : "Yuanyuan", "non-dropping-particle" : "", "parse-names" : false, "suffix" : "" }, { "dropping-particle" : "", "family" : "Chen", "given" : "Shiyun", "non-dropping-particle" : "", "parse-names" : false, "suffix" : "" }, { "dropping-particle" : "", "family" : "Tang", "given" : "Huiru", "non-dropping-particle" : "", "parse-names" : false, "suffix" : "" } ], "id" : "ITEM-1", "issued" : { "date-parts" : [ [ "2011" ] ] }, "page" : "1904-1914", "title" : "Dynamic Metabonomic Responses of Tobacco ( Nicotiana tabacum ) Plants to Salt Stress", "type" : "article-journal" }, "uris" : [ "http://www.mendeley.com/documents/?uuid=e8fb7a9b-0aa0-42b5-be42-da7d94f181cd" ] }, { "id" : "ITEM-2", "itemData" : { "DOI" : "10.1186/gb-2005-6-12-r101", "ISSN" : "1465-6914", "PMID" : "16356264", "abstract" : "Plants growing in their natural habitat represent a valuable resource for elucidating mechanisms of acclimation to environmental constraints. Populus euphratica is a salt-tolerant tree species growing in saline semi-arid areas. To identify genes involved in abiotic stress responses under natural conditions we constructed several normalized and subtracted cDNA libraries from control, stress-exposed and desert-grown P. euphratica trees. In addition, we identified several metabolites in desert-grown P. euphratica trees.", "author" : [ { "dropping-particle" : "", "family" : "Brosch\u00e9", "given" : "Mikael", "non-dropping-particle" : "", "parse-names" : false, "suffix" : "" }, { "dropping-particle" : "", "family" : "Vinocur", "given" : "Basia", "non-dropping-particle" : "", "parse-names" : false, "suffix" : "" }, { "dropping-particle" : "", "family" : "Alatalo", "given" : "Edward R", "non-dropping-particle" : "", "parse-names" : false, "suffix" : "" }, { "dropping-particle" : "", "family" : "Lamminm\u00e4ki", "given" : "Airi", "non-dropping-particle" : "", "parse-names" : false, "suffix" : "" }, { "dropping-particle" : "", "family" : "Teichmann", "given" : "Thomas", "non-dropping-particle" : "", "parse-names" : false, "suffix" : "" }, { "dropping-particle" : "", "family" : "Ottow", "given" : "Eric a", "non-dropping-particle" : "", "parse-names" : false, "suffix" : "" }, { "dropping-particle" : "", "family" : "Djilianov", "given" : "Dimitar", "non-dropping-particle" : "", "parse-names" : false, "suffix" : "" }, { "dropping-particle" : "", "family" : "Afif", "given" : "Dany", "non-dropping-particle" : "", "parse-names" : false, "suffix" : "" }, { "dropping-particle" : "", "family" : "Bogeat-Triboulot", "given" : "Marie-B\u00e9atrice", "non-dropping-particle" : "", "parse-names" : false, "suffix" : "" }, { "dropping-particle" : "", "family" : "Altman", "given" : "Arie", "non-dropping-particle" : "", "parse-names" : false, "suffix" : "" }, { "dropping-particle" : "", "family" : "Polle", "given" : "Andrea", "non-dropping-particle" : "", "parse-names" : false, "suffix" : "" }, { "dropping-particle" : "", "family" : "Dreyer", "given" : "Erwin", "non-dropping-particle" : "", "parse-names" : false, "suffix" : "" }, { "dropping-particle" : "", "family" : "Rudd", "given" : "Stephen", "non-dropping-particle" : "", "parse-names" : false, "suffix" : "" }, { "dropping-particle" : "", "family" : "Paulin", "given" : "Lars", "non-dropping-particle" : "", "parse-names" : false, "suffix" : "" }, { "dropping-particle" : "", "family" : "Auvinen", "given" : "Petri", "non-dropping-particle" : "", "parse-names" : false, "suffix" : "" }, { "dropping-particle" : "", "family" : "Kangasj\u00e4rvi", "given" : "Jaakko", "non-dropping-particle" : "", "parse-names" : false, "suffix" : "" } ], "container-title" : "Genome biology", "id" : "ITEM-2", "issue" : "12", "issued" : { "date-parts" : [ [ "2005", "1" ] ] }, "page" : "R101", "title" : "Gene expression and metabolite profiling of Populus euphratica growing in the Negev desert.", "type" : "article-journal", "volume" : "6" }, "uris" : [ "http://www.mendeley.com/documents/?uuid=160ef6e1-85da-40cd-9ce0-06d7b343cf91" ] } ], "mendeley" : { "formattedCitation" : "(Brosch\u00e9 et al., 2005; Zhang et al., 2011)", "plainTextFormattedCitation" : "(Brosch\u00e9 et al., 2005; Zhang et al., 2011)", "previouslyFormattedCitation" : "(Brosch\u00e9 et al., 2005; Zhang et al., 2011)" }, "properties" : { "noteIndex" : 0 }, "schema" : "https://github.com/citation-style-language/schema/raw/master/csl-citation.json" }</w:instrText>
      </w:r>
      <w:r w:rsidRPr="0062579E">
        <w:fldChar w:fldCharType="separate"/>
      </w:r>
      <w:r w:rsidRPr="0062579E">
        <w:rPr>
          <w:noProof/>
          <w:lang w:val="fr-FR"/>
        </w:rPr>
        <w:t xml:space="preserve">(Brosché </w:t>
      </w:r>
      <w:r w:rsidRPr="0062579E">
        <w:rPr>
          <w:i/>
          <w:noProof/>
          <w:lang w:val="fr-FR"/>
        </w:rPr>
        <w:t>et al.</w:t>
      </w:r>
      <w:r w:rsidRPr="0062579E">
        <w:rPr>
          <w:noProof/>
          <w:lang w:val="fr-FR"/>
        </w:rPr>
        <w:t xml:space="preserve">, 2005; Zhang </w:t>
      </w:r>
      <w:r w:rsidRPr="0062579E">
        <w:rPr>
          <w:i/>
          <w:noProof/>
          <w:lang w:val="fr-FR"/>
        </w:rPr>
        <w:t>et al.</w:t>
      </w:r>
      <w:r w:rsidRPr="0062579E">
        <w:rPr>
          <w:noProof/>
          <w:lang w:val="fr-FR"/>
        </w:rPr>
        <w:t>, 2011)</w:t>
      </w:r>
      <w:r w:rsidRPr="0062579E">
        <w:fldChar w:fldCharType="end"/>
      </w:r>
      <w:r w:rsidRPr="0062579E">
        <w:t>,</w:t>
      </w:r>
      <w:r w:rsidRPr="0062579E">
        <w:rPr>
          <w:lang w:val="fr-FR"/>
        </w:rPr>
        <w:t xml:space="preserve"> nutrient availability </w:t>
      </w:r>
      <w:r w:rsidRPr="0062579E">
        <w:fldChar w:fldCharType="begin" w:fldLock="1"/>
      </w:r>
      <w:r w:rsidR="007C2FF9" w:rsidRPr="0062579E">
        <w:rPr>
          <w:lang w:val="fr-FR"/>
        </w:rPr>
        <w:instrText>ADDIN CSL_CITATION { "citationItems" : [ { "id" : "ITEM-1", "itemData" : { "DOI" : "Doi 10.1073/Pnas.0403218101", "ISBN" : "0027-8424", "abstract" : "Plant metabolism is a complex set of processes that produce a wide diversity of foods, woods, and medicines. With the genome sequences of Arabidopsis and rice in hands, postgenomics studies integrating all \"omics\" sciences can depict precise pictures of a whole-cellular process. Here, we present, to our knowledge, the first report of investigation for gene-to-metabolite networks regulating sulfur and nitrogen nutrition and secondary metabolism in Arabidopsis, with integration of metabolomics and transcriptomics. Transcriptome and metabolome analyses were carried out, respectively, with DNA macroarray and several chemical analytical methods, including ultra high-resolution Fourier transform-ion cyclotron MS. Mathematical analyses, including principal component analysis and batch-learning self-organizing map analysis of transcriptome and metabolome data suggested the presence of general responses to sulfur and nitrogen deficiencies. In addition, specific responses to either sulfur or nitrogen deficiency were observed in several metabolic pathways: in particular, the genes and metabolites involved in glucosinolate metabolism were shown to be coordinately modulated. Understanding such gene-to-metabolite networks in primary and secondary metabolism through integration of transcriptomics and metabolomics can lead to identification of gene function and subsequent improvement of production of useful compounds in plants.", "author" : [ { "dropping-particle" : "", "family" : "Hirai", "given" : "M Y", "non-dropping-particle" : "", "parse-names" : false, "suffix" : "" }, { "dropping-particle" : "", "family" : "Yano", "given" : "M", "non-dropping-particle" : "", "parse-names" : false, "suffix" : "" }, { "dropping-particle" : "", "family" : "Goodenowe", "given" : "D B", "non-dropping-particle" : "", "parse-names" : false, "suffix" : "" }, { "dropping-particle" : "", "family" : "Kanaya", "given" : "S", "non-dropping-particle" : "", "parse-names" : false, "suffix" : "" }, { "dropping-particle" : "", "family" : "Kimura", "given" : "T", "non-dropping-particle" : "", "parse-names" : false, "suffix" : "" }, { "dropping-particle" : "", "family" : "Awazuhara", "given" : "M", "non-dropping-particle" : "", "parse-names" : false, "suffix" : "" }, { "dropping-particle" : "", "family" : "Arita", "given" : "M", "non-dropping-particle" : "", "parse-names" : false, "suffix" : "" }, { "dropping-particle" : "", "family" : "Fujiwara", "given" : "T", "non-dropping-particle" : "", "parse-names" : false, "suffix" : "" }, { "dropping-particle" : "", "family" : "Saito", "given" : "K", "non-dropping-particle" : "", "parse-names" : false, "suffix" : "" } ], "container-title" : "Proceedings of the National Academy of Sciences of the United States of America", "id" : "ITEM-1", "issue" : "27", "issued" : { "date-parts" : [ [ "2004" ] ] }, "language" : "English", "page" : "10205-10210", "title" : "Integration of transcriptomics and metabolomics for understanding of global responses to nutritional stresses in Arabidopsis thaliana", "type" : "article-journal", "volume" : "101" }, "uris" : [ "http://www.mendeley.com/documents/?uuid=04e5771c-f09d-4f3c-b4e6-bd3d16942150" ] }, { "id" : "ITEM-2", "itemData" : { "DOI" : "10.1104/pp.105.071589.2", "abstract" : "A metabolite profiling technique for Chlamydomonas reinhardtii cells for multiparallel analysis of low-molecular weight polar compounds was developed. The experimental protocol was optimized to quickly inactivate enzymatic activity, achieve maximum extraction capacity, and process large sample quantities. As a result of the rapid sampling, extraction, and analysis by gas chromatography coupled to time-of-flight mass spectrometry, more than 800 analytes from a single sample could be measured, of which more than 100 could be identified. Analyte responses could be determined mostly with SEs less than 10%. Wild-type cells of C. reinhardtii strain CC-125 subjected to nitrogen-, phosphorus-, sulfur-, or iron-depleted growth conditions develop highly distinctive metabolite profiles. Individual metabolites undergo marked changes in their steady-state levels. Compared to control conditions, sulfur-depleted cells accumulated 4-hydroxyproline more than 50-fold, whereas the amount of 2-ketovaline was reduced to 2% of control levels. The contribution of each compound to the differences observed in the metabolic phenotypes is summarized in a quantitatively rigorous way by principal component analysis, which clearly discriminates the cells from different growth regimes and indicates that phosphorus-depleted conditions induce a deficiency syndrome quite different from the response to nitrogen, sulfur, or iron starvation.", "author" : [ { "dropping-particle" : "", "family" : "B\u00f6lling", "given" : "Christian", "non-dropping-particle" : "", "parse-names" : false, "suffix" : "" }, { "dropping-particle" : "", "family" : "Fiehn", "given" : "Oliver", "non-dropping-particle" : "", "parse-names" : false, "suffix" : "" } ], "container-title" : "Plant Physiology", "id" : "ITEM-2", "issue" : "4", "issued" : { "date-parts" : [ [ "2005" ] ] }, "page" : "1995-2005", "title" : "Metabolite profiling of &lt;i&gt;Chlamydomonas reinhardti&lt;/i&gt; under nutrient deprivation", "type" : "article-journal", "volume" : "139" }, "uris" : [ "http://www.mendeley.com/documents/?uuid=3d4e0b4a-a13c-4ec9-b002-08385ac4c930" ] } ], "mendeley" : { "formattedCitation" : "(Hirai et al., 2004; B\u00f6lling and Fiehn, 2005)", "plainTextFormattedCitation" : "(Hirai et al., 2004; B\u00f6lling and Fiehn, 2005)", "previouslyFormattedCitation" : "(Hirai et al., 2004; B\u00f6lling and Fiehn, 2005)" }, "properties" : { "noteIndex" : 0 }, "schema" : "https://github.com/citation-style-language/schema/raw/master/csl-citation.json" }</w:instrText>
      </w:r>
      <w:r w:rsidRPr="0062579E">
        <w:fldChar w:fldCharType="separate"/>
      </w:r>
      <w:r w:rsidR="00134C22" w:rsidRPr="0062579E">
        <w:rPr>
          <w:noProof/>
        </w:rPr>
        <w:t>(Hirai et al., 2004; Bölling and Fiehn, 2005)</w:t>
      </w:r>
      <w:r w:rsidRPr="0062579E">
        <w:fldChar w:fldCharType="end"/>
      </w:r>
      <w:r w:rsidRPr="0062579E">
        <w:t xml:space="preserve">, and pollutants </w:t>
      </w:r>
      <w:r w:rsidRPr="0062579E">
        <w:fldChar w:fldCharType="begin" w:fldLock="1"/>
      </w:r>
      <w:r w:rsidR="007C2FF9" w:rsidRPr="0062579E">
        <w:instrText>ADDIN CSL_CITATION { "citationItems" : [ { "id" : "ITEM-1", "itemData" : { "DOI" : "10.1016/j.chemosphere.2009.11.045", "ISSN" : "1879-1298", "PMID" : "20044121", "abstract" : "The metabolic responses of Arabidopsis thaliana to cadmium exposure was characterized in this study. A. thaliana was cultivated in medium contaminated with different cadmium concentrations (0, 5 and 50microM, respectively) for 2weeks. Metabolite analyses were performed using gas chromatography-mass spectrometry. More than 80 metabolites characterized by retention time indices and specific mass fragments were identified. The levels of carbohydrates, organic acids, amino acids, and other stress-responsive metabolites changed under cadmium stress. Treated plants showed increased levels of Ala, beta-ala, Pro, Ser, putrescine, Suc and other metabolites with compatible solute-like properties, notably 4-aminobutyric acid, glycerol, raffinose and trehalose, compared to control (untreated) plants. Studies indicated that concentrations of antioxidants (alfa-tocopherol, campesterol, beta-sitosterol and isoflavone) also increased significantly. These results confirm the important role of antioxidant defences in the mechanisms of plant-resistance to cadmium stress. Our results suggested that metabolic profiling is a powerful tool that can rapidly classify environmentally modified plants and simplify the process of cadmium-stress responses. These data will be helpful for better understanding of mechanisms of plant adaptation to cadmium stress at the metabolite level.", "author" : [ { "dropping-particle" : "", "family" : "Sun", "given" : "Xiumei", "non-dropping-particle" : "", "parse-names" : false, "suffix" : "" }, { "dropping-particle" : "", "family" : "Zhang", "given" : "Jixiu", "non-dropping-particle" : "", "parse-names" : false, "suffix" : "" }, { "dropping-particle" : "", "family" : "Zhang", "given" : "Haijun", "non-dropping-particle" : "", "parse-names" : false, "suffix" : "" }, { "dropping-particle" : "", "family" : "Ni", "given" : "Yuwen", "non-dropping-particle" : "", "parse-names" : false, "suffix" : "" }, { "dropping-particle" : "", "family" : "Zhang", "given" : "Qing", "non-dropping-particle" : "", "parse-names" : false, "suffix" : "" }, { "dropping-particle" : "", "family" : "Chen", "given" : "Jiping", "non-dropping-particle" : "", "parse-names" : false, "suffix" : "" }, { "dropping-particle" : "", "family" : "Guan", "given" : "Yafeng", "non-dropping-particle" : "", "parse-names" : false, "suffix" : "" } ], "container-title" : "Chemosphere", "id" : "ITEM-1", "issue" : "7", "issued" : { "date-parts" : [ [ "2010", "2" ] ] }, "page" : "840-5", "publisher" : "Elsevier Ltd", "title" : "The responses of Arabidopsis thaliana to cadmium exposure explored via metabolite profiling.", "type" : "article-journal", "volume" : "78" }, "uris" : [ "http://www.mendeley.com/documents/?uuid=3ca4f55f-6097-451e-9932-3f62e271beb1" ] } ], "mendeley" : { "formattedCitation" : "(Sun et al., 2010)", "plainTextFormattedCitation" : "(Sun et al., 2010)", "previouslyFormattedCitation" : "(Sun et al., 2010)" }, "properties" : { "noteIndex" : 0 }, "schema" : "https://github.com/citation-style-language/schema/raw/master/csl-citation.json" }</w:instrText>
      </w:r>
      <w:r w:rsidRPr="0062579E">
        <w:fldChar w:fldCharType="separate"/>
      </w:r>
      <w:r w:rsidRPr="0062579E">
        <w:rPr>
          <w:noProof/>
        </w:rPr>
        <w:t xml:space="preserve">(Sun </w:t>
      </w:r>
      <w:r w:rsidRPr="0062579E">
        <w:rPr>
          <w:i/>
          <w:noProof/>
        </w:rPr>
        <w:t>et al.</w:t>
      </w:r>
      <w:r w:rsidRPr="0062579E">
        <w:rPr>
          <w:noProof/>
        </w:rPr>
        <w:t>, 2010)</w:t>
      </w:r>
      <w:r w:rsidRPr="0062579E">
        <w:fldChar w:fldCharType="end"/>
      </w:r>
      <w:r w:rsidRPr="0062579E">
        <w:t xml:space="preserve">. Changes in metabolism also underpin plant phenological and morphological traits. Fingerprinting the whole metabolome provides a ‘whole plant’ phenotype. Chapter 4 utilised this approach of analysing multiple plant phenotypes simultaneous, to determine whether inherent genetic differences between populations resulted in metabolic adaptations. </w:t>
      </w:r>
      <w:r w:rsidR="0062579E" w:rsidRPr="0062579E">
        <w:t xml:space="preserve">In accordance with </w:t>
      </w:r>
      <w:r w:rsidR="0062579E" w:rsidRPr="0062579E">
        <w:rPr>
          <w:b/>
        </w:rPr>
        <w:t>Aim 2</w:t>
      </w:r>
      <w:r w:rsidR="0062579E" w:rsidRPr="0062579E">
        <w:t xml:space="preserve"> metabolomic techniques </w:t>
      </w:r>
      <w:r w:rsidR="00D53C66">
        <w:t xml:space="preserve">used </w:t>
      </w:r>
      <w:r w:rsidR="0062579E" w:rsidRPr="0062579E">
        <w:t xml:space="preserve">in chapter 3, successfully discovered suites of traits up-regulated by different species.  </w:t>
      </w:r>
      <w:r w:rsidRPr="0062579E">
        <w:t xml:space="preserve">Metabolic features that discriminated </w:t>
      </w:r>
      <w:r w:rsidRPr="0062579E">
        <w:rPr>
          <w:i/>
        </w:rPr>
        <w:t>Senecio vulgaris</w:t>
      </w:r>
      <w:r w:rsidRPr="0062579E">
        <w:t xml:space="preserve"> from the other species were putatively identified as pyrrolizidine alkaloids (PAs). This result complemented other studies that suggest PAs are </w:t>
      </w:r>
      <w:r w:rsidR="0062579E" w:rsidRPr="0062579E">
        <w:t>mainly</w:t>
      </w:r>
      <w:r w:rsidRPr="0062579E">
        <w:t xml:space="preserve"> </w:t>
      </w:r>
      <w:r w:rsidR="0062579E" w:rsidRPr="0062579E">
        <w:t>conserved</w:t>
      </w:r>
      <w:r w:rsidRPr="0062579E">
        <w:t xml:space="preserve"> to the </w:t>
      </w:r>
      <w:r w:rsidRPr="0062579E">
        <w:rPr>
          <w:i/>
        </w:rPr>
        <w:t>Senecio</w:t>
      </w:r>
      <w:r w:rsidRPr="0062579E">
        <w:t xml:space="preserve"> genus </w:t>
      </w:r>
      <w:r w:rsidR="007C2FF9" w:rsidRPr="0062579E">
        <w:fldChar w:fldCharType="begin" w:fldLock="1"/>
      </w:r>
      <w:r w:rsidR="007C1C5F" w:rsidRPr="0062579E">
        <w:instrText>ADDIN CSL_CITATION { "citationItems" : [ { "id" : "ITEM-1", "itemData" : { "author" : [ { "dropping-particle" : "", "family" : "Langal", "given" : "D", "non-dropping-particle" : "", "parse-names" : false, "suffix" : "" }, { "dropping-particle" : "", "family" : "Ober", "given" : "D", "non-dropping-particle" : "", "parse-names" : false, "suffix" : "" }, { "dropping-particle" : "", "family" : "Pelse", "given" : "P", "non-dropping-particle" : "", "parse-names" : false, "suffix" : "" } ], "container-title" : "Phytochemical Reviews", "id" : "ITEM-1", "issued" : { "date-parts" : [ [ "2011" ] ] }, "page" : "3-74", "title" : "The evolution of pyrrolizidine alkaloid biosynthesis and diversity in the Senecioneae", "type" : "article-journal", "volume" : "10" }, "uris" : [ "http://www.mendeley.com/documents/?uuid=bfc78de6-4b67-4df5-b3a2-ebd2f7bb3c47" ] }, { "id" : "ITEM-2", "itemData" : { "DOI" : "10.1016/S0176-1617(86)80085-2", "ISSN" : "01761617", "author" : [ { "dropping-particle" : "", "family" : "Hartmann", "given" : "Thomas", "non-dropping-particle" : "", "parse-names" : false, "suffix" : "" }, { "dropping-particle" : "", "family" : "Zimmer", "given" : "Michael", "non-dropping-particle" : "", "parse-names" : false, "suffix" : "" } ], "container-title" : "Journal of Plant Physiology", "id" : "ITEM-2", "issue" : "1", "issued" : { "date-parts" : [ [ "1986", "1" ] ] }, "page" : "67-80", "publisher" : "Gustav Fischer Verlag, Stuttgart", "title" : "Organ-specific Distribution and Accumulation of Pyrrolizidine Alkaloids during the Life History of two Annual Senecio Species", "type" : "article-journal", "volume" : "122" }, "uris" : [ "http://www.mendeley.com/documents/?uuid=70154838-12ec-449f-ae5d-fa4f334fc734" ] } ], "mendeley" : { "formattedCitation" : "(Hartmann and Zimmer, 1986; Langal et al., 2011)", "plainTextFormattedCitation" : "(Hartmann and Zimmer, 1986; Langal et al., 2011)", "previouslyFormattedCitation" : "(Hartmann and Zimmer, 1986; Langal et al., 2011)" }, "properties" : { "noteIndex" : 0 }, "schema" : "https://github.com/citation-style-language/schema/raw/master/csl-citation.json" }</w:instrText>
      </w:r>
      <w:r w:rsidR="007C2FF9" w:rsidRPr="0062579E">
        <w:fldChar w:fldCharType="separate"/>
      </w:r>
      <w:r w:rsidR="007C2FF9" w:rsidRPr="0062579E">
        <w:rPr>
          <w:noProof/>
        </w:rPr>
        <w:t>(Hartmann and Zimmer, 1986; Langal et al., 2011)</w:t>
      </w:r>
      <w:r w:rsidR="007C2FF9" w:rsidRPr="0062579E">
        <w:fldChar w:fldCharType="end"/>
      </w:r>
      <w:r w:rsidR="00E26ED7">
        <w:t>.</w:t>
      </w:r>
    </w:p>
    <w:p w14:paraId="768BCA06" w14:textId="493F557B" w:rsidR="00E26ED7" w:rsidRPr="00E26ED7" w:rsidRDefault="00E26ED7" w:rsidP="0052730F">
      <w:pPr>
        <w:pStyle w:val="BodyJB"/>
        <w:ind w:firstLine="720"/>
      </w:pPr>
      <w:r>
        <w:t xml:space="preserve">There is some evidence that patterns in metabolomics data reflect the relatedness of species of yeast and algae </w:t>
      </w:r>
      <w:r>
        <w:fldChar w:fldCharType="begin" w:fldLock="1"/>
      </w:r>
      <w:r w:rsidR="00D957AC">
        <w:instrText>ADDIN CSL_CITATION { "citationItems" : [ { "id" : "ITEM-1", "itemData" : { "DOI" : "10.1002/yea", "ISSN" : "1097-0061", "PMID" : "19681174", "abstract" : "The construction of mitotically stable yeast strains for heterologous gene or pathway expression often requires chromosomal integration. However, transcription levels vary between different chromosome regions. We therefore characterized 20 different integration sites of the Sacchromyces cerevisiae genome by inserting lacZ as a reporter gene under the control of two different promoters and determining expression levels through enzyme activity measurement. An up to 8.7-fold difference was detected between the sites conferring lowest and highest expression, respectively. This opens the opportunity for modulating gene expression levels while retaining promoter and culture conditions.", "author" : [ { "dropping-particle" : "", "family" : "Flagfeldt", "given" : "Dongmei Bai", "non-dropping-particle" : "", "parse-names" : false, "suffix" : "" }, { "dropping-particle" : "", "family" : "Siewers", "given" : "Verena", "non-dropping-particle" : "", "parse-names" : false, "suffix" : "" }, { "dropping-particle" : "", "family" : "Huang", "given" : "Le", "non-dropping-particle" : "", "parse-names" : false, "suffix" : "" }, { "dropping-particle" : "", "family" : "Nielsen", "given" : "Jens", "non-dropping-particle" : "", "parse-names" : false, "suffix" : "" } ], "container-title" : "Yeast (Chichester, England)", "id" : "ITEM-1", "issue" : "10", "issued" : { "date-parts" : [ [ "2009" ] ] }, "page" : "545-551", "title" : "Characterization of chromosomal integration sites for heterologous gene expression in Saccharomyces cerevisiae.", "type" : "article-journal", "volume" : "26" }, "uris" : [ "http://www.mendeley.com/documents/?uuid=be2993f0-87cd-43d9-b4c4-75fbfa71925a" ] }, { "id" : "ITEM-2", "itemData" : { "DOI" : "10.3389/fmicb.2014.00111", "ISBN" : "1664-302X (Electronic)\r1664-302X (Linking)", "ISSN" : "1664302X", "PMID" : "24748874", "abstract" : "Production of dissolved organic matter (DOM) by marine phytoplankton supplies the majority of organic substrate consumed by heterotrophic bacterioplankton in the sea. This production and subsequent consumption converts a vast quantity of carbon, nitrogen, and phosphorus between organic and inorganic forms, directly impacting global cycles of these biologically important elements. Details regarding the chemical composition of DOM produced by marine phytoplankton are sparse, and while often assumed, it is not currently known if phylogenetically distinct groups of marine phytoplankton release characteristic suites of DOM. To investigate the relationship between specific phytoplankton groups and the DOM they release, hydrophobic phytoplankton-derived dissolved organic matter (DOMP) from eight axenic strains was analyzed using high-performance liquid chromatography coupled to mass spectrometry (HPLC-MS). Identification of DOM features derived from Prochlorococcus, Synechococcus, Thalassiosira, and Phaeodactylum revealed DOMP to be complex and highly strain dependent. Connections between DOMP features and the phylogenetic relatedness of these strains were identified on multiple levels of phylogenetic distance, suggesting that marine phytoplankton produce DOM that in part reflects its phylogenetic origin. Chemical information regarding the size and polarity ranges of features from defined biological sources was also obtained. Our findings reveal DOMP composition to be partially conserved among related phytoplankton species, and implicate marine DOM as a potential factor influencing microbial diversity in the sea by acting as a link between autotrophic and heterotrophic microbial community structures.", "author" : [ { "dropping-particle" : "", "family" : "Becker", "given" : "Jamie W.", "non-dropping-particle" : "", "parse-names" : false, "suffix" : "" }, { "dropping-particle" : "", "family" : "Berube", "given" : "Paul M.", "non-dropping-particle" : "", "parse-names" : false, "suffix" : "" }, { "dropping-particle" : "", "family" : "Follett", "given" : "Christopher L.", "non-dropping-particle" : "", "parse-names" : false, "suffix" : "" }, { "dropping-particle" : "", "family" : "Waterbury", "given" : "John B.", "non-dropping-particle" : "", "parse-names" : false, "suffix" : "" }, { "dropping-particle" : "", "family" : "Chisholm", "given" : "Sallie W.", "non-dropping-particle" : "", "parse-names" : false, "suffix" : "" }, { "dropping-particle" : "", "family" : "DeLong", "given" : "Edward F.", "non-dropping-particle" : "", "parse-names" : false, "suffix" : "" }, { "dropping-particle" : "", "family" : "Repeta", "given" : "Daniel J.", "non-dropping-particle" : "", "parse-names" : false, "suffix" : "" } ], "container-title" : "Frontiers in Microbiology", "id" : "ITEM-2", "issue" : "MAR", "issued" : { "date-parts" : [ [ "2014" ] ] }, "page" : "1-14", "title" : "Closely related phytoplankton species produce similar suites of dissolved organic matter", "type" : "article-journal", "volume" : "5" }, "uris" : [ "http://www.mendeley.com/documents/?uuid=2484ade4-f9b2-4926-b77e-beb32b29e496" ] } ], "mendeley" : { "formattedCitation" : "(Flagfeldt et al., 2009; Becker et al., 2014)", "plainTextFormattedCitation" : "(Flagfeldt et al., 2009; Becker et al., 2014)", "previouslyFormattedCitation" : "(Flagfeldt et al., 2009; Becker et al., 2014)" }, "properties" : { "noteIndex" : 0 }, "schema" : "https://github.com/citation-style-language/schema/raw/master/csl-citation.json" }</w:instrText>
      </w:r>
      <w:r>
        <w:fldChar w:fldCharType="separate"/>
      </w:r>
      <w:r w:rsidRPr="00E26ED7">
        <w:rPr>
          <w:noProof/>
        </w:rPr>
        <w:t>(Flagfeldt et al., 2009; Becker et al., 2014)</w:t>
      </w:r>
      <w:r>
        <w:fldChar w:fldCharType="end"/>
      </w:r>
      <w:r>
        <w:t xml:space="preserve">, though examples from plants remain rare. The results from this analysis indicated that </w:t>
      </w:r>
      <w:r w:rsidR="00AD3B74">
        <w:t xml:space="preserve">dune annual </w:t>
      </w:r>
      <w:r>
        <w:t xml:space="preserve">species </w:t>
      </w:r>
      <w:r w:rsidR="00AD3B74">
        <w:t xml:space="preserve">could be strongly separated based on their metabolic profile (Fig. 4.1). Although the relative variation between populations (Fig. 4.1.) does not necessarily </w:t>
      </w:r>
      <w:r w:rsidR="00F812C7">
        <w:t>closely</w:t>
      </w:r>
      <w:r w:rsidR="00AD3B74">
        <w:t xml:space="preserve"> track species phylogeny (Fig. 2.8), pathway mapping indicated interesting patterns of metabolic regulation. </w:t>
      </w:r>
      <w:r w:rsidR="00F812C7" w:rsidRPr="00A911EB">
        <w:rPr>
          <w:i/>
        </w:rPr>
        <w:t>Phleum arenarium</w:t>
      </w:r>
      <w:r w:rsidR="00F812C7">
        <w:t xml:space="preserve">, the only grass species analysed, </w:t>
      </w:r>
      <w:r w:rsidR="00F812C7" w:rsidRPr="00A911EB">
        <w:t>was the only species in which it’s discriminatory metabolites mapped onto pathways involved in terpene and polyketoid metabolism, e.g. zeatin biosynthesis and terpenoid backbone biosynthesis (Table 4.2.).</w:t>
      </w:r>
    </w:p>
    <w:p w14:paraId="18AA6537" w14:textId="77777777" w:rsidR="0052730F" w:rsidRDefault="0052730F" w:rsidP="0052730F">
      <w:pPr>
        <w:pStyle w:val="BodyJB"/>
      </w:pPr>
    </w:p>
    <w:p w14:paraId="5BF9B3C3" w14:textId="77777777" w:rsidR="0052730F" w:rsidRDefault="0052730F" w:rsidP="0052730F">
      <w:pPr>
        <w:pStyle w:val="BodyJB"/>
      </w:pPr>
    </w:p>
    <w:p w14:paraId="1572364E" w14:textId="77777777" w:rsidR="0052730F" w:rsidRDefault="0052730F" w:rsidP="00B66E45">
      <w:pPr>
        <w:pStyle w:val="SubheadingJB"/>
      </w:pPr>
      <w:bookmarkStart w:id="105" w:name="_Toc291410108"/>
      <w:r w:rsidRPr="00134407">
        <w:t xml:space="preserve">7.4- </w:t>
      </w:r>
      <w:r>
        <w:t>Genetic influence on population metabolic traits- species specific patterns</w:t>
      </w:r>
      <w:bookmarkEnd w:id="105"/>
    </w:p>
    <w:p w14:paraId="599A087B" w14:textId="20F6F8B2" w:rsidR="0052730F" w:rsidRPr="009B4F61" w:rsidRDefault="0052730F" w:rsidP="0052730F">
      <w:pPr>
        <w:pStyle w:val="BodyJB"/>
        <w:ind w:firstLine="720"/>
      </w:pPr>
      <w:r w:rsidRPr="008F4704">
        <w:t xml:space="preserve">A key area for metabolomic research applications is </w:t>
      </w:r>
      <w:r w:rsidR="00F812C7">
        <w:t xml:space="preserve">increasing </w:t>
      </w:r>
      <w:r w:rsidRPr="008F4704">
        <w:t>understanding of how much of the variation in the metabolome is influenced by inherent genetic factors, and by external environmental factors</w:t>
      </w:r>
      <w:r>
        <w:t xml:space="preserve"> </w:t>
      </w:r>
      <w:r>
        <w:fldChar w:fldCharType="begin" w:fldLock="1"/>
      </w:r>
      <w:r w:rsidR="007C2FF9">
        <w:instrText>ADDIN CSL_CITATION { "citationItems" : [ { "id" : "ITEM-1", "itemData" : { "DOI" : "10.1093/jxb/ert244", "ISSN" : "1460-2431", "PMID" : "23922358", "abstract" : "Changes in plant metabolism are at the heart of plant developmental processes, underpinning many of the ways in which plants respond to the environment. As such, the comprehensive study of plant metabolism, or metabolomics, is highly valuable in identifying phenotypic effects of abiotic and biotic stresses on plants. When study is in reference to analysing samples that are relevant to environmental or ecologically based hypotheses, it is termed 'environmental metabolomics'. The emergence of environmental metabolomics as one of the latest of the omics technologies has been one of the most critically important recent developments in plant physiology. Its applications broach the entire landscape of plant ecology, from the understanding of plant plasticity and adaptation through to community composition and even genetic modification in crops. The multitude of novel studies published utilizing metabolomics methods employ a variety of techniques, from the initial stages of tissue sampling, through to sample preservation, transportation, and analysis. This review introduces the concept and applications of plant environmental metabolomics as an ecologically important investigative tool. It examines the main techniques used in situ within field sites, with particular reference to sampling and processing, and those more appropriate for use in laboratory-based settings with emphasis on secondary metabolite analysis.", "author" : [ { "dropping-particle" : "", "family" : "Brunetti", "given" : "Cecilia", "non-dropping-particle" : "", "parse-names" : false, "suffix" : "" }, { "dropping-particle" : "", "family" : "George", "given" : "Rachel M", "non-dropping-particle" : "", "parse-names" : false, "suffix" : "" }, { "dropping-particle" : "", "family" : "Tattini", "given" : "Massimiliano", "non-dropping-particle" : "", "parse-names" : false, "suffix" : "" }, { "dropping-particle" : "", "family" : "Field", "given" : "Katie", "non-dropping-particle" : "", "parse-names" : false, "suffix" : "" }, { "dropping-particle" : "", "family" : "Davey", "given" : "Matthew P", "non-dropping-particle" : "", "parse-names" : false, "suffix" : "" } ], "container-title" : "Journal of experimental botany", "id" : "ITEM-1", "issue" : "13", "issued" : { "date-parts" : [ [ "2013", "10" ] ] }, "page" : "4011-20", "title" : "Metabolomics in plant environmental physiology.", "type" : "article-journal", "volume" : "64" }, "uris" : [ "http://www.mendeley.com/documents/?uuid=9875066a-3a05-46e1-a0f3-2cc810e6cef0" ] } ], "mendeley" : { "formattedCitation" : "(Brunetti et al., 2013)", "plainTextFormattedCitation" : "(Brunetti et al., 2013)", "previouslyFormattedCitation" : "(Brunetti et al., 2013)" }, "properties" : { "noteIndex" : 0 }, "schema" : "https://github.com/citation-style-language/schema/raw/master/csl-citation.json" }</w:instrText>
      </w:r>
      <w:r>
        <w:fldChar w:fldCharType="separate"/>
      </w:r>
      <w:r w:rsidRPr="006C4845">
        <w:rPr>
          <w:noProof/>
        </w:rPr>
        <w:t xml:space="preserve">(Brunetti </w:t>
      </w:r>
      <w:r w:rsidRPr="006C4845">
        <w:rPr>
          <w:i/>
          <w:noProof/>
        </w:rPr>
        <w:t>et al.</w:t>
      </w:r>
      <w:r w:rsidRPr="006C4845">
        <w:rPr>
          <w:noProof/>
        </w:rPr>
        <w:t>, 2013)</w:t>
      </w:r>
      <w:r>
        <w:fldChar w:fldCharType="end"/>
      </w:r>
      <w:r w:rsidRPr="008F4704">
        <w:t>. Plants were grown in common environmental conditions and their phenotypic traits recorded to assess whether they were influenced by genetic factors</w:t>
      </w:r>
      <w:r>
        <w:t xml:space="preserve"> (</w:t>
      </w:r>
      <w:r w:rsidR="00F812C7" w:rsidRPr="00F812C7">
        <w:rPr>
          <w:b/>
        </w:rPr>
        <w:t>Aim 3</w:t>
      </w:r>
      <w:r w:rsidR="00F812C7">
        <w:t xml:space="preserve">. </w:t>
      </w:r>
      <w:r>
        <w:t>Chapter 3)</w:t>
      </w:r>
      <w:r w:rsidRPr="008F4704">
        <w:t>.</w:t>
      </w:r>
      <w:r>
        <w:t xml:space="preserve"> Leaf tissue samples from these plants were collected during the course of the experiment to test whether genetic variation between populations also resulted in metabolic variation (Chapter 5). Metabolic fingerprinting indicated patterns in metabolite masses associated with population variation varied depending on species and population analysed. The most distinct pattern of population variation was detected in </w:t>
      </w:r>
      <w:r w:rsidRPr="00EE3EE3">
        <w:rPr>
          <w:i/>
        </w:rPr>
        <w:t>Cerastium diffusum</w:t>
      </w:r>
      <w:r>
        <w:t>, the most northern population Fr4 metabolically differentiated from the most southern population Fr1, though Fr2 populated located at intermediate distance between the two, showed intermediate expressions of metabolism. Searches in the literature for putative identifications of population discriminating masses discovered highlighted a number of the compounds with functions that related to home environmental conditions.</w:t>
      </w:r>
    </w:p>
    <w:p w14:paraId="05442EBA" w14:textId="50FD4970" w:rsidR="0052730F" w:rsidRDefault="0052730F" w:rsidP="0052730F">
      <w:pPr>
        <w:pStyle w:val="BodyJB"/>
        <w:ind w:firstLine="720"/>
      </w:pPr>
      <w:r>
        <w:t xml:space="preserve">After putative identification compounds discovered in abundance in </w:t>
      </w:r>
      <w:r w:rsidR="00065F92">
        <w:rPr>
          <w:i/>
        </w:rPr>
        <w:t>C. diffusum</w:t>
      </w:r>
      <w:r>
        <w:t xml:space="preserve"> population were associated </w:t>
      </w:r>
      <w:r w:rsidRPr="009B4F61">
        <w:t>with terpenoids, p</w:t>
      </w:r>
      <w:r>
        <w:t>henols and secondary metabolites</w:t>
      </w:r>
      <w:r w:rsidRPr="009B4F61">
        <w:t xml:space="preserve">. Compounds within these classes typically act to protect against herbivory </w:t>
      </w:r>
      <w:r w:rsidR="007C1C5F">
        <w:fldChar w:fldCharType="begin" w:fldLock="1"/>
      </w:r>
      <w:r w:rsidR="00074967">
        <w:instrText>ADDIN CSL_CITATION { "citationItems" : [ { "id" : "ITEM-1", "itemData" : { "ISSN" : "1369-5266", "PMID" : "11960742", "abstract" : "Plants synthesize and emit a large variety of volatile organic compounds with terpenoids and fatty-acid derivatives the dominant classes. Whereas some volatiles are probably common to almost all plants, others are specific to only one or a few related taxa. The rapid progress in elucidating the biosynthetic pathways, enzymes, and genes involved in the formation of plant volatiles allows their physiology and function to be rigorously investigated at the molecular and biochemical levels. Floral volatiles serve as attractants for species-specific pollinators, whereas the volatiles emitted from vegetative parts, especially those released after herbivory, appear to protect plants by deterring herbivores and by attracting the enemies of herbivores.", "author" : [ { "dropping-particle" : "", "family" : "Pichersky", "given" : "Eran", "non-dropping-particle" : "", "parse-names" : false, "suffix" : "" }, { "dropping-particle" : "", "family" : "Gershenzon", "given" : "Jonathan", "non-dropping-particle" : "", "parse-names" : false, "suffix" : "" } ], "container-title" : "Current opinion in plant biology", "id" : "ITEM-1", "issue" : "3", "issued" : { "date-parts" : [ [ "2002", "6" ] ] }, "page" : "237-43", "title" : "The formation and function of plant volatiles: perfumes for pollinator attraction and defense.", "type" : "article-journal", "volume" : "5" }, "uris" : [ "http://www.mendeley.com/documents/?uuid=ee761664-070b-4627-9c51-6a3d0045782a" ] }, { "id" : "ITEM-2", "itemData" : { "DOI" : "10.1016/j.phytochem.2006.11.033", "ISSN" : "0031-9422", "PMID" : "17258247", "abstract" : "There is evidence that secondary metabolism may modulate plant interactions and is modified by different biotic stress agents, such as herbivores or pathogens. However, it is poorly understood whether secondary metabolism is altered during competition among plants. The intraspecific and interspecific coexistence of some Mediterranean potted seedlings, namely Rosmarinus officinalis, Pinus halepensis, Cistus albidus and Quercus coccifera was investigated through their terpene accumulation within leaves (except for Q. coccifera, a non-storing species) and terpene emissions (for all species). Competition had both positive and negative effects for both terpene emissions and content, depending on the species a seedling coexisted with. For R. officinalis, terpene concentrations (1.8-cineole and camphor) and terpene emissions (camphene, camphor and overall monoterpenes) were lower when the neighbour species was P. halepensis. For C. albidus, no changes were observed in its content, while the overall sesquiterpene emissions (70% of total emissions) were reduced in all competition conditions, except in intraspecific competition. In the case of P. halepensis, the highest terpene content occurred when it grew with C. albidus, and in intraspecific competition, while its emissions were reduced under these conditions. Only emissions of Q. coccifera showed no significant changes in the different competition treatments.", "author" : [ { "dropping-particle" : "", "family" : "Orme\u00f1o", "given" : "Elena", "non-dropping-particle" : "", "parse-names" : false, "suffix" : "" }, { "dropping-particle" : "", "family" : "Fernandez", "given" : "Catherine", "non-dropping-particle" : "", "parse-names" : false, "suffix" : "" }, { "dropping-particle" : "", "family" : "M\u00e9vy", "given" : "Jean-Philippe", "non-dropping-particle" : "", "parse-names" : false, "suffix" : "" } ], "container-title" : "Phytochemistry", "id" : "ITEM-2", "issue" : "6", "issued" : { "date-parts" : [ [ "2007", "3" ] ] }, "page" : "840-52", "title" : "Plant coexistence alters terpene emission and content of Mediterranean species.", "type" : "article-journal", "volume" : "68" }, "uris" : [ "http://www.mendeley.com/documents/?uuid=9d38657d-f844-4fac-83a6-4db5fbd9dcac" ] } ], "mendeley" : { "formattedCitation" : "(Pichersky and Gershenzon, 2002; Orme\u00f1o et al., 2007)", "plainTextFormattedCitation" : "(Pichersky and Gershenzon, 2002; Orme\u00f1o et al., 2007)", "previouslyFormattedCitation" : "(Pichersky and Gershenzon, 2002; Orme\u00f1o et al., 2007)" }, "properties" : { "noteIndex" : 0 }, "schema" : "https://github.com/citation-style-language/schema/raw/master/csl-citation.json" }</w:instrText>
      </w:r>
      <w:r w:rsidR="007C1C5F">
        <w:fldChar w:fldCharType="separate"/>
      </w:r>
      <w:r w:rsidR="007C1C5F" w:rsidRPr="007C1C5F">
        <w:rPr>
          <w:noProof/>
        </w:rPr>
        <w:t>(Pichersky and Gershenzon, 2002; Ormeño et al., 2007)</w:t>
      </w:r>
      <w:r w:rsidR="007C1C5F">
        <w:fldChar w:fldCharType="end"/>
      </w:r>
      <w:r w:rsidR="007C1C5F">
        <w:t xml:space="preserve">. </w:t>
      </w:r>
      <w:r w:rsidRPr="009B4F61">
        <w:t xml:space="preserve">It may be beneficial for the Fr4 population of </w:t>
      </w:r>
      <w:r w:rsidR="00065F92">
        <w:rPr>
          <w:i/>
        </w:rPr>
        <w:t>C. diffusum</w:t>
      </w:r>
      <w:r w:rsidRPr="009B4F61">
        <w:t xml:space="preserve"> to constitutively express terpenoids, phenols and other compounds associated with secondary metabolism as this site has double the level of rabbit activity compared with Fr2 and Fr1. </w:t>
      </w:r>
    </w:p>
    <w:p w14:paraId="23C15975" w14:textId="0B22E2E0" w:rsidR="0052730F" w:rsidRPr="002623D4" w:rsidRDefault="0052730F" w:rsidP="0052730F">
      <w:pPr>
        <w:pStyle w:val="BodyJB"/>
        <w:ind w:firstLine="720"/>
      </w:pPr>
      <w:r w:rsidRPr="002623D4">
        <w:rPr>
          <w:i/>
        </w:rPr>
        <w:t>Veronica arvensis</w:t>
      </w:r>
      <w:r w:rsidRPr="002623D4">
        <w:t xml:space="preserve"> also showed metabolic variation between plants originating from site Fr4 and Fr3. The two mass bins that contribute most to the separation of plants originating from Fr3 339.2 and 355.2 have putative identifications that match up with gibberellins (GAs) such as GA9 and GA4. Gibberellins (GAs) are a group of terpenes that typically act as growth promotors and regulators </w:t>
      </w:r>
      <w:r w:rsidRPr="002623D4">
        <w:fldChar w:fldCharType="begin" w:fldLock="1"/>
      </w:r>
      <w:r w:rsidR="007C2FF9">
        <w:instrText>ADDIN CSL_CITATION { "citationItems" : [ { "id" : "ITEM-1", "itemData" : { "DOI" : "10.1111/gfs.12035", "ISSN" : "01425242", "author" : [ { "dropping-particle" : "", "family" : "Parsons", "given" : "a. J.", "non-dropping-particle" : "", "parse-names" : false, "suffix" : "" }, { "dropping-particle" : "", "family" : "Rasmussen", "given" : "S.", "non-dropping-particle" : "", "parse-names" : false, "suffix" : "" }, { "dropping-particle" : "", "family" : "Liu", "given" : "Q.", "non-dropping-particle" : "", "parse-names" : false, "suffix" : "" }, { "dropping-particle" : "", "family" : "Xue", "given" : "H.", "non-dropping-particle" : "", "parse-names" : false, "suffix" : "" }, { "dropping-particle" : "", "family" : "Ball", "given" : "C.", "non-dropping-particle" : "", "parse-names" : false, "suffix" : "" }, { "dropping-particle" : "", "family" : "Shaw", "given" : "C.", "non-dropping-particle" : "", "parse-names" : false, "suffix" : "" } ], "container-title" : "Grass and Forage Science", "id" : "ITEM-1", "issue" : "4", "issued" : { "date-parts" : [ [ "2013", "12", "21" ] ] }, "page" : "577-588", "title" : "Plant growth - resource or strategy limited: insights from responses to gibberellin", "type" : "article-journal", "volume" : "68" }, "uris" : [ "http://www.mendeley.com/documents/?uuid=c52f4883-6b18-4130-8a57-776b5b6eb9db" ] }, { "id" : "ITEM-2", "itemData" : { "DOI" : "10.1007/s11101-005-4248-0", "ISSN" : "1568-7767", "author" : [ { "dropping-particle" : "", "family" : "Yamaguchi", "given" : "Shinjiro", "non-dropping-particle" : "", "parse-names" : false, "suffix" : "" } ], "container-title" : "Phytochemistry Reviews", "id" : "ITEM-2", "issue" : "1", "issued" : { "date-parts" : [ [ "2006", "6", "17" ] ] }, "page" : "39-47", "title" : "Gibberellin Biosynthesis in Arabidopsis", "type" : "article-journal", "volume" : "5" }, "uris" : [ "http://www.mendeley.com/documents/?uuid=36faf34b-3862-4de7-95fb-a73a68717688" ] } ], "mendeley" : { "formattedCitation" : "(Yamaguchi, 2006; Parsons et al., 2013)", "plainTextFormattedCitation" : "(Yamaguchi, 2006; Parsons et al., 2013)", "previouslyFormattedCitation" : "(Yamaguchi, 2006; Parsons et al., 2013)" }, "properties" : { "noteIndex" : 0 }, "schema" : "https://github.com/citation-style-language/schema/raw/master/csl-citation.json" }</w:instrText>
      </w:r>
      <w:r w:rsidRPr="002623D4">
        <w:fldChar w:fldCharType="separate"/>
      </w:r>
      <w:r w:rsidRPr="006C4845">
        <w:rPr>
          <w:noProof/>
        </w:rPr>
        <w:t xml:space="preserve">(Yamaguchi, 2006; Parsons </w:t>
      </w:r>
      <w:r w:rsidRPr="006C4845">
        <w:rPr>
          <w:i/>
          <w:noProof/>
        </w:rPr>
        <w:t>et al.</w:t>
      </w:r>
      <w:r w:rsidRPr="006C4845">
        <w:rPr>
          <w:noProof/>
        </w:rPr>
        <w:t>, 2013)</w:t>
      </w:r>
      <w:r w:rsidRPr="002623D4">
        <w:fldChar w:fldCharType="end"/>
      </w:r>
      <w:r w:rsidRPr="002623D4">
        <w:t xml:space="preserve">. Metabolite analysis in the previous chapter 3 suggest that these compounds are typically found in higher abundances in </w:t>
      </w:r>
      <w:r w:rsidRPr="002623D4">
        <w:rPr>
          <w:i/>
        </w:rPr>
        <w:t>V. arvensis</w:t>
      </w:r>
      <w:r w:rsidRPr="002623D4">
        <w:t xml:space="preserve"> compared with other dune annual species. </w:t>
      </w:r>
    </w:p>
    <w:p w14:paraId="4B91A6B5" w14:textId="77777777" w:rsidR="0052730F" w:rsidRPr="006B21B9" w:rsidRDefault="0052730F" w:rsidP="0052730F">
      <w:pPr>
        <w:pStyle w:val="BodyJB"/>
        <w:ind w:firstLine="720"/>
      </w:pPr>
      <w:r>
        <w:t xml:space="preserve">This provides one of many interesting patterns detected by metabolically fingerprinting plant tissue samples. Caution must be applied in studies such as these to not issue too much weight to putative identification of compounds. This approach is designed to highlight metabolic features of biological interest to the study, further metabolite analysis such as metabolic profiling and compound identification based on MS-MS are then required. </w:t>
      </w:r>
    </w:p>
    <w:p w14:paraId="2DB5595A" w14:textId="08D4EEF5" w:rsidR="0052730F" w:rsidRPr="007732C7" w:rsidRDefault="0052730F" w:rsidP="0052730F">
      <w:pPr>
        <w:pStyle w:val="BodyJB"/>
      </w:pPr>
      <w:r>
        <w:t xml:space="preserve">While these results form Chapter 5, indicate some metabolic traits in </w:t>
      </w:r>
      <w:r w:rsidRPr="009B4F61">
        <w:rPr>
          <w:i/>
        </w:rPr>
        <w:t>C. diffusum</w:t>
      </w:r>
      <w:r w:rsidRPr="009B4F61">
        <w:t xml:space="preserve"> and </w:t>
      </w:r>
      <w:r w:rsidRPr="009B4F61">
        <w:rPr>
          <w:i/>
        </w:rPr>
        <w:t>V. arvensis</w:t>
      </w:r>
      <w:r w:rsidRPr="009B4F61">
        <w:t xml:space="preserve"> </w:t>
      </w:r>
      <w:r>
        <w:t xml:space="preserve">are genetically controlled, results from the other three species showed that metabolism did not vary according to population. This apparent lack of intra-specific metabolic </w:t>
      </w:r>
      <w:r w:rsidRPr="007732C7">
        <w:t xml:space="preserve">variation suggested that plant responses such as phenotypic plasticity to environmental variation </w:t>
      </w:r>
      <w:r w:rsidR="006E6E03">
        <w:t>prevalent</w:t>
      </w:r>
      <w:r w:rsidRPr="007732C7">
        <w:t xml:space="preserve">. </w:t>
      </w:r>
    </w:p>
    <w:p w14:paraId="2131A53E" w14:textId="77777777" w:rsidR="0052730F" w:rsidRDefault="0052730F" w:rsidP="0052730F">
      <w:pPr>
        <w:pStyle w:val="SubheadingJB"/>
      </w:pPr>
    </w:p>
    <w:p w14:paraId="089D034F" w14:textId="77777777" w:rsidR="0052730F" w:rsidRDefault="0052730F" w:rsidP="00B66E45">
      <w:pPr>
        <w:pStyle w:val="SubheadingJB"/>
      </w:pPr>
      <w:bookmarkStart w:id="106" w:name="_Toc291410109"/>
      <w:r w:rsidRPr="003C6D47">
        <w:t>7.5- Environmental variation and metabolism</w:t>
      </w:r>
      <w:bookmarkEnd w:id="106"/>
    </w:p>
    <w:p w14:paraId="0A94A1A1" w14:textId="2B333A90" w:rsidR="0052730F" w:rsidRPr="00CE2549" w:rsidRDefault="0052730F" w:rsidP="0052730F">
      <w:pPr>
        <w:pStyle w:val="BodyJB"/>
        <w:ind w:firstLine="720"/>
      </w:pPr>
      <w:r w:rsidRPr="003C6D47">
        <w:t>Plants growing in their natural habitat represent a valuable resource for elucidating mechanisms of acclimation to environmental constraints. The interplay between environmental conditions and</w:t>
      </w:r>
      <w:r w:rsidRPr="00CE2549">
        <w:t xml:space="preserve"> metabolic composition was assessed in Chapter 6. The experimental set up tested whether environmental conditions varying at a local scale, within sites and large scale between populations and regions resulted in different patterns of metabolic expression</w:t>
      </w:r>
      <w:r w:rsidR="00F812C7">
        <w:t xml:space="preserve">, in order to address </w:t>
      </w:r>
      <w:r w:rsidR="00F812C7" w:rsidRPr="00F812C7">
        <w:rPr>
          <w:b/>
        </w:rPr>
        <w:t>Aim 4</w:t>
      </w:r>
      <w:r w:rsidR="00F812C7">
        <w:t>.</w:t>
      </w:r>
      <w:r w:rsidRPr="00CE2549">
        <w:t xml:space="preserve"> </w:t>
      </w:r>
    </w:p>
    <w:p w14:paraId="03094C3F" w14:textId="77777777" w:rsidR="0052730F" w:rsidRPr="00574C94" w:rsidRDefault="0052730F" w:rsidP="0052730F">
      <w:pPr>
        <w:pStyle w:val="BodyJB"/>
      </w:pPr>
      <w:r w:rsidRPr="00CE2549">
        <w:tab/>
        <w:t xml:space="preserve">At the local scale grey dunes are highly heterogenous environments in terms of topography, dune hummocks create a variety of different </w:t>
      </w:r>
      <w:r>
        <w:t xml:space="preserve">environmental pressures including those from grazing (Table 6.1) as well as </w:t>
      </w:r>
      <w:r w:rsidRPr="00CE2549">
        <w:t>m</w:t>
      </w:r>
      <w:r>
        <w:t xml:space="preserve">icroclimate variables. In three populations of </w:t>
      </w:r>
      <w:r w:rsidRPr="00CE2549">
        <w:rPr>
          <w:i/>
        </w:rPr>
        <w:t xml:space="preserve">Erodium cicutarium </w:t>
      </w:r>
      <w:r>
        <w:t xml:space="preserve">fine </w:t>
      </w:r>
      <w:r w:rsidRPr="00B05AA0">
        <w:t>scale environmental variation was not matched by variation in metabolism. In site Fr2 plants growing in sloped areas showed clustering away from plants growing in flat areas</w:t>
      </w:r>
      <w:r>
        <w:t xml:space="preserve">, though little difference could be discerned between plants growing on slopes with different aspects. Further analysis comparing metabolic fingerprints of plants sampled at much larger scales indicated that metabolism varied strongly at much larger scales. PCA showed clear division of metabolism based on country of origin, while the populations </w:t>
      </w:r>
      <w:r w:rsidRPr="00574C94">
        <w:t xml:space="preserve">of </w:t>
      </w:r>
      <w:r w:rsidRPr="00574C94">
        <w:rPr>
          <w:i/>
        </w:rPr>
        <w:t>E. cicutarium</w:t>
      </w:r>
      <w:r w:rsidRPr="00574C94">
        <w:t xml:space="preserve"> remained relatively similar. </w:t>
      </w:r>
    </w:p>
    <w:p w14:paraId="16BECD8D" w14:textId="682626AC" w:rsidR="0052730F" w:rsidRDefault="0052730F" w:rsidP="0052730F">
      <w:pPr>
        <w:pStyle w:val="BodyJB"/>
      </w:pPr>
      <w:r w:rsidRPr="00574C94">
        <w:tab/>
        <w:t xml:space="preserve">These results follow similarly with patterns of metabolic variation within, and between populations of </w:t>
      </w:r>
      <w:r w:rsidRPr="00574C94">
        <w:rPr>
          <w:i/>
        </w:rPr>
        <w:t>Arabidopsis lyrata</w:t>
      </w:r>
      <w:r w:rsidRPr="00574C94">
        <w:t xml:space="preserve"> spp. </w:t>
      </w:r>
      <w:r w:rsidRPr="00574C94">
        <w:rPr>
          <w:i/>
        </w:rPr>
        <w:t xml:space="preserve">Petraea </w:t>
      </w:r>
      <w:r w:rsidRPr="00574C94">
        <w:fldChar w:fldCharType="begin" w:fldLock="1"/>
      </w:r>
      <w:r w:rsidR="007C1C5F">
        <w:instrText>ADDIN CSL_CITATION { "citationItems" : [ { "id" : "ITEM-1", "itemData" : { "DOI" : "10.1098/rspb.2008.1767", "ISSN" : "0962-8452", "PMID" : "19324821", "abstract" : "Range margins are spatially complex, with environmental, genetic and phenotypic variations occurring across a range of spatial scales. We examine variation in temperature, genes and metabolomic profiles within and between populations of the subalpine perennial plant Arabidopsis lyrata ssp. petraea from across its northwest European range. Our surveys cover a gradient of fragmentation from largely continuous populations in Iceland, through more fragmented Scandinavian populations, to increasingly widely scattered populations at the range margin in Scotland, Wales and Ireland. Temperature regimes vary substantially within some populations, but within-population variation represents a larger fraction of genetic and especially metabolomic variances. Both physical distance and temperature differences between sites are found to be associated with genetic profiles, but not metabolomic profiles, and no relationship was found between genetic and metabolomic population structures in any region. Genetic similarity between plants within populations is the highest in the fragmented populations at the range margin, but differentiation across space is the highest there as well, suggesting that regional patterns of genetic diversity may be scale dependent.", "author" : [ { "dropping-particle" : "", "family" : "Kunin", "given" : "William E", "non-dropping-particle" : "", "parse-names" : false, "suffix" : "" }, { "dropping-particle" : "", "family" : "Vergeer", "given" : "Philippine", "non-dropping-particle" : "", "parse-names" : false, "suffix" : "" }, { "dropping-particle" : "", "family" : "Kenta", "given" : "Tanaka", "non-dropping-particle" : "", "parse-names" : false, "suffix" : "" }, { "dropping-particle" : "", "family" : "Davey", "given" : "Matthew P", "non-dropping-particle" : "", "parse-names" : false, "suffix" : "" }, { "dropping-particle" : "", "family" : "Burke", "given" : "Terry", "non-dropping-particle" : "", "parse-names" : false, "suffix" : "" }, { "dropping-particle" : "", "family" : "Woodward", "given" : "F Ian", "non-dropping-particle" : "", "parse-names" : false, "suffix" : "" }, { "dropping-particle" : "", "family" : "Quick", "given" : "Paul", "non-dropping-particle" : "", "parse-names" : false, "suffix" : "" }, { "dropping-particle" : "", "family" : "Mannarelli", "given" : "Maria-Elena", "non-dropping-particle" : "", "parse-names" : false, "suffix" : "" }, { "dropping-particle" : "", "family" : "Watson-Haigh", "given" : "Nathan S", "non-dropping-particle" : "", "parse-names" : false, "suffix" : "" }, { "dropping-particle" : "", "family" : "Butlin", "given" : "Roger", "non-dropping-particle" : "", "parse-names" : false, "suffix" : "" } ], "container-title" : "Proceedings. Biological sciences / The Royal Society", "id" : "ITEM-1", "issue" : "1661", "issued" : { "date-parts" : [ [ "2009", "4", "22" ] ] }, "page" : "1495-506", "title" : "Variation at range margins across multiple spatial scales: environmental temperature, population genetics and metabolomic phenotype.", "type" : "article-journal", "volume" : "276" }, "uris" : [ "http://www.mendeley.com/documents/?uuid=9b1e1e50-d000-464d-9e33-28833264e1e9" ] } ], "mendeley" : { "formattedCitation" : "(Kunin et al., 2009)", "plainTextFormattedCitation" : "(Kunin et al., 2009)", "previouslyFormattedCitation" : "(Kunin et al., 2009)" }, "properties" : { "noteIndex" : 0 }, "schema" : "https://github.com/citation-style-language/schema/raw/master/csl-citation.json" }</w:instrText>
      </w:r>
      <w:r w:rsidRPr="00574C94">
        <w:fldChar w:fldCharType="separate"/>
      </w:r>
      <w:r w:rsidR="007C2FF9" w:rsidRPr="007C2FF9">
        <w:rPr>
          <w:noProof/>
        </w:rPr>
        <w:t>(Kunin et al., 2009)</w:t>
      </w:r>
      <w:r w:rsidRPr="00574C94">
        <w:fldChar w:fldCharType="end"/>
      </w:r>
      <w:r w:rsidRPr="00574C94">
        <w:t xml:space="preserve">. </w:t>
      </w:r>
      <w:r>
        <w:t>The K</w:t>
      </w:r>
      <w:r w:rsidRPr="00574C94">
        <w:t xml:space="preserve">unin et al. study found that metabolomic variation was only </w:t>
      </w:r>
      <w:r>
        <w:t xml:space="preserve">detectable at the region scale </w:t>
      </w:r>
      <w:r w:rsidRPr="00574C94">
        <w:t xml:space="preserve">rather than at a within-region scale and that there was no significant relationship between the metabolomic and genetic variation </w:t>
      </w:r>
      <w:r>
        <w:t xml:space="preserve">measured </w:t>
      </w:r>
      <w:r w:rsidRPr="00574C94">
        <w:t>within a region.</w:t>
      </w:r>
      <w:r>
        <w:t xml:space="preserve"> </w:t>
      </w:r>
    </w:p>
    <w:p w14:paraId="2E010409" w14:textId="31E6398A" w:rsidR="002E3AE1" w:rsidRDefault="002E3AE1" w:rsidP="002E3AE1">
      <w:pPr>
        <w:pStyle w:val="BodyJB"/>
        <w:ind w:firstLine="720"/>
      </w:pPr>
      <w:r>
        <w:t>Trends in the concentrations expression between plants at this regional scale may be indicating that the metabolism of dune annuals responds to environmental factors that are linear to latitude (e.g. temperature day length)</w:t>
      </w:r>
      <w:r w:rsidRPr="002E3AE1">
        <w:t xml:space="preserve"> </w:t>
      </w:r>
      <w:r>
        <w:fldChar w:fldCharType="begin" w:fldLock="1"/>
      </w:r>
      <w:r w:rsidR="0018095C">
        <w:instrText>ADDIN CSL_CITATION { "citationItems" : [ { "id" : "ITEM-1", "itemData" : { "DOI" : "10.1111/j.1558-5646.2010.01119.x", "ISSN" : "1558-5646", "PMID" : "20812972", "abstract" : "Selection for local adaptation results in genetic differentiation in ecologically important traits. In a perennial, outcrossing model plant Arabidopsis lyrata, several differentiated phenotypic traits contribute to local adaptation, as demonstrated by fitness advantage of the local population at each site in reciprocal transplant experiments. Here we compared fitness components, hierarchical total fitness and differentiation in putatively ecologically important traits of plants from two diverged parental populations from different continents in the native climate conditions of the populations in Norway and in North Carolina (NC, U.S.A.). Survival and number of fruits per inflorescence indicated local advantage at both sites and aster life-history models provided additional evidence for local adaptation also at the level of hierarchical total fitness. Populations were also differentiated in flowering start date and floral display. We also included reciprocal experimental F(1) and F(2) hybrids to examine the genetic basis of adaptation. Surprisingly, the F(2) hybrids showed heterosis at the study site in Norway, likely because of a combination of beneficial dominance effects from different traits. At the NC site, hybrid fitness was mostly intermediate relative to the parental populations. Local cytoplasmic origin was associated with higher fitness, indicating that cytoplasmic genomes also may contribute to the evolution of local adaptation.", "author" : [ { "dropping-particle" : "", "family" : "Leinonen", "given" : "P\u00e4ivi H", "non-dropping-particle" : "", "parse-names" : false, "suffix" : "" }, { "dropping-particle" : "", "family" : "Remington", "given" : "David L", "non-dropping-particle" : "", "parse-names" : false, "suffix" : "" }, { "dropping-particle" : "", "family" : "Savolainen", "given" : "Outi", "non-dropping-particle" : "", "parse-names" : false, "suffix" : "" } ], "container-title" : "Evolution; international journal of organic evolution", "id" : "ITEM-1", "issue" : "1", "issued" : { "date-parts" : [ [ "2011", "1" ] ] }, "page" : "90-107", "title" : "Local adaptation, phenotypic differentiation, and hybrid fitness in diverged natural populations of Arabidopsis lyrata.", "type" : "article-journal", "volume" : "65" }, "uris" : [ "http://www.mendeley.com/documents/?uuid=eaaedd17-759c-45c8-8445-069e3e437afb" ] }, { "id" : "ITEM-2", "itemData" : { "DOI" : "10.1111/j.1469-8137.2011.04027.x", "ISSN" : "1469-8137", "PMID" : "22248127", "abstract" : "\u2022 Autumnal cold acclimation in conifers is a complex process, the timing and extent of which vary widely along latitudinal gradients for many tree species and reflect local adaptation to climate. Although previous studies have detailed some aspects of the metabolic remodelling that accompanies cold acclimation in conifers, little is known about global metabolic dynamics, or how these changes vary among phenotypically divergent populations. \u2022 Using untargeted GC-MS metabolite profiling, we monitored metabolic dynamics during autumnal cold acclimation in three populations of Sitka spruce from the southern, central, and northern portions of the species range, which differ in both the timing and extent of cold acclimation. \u2022 Latitudinal variation was evident in the nature, intensity, and timing of metabolic events. Early development of strong freezing tolerance in the northern population was associated with a transient accumulation of amino acids. By late autumn, metabolic profiles were highly similar between the northern and central populations, whereas profiles for the southern population were relatively distinct. \u2022 Our results provide insight into the metabolic architecture of latitudinal adaptive variation in autumn acclimation and show that different mechanisms are the basis of early October cold hardiness and autumn-acclimated cold hardiness.", "author" : [ { "dropping-particle" : "", "family" : "Dauwe", "given" : "Rebecca", "non-dropping-particle" : "", "parse-names" : false, "suffix" : "" }, { "dropping-particle" : "", "family" : "Holliday", "given" : "Jason a", "non-dropping-particle" : "", "parse-names" : false, "suffix" : "" }, { "dropping-particle" : "", "family" : "Aitken", "given" : "Sally N", "non-dropping-particle" : "", "parse-names" : false, "suffix" : "" }, { "dropping-particle" : "", "family" : "Mansfield", "given" : "Shawn D", "non-dropping-particle" : "", "parse-names" : false, "suffix" : "" } ], "container-title" : "The New phytologist", "id" : "ITEM-2", "issue" : "1", "issued" : { "date-parts" : [ [ "2012", "4" ] ] }, "page" : "192-205", "title" : "Metabolic dynamics during autumn cold acclimation within and among populations of Sitka spruce (Picea sitchensis).", "type" : "article-journal", "volume" : "194" }, "uris" : [ "http://www.mendeley.com/documents/?uuid=85059cc9-f55a-461b-a6f1-230664d77668" ] } ], "mendeley" : { "formattedCitation" : "(Leinonen et al., 2011; Dauwe et al., 2012)", "plainTextFormattedCitation" : "(Leinonen et al., 2011; Dauwe et al., 2012)", "previouslyFormattedCitation" : "(Leinonen et al., 2011; Dauwe et al., 2012)" }, "properties" : { "noteIndex" : 0 }, "schema" : "https://github.com/citation-style-language/schema/raw/master/csl-citation.json" }</w:instrText>
      </w:r>
      <w:r>
        <w:fldChar w:fldCharType="separate"/>
      </w:r>
      <w:r w:rsidRPr="002E3AE1">
        <w:rPr>
          <w:noProof/>
        </w:rPr>
        <w:t>(Leinonen et al., 2011; Dauwe et al., 2012)</w:t>
      </w:r>
      <w:r>
        <w:fldChar w:fldCharType="end"/>
      </w:r>
      <w:r>
        <w:t>, rather than more fluctuating factors in this system (e.g. grazing).</w:t>
      </w:r>
    </w:p>
    <w:p w14:paraId="30E06AB3" w14:textId="77777777" w:rsidR="0052730F" w:rsidRDefault="0052730F" w:rsidP="002E3AE1">
      <w:pPr>
        <w:pStyle w:val="BodyJB"/>
        <w:ind w:firstLine="720"/>
        <w:rPr>
          <w:color w:val="0000FF"/>
        </w:rPr>
      </w:pPr>
      <w:r>
        <w:t>The work in Chapter 5 highlights that the metabolomic approach has great power in its application to understanding ecological relationships. Analysis of very large data sets, containing information on hundreds of traits, has been multivariate statistical tools to determine patterns within the data. This unbiased approach both in terms of the analytical elucidation of compounds and their statistical analysis has provided an unbiased representation of the impacts of environmental conditions at different spatial scales on metabolism.</w:t>
      </w:r>
    </w:p>
    <w:p w14:paraId="7EC04166" w14:textId="77777777" w:rsidR="0052730F" w:rsidRPr="008B0F76" w:rsidRDefault="0052730F" w:rsidP="0052730F">
      <w:pPr>
        <w:pStyle w:val="BodyJB"/>
      </w:pPr>
    </w:p>
    <w:p w14:paraId="3099D300" w14:textId="77777777" w:rsidR="0052730F" w:rsidRPr="00182ECC" w:rsidRDefault="0052730F" w:rsidP="00B66E45">
      <w:pPr>
        <w:pStyle w:val="SubheadingJB"/>
      </w:pPr>
      <w:bookmarkStart w:id="107" w:name="_Toc291410110"/>
      <w:r w:rsidRPr="00182ECC">
        <w:t>7.6- Evaluation of metabolomic approach</w:t>
      </w:r>
      <w:bookmarkEnd w:id="107"/>
    </w:p>
    <w:p w14:paraId="1840850A" w14:textId="59C6797B" w:rsidR="0052730F" w:rsidRDefault="0052730F" w:rsidP="0052730F">
      <w:pPr>
        <w:pStyle w:val="BodyJB"/>
      </w:pPr>
      <w:r>
        <w:tab/>
        <w:t xml:space="preserve">The work in this thesis represents one of only a few studies to employ metabolomic techniques in the analysis of elucidating the mechanisms by which plants elicit responses to cope with environmental variation </w:t>
      </w:r>
      <w:r>
        <w:fldChar w:fldCharType="begin" w:fldLock="1"/>
      </w:r>
      <w:r w:rsidR="007C2FF9">
        <w:instrText>ADDIN CSL_CITATION { "citationItems" : [ { "id" : "ITEM-1", "itemData" : { "DOI" : "10.1111/j.1469-8137.2007.02046.x", "ISSN" : "0028-646X", "PMID" : "17504460", "abstract" : "The primary objective of this study was to assess metabolomics for its capacity to discern biological variation among 10 full-sib families of a Douglas-fir tree breeding population, replicated on two sites. The differential accumulation of small metabolites in developing xylem was examined through metabolite profiles (139 metabolites common to 181 individual trees) generated by gas chromatography mass spectrometry and a series of statistical analyses that incorporated family, site, and tree growth and quantitative phenotypic wood traits (wood density, microfibril angle, wood chemistry and fiber morphology). Multivariate discriminant, canonical discriminant and factor analyses and broad-sense heritabilities revealed that metabolic and phenotypic traits alike were strongly related to site, while similar associations relating to genetic (family) structure were weak in comparison. Canonical correlation analysis subsequently identified correlations between specific phenotypic traits (i.e. tree growth, fibre morphology and wood chemistry) and metabolic traits (i.e. carbohydrate and lignin biosynthetic metabolites), demonstrating a coherent relationship between genetics, metabolism, environmental and phenotypic expression in wood-forming tissue. The association between cambial metabolites and tree phenotype, as revealed by metabolite profiling, demonstrates the value of metabolomics for systems biology approaches to understanding tree growth and secondary cell wall biosynthesis in plants.", "author" : [ { "dropping-particle" : "", "family" : "Robinson", "given" : "Andrew R", "non-dropping-particle" : "", "parse-names" : false, "suffix" : "" }, { "dropping-particle" : "", "family" : "Ukrainetz", "given" : "Nicholas K", "non-dropping-particle" : "", "parse-names" : false, "suffix" : "" }, { "dropping-particle" : "", "family" : "Kang", "given" : "Kyu-Young", "non-dropping-particle" : "", "parse-names" : false, "suffix" : "" }, { "dropping-particle" : "", "family" : "Mansfield", "given" : "Shawn D", "non-dropping-particle" : "", "parse-names" : false, "suffix" : "" } ], "container-title" : "The New phytologist", "id" : "ITEM-1", "issue" : "4", "issued" : { "date-parts" : [ [ "2007", "1" ] ] }, "page" : "762-73", "title" : "Metabolite profiling of Douglas-fir (Pseudotsuga menziesii) field trials reveals strong environmental and weak genetic variation.", "type" : "article-journal", "volume" : "174" }, "uris" : [ "http://www.mendeley.com/documents/?uuid=ccced46d-12ce-430d-8a31-45e6ab3be903" ] }, { "id" : "ITEM-2", "itemData" : { "DOI" : "Doi 10.1111/J.1469-8137.2007.02282.X", "ISBN" : "0028-646X", "abstract" : "Plant populations growing at the margin of their range may exhibit traits that indicate genetic differentiation and adaptation to their local abiotic environment. Here, it was investigated whether geographically separated marginal populations of Arabidopsis lyrata ssp. petraea have distinct metabolic phenotypes within the plant foliage. Seeds of A. petraea were obtained from populations along a latitudinal gradient (49-64 degrees N), namely Germany, Wales, Sweden and Iceland and grown in a controlled cabinet environment. Targeted metabolic profiles and fingerprints were obtained at the same initial developmental stage. The free amino acid compositions were population specific, with fold differences in arginine, aspartic acid, asparagines, glycine, phenylalanine, alanine, threonine, histidine, serine and gamma-aminobutyric acid (GABA) concentrations. Sucrose, mannose and fructose concentrations were also different between populations but polyhydric alcohol concentrations were not. Principal component analysis (PCA) of metabolite fingerprints revealed metabolic phenotypes for each population. It is suggested that glucosinolates were responsible for discriminating populations within the PCA. Metabolite fingerprinting and profiling has proved to be sufficiently sensitive to identify metabolic differences between plant populations. These findings show that there is significant natural variation in metabolism among populations of A. petraea.", "author" : [ { "dropping-particle" : "", "family" : "Davey", "given" : "M P", "non-dropping-particle" : "", "parse-names" : false, "suffix" : "" }, { "dropping-particle" : "", "family" : "Burrell", "given" : "M M", "non-dropping-particle" : "", "parse-names" : false, "suffix" : "" }, { "dropping-particle" : "", "family" : "Woodward", "given" : "F I", "non-dropping-particle" : "", "parse-names" : false, "suffix" : "" }, { "dropping-particle" : "", "family" : "Quick", "given" : "W P", "non-dropping-particle" : "", "parse-names" : false, "suffix" : "" } ], "container-title" : "New Phytologist", "id" : "ITEM-2", "issue" : "2", "issued" : { "date-parts" : [ [ "2008" ] ] }, "language" : "English", "page" : "380-388", "title" : "Population-specific metabolic phenotypes of Arabidopsis lyrata ssp petraea", "type" : "article-journal", "volume" : "177" }, "uris" : [ "http://www.mendeley.com/documents/?uuid=92e9c872-fc98-42f1-9f3f-c38db9993c16" ] } ], "mendeley" : { "formattedCitation" : "(Robinson et al., 2007a; Davey et al., 2008a)", "plainTextFormattedCitation" : "(Robinson et al., 2007a; Davey et al., 2008a)", "previouslyFormattedCitation" : "(Robinson et al., 2007a; Davey et al., 2008a)" }, "properties" : { "noteIndex" : 0 }, "schema" : "https://github.com/citation-style-language/schema/raw/master/csl-citation.json" }</w:instrText>
      </w:r>
      <w:r>
        <w:fldChar w:fldCharType="separate"/>
      </w:r>
      <w:r w:rsidR="00134C22" w:rsidRPr="00134C22">
        <w:rPr>
          <w:noProof/>
        </w:rPr>
        <w:t>(Robinson et al., 2007a; Davey et al., 2008a)</w:t>
      </w:r>
      <w:r>
        <w:fldChar w:fldCharType="end"/>
      </w:r>
      <w:r>
        <w:t xml:space="preserve">. </w:t>
      </w:r>
    </w:p>
    <w:p w14:paraId="7E3C8288" w14:textId="4FDD4DCD" w:rsidR="0052730F" w:rsidRDefault="0052730F" w:rsidP="0018095C">
      <w:pPr>
        <w:pStyle w:val="BodyJB"/>
        <w:ind w:firstLine="720"/>
      </w:pPr>
      <w:r>
        <w:t xml:space="preserve">Many environmental metabolomics studies focus on model plant systems that have been subjected to extreme environmental conditions. Also, many experiments sampling plants from the field apply more targeted analyses on a subset of compounds (e.g. carbohydrates, phenolics, anthocyanins), these are often chemicals with an important specific function with in the species or known to be affected by the gradient in environmental factors </w:t>
      </w:r>
      <w:r>
        <w:fldChar w:fldCharType="begin" w:fldLock="1"/>
      </w:r>
      <w:r w:rsidR="007C2FF9">
        <w:instrText>ADDIN CSL_CITATION { "citationItems" : [ { "id" : "ITEM-1", "itemData" : { "DOI" : "10.1086/524959", "ISSN" : "1537-5323", "PMID" : "18197768", "abstract" : "Plants interact with many different species throughout their life cycle. Recent work has shown that the ecological effects of multispecies interactions are often not predictable from studies of the component pairwise interactions. Little is known about how multispecies interactions affect the evolution of ecologically important traits. We tested the direct and interactive effects of inter- and intraspecific competition, as well as of two abundant herbivore species (a generalist folivore and a specialist aphid), on the selective value of a defensive chemical compound in Brassica nigra. We found that investment in chemical defense was favored in interspecific competition but disfavored in intraspecific competition and that this pattern of selection was dependent on the presence of both herbivores, suggesting that selection will depend on the rarity or commonness of these species. These results show that the selective value of ecologically important traits depends on the complicated web of interactions present in diverse natural communities and that fluctuations in community composition may maintain genetic variation in such traits.", "author" : [ { "dropping-particle" : "", "family" : "Lankau", "given" : "Richard a", "non-dropping-particle" : "", "parse-names" : false, "suffix" : "" }, { "dropping-particle" : "", "family" : "Strauss", "given" : "Sharon Y", "non-dropping-particle" : "", "parse-names" : false, "suffix" : "" } ], "container-title" : "The American naturalist", "id" : "ITEM-1", "issue" : "2", "issued" : { "date-parts" : [ [ "2008", "2" ] ] }, "page" : "150-61", "title" : "Community complexity drives patterns of natural selection on a chemical defense of Brassica nigra.", "type" : "article-journal", "volume" : "171" }, "uris" : [ "http://www.mendeley.com/documents/?uuid=37eb5958-96ac-4400-9b57-e7647fdcc313" ] }, { "id" : "ITEM-2", "itemData" : { "DOI" : "10.1007/s11306-008-0127-1", "ISSN" : "1573-3882", "author" : [ { "dropping-particle" : "", "family" : "Davey", "given" : "Matthew P.", "non-dropping-particle" : "", "parse-names" : false, "suffix" : "" }, { "dropping-particle" : "", "family" : "Ian Woodward", "given" : "F.", "non-dropping-particle" : "", "parse-names" : false, "suffix" : "" }, { "dropping-particle" : "", "family" : "Paul Quick", "given" : "W.", "non-dropping-particle" : "", "parse-names" : false, "suffix" : "" } ], "container-title" : "Metabolomics", "id" : "ITEM-2", "issue" : "1", "issued" : { "date-parts" : [ [ "2008", "9", "2" ] ] }, "page" : "138-149", "title" : "Intraspecfic variation in cold-temperature metabolic phenotypes of Arabidopsis lyrata ssp. petraea", "type" : "article-journal", "volume" : "5" }, "uris" : [ "http://www.mendeley.com/documents/?uuid=23390ae3-b215-454d-88b9-0139808db8df" ] } ], "mendeley" : { "formattedCitation" : "(Lankau and Strauss, 2008; Davey et al., 2008b)", "plainTextFormattedCitation" : "(Lankau and Strauss, 2008; Davey et al., 2008b)", "previouslyFormattedCitation" : "(Lankau and Strauss, 2008; Davey et al., 2008b)" }, "properties" : { "noteIndex" : 0 }, "schema" : "https://github.com/citation-style-language/schema/raw/master/csl-citation.json" }</w:instrText>
      </w:r>
      <w:r>
        <w:fldChar w:fldCharType="separate"/>
      </w:r>
      <w:r w:rsidR="00134C22" w:rsidRPr="00134C22">
        <w:rPr>
          <w:noProof/>
        </w:rPr>
        <w:t>(Lankau and Strauss, 2008; Davey et al., 2008b)</w:t>
      </w:r>
      <w:r>
        <w:fldChar w:fldCharType="end"/>
      </w:r>
      <w:r>
        <w:t xml:space="preserve">. While these types of analyses may be useful in understanding how plants function, they often show little </w:t>
      </w:r>
      <w:r w:rsidR="0018095C">
        <w:t>correlation</w:t>
      </w:r>
      <w:r>
        <w:t xml:space="preserve"> to the development of plants in real world contexts. </w:t>
      </w:r>
      <w:r w:rsidRPr="005E4FC0">
        <w:t xml:space="preserve">Therefore, broad-scale elucidation of metabolic structure </w:t>
      </w:r>
      <w:r>
        <w:t xml:space="preserve">using laboratory coupled with field analyses associating </w:t>
      </w:r>
      <w:r w:rsidRPr="005E4FC0">
        <w:t>genotypic, phenotypic and</w:t>
      </w:r>
      <w:r>
        <w:t xml:space="preserve"> </w:t>
      </w:r>
      <w:r w:rsidRPr="005E4FC0">
        <w:t xml:space="preserve">environmental characteristics </w:t>
      </w:r>
      <w:r>
        <w:t xml:space="preserve">in plant populations </w:t>
      </w:r>
      <w:r w:rsidRPr="005E4FC0">
        <w:t>may aid in linking these aspects and furthering our understanding of plant development as a whole.</w:t>
      </w:r>
      <w:r>
        <w:t xml:space="preserve"> </w:t>
      </w:r>
    </w:p>
    <w:p w14:paraId="72689A8F" w14:textId="1BDB47CA" w:rsidR="0052730F" w:rsidRDefault="0052730F" w:rsidP="0052730F">
      <w:pPr>
        <w:pStyle w:val="BodyJB"/>
      </w:pPr>
      <w:r>
        <w:tab/>
        <w:t>Metabolomics has been growing as a field since the start of the 21</w:t>
      </w:r>
      <w:r w:rsidRPr="00C750B7">
        <w:rPr>
          <w:vertAlign w:val="superscript"/>
        </w:rPr>
        <w:t>st</w:t>
      </w:r>
      <w:r>
        <w:t xml:space="preserve"> century, however, consensus on a workflow for data interpretation is lacking </w:t>
      </w:r>
      <w:r>
        <w:fldChar w:fldCharType="begin" w:fldLock="1"/>
      </w:r>
      <w:r w:rsidR="007C2FF9">
        <w:instrText>ADDIN CSL_CITATION { "citationItems" : [ { "id" : "ITEM-1", "itemData" : { "DOI" : "10.1007/s11306-011-0274-7", "ISBN" : "1130601102", "ISSN" : "1573-3882", "author" : [ { "dropping-particle" : "", "family" : "Lin", "given" : "Xiaohui", "non-dropping-particle" : "", "parse-names" : false, "suffix" : "" }, { "dropping-particle" : "", "family" : "Wang", "given" : "Quancai", "non-dropping-particle" : "", "parse-names" : false, "suffix" : "" }, { "dropping-particle" : "", "family" : "Yin", "given" : "Peiyuan", "non-dropping-particle" : "", "parse-names" : false, "suffix" : "" }, { "dropping-particle" : "", "family" : "Tang", "given" : "Liang", "non-dropping-particle" : "", "parse-names" : false, "suffix" : "" }, { "dropping-particle" : "", "family" : "Tan", "given" : "Yexiong", "non-dropping-particle" : "", "parse-names" : false, "suffix" : "" }, { "dropping-particle" : "", "family" : "Li", "given" : "Hong", "non-dropping-particle" : "", "parse-names" : false, "suffix" : "" }, { "dropping-particle" : "", "family" : "Yan", "given" : "Kang", "non-dropping-particle" : "", "parse-names" : false, "suffix" : "" }, { "dropping-particle" : "", "family" : "Xu", "given" : "Guowang", "non-dropping-particle" : "", "parse-names" : false, "suffix" : "" } ], "container-title" : "Metabolomics", "id" : "ITEM-1", "issue" : "4", "issued" : { "date-parts" : [ [ "2011", "1", "20" ] ] }, "page" : "549-558", "title" : "A method for handling metabonomics data from liquid chromatography/mass spectrometry: combinational use of support vector machine recursive feature elimination, genetic algorithm and random forest for feature selection", "type" : "article-journal", "volume" : "7" }, "uris" : [ "http://www.mendeley.com/documents/?uuid=c3618780-e327-4809-8e52-3877d6bfbf10" ] }, { "id" : "ITEM-2", "itemData" : { "DOI" : "10.1104/pp.109.150524", "author" : [ { "dropping-particle" : "", "family" : "Scott", "given" : "IM", "non-dropping-particle" : "", "parse-names" : false, "suffix" : "" }, { "dropping-particle" : "", "family" : "Vermeer", "given" : "CP", "non-dropping-particle" : "", "parse-names" : false, "suffix" : "" }, { "dropping-particle" : "", "family" : "Liakata", "given" : "Maria", "non-dropping-particle" : "", "parse-names" : false, "suffix" : "" } ], "container-title" : "Plant \u2026", "id" : "ITEM-2", "issue" : "August", "issued" : { "date-parts" : [ [ "2010" ] ] }, "page" : "1506-1520", "title" : "Enhancement of Plant Metabolite Fingerprinting by Machine Learning", "type" : "article-journal", "volume" : "153" }, "uris" : [ "http://www.mendeley.com/documents/?uuid=092e5cd1-ca9b-4f21-a581-c4e9c04f167b" ] }, { "id" : "ITEM-3", "itemData" : { "DOI" : "Doi 10.1007/S11306-006-0037-Z", "ISBN" : "1573-3882", "abstract" : "Many metabolomics, and other high-content or high-throughput, experiments are set up such that the primary aim is the discovery of biomarker metabolites that can discriminate, with a certain level of certainty, between nominally matched 'case' and 'control' samples. However, it is unfortunately very easy to find markers that are apparently persuasive but that are in fact entirely spurious, and there are well-known examples in the proteomics literature. The main types of danger are not entirely independent of each other, but include bias, inadequate sample size (especially relative to the number of metabolite variables and to the required statistical power to prove that a biomarker is discriminant), excessive false discovery rate due to multiple hypothesis testing, inappropriate choice of particular numerical methods, and overfitting (generally caused by the failure to perform adequate validation and cross-validation). Many studies fail to take these into account, and thereby fail to discover anything of true significance (despite their claims). We summarise these problems, and provide pointers to a substantial existing literature that should assist in the improved design and evaluation of metabolomics experiments, thereby allowing robust scientific conclusions to be drawn from the available data. We provide a list of some of the simpler checks that might improve one's confidence that a candidate biomarker is not simply a statistical artefact, and suggest a series of preferred tests and visualisation tools that can assist readers and authors in assessing papers. These tools can be applied to individual metabolites by using multiple univariate tests performed in parallel across all metabolite peaks. They may also be applied to the validation of multivariate models. We stress in particular that classical p-values such as \"p &lt; 0.05\", that are often used in biomedicine, are far too optimistic when multiple tests are done simultaneously (as in metabolomics). Ultimately it is desirable that all data and metadata are available electronically, as this allows the entire community to assess conclusions drawn from them. These analyses apply to all high-dimensional 'omics' datasets.", "author" : [ { "dropping-particle" : "", "family" : "Broadhurst", "given" : "D I", "non-dropping-particle" : "", "parse-names" : false, "suffix" : "" }, { "dropping-particle" : "", "family" : "Kell", "given" : "D B", "non-dropping-particle" : "", "parse-names" : false, "suffix" : "" } ], "container-title" : "Metabolomics", "id" : "ITEM-3", "issue" : "4", "issued" : { "date-parts" : [ [ "2006" ] ] }, "language" : "English", "page" : "171-196", "title" : "Statistical strategies for avoiding false discoveries in metabolomics and related experiments", "type" : "article-journal", "volume" : "2" }, "uris" : [ "http://www.mendeley.com/documents/?uuid=b162c887-3fc7-465c-8135-a30b53bb07f8" ] } ], "mendeley" : { "formattedCitation" : "(Broadhurst and Kell, 2006; Scott et al., 2010; Lin et al., 2011)", "plainTextFormattedCitation" : "(Broadhurst and Kell, 2006; Scott et al., 2010; Lin et al., 2011)", "previouslyFormattedCitation" : "(Broadhurst and Kell, 2006; Scott et al., 2010; Lin et al., 2011)" }, "properties" : { "noteIndex" : 0 }, "schema" : "https://github.com/citation-style-language/schema/raw/master/csl-citation.json" }</w:instrText>
      </w:r>
      <w:r>
        <w:fldChar w:fldCharType="separate"/>
      </w:r>
      <w:r w:rsidR="00134C22" w:rsidRPr="00134C22">
        <w:rPr>
          <w:noProof/>
        </w:rPr>
        <w:t>(Broadhurst and Kell, 2006; Scott et al., 2010; Lin et al., 2011)</w:t>
      </w:r>
      <w:r>
        <w:fldChar w:fldCharType="end"/>
      </w:r>
      <w:r>
        <w:t xml:space="preserve">. The combination of approaches applied in this study has successfully identified numerous patterns in discriminatory mass features. These masses can now be further analysed to determine full identifications. Along with the use of online portals designed to annotate and visualize metabolomic data such as www.plantcyc.org and www.metaboanalyst.ca/ </w:t>
      </w:r>
      <w:r>
        <w:fldChar w:fldCharType="begin" w:fldLock="1"/>
      </w:r>
      <w:r w:rsidR="007C2FF9">
        <w:instrText>ADDIN CSL_CITATION { "citationItems" : [ { "id" : "ITEM-1", "itemData" : { "DOI" : "10.1104/pp.110.157396", "ISSN" : "1532-2548", "PMID" : "20522724", "abstract" : "Metabolic networks reconstructed from sequenced genomes or transcriptomes can help visualize and analyze large-scale experimental data, predict metabolic phenotypes, discover enzymes, engineer metabolic pathways, and study metabolic pathway evolution. We developed a general approach for reconstructing metabolic pathway complements of plant genomes. Two new reference databases were created and added to the core of the infrastructure: a comprehensive, all-plant reference pathway database, PlantCyc, and a reference enzyme sequence database, RESD, for annotating metabolic functions of protein sequences. PlantCyc (version 3.0) includes 714 metabolic pathways and 2,619 reactions from over 300 species. RESD (version 1.0) contains 14,187 literature-supported enzyme sequences from across all kingdoms. We used RESD, PlantCyc, and MetaCyc (an all-species reference metabolic pathway database), in conjunction with the pathway prediction software Pathway Tools, to reconstruct a metabolic pathway database, PoplarCyc, from the recently sequenced genome of Populus trichocarpa. PoplarCyc (version 1.0) contains 321 pathways with 1,807 assigned enzymes. Comparing PoplarCyc (version 1.0) with AraCyc (version 6.0, Arabidopsis [Arabidopsis thaliana]) showed comparable numbers of pathways distributed across all domains of metabolism in both databases, except for a higher number of AraCyc pathways in secondary metabolism and a 1.5-fold increase in carbohydrate metabolic enzymes in PoplarCyc. Here, we introduce these new resources and demonstrate the feasibility of using them to identify candidate enzymes for specific pathways and to analyze metabolite profiling data through concrete examples. These resources can be searched by text or BLAST, browsed, and downloaded from our project Web site (http://plantcyc.org).", "author" : [ { "dropping-particle" : "", "family" : "Zhang", "given" : "Peifen", "non-dropping-particle" : "", "parse-names" : false, "suffix" : "" }, { "dropping-particle" : "", "family" : "Dreher", "given" : "Kate", "non-dropping-particle" : "", "parse-names" : false, "suffix" : "" }, { "dropping-particle" : "", "family" : "Karthikeyan", "given" : "a", "non-dropping-particle" : "", "parse-names" : false, "suffix" : "" }, { "dropping-particle" : "", "family" : "Chi", "given" : "Anjo", "non-dropping-particle" : "", "parse-names" : false, "suffix" : "" }, { "dropping-particle" : "", "family" : "Pujar", "given" : "Anuradha", "non-dropping-particle" : "", "parse-names" : false, "suffix" : "" }, { "dropping-particle" : "", "family" : "Caspi", "given" : "Ron", "non-dropping-particle" : "", "parse-names" : false, "suffix" : "" }, { "dropping-particle" : "", "family" : "Karp", "given" : "Peter", "non-dropping-particle" : "", "parse-names" : false, "suffix" : "" }, { "dropping-particle" : "", "family" : "Kirkup", "given" : "Vanessa", "non-dropping-particle" : "", "parse-names" : false, "suffix" : "" }, { "dropping-particle" : "", "family" : "Latendresse", "given" : "Mario", "non-dropping-particle" : "", "parse-names" : false, "suffix" : "" }, { "dropping-particle" : "", "family" : "Lee", "given" : "Cynthia", "non-dropping-particle" : "", "parse-names" : false, "suffix" : "" }, { "dropping-particle" : "", "family" : "Mueller", "given" : "Lukas a", "non-dropping-particle" : "", "parse-names" : false, "suffix" : "" }, { "dropping-particle" : "", "family" : "Muller", "given" : "Robert", "non-dropping-particle" : "", "parse-names" : false, "suffix" : "" }, { "dropping-particle" : "", "family" : "Rhee", "given" : "Seung Yon", "non-dropping-particle" : "", "parse-names" : false, "suffix" : "" } ], "container-title" : "Plant physiology", "id" : "ITEM-1", "issue" : "4", "issued" : { "date-parts" : [ [ "2010", "8" ] ] }, "page" : "1479-91", "title" : "Creation of a genome-wide metabolic pathway database for Populus trichocarpa using a new approach for reconstruction and curation of metabolic pathways for plants.", "type" : "article-journal", "volume" : "153" }, "uris" : [ "http://www.mendeley.com/documents/?uuid=a274a2e0-cfba-4c21-b145-43344336df96" ] } ], "mendeley" : { "formattedCitation" : "(Zhang et al., 2010)", "plainTextFormattedCitation" : "(Zhang et al., 2010)", "previouslyFormattedCitation" : "(Zhang et al., 2010)" }, "properties" : { "noteIndex" : 0 }, "schema" : "https://github.com/citation-style-language/schema/raw/master/csl-citation.json" }</w:instrText>
      </w:r>
      <w:r>
        <w:fldChar w:fldCharType="separate"/>
      </w:r>
      <w:r w:rsidRPr="006C4845">
        <w:rPr>
          <w:noProof/>
        </w:rPr>
        <w:t xml:space="preserve">(Zhang </w:t>
      </w:r>
      <w:r w:rsidRPr="006C4845">
        <w:rPr>
          <w:i/>
          <w:noProof/>
        </w:rPr>
        <w:t>et al.</w:t>
      </w:r>
      <w:r w:rsidRPr="006C4845">
        <w:rPr>
          <w:noProof/>
        </w:rPr>
        <w:t>, 2010)</w:t>
      </w:r>
      <w:r>
        <w:fldChar w:fldCharType="end"/>
      </w:r>
      <w:r>
        <w:t xml:space="preserve">, a method is presented in this thesis that can be applied in future environmental metabolomic studies.  </w:t>
      </w:r>
    </w:p>
    <w:p w14:paraId="359A9FC6" w14:textId="77777777" w:rsidR="0052730F" w:rsidRDefault="0052730F" w:rsidP="00B66E45">
      <w:pPr>
        <w:pStyle w:val="HeadingJB"/>
      </w:pPr>
      <w:bookmarkStart w:id="108" w:name="_Toc250775735"/>
      <w:bookmarkStart w:id="109" w:name="_Toc291410111"/>
      <w:r>
        <w:t>A</w:t>
      </w:r>
      <w:r w:rsidRPr="00735E29">
        <w:t>ppendix</w:t>
      </w:r>
      <w:bookmarkEnd w:id="108"/>
      <w:bookmarkEnd w:id="109"/>
    </w:p>
    <w:p w14:paraId="07F04BB2" w14:textId="77777777" w:rsidR="0052730F" w:rsidRPr="00735E29" w:rsidRDefault="0052730F" w:rsidP="0052730F">
      <w:pPr>
        <w:rPr>
          <w:rFonts w:ascii="Times" w:hAnsi="Times"/>
        </w:rPr>
      </w:pPr>
      <w:r>
        <w:rPr>
          <w:rFonts w:ascii="Times" w:hAnsi="Times"/>
          <w:noProof/>
          <w:lang w:val="en-US" w:eastAsia="en-US"/>
        </w:rPr>
        <w:drawing>
          <wp:inline distT="0" distB="0" distL="0" distR="0" wp14:anchorId="4981BE7F" wp14:editId="1175E9A1">
            <wp:extent cx="4584700" cy="3238500"/>
            <wp:effectExtent l="0" t="0" r="0" b="12700"/>
            <wp:docPr id="38" name="Picture 2" descr="plot ger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ot germ.pd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84700" cy="3238500"/>
                    </a:xfrm>
                    <a:prstGeom prst="rect">
                      <a:avLst/>
                    </a:prstGeom>
                    <a:noFill/>
                    <a:ln>
                      <a:noFill/>
                    </a:ln>
                  </pic:spPr>
                </pic:pic>
              </a:graphicData>
            </a:graphic>
          </wp:inline>
        </w:drawing>
      </w:r>
    </w:p>
    <w:p w14:paraId="28949A32" w14:textId="77777777" w:rsidR="0052730F" w:rsidRPr="002E1A88" w:rsidRDefault="0052730F" w:rsidP="0052730F">
      <w:pPr>
        <w:rPr>
          <w:rFonts w:ascii="Times" w:hAnsi="Times"/>
        </w:rPr>
      </w:pPr>
      <w:r w:rsidRPr="002E1A88">
        <w:rPr>
          <w:rFonts w:ascii="Times" w:hAnsi="Times"/>
        </w:rPr>
        <w:t>Fig. 1. Percentage total germination of populations from five species, in both F1 generation (dark grey bars) and F2 generation (light grey bars) plants.</w:t>
      </w:r>
    </w:p>
    <w:p w14:paraId="67EC4249" w14:textId="77777777" w:rsidR="0052730F" w:rsidRPr="00735E29" w:rsidRDefault="0052730F" w:rsidP="0052730F">
      <w:pPr>
        <w:rPr>
          <w:rFonts w:ascii="Times" w:hAnsi="Times"/>
        </w:rPr>
      </w:pPr>
    </w:p>
    <w:p w14:paraId="6DB7C75A" w14:textId="77777777" w:rsidR="0052730F" w:rsidRPr="00735E29" w:rsidRDefault="0052730F" w:rsidP="0052730F">
      <w:pPr>
        <w:rPr>
          <w:rFonts w:ascii="Times" w:hAnsi="Times"/>
        </w:rPr>
      </w:pPr>
      <w:r>
        <w:rPr>
          <w:rFonts w:ascii="Times" w:hAnsi="Times"/>
          <w:noProof/>
          <w:lang w:val="en-US" w:eastAsia="en-US"/>
        </w:rPr>
        <w:drawing>
          <wp:inline distT="0" distB="0" distL="0" distR="0" wp14:anchorId="739070A5" wp14:editId="073E5BC3">
            <wp:extent cx="4584700" cy="3238500"/>
            <wp:effectExtent l="0" t="0" r="0" b="12700"/>
            <wp:docPr id="39" name="Picture 3" descr="Plot flowering tim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ot flowering time.pd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84700" cy="3238500"/>
                    </a:xfrm>
                    <a:prstGeom prst="rect">
                      <a:avLst/>
                    </a:prstGeom>
                    <a:noFill/>
                    <a:ln>
                      <a:noFill/>
                    </a:ln>
                  </pic:spPr>
                </pic:pic>
              </a:graphicData>
            </a:graphic>
          </wp:inline>
        </w:drawing>
      </w:r>
    </w:p>
    <w:p w14:paraId="3E67C9EC" w14:textId="77777777" w:rsidR="0052730F" w:rsidRPr="002E1A88" w:rsidRDefault="0052730F" w:rsidP="0052730F">
      <w:pPr>
        <w:rPr>
          <w:rFonts w:ascii="Times" w:hAnsi="Times"/>
          <w:noProof/>
        </w:rPr>
      </w:pPr>
      <w:r w:rsidRPr="002E1A88">
        <w:rPr>
          <w:rFonts w:ascii="Times" w:hAnsi="Times"/>
        </w:rPr>
        <w:t>Fig. 2. Time of flowering of populations from five species, in both F1 generation (dark grey bars) and F2 generation (light grey bars) plants.</w:t>
      </w:r>
    </w:p>
    <w:p w14:paraId="2EBA30E3" w14:textId="77777777" w:rsidR="0052730F" w:rsidRPr="00735E29" w:rsidRDefault="0052730F" w:rsidP="0052730F">
      <w:pPr>
        <w:rPr>
          <w:rFonts w:ascii="Times" w:hAnsi="Times"/>
        </w:rPr>
      </w:pPr>
    </w:p>
    <w:p w14:paraId="37F23940" w14:textId="77777777" w:rsidR="0052730F" w:rsidRPr="00735E29" w:rsidRDefault="0052730F" w:rsidP="0052730F">
      <w:pPr>
        <w:rPr>
          <w:rFonts w:ascii="Times" w:hAnsi="Times"/>
        </w:rPr>
      </w:pPr>
    </w:p>
    <w:p w14:paraId="628B1C59" w14:textId="77777777" w:rsidR="0052730F" w:rsidRPr="00735E29" w:rsidRDefault="0052730F" w:rsidP="0052730F">
      <w:pPr>
        <w:rPr>
          <w:rFonts w:ascii="Times" w:hAnsi="Times"/>
        </w:rPr>
      </w:pPr>
      <w:r>
        <w:rPr>
          <w:rFonts w:ascii="Times" w:hAnsi="Times"/>
          <w:noProof/>
          <w:lang w:val="en-US" w:eastAsia="en-US"/>
        </w:rPr>
        <w:drawing>
          <wp:inline distT="0" distB="0" distL="0" distR="0" wp14:anchorId="7E52F804" wp14:editId="5001A9CA">
            <wp:extent cx="4584700" cy="3238500"/>
            <wp:effectExtent l="0" t="0" r="0" b="12700"/>
            <wp:docPr id="40" name="Picture 3" descr="plot RF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ot RFR.pd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84700" cy="3238500"/>
                    </a:xfrm>
                    <a:prstGeom prst="rect">
                      <a:avLst/>
                    </a:prstGeom>
                    <a:noFill/>
                    <a:ln>
                      <a:noFill/>
                    </a:ln>
                  </pic:spPr>
                </pic:pic>
              </a:graphicData>
            </a:graphic>
          </wp:inline>
        </w:drawing>
      </w:r>
    </w:p>
    <w:p w14:paraId="0DCB62D8" w14:textId="77777777" w:rsidR="0052730F" w:rsidRPr="002E1A88" w:rsidRDefault="0052730F" w:rsidP="0052730F">
      <w:pPr>
        <w:rPr>
          <w:rFonts w:ascii="Times" w:hAnsi="Times"/>
        </w:rPr>
      </w:pPr>
      <w:r w:rsidRPr="002E1A88">
        <w:rPr>
          <w:rFonts w:ascii="Times" w:hAnsi="Times"/>
        </w:rPr>
        <w:t>Fig. 3. Ripe fruit produced per plant of populations from five species, in both F1 generation (dark grey bars) and F2 generation (light grey bars) plants.</w:t>
      </w:r>
    </w:p>
    <w:p w14:paraId="4E9BAA25" w14:textId="77777777" w:rsidR="0052730F" w:rsidRDefault="0052730F" w:rsidP="0052730F">
      <w:pPr>
        <w:rPr>
          <w:rFonts w:ascii="Times" w:hAnsi="Times"/>
          <w:sz w:val="20"/>
        </w:rPr>
      </w:pPr>
    </w:p>
    <w:p w14:paraId="44DB37B1" w14:textId="77777777" w:rsidR="0052730F" w:rsidRPr="00735E29" w:rsidRDefault="0052730F" w:rsidP="0052730F">
      <w:pPr>
        <w:rPr>
          <w:rFonts w:ascii="Times" w:hAnsi="Times"/>
          <w:sz w:val="20"/>
        </w:rPr>
      </w:pPr>
    </w:p>
    <w:p w14:paraId="28F44A82" w14:textId="77777777" w:rsidR="0052730F" w:rsidRPr="00735E29" w:rsidRDefault="0052730F" w:rsidP="0052730F">
      <w:pPr>
        <w:rPr>
          <w:rFonts w:ascii="Times" w:hAnsi="Times"/>
        </w:rPr>
      </w:pPr>
      <w:r>
        <w:rPr>
          <w:rFonts w:ascii="Times" w:hAnsi="Times"/>
          <w:noProof/>
          <w:lang w:val="en-US" w:eastAsia="en-US"/>
        </w:rPr>
        <w:drawing>
          <wp:inline distT="0" distB="0" distL="0" distR="0" wp14:anchorId="6ADB796E" wp14:editId="00CE6302">
            <wp:extent cx="4584700" cy="3238500"/>
            <wp:effectExtent l="0" t="0" r="0" b="12700"/>
            <wp:docPr id="41" name="Picture 0" descr="plot Seed per Plan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plot Seed per Plant.pd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84700" cy="3238500"/>
                    </a:xfrm>
                    <a:prstGeom prst="rect">
                      <a:avLst/>
                    </a:prstGeom>
                    <a:noFill/>
                    <a:ln>
                      <a:noFill/>
                    </a:ln>
                  </pic:spPr>
                </pic:pic>
              </a:graphicData>
            </a:graphic>
          </wp:inline>
        </w:drawing>
      </w:r>
    </w:p>
    <w:p w14:paraId="3EDB2276" w14:textId="77777777" w:rsidR="0052730F" w:rsidRPr="002E1A88" w:rsidRDefault="0052730F" w:rsidP="0052730F">
      <w:pPr>
        <w:rPr>
          <w:rFonts w:ascii="Times" w:hAnsi="Times"/>
        </w:rPr>
      </w:pPr>
      <w:r w:rsidRPr="002E1A88">
        <w:rPr>
          <w:rFonts w:ascii="Times" w:hAnsi="Times"/>
        </w:rPr>
        <w:t>Fig. 4. Number of seed produced per plant (estimated) of populations from five species, in both F1 generation (dark grey bars) and F2 generation (light grey bars) plants.</w:t>
      </w:r>
    </w:p>
    <w:p w14:paraId="77C5DC69" w14:textId="77777777" w:rsidR="0052730F" w:rsidRPr="00735E29" w:rsidRDefault="0052730F" w:rsidP="0052730F">
      <w:pPr>
        <w:rPr>
          <w:rFonts w:ascii="Times" w:hAnsi="Times"/>
        </w:rPr>
      </w:pPr>
    </w:p>
    <w:p w14:paraId="7CA59649" w14:textId="77777777" w:rsidR="0052730F" w:rsidRPr="00735E29" w:rsidRDefault="0052730F" w:rsidP="0052730F">
      <w:pPr>
        <w:rPr>
          <w:rFonts w:ascii="Times" w:hAnsi="Times"/>
        </w:rPr>
      </w:pPr>
      <w:r>
        <w:rPr>
          <w:rFonts w:ascii="Times" w:hAnsi="Times"/>
          <w:noProof/>
          <w:lang w:val="en-US" w:eastAsia="en-US"/>
        </w:rPr>
        <w:drawing>
          <wp:inline distT="0" distB="0" distL="0" distR="0" wp14:anchorId="08B8E287" wp14:editId="37D6FB42">
            <wp:extent cx="4584700" cy="3238500"/>
            <wp:effectExtent l="0" t="0" r="0" b="12700"/>
            <wp:docPr id="42" name="Picture 4" descr="plot Seed Per Fru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lot Seed Per Fruit.pd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84700" cy="3238500"/>
                    </a:xfrm>
                    <a:prstGeom prst="rect">
                      <a:avLst/>
                    </a:prstGeom>
                    <a:noFill/>
                    <a:ln>
                      <a:noFill/>
                    </a:ln>
                  </pic:spPr>
                </pic:pic>
              </a:graphicData>
            </a:graphic>
          </wp:inline>
        </w:drawing>
      </w:r>
    </w:p>
    <w:p w14:paraId="77836F51" w14:textId="77777777" w:rsidR="0052730F" w:rsidRPr="002E1A88" w:rsidRDefault="0052730F" w:rsidP="0052730F">
      <w:pPr>
        <w:rPr>
          <w:rFonts w:ascii="Times" w:hAnsi="Times"/>
        </w:rPr>
      </w:pPr>
      <w:r w:rsidRPr="002E1A88">
        <w:rPr>
          <w:rFonts w:ascii="Times" w:hAnsi="Times"/>
        </w:rPr>
        <w:t>Fig. 5. Number of seed produced per fruit of populations from five species, in both F1 generation (dark grey bars) and F2 generation (light grey bars) plants.</w:t>
      </w:r>
    </w:p>
    <w:p w14:paraId="08527FEC" w14:textId="77777777" w:rsidR="0052730F" w:rsidRPr="00735E29" w:rsidRDefault="0052730F" w:rsidP="0052730F">
      <w:pPr>
        <w:rPr>
          <w:rFonts w:ascii="Times" w:hAnsi="Times"/>
          <w:sz w:val="20"/>
        </w:rPr>
      </w:pPr>
    </w:p>
    <w:p w14:paraId="60024032" w14:textId="77777777" w:rsidR="0052730F" w:rsidRPr="00735E29" w:rsidRDefault="0052730F" w:rsidP="0052730F">
      <w:pPr>
        <w:rPr>
          <w:rFonts w:ascii="Times" w:hAnsi="Times"/>
        </w:rPr>
      </w:pPr>
      <w:r>
        <w:rPr>
          <w:rFonts w:ascii="Times" w:hAnsi="Times"/>
          <w:noProof/>
          <w:lang w:val="en-US" w:eastAsia="en-US"/>
        </w:rPr>
        <w:drawing>
          <wp:inline distT="0" distB="0" distL="0" distR="0" wp14:anchorId="4D71EA61" wp14:editId="263973D7">
            <wp:extent cx="4584700" cy="3238500"/>
            <wp:effectExtent l="0" t="0" r="0" b="12700"/>
            <wp:docPr id="43" name="Picture 0" descr="final heigh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final height.pd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84700" cy="3238500"/>
                    </a:xfrm>
                    <a:prstGeom prst="rect">
                      <a:avLst/>
                    </a:prstGeom>
                    <a:noFill/>
                    <a:ln>
                      <a:noFill/>
                    </a:ln>
                  </pic:spPr>
                </pic:pic>
              </a:graphicData>
            </a:graphic>
          </wp:inline>
        </w:drawing>
      </w:r>
    </w:p>
    <w:p w14:paraId="5165B899" w14:textId="77777777" w:rsidR="0052730F" w:rsidRPr="002E1A88" w:rsidRDefault="0052730F" w:rsidP="0052730F">
      <w:pPr>
        <w:rPr>
          <w:rFonts w:ascii="Times" w:hAnsi="Times"/>
        </w:rPr>
      </w:pPr>
      <w:r w:rsidRPr="002E1A88">
        <w:rPr>
          <w:rFonts w:ascii="Times" w:hAnsi="Times"/>
        </w:rPr>
        <w:t>Fig. 6. Final height of populations from five species, in both F1 generation (dark grey bars) and F2 generation (light grey bars) plants.</w:t>
      </w:r>
    </w:p>
    <w:p w14:paraId="466797C7" w14:textId="77777777" w:rsidR="0052730F" w:rsidRPr="00735E29" w:rsidRDefault="0052730F" w:rsidP="0052730F">
      <w:pPr>
        <w:rPr>
          <w:rFonts w:ascii="Times" w:hAnsi="Times"/>
        </w:rPr>
      </w:pPr>
    </w:p>
    <w:p w14:paraId="0F36911A" w14:textId="77777777" w:rsidR="0052730F" w:rsidRPr="00735E29" w:rsidRDefault="0052730F" w:rsidP="0052730F">
      <w:pPr>
        <w:rPr>
          <w:rFonts w:ascii="Times" w:hAnsi="Times"/>
        </w:rPr>
      </w:pPr>
      <w:r>
        <w:rPr>
          <w:rFonts w:ascii="Times" w:hAnsi="Times"/>
          <w:noProof/>
          <w:lang w:val="en-US" w:eastAsia="en-US"/>
        </w:rPr>
        <w:drawing>
          <wp:inline distT="0" distB="0" distL="0" distR="0" wp14:anchorId="051DC877" wp14:editId="62A02A09">
            <wp:extent cx="4584700" cy="3238500"/>
            <wp:effectExtent l="0" t="0" r="0" b="12700"/>
            <wp:docPr id="44" name="Picture 1" descr="plot Dry Weigh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ot Dry Weight.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84700" cy="3238500"/>
                    </a:xfrm>
                    <a:prstGeom prst="rect">
                      <a:avLst/>
                    </a:prstGeom>
                    <a:noFill/>
                    <a:ln>
                      <a:noFill/>
                    </a:ln>
                  </pic:spPr>
                </pic:pic>
              </a:graphicData>
            </a:graphic>
          </wp:inline>
        </w:drawing>
      </w:r>
    </w:p>
    <w:p w14:paraId="3B6943D3" w14:textId="77777777" w:rsidR="0052730F" w:rsidRPr="002E1A88" w:rsidRDefault="0052730F" w:rsidP="0052730F">
      <w:pPr>
        <w:rPr>
          <w:rFonts w:ascii="Times" w:hAnsi="Times"/>
        </w:rPr>
      </w:pPr>
      <w:r w:rsidRPr="002E1A88">
        <w:rPr>
          <w:rFonts w:ascii="Times" w:hAnsi="Times"/>
        </w:rPr>
        <w:t>Fig. 7. Dry weight of populations from five species, in both F1 generation (dark grey bars) and F2 generation (light grey bars) plants.</w:t>
      </w:r>
    </w:p>
    <w:p w14:paraId="505BC407" w14:textId="77777777" w:rsidR="0052730F" w:rsidRDefault="0052730F" w:rsidP="0052730F">
      <w:pPr>
        <w:rPr>
          <w:rFonts w:ascii="Times" w:hAnsi="Times"/>
        </w:rPr>
      </w:pPr>
    </w:p>
    <w:p w14:paraId="6B7C1A3B" w14:textId="77777777" w:rsidR="0052730F" w:rsidRDefault="0052730F" w:rsidP="0052730F">
      <w:pPr>
        <w:rPr>
          <w:rFonts w:ascii="Times" w:hAnsi="Times"/>
        </w:rPr>
      </w:pPr>
    </w:p>
    <w:p w14:paraId="13073389" w14:textId="77777777" w:rsidR="0052730F" w:rsidRDefault="0052730F" w:rsidP="0052730F">
      <w:pPr>
        <w:rPr>
          <w:rFonts w:ascii="Times" w:hAnsi="Times"/>
        </w:rPr>
      </w:pPr>
    </w:p>
    <w:p w14:paraId="1650CA0A" w14:textId="77777777" w:rsidR="0052730F" w:rsidRDefault="0052730F" w:rsidP="0052730F">
      <w:pPr>
        <w:rPr>
          <w:rFonts w:ascii="Times" w:hAnsi="Times"/>
        </w:rPr>
      </w:pPr>
    </w:p>
    <w:p w14:paraId="3463AF1C" w14:textId="77777777" w:rsidR="0052730F" w:rsidRPr="00735E29" w:rsidRDefault="0052730F" w:rsidP="0052730F">
      <w:pPr>
        <w:rPr>
          <w:rFonts w:ascii="Times" w:hAnsi="Times"/>
        </w:rPr>
      </w:pPr>
    </w:p>
    <w:p w14:paraId="6F4197F7" w14:textId="77777777" w:rsidR="0052730F" w:rsidRDefault="0052730F" w:rsidP="0052730F">
      <w:pPr>
        <w:rPr>
          <w:rFonts w:ascii="Times" w:hAnsi="Times"/>
        </w:rPr>
      </w:pPr>
      <w:r w:rsidRPr="00735E29">
        <w:rPr>
          <w:rFonts w:ascii="Times" w:hAnsi="Times"/>
        </w:rPr>
        <w:t>Table 1. Analysis of variance of generation and population effect on flowering time of five dune annual species</w:t>
      </w:r>
    </w:p>
    <w:p w14:paraId="426FD3EB" w14:textId="77777777" w:rsidR="0052730F" w:rsidRDefault="0052730F" w:rsidP="0052730F">
      <w:pPr>
        <w:rPr>
          <w:rFonts w:ascii="Times" w:hAnsi="Times"/>
        </w:rPr>
      </w:pPr>
      <w:r>
        <w:rPr>
          <w:rFonts w:ascii="Times" w:hAnsi="Times"/>
          <w:noProof/>
          <w:lang w:val="en-US" w:eastAsia="en-US"/>
        </w:rPr>
        <w:drawing>
          <wp:inline distT="0" distB="0" distL="0" distR="0" wp14:anchorId="35798CF0" wp14:editId="7FDE529D">
            <wp:extent cx="5249333" cy="3340100"/>
            <wp:effectExtent l="0" t="0" r="8890" b="0"/>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3">
                      <a:extLst>
                        <a:ext uri="{28A0092B-C50C-407E-A947-70E740481C1C}">
                          <a14:useLocalDpi xmlns:a14="http://schemas.microsoft.com/office/drawing/2010/main" val="0"/>
                        </a:ext>
                      </a:extLst>
                    </a:blip>
                    <a:srcRect l="6486"/>
                    <a:stretch/>
                  </pic:blipFill>
                  <pic:spPr bwMode="auto">
                    <a:xfrm>
                      <a:off x="0" y="0"/>
                      <a:ext cx="5249333" cy="3340100"/>
                    </a:xfrm>
                    <a:prstGeom prst="rect">
                      <a:avLst/>
                    </a:prstGeom>
                    <a:noFill/>
                    <a:ln>
                      <a:noFill/>
                    </a:ln>
                    <a:extLst>
                      <a:ext uri="{53640926-AAD7-44d8-BBD7-CCE9431645EC}">
                        <a14:shadowObscured xmlns:a14="http://schemas.microsoft.com/office/drawing/2010/main"/>
                      </a:ext>
                    </a:extLst>
                  </pic:spPr>
                </pic:pic>
              </a:graphicData>
            </a:graphic>
          </wp:inline>
        </w:drawing>
      </w:r>
    </w:p>
    <w:p w14:paraId="5721BB82" w14:textId="77777777" w:rsidR="0052730F" w:rsidRPr="00735E29" w:rsidRDefault="0052730F" w:rsidP="0052730F">
      <w:pPr>
        <w:rPr>
          <w:rFonts w:ascii="Times" w:hAnsi="Times"/>
        </w:rPr>
      </w:pPr>
    </w:p>
    <w:p w14:paraId="44233B99" w14:textId="77777777" w:rsidR="0052730F" w:rsidRDefault="0052730F" w:rsidP="0052730F">
      <w:pPr>
        <w:rPr>
          <w:rFonts w:ascii="Times" w:hAnsi="Times"/>
        </w:rPr>
      </w:pPr>
    </w:p>
    <w:p w14:paraId="16B24077" w14:textId="77777777" w:rsidR="0052730F" w:rsidRDefault="0052730F" w:rsidP="0052730F">
      <w:pPr>
        <w:rPr>
          <w:rFonts w:ascii="Times" w:hAnsi="Times"/>
        </w:rPr>
      </w:pPr>
    </w:p>
    <w:p w14:paraId="4F5FCD93" w14:textId="77777777" w:rsidR="0052730F" w:rsidRDefault="0052730F" w:rsidP="0052730F">
      <w:pPr>
        <w:rPr>
          <w:rFonts w:ascii="Times" w:hAnsi="Times"/>
        </w:rPr>
      </w:pPr>
    </w:p>
    <w:p w14:paraId="0F3EAC75" w14:textId="77777777" w:rsidR="0052730F" w:rsidRDefault="0052730F" w:rsidP="0052730F">
      <w:pPr>
        <w:rPr>
          <w:rFonts w:ascii="Times" w:hAnsi="Times"/>
        </w:rPr>
      </w:pPr>
      <w:r w:rsidRPr="00735E29">
        <w:rPr>
          <w:rFonts w:ascii="Times" w:hAnsi="Times"/>
        </w:rPr>
        <w:t xml:space="preserve">Table </w:t>
      </w:r>
      <w:r>
        <w:rPr>
          <w:rFonts w:ascii="Times" w:hAnsi="Times"/>
        </w:rPr>
        <w:t>2</w:t>
      </w:r>
      <w:r w:rsidRPr="00735E29">
        <w:rPr>
          <w:rFonts w:ascii="Times" w:hAnsi="Times"/>
        </w:rPr>
        <w:t>. Analysis of variance of generation and population effect on production of fruit of five dune annual species</w:t>
      </w:r>
    </w:p>
    <w:p w14:paraId="726AAD7D" w14:textId="77777777" w:rsidR="0052730F" w:rsidRDefault="0052730F" w:rsidP="0052730F">
      <w:pPr>
        <w:rPr>
          <w:rFonts w:ascii="Times" w:hAnsi="Times"/>
        </w:rPr>
      </w:pPr>
      <w:r>
        <w:rPr>
          <w:rFonts w:ascii="Times" w:hAnsi="Times"/>
          <w:noProof/>
          <w:lang w:val="en-US" w:eastAsia="en-US"/>
        </w:rPr>
        <w:drawing>
          <wp:inline distT="0" distB="0" distL="0" distR="0" wp14:anchorId="6502B516" wp14:editId="18F928DC">
            <wp:extent cx="5232400" cy="3340100"/>
            <wp:effectExtent l="0" t="0" r="0" b="0"/>
            <wp:docPr id="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4">
                      <a:extLst>
                        <a:ext uri="{28A0092B-C50C-407E-A947-70E740481C1C}">
                          <a14:useLocalDpi xmlns:a14="http://schemas.microsoft.com/office/drawing/2010/main" val="0"/>
                        </a:ext>
                      </a:extLst>
                    </a:blip>
                    <a:srcRect l="6788"/>
                    <a:stretch/>
                  </pic:blipFill>
                  <pic:spPr bwMode="auto">
                    <a:xfrm>
                      <a:off x="0" y="0"/>
                      <a:ext cx="5232400" cy="3340100"/>
                    </a:xfrm>
                    <a:prstGeom prst="rect">
                      <a:avLst/>
                    </a:prstGeom>
                    <a:noFill/>
                    <a:ln>
                      <a:noFill/>
                    </a:ln>
                    <a:extLst>
                      <a:ext uri="{53640926-AAD7-44d8-BBD7-CCE9431645EC}">
                        <a14:shadowObscured xmlns:a14="http://schemas.microsoft.com/office/drawing/2010/main"/>
                      </a:ext>
                    </a:extLst>
                  </pic:spPr>
                </pic:pic>
              </a:graphicData>
            </a:graphic>
          </wp:inline>
        </w:drawing>
      </w:r>
    </w:p>
    <w:p w14:paraId="018E7BF7" w14:textId="77777777" w:rsidR="0052730F" w:rsidRPr="00735E29" w:rsidRDefault="0052730F" w:rsidP="0052730F">
      <w:pPr>
        <w:rPr>
          <w:rFonts w:ascii="Times" w:hAnsi="Times"/>
        </w:rPr>
      </w:pPr>
    </w:p>
    <w:p w14:paraId="52366767" w14:textId="77777777" w:rsidR="0052730F" w:rsidRDefault="0052730F" w:rsidP="0052730F">
      <w:pPr>
        <w:rPr>
          <w:rFonts w:ascii="Times" w:hAnsi="Times"/>
        </w:rPr>
      </w:pPr>
    </w:p>
    <w:p w14:paraId="0C29CEDC" w14:textId="77777777" w:rsidR="0052730F" w:rsidRDefault="0052730F" w:rsidP="0052730F">
      <w:pPr>
        <w:rPr>
          <w:rFonts w:ascii="Times" w:hAnsi="Times"/>
        </w:rPr>
      </w:pPr>
      <w:r w:rsidRPr="00735E29">
        <w:rPr>
          <w:rFonts w:ascii="Times" w:hAnsi="Times"/>
        </w:rPr>
        <w:t xml:space="preserve">Table </w:t>
      </w:r>
      <w:r>
        <w:rPr>
          <w:rFonts w:ascii="Times" w:hAnsi="Times"/>
        </w:rPr>
        <w:t>3</w:t>
      </w:r>
      <w:r w:rsidRPr="00735E29">
        <w:rPr>
          <w:rFonts w:ascii="Times" w:hAnsi="Times"/>
        </w:rPr>
        <w:t>. Analysis of variance of generation and population effect on seed produced per plant of five dune annual species</w:t>
      </w:r>
    </w:p>
    <w:p w14:paraId="3AF19734" w14:textId="77777777" w:rsidR="0052730F" w:rsidRDefault="0052730F" w:rsidP="0052730F">
      <w:pPr>
        <w:rPr>
          <w:rFonts w:ascii="Times" w:hAnsi="Times"/>
        </w:rPr>
      </w:pPr>
    </w:p>
    <w:p w14:paraId="61427217" w14:textId="77777777" w:rsidR="0052730F" w:rsidRDefault="0052730F" w:rsidP="0052730F">
      <w:pPr>
        <w:rPr>
          <w:rFonts w:ascii="Times" w:hAnsi="Times"/>
        </w:rPr>
      </w:pPr>
      <w:r>
        <w:rPr>
          <w:rFonts w:ascii="Times" w:hAnsi="Times"/>
          <w:noProof/>
          <w:lang w:val="en-US" w:eastAsia="en-US"/>
        </w:rPr>
        <w:drawing>
          <wp:inline distT="0" distB="0" distL="0" distR="0" wp14:anchorId="33E6B5E6" wp14:editId="778AC826">
            <wp:extent cx="5258647" cy="3345228"/>
            <wp:effectExtent l="0" t="0" r="0" b="0"/>
            <wp:docPr id="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5">
                      <a:extLst>
                        <a:ext uri="{28A0092B-C50C-407E-A947-70E740481C1C}">
                          <a14:useLocalDpi xmlns:a14="http://schemas.microsoft.com/office/drawing/2010/main" val="0"/>
                        </a:ext>
                      </a:extLst>
                    </a:blip>
                    <a:srcRect l="6481"/>
                    <a:stretch/>
                  </pic:blipFill>
                  <pic:spPr bwMode="auto">
                    <a:xfrm>
                      <a:off x="0" y="0"/>
                      <a:ext cx="5258647" cy="3345228"/>
                    </a:xfrm>
                    <a:prstGeom prst="rect">
                      <a:avLst/>
                    </a:prstGeom>
                    <a:noFill/>
                    <a:ln>
                      <a:noFill/>
                    </a:ln>
                    <a:extLst>
                      <a:ext uri="{53640926-AAD7-44d8-BBD7-CCE9431645EC}">
                        <a14:shadowObscured xmlns:a14="http://schemas.microsoft.com/office/drawing/2010/main"/>
                      </a:ext>
                    </a:extLst>
                  </pic:spPr>
                </pic:pic>
              </a:graphicData>
            </a:graphic>
          </wp:inline>
        </w:drawing>
      </w:r>
    </w:p>
    <w:p w14:paraId="4D1FD224" w14:textId="77777777" w:rsidR="0052730F" w:rsidRPr="00735E29" w:rsidRDefault="0052730F" w:rsidP="0052730F">
      <w:pPr>
        <w:rPr>
          <w:rFonts w:ascii="Times" w:hAnsi="Times"/>
        </w:rPr>
      </w:pPr>
    </w:p>
    <w:p w14:paraId="58CD9D99" w14:textId="77777777" w:rsidR="0052730F" w:rsidRDefault="0052730F" w:rsidP="0052730F">
      <w:pPr>
        <w:rPr>
          <w:rFonts w:ascii="Times" w:hAnsi="Times"/>
        </w:rPr>
      </w:pPr>
    </w:p>
    <w:p w14:paraId="6323CD59" w14:textId="77777777" w:rsidR="0052730F" w:rsidRDefault="0052730F" w:rsidP="0052730F">
      <w:pPr>
        <w:rPr>
          <w:rFonts w:ascii="Times" w:hAnsi="Times"/>
        </w:rPr>
      </w:pPr>
    </w:p>
    <w:p w14:paraId="6F89B635" w14:textId="77777777" w:rsidR="0052730F" w:rsidRDefault="0052730F" w:rsidP="0052730F">
      <w:pPr>
        <w:rPr>
          <w:rFonts w:ascii="Times" w:hAnsi="Times"/>
        </w:rPr>
      </w:pPr>
    </w:p>
    <w:p w14:paraId="111FF828" w14:textId="77777777" w:rsidR="0052730F" w:rsidRDefault="0052730F" w:rsidP="0052730F">
      <w:pPr>
        <w:rPr>
          <w:rFonts w:ascii="Times" w:hAnsi="Times"/>
        </w:rPr>
      </w:pPr>
    </w:p>
    <w:p w14:paraId="4D2A6CBE" w14:textId="77777777" w:rsidR="0052730F" w:rsidRDefault="0052730F" w:rsidP="0052730F">
      <w:pPr>
        <w:rPr>
          <w:rFonts w:ascii="Times" w:hAnsi="Times"/>
        </w:rPr>
      </w:pPr>
      <w:r w:rsidRPr="00735E29">
        <w:rPr>
          <w:rFonts w:ascii="Times" w:hAnsi="Times"/>
        </w:rPr>
        <w:t xml:space="preserve">Table </w:t>
      </w:r>
      <w:r>
        <w:rPr>
          <w:rFonts w:ascii="Times" w:hAnsi="Times"/>
        </w:rPr>
        <w:t>4</w:t>
      </w:r>
      <w:r w:rsidRPr="00735E29">
        <w:rPr>
          <w:rFonts w:ascii="Times" w:hAnsi="Times"/>
        </w:rPr>
        <w:t>. Analysis of variance of generation and population effect on seed produced per fruit of five dune annual species</w:t>
      </w:r>
    </w:p>
    <w:p w14:paraId="6F9A81D3" w14:textId="77777777" w:rsidR="0052730F" w:rsidRDefault="0052730F" w:rsidP="0052730F">
      <w:pPr>
        <w:rPr>
          <w:rFonts w:ascii="Times" w:hAnsi="Times"/>
        </w:rPr>
      </w:pPr>
      <w:r>
        <w:rPr>
          <w:rFonts w:ascii="Times" w:hAnsi="Times"/>
          <w:noProof/>
          <w:lang w:val="en-US" w:eastAsia="en-US"/>
        </w:rPr>
        <w:drawing>
          <wp:inline distT="0" distB="0" distL="0" distR="0" wp14:anchorId="1F28E91A" wp14:editId="3D73380C">
            <wp:extent cx="5266266" cy="3340100"/>
            <wp:effectExtent l="0" t="0" r="0" b="0"/>
            <wp:docPr id="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6">
                      <a:extLst>
                        <a:ext uri="{28A0092B-C50C-407E-A947-70E740481C1C}">
                          <a14:useLocalDpi xmlns:a14="http://schemas.microsoft.com/office/drawing/2010/main" val="0"/>
                        </a:ext>
                      </a:extLst>
                    </a:blip>
                    <a:srcRect l="6184"/>
                    <a:stretch/>
                  </pic:blipFill>
                  <pic:spPr bwMode="auto">
                    <a:xfrm>
                      <a:off x="0" y="0"/>
                      <a:ext cx="5266266" cy="3340100"/>
                    </a:xfrm>
                    <a:prstGeom prst="rect">
                      <a:avLst/>
                    </a:prstGeom>
                    <a:noFill/>
                    <a:ln>
                      <a:noFill/>
                    </a:ln>
                    <a:extLst>
                      <a:ext uri="{53640926-AAD7-44d8-BBD7-CCE9431645EC}">
                        <a14:shadowObscured xmlns:a14="http://schemas.microsoft.com/office/drawing/2010/main"/>
                      </a:ext>
                    </a:extLst>
                  </pic:spPr>
                </pic:pic>
              </a:graphicData>
            </a:graphic>
          </wp:inline>
        </w:drawing>
      </w:r>
    </w:p>
    <w:p w14:paraId="15735C76" w14:textId="77777777" w:rsidR="0052730F" w:rsidRDefault="0052730F" w:rsidP="0052730F">
      <w:pPr>
        <w:rPr>
          <w:rFonts w:ascii="Times" w:hAnsi="Times"/>
        </w:rPr>
      </w:pPr>
    </w:p>
    <w:p w14:paraId="05AEE86C" w14:textId="77777777" w:rsidR="0052730F" w:rsidRDefault="0052730F" w:rsidP="0052730F">
      <w:pPr>
        <w:rPr>
          <w:rFonts w:ascii="Times" w:hAnsi="Times"/>
        </w:rPr>
      </w:pPr>
    </w:p>
    <w:p w14:paraId="22172AA3" w14:textId="77777777" w:rsidR="0052730F" w:rsidRDefault="0052730F" w:rsidP="0052730F">
      <w:pPr>
        <w:rPr>
          <w:rFonts w:ascii="Times" w:hAnsi="Times"/>
        </w:rPr>
      </w:pPr>
      <w:r w:rsidRPr="00735E29">
        <w:rPr>
          <w:rFonts w:ascii="Times" w:hAnsi="Times"/>
        </w:rPr>
        <w:t xml:space="preserve">Table </w:t>
      </w:r>
      <w:r>
        <w:rPr>
          <w:rFonts w:ascii="Times" w:hAnsi="Times"/>
        </w:rPr>
        <w:t>5</w:t>
      </w:r>
      <w:r w:rsidRPr="00735E29">
        <w:rPr>
          <w:rFonts w:ascii="Times" w:hAnsi="Times"/>
        </w:rPr>
        <w:t>. Analysis of variance of generation and population effect on final height of five dune annual species</w:t>
      </w:r>
    </w:p>
    <w:p w14:paraId="6DCB79EA" w14:textId="77777777" w:rsidR="0052730F" w:rsidRDefault="0052730F" w:rsidP="0052730F">
      <w:pPr>
        <w:rPr>
          <w:rFonts w:ascii="Times" w:hAnsi="Times"/>
        </w:rPr>
      </w:pPr>
      <w:r>
        <w:rPr>
          <w:rFonts w:ascii="Times" w:hAnsi="Times"/>
          <w:noProof/>
          <w:lang w:val="en-US" w:eastAsia="en-US"/>
        </w:rPr>
        <w:drawing>
          <wp:inline distT="0" distB="0" distL="0" distR="0" wp14:anchorId="685E7EBE" wp14:editId="7B329EDA">
            <wp:extent cx="5258647" cy="3345228"/>
            <wp:effectExtent l="0" t="0" r="0" b="0"/>
            <wp:docPr id="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7">
                      <a:extLst>
                        <a:ext uri="{28A0092B-C50C-407E-A947-70E740481C1C}">
                          <a14:useLocalDpi xmlns:a14="http://schemas.microsoft.com/office/drawing/2010/main" val="0"/>
                        </a:ext>
                      </a:extLst>
                    </a:blip>
                    <a:srcRect l="6481"/>
                    <a:stretch/>
                  </pic:blipFill>
                  <pic:spPr bwMode="auto">
                    <a:xfrm>
                      <a:off x="0" y="0"/>
                      <a:ext cx="5258647" cy="3345228"/>
                    </a:xfrm>
                    <a:prstGeom prst="rect">
                      <a:avLst/>
                    </a:prstGeom>
                    <a:noFill/>
                    <a:ln>
                      <a:noFill/>
                    </a:ln>
                    <a:extLst>
                      <a:ext uri="{53640926-AAD7-44d8-BBD7-CCE9431645EC}">
                        <a14:shadowObscured xmlns:a14="http://schemas.microsoft.com/office/drawing/2010/main"/>
                      </a:ext>
                    </a:extLst>
                  </pic:spPr>
                </pic:pic>
              </a:graphicData>
            </a:graphic>
          </wp:inline>
        </w:drawing>
      </w:r>
    </w:p>
    <w:p w14:paraId="321109E2" w14:textId="77777777" w:rsidR="0052730F" w:rsidRDefault="0052730F" w:rsidP="0052730F">
      <w:pPr>
        <w:rPr>
          <w:rFonts w:ascii="Times" w:hAnsi="Times"/>
        </w:rPr>
      </w:pPr>
    </w:p>
    <w:p w14:paraId="52B4F0F4" w14:textId="77777777" w:rsidR="0052730F" w:rsidRPr="00735E29" w:rsidRDefault="0052730F" w:rsidP="0052730F">
      <w:pPr>
        <w:rPr>
          <w:rFonts w:ascii="Times" w:hAnsi="Times"/>
        </w:rPr>
      </w:pPr>
    </w:p>
    <w:p w14:paraId="028C8FEB" w14:textId="77777777" w:rsidR="0052730F" w:rsidRPr="00735E29" w:rsidRDefault="0052730F" w:rsidP="0052730F">
      <w:pPr>
        <w:rPr>
          <w:rFonts w:ascii="Times" w:hAnsi="Times"/>
        </w:rPr>
      </w:pPr>
    </w:p>
    <w:p w14:paraId="6579E497" w14:textId="77777777" w:rsidR="0052730F" w:rsidRPr="00735E29" w:rsidRDefault="0052730F" w:rsidP="0052730F">
      <w:pPr>
        <w:rPr>
          <w:rFonts w:ascii="Times" w:hAnsi="Times"/>
        </w:rPr>
      </w:pPr>
    </w:p>
    <w:p w14:paraId="104353DF" w14:textId="77777777" w:rsidR="0052730F" w:rsidRDefault="0052730F" w:rsidP="0052730F">
      <w:pPr>
        <w:rPr>
          <w:rFonts w:ascii="Times" w:hAnsi="Times"/>
        </w:rPr>
      </w:pPr>
    </w:p>
    <w:p w14:paraId="190F7DBC" w14:textId="77777777" w:rsidR="0052730F" w:rsidRDefault="0052730F" w:rsidP="0052730F">
      <w:pPr>
        <w:rPr>
          <w:rFonts w:ascii="Times" w:hAnsi="Times"/>
        </w:rPr>
      </w:pPr>
      <w:r w:rsidRPr="00735E29">
        <w:rPr>
          <w:rFonts w:ascii="Times" w:hAnsi="Times"/>
        </w:rPr>
        <w:t xml:space="preserve">Table </w:t>
      </w:r>
      <w:r>
        <w:rPr>
          <w:rFonts w:ascii="Times" w:hAnsi="Times"/>
        </w:rPr>
        <w:t>6</w:t>
      </w:r>
      <w:r w:rsidRPr="00735E29">
        <w:rPr>
          <w:rFonts w:ascii="Times" w:hAnsi="Times"/>
        </w:rPr>
        <w:t>. Analysis of variance of generation and population effect on dry weight of five dune annual species</w:t>
      </w:r>
    </w:p>
    <w:p w14:paraId="02574EEC" w14:textId="77777777" w:rsidR="0052730F" w:rsidRDefault="0052730F" w:rsidP="0052730F">
      <w:pPr>
        <w:rPr>
          <w:rFonts w:ascii="Times" w:hAnsi="Times"/>
        </w:rPr>
      </w:pPr>
      <w:r>
        <w:rPr>
          <w:rFonts w:ascii="Times" w:hAnsi="Times"/>
          <w:noProof/>
          <w:lang w:val="en-US" w:eastAsia="en-US"/>
        </w:rPr>
        <w:drawing>
          <wp:inline distT="0" distB="0" distL="0" distR="0" wp14:anchorId="54095725" wp14:editId="3BC73B41">
            <wp:extent cx="5283200" cy="3340100"/>
            <wp:effectExtent l="0" t="0" r="0" b="0"/>
            <wp:docPr id="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8">
                      <a:extLst>
                        <a:ext uri="{28A0092B-C50C-407E-A947-70E740481C1C}">
                          <a14:useLocalDpi xmlns:a14="http://schemas.microsoft.com/office/drawing/2010/main" val="0"/>
                        </a:ext>
                      </a:extLst>
                    </a:blip>
                    <a:srcRect l="5882"/>
                    <a:stretch/>
                  </pic:blipFill>
                  <pic:spPr bwMode="auto">
                    <a:xfrm>
                      <a:off x="0" y="0"/>
                      <a:ext cx="5283200" cy="3340100"/>
                    </a:xfrm>
                    <a:prstGeom prst="rect">
                      <a:avLst/>
                    </a:prstGeom>
                    <a:noFill/>
                    <a:ln>
                      <a:noFill/>
                    </a:ln>
                    <a:extLst>
                      <a:ext uri="{53640926-AAD7-44d8-BBD7-CCE9431645EC}">
                        <a14:shadowObscured xmlns:a14="http://schemas.microsoft.com/office/drawing/2010/main"/>
                      </a:ext>
                    </a:extLst>
                  </pic:spPr>
                </pic:pic>
              </a:graphicData>
            </a:graphic>
          </wp:inline>
        </w:drawing>
      </w:r>
    </w:p>
    <w:p w14:paraId="6A7B5AFF" w14:textId="77777777" w:rsidR="0052730F" w:rsidRPr="00735E29" w:rsidRDefault="0052730F" w:rsidP="0052730F">
      <w:pPr>
        <w:rPr>
          <w:rFonts w:ascii="Times" w:hAnsi="Times"/>
        </w:rPr>
      </w:pPr>
    </w:p>
    <w:p w14:paraId="195EC960" w14:textId="77777777" w:rsidR="0052730F" w:rsidRPr="00E96310" w:rsidRDefault="0052730F" w:rsidP="0052730F"/>
    <w:p w14:paraId="64601F18" w14:textId="77777777" w:rsidR="0052730F" w:rsidRDefault="0052730F" w:rsidP="0052730F"/>
    <w:p w14:paraId="5695D6E6" w14:textId="77777777" w:rsidR="0052730F" w:rsidRDefault="0052730F" w:rsidP="0052730F"/>
    <w:p w14:paraId="4D622712" w14:textId="77777777" w:rsidR="0052730F" w:rsidRDefault="0052730F"/>
    <w:p w14:paraId="59F8F19B" w14:textId="31FE433B" w:rsidR="0052730F" w:rsidRDefault="0052730F" w:rsidP="0052046B">
      <w:pPr>
        <w:pStyle w:val="BodyJB"/>
      </w:pPr>
    </w:p>
    <w:p w14:paraId="75DF7058" w14:textId="77777777" w:rsidR="00B66E45" w:rsidRDefault="00B66E45" w:rsidP="0052046B">
      <w:pPr>
        <w:pStyle w:val="BodyJB"/>
      </w:pPr>
    </w:p>
    <w:p w14:paraId="17E5CC8B" w14:textId="77777777" w:rsidR="00B66E45" w:rsidRDefault="00B66E45" w:rsidP="0052046B">
      <w:pPr>
        <w:pStyle w:val="BodyJB"/>
      </w:pPr>
    </w:p>
    <w:p w14:paraId="65E4AB9D" w14:textId="77777777" w:rsidR="00B66E45" w:rsidRDefault="00B66E45" w:rsidP="0052046B">
      <w:pPr>
        <w:pStyle w:val="BodyJB"/>
      </w:pPr>
    </w:p>
    <w:p w14:paraId="10988BF1" w14:textId="77777777" w:rsidR="00B66E45" w:rsidRDefault="00B66E45" w:rsidP="0052046B">
      <w:pPr>
        <w:pStyle w:val="BodyJB"/>
      </w:pPr>
    </w:p>
    <w:p w14:paraId="473D513A" w14:textId="77777777" w:rsidR="00B66E45" w:rsidRDefault="00B66E45" w:rsidP="0052046B">
      <w:pPr>
        <w:pStyle w:val="BodyJB"/>
      </w:pPr>
    </w:p>
    <w:p w14:paraId="1661EC26" w14:textId="77777777" w:rsidR="00B66E45" w:rsidRDefault="00B66E45" w:rsidP="0052046B">
      <w:pPr>
        <w:pStyle w:val="BodyJB"/>
      </w:pPr>
    </w:p>
    <w:p w14:paraId="45AD2B9F" w14:textId="77777777" w:rsidR="00B66E45" w:rsidRDefault="00B66E45" w:rsidP="0052046B">
      <w:pPr>
        <w:pStyle w:val="BodyJB"/>
      </w:pPr>
    </w:p>
    <w:p w14:paraId="1F6F46FC" w14:textId="77777777" w:rsidR="00B66E45" w:rsidRDefault="00B66E45" w:rsidP="0052046B">
      <w:pPr>
        <w:pStyle w:val="BodyJB"/>
      </w:pPr>
    </w:p>
    <w:p w14:paraId="0B02EB52" w14:textId="77777777" w:rsidR="00B66E45" w:rsidRDefault="00B66E45" w:rsidP="0052046B">
      <w:pPr>
        <w:pStyle w:val="BodyJB"/>
      </w:pPr>
    </w:p>
    <w:p w14:paraId="0A0A5DFE" w14:textId="77777777" w:rsidR="00B66E45" w:rsidRDefault="00B66E45" w:rsidP="0052046B">
      <w:pPr>
        <w:pStyle w:val="BodyJB"/>
      </w:pPr>
    </w:p>
    <w:p w14:paraId="4AC48B66" w14:textId="77777777" w:rsidR="00B66E45" w:rsidRDefault="00B66E45" w:rsidP="0052046B">
      <w:pPr>
        <w:pStyle w:val="BodyJB"/>
      </w:pPr>
    </w:p>
    <w:p w14:paraId="7124B5BF" w14:textId="77777777" w:rsidR="00B66E45" w:rsidRDefault="00B66E45" w:rsidP="0052046B">
      <w:pPr>
        <w:pStyle w:val="BodyJB"/>
      </w:pPr>
    </w:p>
    <w:p w14:paraId="285D5D98" w14:textId="77777777" w:rsidR="00B66E45" w:rsidRDefault="00B66E45" w:rsidP="0052046B">
      <w:pPr>
        <w:pStyle w:val="BodyJB"/>
      </w:pPr>
    </w:p>
    <w:p w14:paraId="65390E78" w14:textId="77777777" w:rsidR="002E1A88" w:rsidRDefault="002E1A88" w:rsidP="0052046B">
      <w:pPr>
        <w:pStyle w:val="BodyJB"/>
      </w:pPr>
    </w:p>
    <w:p w14:paraId="58ECF3F9" w14:textId="77777777" w:rsidR="002E1A88" w:rsidRDefault="002E1A88" w:rsidP="0052046B">
      <w:pPr>
        <w:pStyle w:val="BodyJB"/>
      </w:pPr>
    </w:p>
    <w:p w14:paraId="20DC57C7" w14:textId="2E44F855" w:rsidR="00B66E45" w:rsidRPr="002A4572" w:rsidRDefault="00B66E45" w:rsidP="00B66E45">
      <w:pPr>
        <w:pStyle w:val="HeadingJB"/>
      </w:pPr>
      <w:bookmarkStart w:id="110" w:name="_Toc291410112"/>
      <w:r w:rsidRPr="002A4572">
        <w:t>References</w:t>
      </w:r>
      <w:bookmarkEnd w:id="110"/>
    </w:p>
    <w:p w14:paraId="36F9818C" w14:textId="504875B9" w:rsidR="0018095C" w:rsidRPr="002A4572" w:rsidRDefault="0018095C" w:rsidP="0018095C">
      <w:pPr>
        <w:pStyle w:val="NormalWeb"/>
        <w:spacing w:before="2" w:after="2" w:line="360" w:lineRule="auto"/>
        <w:ind w:left="480" w:hanging="480"/>
        <w:divId w:val="1748573569"/>
        <w:rPr>
          <w:noProof/>
        </w:rPr>
      </w:pPr>
      <w:r w:rsidRPr="002A4572">
        <w:fldChar w:fldCharType="begin" w:fldLock="1"/>
      </w:r>
      <w:r w:rsidRPr="002A4572">
        <w:instrText xml:space="preserve">ADDIN Mendeley Bibliography CSL_BIBLIOGRAPHY </w:instrText>
      </w:r>
      <w:r w:rsidRPr="002A4572">
        <w:fldChar w:fldCharType="separate"/>
      </w:r>
      <w:r w:rsidRPr="002A4572">
        <w:rPr>
          <w:b/>
          <w:bCs/>
          <w:noProof/>
        </w:rPr>
        <w:t>Aarssen LW, Burton SM</w:t>
      </w:r>
      <w:r w:rsidRPr="002A4572">
        <w:rPr>
          <w:noProof/>
        </w:rPr>
        <w:t xml:space="preserve"> (1990) Maternal Effects at 4 Levels in </w:t>
      </w:r>
      <w:r w:rsidRPr="002A4572">
        <w:rPr>
          <w:i/>
          <w:noProof/>
        </w:rPr>
        <w:t>Senecio-Vulgaris</w:t>
      </w:r>
      <w:r w:rsidRPr="002A4572">
        <w:rPr>
          <w:noProof/>
        </w:rPr>
        <w:t xml:space="preserve"> (Asteraceae) Grown on a Soil Nutrient Gradient. Am J Bot </w:t>
      </w:r>
      <w:r w:rsidRPr="002A4572">
        <w:rPr>
          <w:b/>
          <w:bCs/>
          <w:noProof/>
        </w:rPr>
        <w:t>77</w:t>
      </w:r>
      <w:r w:rsidRPr="002A4572">
        <w:rPr>
          <w:noProof/>
        </w:rPr>
        <w:t>: 1231–1240</w:t>
      </w:r>
    </w:p>
    <w:p w14:paraId="1CEBBA51"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Abdala-Roberts L, Marquis RJ</w:t>
      </w:r>
      <w:r w:rsidRPr="002A4572">
        <w:rPr>
          <w:noProof/>
        </w:rPr>
        <w:t xml:space="preserve"> (2007) Test of local adaptation to biotic interactions and soil abiotic conditions in the ant-tended </w:t>
      </w:r>
      <w:r w:rsidRPr="002A4572">
        <w:rPr>
          <w:i/>
          <w:noProof/>
        </w:rPr>
        <w:t>Chamaecrista fasciculata</w:t>
      </w:r>
      <w:r w:rsidRPr="002A4572">
        <w:rPr>
          <w:noProof/>
        </w:rPr>
        <w:t xml:space="preserve"> (Fabaceae). Oecologia </w:t>
      </w:r>
      <w:r w:rsidRPr="002A4572">
        <w:rPr>
          <w:b/>
          <w:bCs/>
          <w:noProof/>
        </w:rPr>
        <w:t>154</w:t>
      </w:r>
      <w:r w:rsidRPr="002A4572">
        <w:rPr>
          <w:noProof/>
        </w:rPr>
        <w:t>: 315–26</w:t>
      </w:r>
    </w:p>
    <w:p w14:paraId="1A5782D4"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Alonso-Blanco C, Koornneef M</w:t>
      </w:r>
      <w:r w:rsidRPr="002A4572">
        <w:rPr>
          <w:noProof/>
        </w:rPr>
        <w:t xml:space="preserve"> (2000) Naturally occurring variation in Arabidopsis: an underexploited resource for plant genetics. Trends Plant Sci </w:t>
      </w:r>
      <w:r w:rsidRPr="002A4572">
        <w:rPr>
          <w:b/>
          <w:bCs/>
          <w:noProof/>
        </w:rPr>
        <w:t>5</w:t>
      </w:r>
      <w:r w:rsidRPr="002A4572">
        <w:rPr>
          <w:noProof/>
        </w:rPr>
        <w:t>: 22–9</w:t>
      </w:r>
    </w:p>
    <w:p w14:paraId="2A42CAD8"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Anderson JT, Inouye DW, McKinney AM, Colautti RI, Mitchell-Olds T</w:t>
      </w:r>
      <w:r w:rsidRPr="002A4572">
        <w:rPr>
          <w:noProof/>
        </w:rPr>
        <w:t xml:space="preserve"> (2012) Phenotypic plasticity and adaptive evolution contribute to advancing flowering phenology in response to climate change. Proc Biol Sci </w:t>
      </w:r>
      <w:r w:rsidRPr="002A4572">
        <w:rPr>
          <w:b/>
          <w:bCs/>
          <w:noProof/>
        </w:rPr>
        <w:t>279</w:t>
      </w:r>
      <w:r w:rsidRPr="002A4572">
        <w:rPr>
          <w:noProof/>
        </w:rPr>
        <w:t>: 3843–52</w:t>
      </w:r>
    </w:p>
    <w:p w14:paraId="5F6C936A"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Arany AM, de Jong TJ, van der Meijden E</w:t>
      </w:r>
      <w:r w:rsidRPr="002A4572">
        <w:rPr>
          <w:noProof/>
        </w:rPr>
        <w:t xml:space="preserve"> (2005) Herbivory and abiotic factors affect population dynamics of Arabidopsis thaliana in a sand dune area. Plant Biol </w:t>
      </w:r>
      <w:r w:rsidRPr="002A4572">
        <w:rPr>
          <w:b/>
          <w:bCs/>
          <w:noProof/>
        </w:rPr>
        <w:t>7</w:t>
      </w:r>
      <w:r w:rsidRPr="002A4572">
        <w:rPr>
          <w:noProof/>
        </w:rPr>
        <w:t>: 549–555</w:t>
      </w:r>
    </w:p>
    <w:p w14:paraId="63602644"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Arrivault S, Guenther M, Ivakov A, Feil R, Vosloh D, van Dongen JT, Sulpice R, Stitt M</w:t>
      </w:r>
      <w:r w:rsidRPr="002A4572">
        <w:rPr>
          <w:noProof/>
        </w:rPr>
        <w:t xml:space="preserve"> (2009) Use of reverse-phase liquid chromatography, linked to tandem mass spectrometry, to profile the Calvin cycle and other metabolic intermediates in </w:t>
      </w:r>
      <w:r w:rsidRPr="002A4572">
        <w:rPr>
          <w:i/>
          <w:noProof/>
        </w:rPr>
        <w:t>Arabidopsis</w:t>
      </w:r>
      <w:r w:rsidRPr="002A4572">
        <w:rPr>
          <w:noProof/>
        </w:rPr>
        <w:t xml:space="preserve"> rosettes at different carbon dioxide concentrations. Plant J </w:t>
      </w:r>
      <w:r w:rsidRPr="002A4572">
        <w:rPr>
          <w:b/>
          <w:bCs/>
          <w:noProof/>
        </w:rPr>
        <w:t>59</w:t>
      </w:r>
      <w:r w:rsidRPr="002A4572">
        <w:rPr>
          <w:noProof/>
        </w:rPr>
        <w:t>: 826–39</w:t>
      </w:r>
    </w:p>
    <w:p w14:paraId="7AA8F9F5"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Auld JR, Agrawal A a, Relyea R a</w:t>
      </w:r>
      <w:r w:rsidRPr="002A4572">
        <w:rPr>
          <w:noProof/>
        </w:rPr>
        <w:t xml:space="preserve"> (2010) Re-evaluating the costs and limits of adaptive phenotypic plasticity. Proc Biol Sci </w:t>
      </w:r>
      <w:r w:rsidRPr="002A4572">
        <w:rPr>
          <w:b/>
          <w:bCs/>
          <w:noProof/>
        </w:rPr>
        <w:t>277</w:t>
      </w:r>
      <w:r w:rsidRPr="002A4572">
        <w:rPr>
          <w:noProof/>
        </w:rPr>
        <w:t>: 503–11</w:t>
      </w:r>
    </w:p>
    <w:p w14:paraId="3F8A247D"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Auslander M, Nevo E, Inbar M</w:t>
      </w:r>
      <w:r w:rsidRPr="002A4572">
        <w:rPr>
          <w:noProof/>
        </w:rPr>
        <w:t xml:space="preserve"> (2003) The effects of slope orientation on plant growth, developmental instability and susceptibility to herbivores. J Arid Environ </w:t>
      </w:r>
      <w:r w:rsidRPr="002A4572">
        <w:rPr>
          <w:b/>
          <w:bCs/>
          <w:noProof/>
        </w:rPr>
        <w:t>55</w:t>
      </w:r>
      <w:r w:rsidRPr="002A4572">
        <w:rPr>
          <w:noProof/>
        </w:rPr>
        <w:t>: 405–416</w:t>
      </w:r>
    </w:p>
    <w:p w14:paraId="31A6AC3F"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Avramov S, Pemac D, Tucić B</w:t>
      </w:r>
      <w:r w:rsidRPr="002A4572">
        <w:rPr>
          <w:noProof/>
        </w:rPr>
        <w:t xml:space="preserve"> (2007) Phenotypic plasticity in response to an irradiance gradient in Iris pumila: adaptive value and evolutionary constraints. Plant Ecol </w:t>
      </w:r>
      <w:r w:rsidRPr="002A4572">
        <w:rPr>
          <w:b/>
          <w:bCs/>
          <w:noProof/>
        </w:rPr>
        <w:t>190</w:t>
      </w:r>
      <w:r w:rsidRPr="002A4572">
        <w:rPr>
          <w:noProof/>
        </w:rPr>
        <w:t>: 275–290</w:t>
      </w:r>
    </w:p>
    <w:p w14:paraId="622AC8BF"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Barney JN, Ditommaso a</w:t>
      </w:r>
      <w:r w:rsidRPr="002A4572">
        <w:rPr>
          <w:noProof/>
        </w:rPr>
        <w:t xml:space="preserve"> (2003) The biology of Canadian weeds . 118 . </w:t>
      </w:r>
      <w:r w:rsidRPr="002A4572">
        <w:rPr>
          <w:i/>
          <w:noProof/>
        </w:rPr>
        <w:t>Artemisia vulgaris</w:t>
      </w:r>
      <w:r w:rsidRPr="002A4572">
        <w:rPr>
          <w:noProof/>
        </w:rPr>
        <w:t xml:space="preserve"> L . Can J Plant Sci </w:t>
      </w:r>
      <w:r w:rsidRPr="002A4572">
        <w:rPr>
          <w:b/>
          <w:bCs/>
          <w:noProof/>
        </w:rPr>
        <w:t>83</w:t>
      </w:r>
      <w:r w:rsidRPr="002A4572">
        <w:rPr>
          <w:noProof/>
        </w:rPr>
        <w:t>: 205–215</w:t>
      </w:r>
    </w:p>
    <w:p w14:paraId="1E643BC1"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Baythavong BS</w:t>
      </w:r>
      <w:r w:rsidRPr="002A4572">
        <w:rPr>
          <w:noProof/>
        </w:rPr>
        <w:t xml:space="preserve"> (2011) Linking the Spatial Scale of Environmental Variation and the Evolution of Phenotypic Plasticity: Selection Favors Adaptive Plasticity in Fine-Grained Environments. Am Nat </w:t>
      </w:r>
      <w:r w:rsidRPr="002A4572">
        <w:rPr>
          <w:b/>
          <w:bCs/>
          <w:noProof/>
        </w:rPr>
        <w:t>178</w:t>
      </w:r>
      <w:r w:rsidRPr="002A4572">
        <w:rPr>
          <w:noProof/>
        </w:rPr>
        <w:t>: 75–87</w:t>
      </w:r>
    </w:p>
    <w:p w14:paraId="065511F7"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Baythavong BS, Stanton ML</w:t>
      </w:r>
      <w:r w:rsidRPr="002A4572">
        <w:rPr>
          <w:noProof/>
        </w:rPr>
        <w:t xml:space="preserve"> (2010) Characterizing Selection on Phenotypic Plasticity in Response to Natural Environmental Heterogeneity. Evolution (N Y) </w:t>
      </w:r>
      <w:r w:rsidRPr="002A4572">
        <w:rPr>
          <w:b/>
          <w:bCs/>
          <w:noProof/>
        </w:rPr>
        <w:t>64</w:t>
      </w:r>
      <w:r w:rsidRPr="002A4572">
        <w:rPr>
          <w:noProof/>
        </w:rPr>
        <w:t>: 2904–2920</w:t>
      </w:r>
    </w:p>
    <w:p w14:paraId="089EE2B6"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Baythavong BS, Stanton ML, Rice KJ</w:t>
      </w:r>
      <w:r w:rsidRPr="002A4572">
        <w:rPr>
          <w:noProof/>
        </w:rPr>
        <w:t xml:space="preserve"> (2009) Understanding the consequences of seed dispersal in a heterogeneous environment. Ecology </w:t>
      </w:r>
      <w:r w:rsidRPr="002A4572">
        <w:rPr>
          <w:b/>
          <w:bCs/>
          <w:noProof/>
        </w:rPr>
        <w:t>90</w:t>
      </w:r>
      <w:r w:rsidRPr="002A4572">
        <w:rPr>
          <w:noProof/>
        </w:rPr>
        <w:t>: 2118–28</w:t>
      </w:r>
    </w:p>
    <w:p w14:paraId="526C1983"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Becker JW, Berube PM, Follett CL, Waterbury JB, Chisholm SW, DeLong EF, Repeta DJ</w:t>
      </w:r>
      <w:r w:rsidRPr="002A4572">
        <w:rPr>
          <w:noProof/>
        </w:rPr>
        <w:t xml:space="preserve"> (2014) Closely related phytoplankton species produce similar suites of dissolved organic matter. Front Microbiol </w:t>
      </w:r>
      <w:r w:rsidRPr="002A4572">
        <w:rPr>
          <w:b/>
          <w:bCs/>
          <w:noProof/>
        </w:rPr>
        <w:t>5</w:t>
      </w:r>
      <w:r w:rsidRPr="002A4572">
        <w:rPr>
          <w:noProof/>
        </w:rPr>
        <w:t>: 1–14</w:t>
      </w:r>
    </w:p>
    <w:p w14:paraId="181B95AD"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Becker U, Colling G, Dostal P, Jakobsson A, Matthies D</w:t>
      </w:r>
      <w:r w:rsidRPr="002A4572">
        <w:rPr>
          <w:noProof/>
        </w:rPr>
        <w:t xml:space="preserve"> (2006) Local adaptation in the monocarpic perennial </w:t>
      </w:r>
      <w:r w:rsidRPr="002A4572">
        <w:rPr>
          <w:i/>
          <w:noProof/>
        </w:rPr>
        <w:t>Carlina vulgaris</w:t>
      </w:r>
      <w:r w:rsidRPr="002A4572">
        <w:rPr>
          <w:noProof/>
        </w:rPr>
        <w:t xml:space="preserve"> at different spatial scales across Europe. Oecologia </w:t>
      </w:r>
      <w:r w:rsidRPr="002A4572">
        <w:rPr>
          <w:b/>
          <w:bCs/>
          <w:noProof/>
        </w:rPr>
        <w:t>150</w:t>
      </w:r>
      <w:r w:rsidRPr="002A4572">
        <w:rPr>
          <w:noProof/>
        </w:rPr>
        <w:t>: 506–518</w:t>
      </w:r>
    </w:p>
    <w:p w14:paraId="7549D494"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Becker U, Dostal P, Jorritsma-Wienk LD, Matthies D</w:t>
      </w:r>
      <w:r w:rsidRPr="002A4572">
        <w:rPr>
          <w:noProof/>
        </w:rPr>
        <w:t xml:space="preserve"> (2008) The spatial scale of adaptive population differentiation in a wide-spread, well-dispersed plant species. Oikos </w:t>
      </w:r>
      <w:r w:rsidRPr="002A4572">
        <w:rPr>
          <w:b/>
          <w:bCs/>
          <w:noProof/>
        </w:rPr>
        <w:t>117</w:t>
      </w:r>
      <w:r w:rsidRPr="002A4572">
        <w:rPr>
          <w:noProof/>
        </w:rPr>
        <w:t>: 1865–1873</w:t>
      </w:r>
    </w:p>
    <w:p w14:paraId="2C6D1D97"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Bedair M, Sumner LW</w:t>
      </w:r>
      <w:r w:rsidRPr="002A4572">
        <w:rPr>
          <w:noProof/>
        </w:rPr>
        <w:t xml:space="preserve"> (2008) Current and emerging mass-spectrometry technologies for metabolomics. Trac-Trends Anal Chem </w:t>
      </w:r>
      <w:r w:rsidRPr="002A4572">
        <w:rPr>
          <w:b/>
          <w:bCs/>
          <w:noProof/>
        </w:rPr>
        <w:t>27</w:t>
      </w:r>
      <w:r w:rsidRPr="002A4572">
        <w:rPr>
          <w:noProof/>
        </w:rPr>
        <w:t>: 238–250</w:t>
      </w:r>
    </w:p>
    <w:p w14:paraId="7114EC04"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Bennie J, Huntley B, Wiltshire A, Hill MO, Baxter R</w:t>
      </w:r>
      <w:r w:rsidRPr="002A4572">
        <w:rPr>
          <w:noProof/>
        </w:rPr>
        <w:t xml:space="preserve"> (2008) Slope, aspect and climate: Spatially explicit and implicit models of topographic microclimate in chalk grassland. Ecol Modell </w:t>
      </w:r>
      <w:r w:rsidRPr="002A4572">
        <w:rPr>
          <w:b/>
          <w:bCs/>
          <w:noProof/>
        </w:rPr>
        <w:t>216</w:t>
      </w:r>
      <w:r w:rsidRPr="002A4572">
        <w:rPr>
          <w:noProof/>
        </w:rPr>
        <w:t>: 47–59</w:t>
      </w:r>
    </w:p>
    <w:p w14:paraId="4AAF3E34"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Bennington C, McGraw J</w:t>
      </w:r>
      <w:r w:rsidRPr="002A4572">
        <w:rPr>
          <w:noProof/>
        </w:rPr>
        <w:t xml:space="preserve"> (1995) Natural Selection and Ecotypic Differentiation in Impatiens Pallida. Ecol Monogr </w:t>
      </w:r>
      <w:r w:rsidRPr="002A4572">
        <w:rPr>
          <w:b/>
          <w:bCs/>
          <w:noProof/>
        </w:rPr>
        <w:t>65</w:t>
      </w:r>
      <w:r w:rsidRPr="002A4572">
        <w:rPr>
          <w:noProof/>
        </w:rPr>
        <w:t>: 303–324</w:t>
      </w:r>
    </w:p>
    <w:p w14:paraId="3FF22855"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Bischoff A, Müllerâ-Schärer H</w:t>
      </w:r>
      <w:r w:rsidRPr="002A4572">
        <w:rPr>
          <w:noProof/>
        </w:rPr>
        <w:t xml:space="preserve"> (2010) Testing population differentiation in plant species – how important are environmental maternal effects. Oikos </w:t>
      </w:r>
      <w:r w:rsidRPr="002A4572">
        <w:rPr>
          <w:b/>
          <w:bCs/>
          <w:noProof/>
        </w:rPr>
        <w:t>119</w:t>
      </w:r>
      <w:r w:rsidRPr="002A4572">
        <w:rPr>
          <w:noProof/>
        </w:rPr>
        <w:t>: 445–454</w:t>
      </w:r>
    </w:p>
    <w:p w14:paraId="48021DBE"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Bölling C, Fiehn O</w:t>
      </w:r>
      <w:r w:rsidRPr="002A4572">
        <w:rPr>
          <w:noProof/>
        </w:rPr>
        <w:t xml:space="preserve"> (2005) Metabolite profiling of </w:t>
      </w:r>
      <w:r w:rsidRPr="002A4572">
        <w:rPr>
          <w:i/>
          <w:iCs/>
          <w:noProof/>
        </w:rPr>
        <w:t>Chlamydomonas reinhardti</w:t>
      </w:r>
      <w:r w:rsidRPr="002A4572">
        <w:rPr>
          <w:noProof/>
        </w:rPr>
        <w:t xml:space="preserve"> under nutrient deprivation. Plant Physiol </w:t>
      </w:r>
      <w:r w:rsidRPr="002A4572">
        <w:rPr>
          <w:b/>
          <w:bCs/>
          <w:noProof/>
        </w:rPr>
        <w:t>139</w:t>
      </w:r>
      <w:r w:rsidRPr="002A4572">
        <w:rPr>
          <w:noProof/>
        </w:rPr>
        <w:t>: 1995–2005</w:t>
      </w:r>
    </w:p>
    <w:p w14:paraId="143BEC33"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Bowne JB, Erwin T a, Juttner J, Schnurbusch T, Langridge P, Bacic A, Roessner U</w:t>
      </w:r>
      <w:r w:rsidRPr="002A4572">
        <w:rPr>
          <w:noProof/>
        </w:rPr>
        <w:t xml:space="preserve"> (2012) Drought responses of leaf tissues from wheat cultivars of differing drought tolerance at the metabolite level. Mol Plant </w:t>
      </w:r>
      <w:r w:rsidRPr="002A4572">
        <w:rPr>
          <w:b/>
          <w:bCs/>
          <w:noProof/>
        </w:rPr>
        <w:t>5</w:t>
      </w:r>
      <w:r w:rsidRPr="002A4572">
        <w:rPr>
          <w:noProof/>
        </w:rPr>
        <w:t>: 418–29</w:t>
      </w:r>
    </w:p>
    <w:p w14:paraId="59E122C3"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Bradshaw AD</w:t>
      </w:r>
      <w:r w:rsidRPr="002A4572">
        <w:rPr>
          <w:noProof/>
        </w:rPr>
        <w:t xml:space="preserve"> (1965) Evolutionary significance of phenotypic plasticity in plants. Adv Genet </w:t>
      </w:r>
      <w:r w:rsidRPr="002A4572">
        <w:rPr>
          <w:b/>
          <w:bCs/>
          <w:noProof/>
        </w:rPr>
        <w:t>13</w:t>
      </w:r>
      <w:r w:rsidRPr="002A4572">
        <w:rPr>
          <w:noProof/>
        </w:rPr>
        <w:t>: 115–155</w:t>
      </w:r>
    </w:p>
    <w:p w14:paraId="2CFF828F"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Bradshaw WE, Zani P a, Holzapfel CM</w:t>
      </w:r>
      <w:r w:rsidRPr="002A4572">
        <w:rPr>
          <w:noProof/>
        </w:rPr>
        <w:t xml:space="preserve"> (2004) Adaptation to temperate climates. Evolution </w:t>
      </w:r>
      <w:r w:rsidRPr="002A4572">
        <w:rPr>
          <w:b/>
          <w:bCs/>
          <w:noProof/>
        </w:rPr>
        <w:t>58</w:t>
      </w:r>
      <w:r w:rsidRPr="002A4572">
        <w:rPr>
          <w:noProof/>
        </w:rPr>
        <w:t>: 1748–62</w:t>
      </w:r>
    </w:p>
    <w:p w14:paraId="61407B1E"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Breza LC, Souza L, Sanders NJ, Classen AT</w:t>
      </w:r>
      <w:r w:rsidRPr="002A4572">
        <w:rPr>
          <w:noProof/>
        </w:rPr>
        <w:t xml:space="preserve"> (2012) Within and between population variation in plant traits predicts ecosystem functions associated with a dominant plant species. Ecol Evol </w:t>
      </w:r>
      <w:r w:rsidRPr="002A4572">
        <w:rPr>
          <w:b/>
          <w:bCs/>
          <w:noProof/>
        </w:rPr>
        <w:t>2</w:t>
      </w:r>
      <w:r w:rsidRPr="002A4572">
        <w:rPr>
          <w:noProof/>
        </w:rPr>
        <w:t>: 1151–61</w:t>
      </w:r>
    </w:p>
    <w:p w14:paraId="01C01F92"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Broadhurst DI, Kell DB</w:t>
      </w:r>
      <w:r w:rsidRPr="002A4572">
        <w:rPr>
          <w:noProof/>
        </w:rPr>
        <w:t xml:space="preserve"> (2006) Statistical strategies for avoiding false discoveries in metabolomics and related experiments. Metabolomics </w:t>
      </w:r>
      <w:r w:rsidRPr="002A4572">
        <w:rPr>
          <w:b/>
          <w:bCs/>
          <w:noProof/>
        </w:rPr>
        <w:t>2</w:t>
      </w:r>
      <w:r w:rsidRPr="002A4572">
        <w:rPr>
          <w:noProof/>
        </w:rPr>
        <w:t>: 171–196</w:t>
      </w:r>
    </w:p>
    <w:p w14:paraId="4287C635"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Brosché M, Vinocur B, Alatalo ER, Lamminmäki A, Teichmann T, Ottow E a, Djilianov D, Afif D, Bogeat-Triboulot M-B, Altman A, et al</w:t>
      </w:r>
      <w:r w:rsidRPr="002A4572">
        <w:rPr>
          <w:noProof/>
        </w:rPr>
        <w:t xml:space="preserve"> (2005) Gene expression and metabolite profiling of </w:t>
      </w:r>
      <w:r w:rsidRPr="002A4572">
        <w:rPr>
          <w:i/>
          <w:noProof/>
        </w:rPr>
        <w:t>Populus euphratica</w:t>
      </w:r>
      <w:r w:rsidRPr="002A4572">
        <w:rPr>
          <w:noProof/>
        </w:rPr>
        <w:t xml:space="preserve"> growing in the Negev desert. Genome Biol </w:t>
      </w:r>
      <w:r w:rsidRPr="002A4572">
        <w:rPr>
          <w:b/>
          <w:bCs/>
          <w:noProof/>
        </w:rPr>
        <w:t>6</w:t>
      </w:r>
      <w:r w:rsidRPr="002A4572">
        <w:rPr>
          <w:noProof/>
        </w:rPr>
        <w:t>: R101</w:t>
      </w:r>
    </w:p>
    <w:p w14:paraId="6DCBB280"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Brown M, Dunn WB, Dobson P, Patel Y, Winder CL, Francis-McIntyre S, Begley P, Carroll K, Broadhurst D, Tseng a, et al</w:t>
      </w:r>
      <w:r w:rsidRPr="002A4572">
        <w:rPr>
          <w:noProof/>
        </w:rPr>
        <w:t xml:space="preserve"> (2009) Mass spectrometry tools and metabolite-specific databases for molecular identification in metabolomics. Analyst </w:t>
      </w:r>
      <w:r w:rsidRPr="002A4572">
        <w:rPr>
          <w:b/>
          <w:bCs/>
          <w:noProof/>
        </w:rPr>
        <w:t>134</w:t>
      </w:r>
      <w:r w:rsidRPr="002A4572">
        <w:rPr>
          <w:noProof/>
        </w:rPr>
        <w:t>: 1322–32</w:t>
      </w:r>
    </w:p>
    <w:p w14:paraId="3A8BC1C6"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Brunetti C, George RM, Tattini M, Field K, Davey MP</w:t>
      </w:r>
      <w:r w:rsidRPr="002A4572">
        <w:rPr>
          <w:noProof/>
        </w:rPr>
        <w:t xml:space="preserve"> (2013) Metabolomics in plant environmental physiology. J Exp Bot </w:t>
      </w:r>
      <w:r w:rsidRPr="002A4572">
        <w:rPr>
          <w:b/>
          <w:bCs/>
          <w:noProof/>
        </w:rPr>
        <w:t>64</w:t>
      </w:r>
      <w:r w:rsidRPr="002A4572">
        <w:rPr>
          <w:noProof/>
        </w:rPr>
        <w:t>: 4011–20</w:t>
      </w:r>
    </w:p>
    <w:p w14:paraId="1E95AAB7" w14:textId="055B0DB5" w:rsidR="0018095C" w:rsidRPr="002A4572" w:rsidRDefault="0018095C" w:rsidP="0018095C">
      <w:pPr>
        <w:pStyle w:val="NormalWeb"/>
        <w:spacing w:before="2" w:after="2" w:line="360" w:lineRule="auto"/>
        <w:ind w:left="480" w:hanging="480"/>
        <w:divId w:val="1748573569"/>
        <w:rPr>
          <w:noProof/>
        </w:rPr>
      </w:pPr>
      <w:r w:rsidRPr="002A4572">
        <w:rPr>
          <w:b/>
          <w:bCs/>
          <w:noProof/>
        </w:rPr>
        <w:t>Butcher R.</w:t>
      </w:r>
      <w:r w:rsidRPr="002A4572">
        <w:rPr>
          <w:noProof/>
        </w:rPr>
        <w:t xml:space="preserve"> (1961) A New Illustrated British Flora. </w:t>
      </w:r>
      <w:r w:rsidR="002A4572" w:rsidRPr="002A4572">
        <w:rPr>
          <w:rFonts w:cs="Helvetica Neue"/>
          <w:color w:val="262626"/>
          <w:sz w:val="22"/>
          <w:szCs w:val="22"/>
          <w:lang w:val="en-US"/>
        </w:rPr>
        <w:t>Leonard Hill, London</w:t>
      </w:r>
    </w:p>
    <w:p w14:paraId="6EC2E387"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Cipollini D</w:t>
      </w:r>
      <w:r w:rsidRPr="002A4572">
        <w:rPr>
          <w:noProof/>
        </w:rPr>
        <w:t xml:space="preserve"> (2008) Constitutive expression of methyl jasmonate-inducible responses delays reproduction and constrains fitness responses to nutrients in </w:t>
      </w:r>
      <w:r w:rsidRPr="002A4572">
        <w:rPr>
          <w:i/>
          <w:noProof/>
        </w:rPr>
        <w:t>Arabidopsis thaliana</w:t>
      </w:r>
      <w:r w:rsidRPr="002A4572">
        <w:rPr>
          <w:noProof/>
        </w:rPr>
        <w:t xml:space="preserve">. Evol Ecol </w:t>
      </w:r>
      <w:r w:rsidRPr="002A4572">
        <w:rPr>
          <w:b/>
          <w:bCs/>
          <w:noProof/>
        </w:rPr>
        <w:t>24</w:t>
      </w:r>
      <w:r w:rsidRPr="002A4572">
        <w:rPr>
          <w:noProof/>
        </w:rPr>
        <w:t>: 59–68</w:t>
      </w:r>
    </w:p>
    <w:p w14:paraId="459FA2F6"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Colinet H, Larvor V, Laparie M, Renault D</w:t>
      </w:r>
      <w:r w:rsidRPr="002A4572">
        <w:rPr>
          <w:noProof/>
        </w:rPr>
        <w:t xml:space="preserve"> (2012) Exploring the plastic response to cold acclimation through metabolomics. Funct Ecol </w:t>
      </w:r>
      <w:r w:rsidRPr="002A4572">
        <w:rPr>
          <w:b/>
          <w:bCs/>
          <w:noProof/>
        </w:rPr>
        <w:t>26</w:t>
      </w:r>
      <w:r w:rsidRPr="002A4572">
        <w:rPr>
          <w:noProof/>
        </w:rPr>
        <w:t>: 711–722</w:t>
      </w:r>
    </w:p>
    <w:p w14:paraId="183B8705"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Dai X, Cheng X, Li Y, Tang W, Han L</w:t>
      </w:r>
      <w:r w:rsidRPr="002A4572">
        <w:rPr>
          <w:noProof/>
        </w:rPr>
        <w:t xml:space="preserve"> (2012) Differential expression of gibberellin 20 oxidase gene induced by abiotic stresses in Zoysiagrass (</w:t>
      </w:r>
      <w:r w:rsidRPr="002A4572">
        <w:rPr>
          <w:i/>
          <w:noProof/>
        </w:rPr>
        <w:t>Zoysia japonica</w:t>
      </w:r>
      <w:r w:rsidRPr="002A4572">
        <w:rPr>
          <w:noProof/>
        </w:rPr>
        <w:t xml:space="preserve">). Biologia (Bratisl) </w:t>
      </w:r>
      <w:r w:rsidRPr="002A4572">
        <w:rPr>
          <w:b/>
          <w:bCs/>
          <w:noProof/>
        </w:rPr>
        <w:t>67</w:t>
      </w:r>
      <w:r w:rsidRPr="002A4572">
        <w:rPr>
          <w:noProof/>
        </w:rPr>
        <w:t>: 681–688</w:t>
      </w:r>
    </w:p>
    <w:p w14:paraId="3EB78184"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Dauwe R, Holliday J a, Aitken SN, Mansfield SD</w:t>
      </w:r>
      <w:r w:rsidRPr="002A4572">
        <w:rPr>
          <w:noProof/>
        </w:rPr>
        <w:t xml:space="preserve"> (2012) Metabolic dynamics during autumn cold acclimation within and among populations of Sitka spruce (</w:t>
      </w:r>
      <w:r w:rsidRPr="002A4572">
        <w:rPr>
          <w:i/>
          <w:noProof/>
        </w:rPr>
        <w:t>Picea sitchensis</w:t>
      </w:r>
      <w:r w:rsidRPr="002A4572">
        <w:rPr>
          <w:noProof/>
        </w:rPr>
        <w:t xml:space="preserve">). New Phytol </w:t>
      </w:r>
      <w:r w:rsidRPr="002A4572">
        <w:rPr>
          <w:b/>
          <w:bCs/>
          <w:noProof/>
        </w:rPr>
        <w:t>194</w:t>
      </w:r>
      <w:r w:rsidRPr="002A4572">
        <w:rPr>
          <w:noProof/>
        </w:rPr>
        <w:t>: 192–205</w:t>
      </w:r>
    </w:p>
    <w:p w14:paraId="20F06F5C"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Davey MP, Burrell MM, Woodward FI, Quick WP</w:t>
      </w:r>
      <w:r w:rsidRPr="002A4572">
        <w:rPr>
          <w:noProof/>
        </w:rPr>
        <w:t xml:space="preserve"> (2008a) Population-specific metabolic phenotypes of Arabidopsis lyrata ssp petraea. New Phytol </w:t>
      </w:r>
      <w:r w:rsidRPr="002A4572">
        <w:rPr>
          <w:b/>
          <w:bCs/>
          <w:noProof/>
        </w:rPr>
        <w:t>177</w:t>
      </w:r>
      <w:r w:rsidRPr="002A4572">
        <w:rPr>
          <w:noProof/>
        </w:rPr>
        <w:t>: 380–388</w:t>
      </w:r>
    </w:p>
    <w:p w14:paraId="42ECDE0F"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Davey MP, Ian Woodward F, Paul Quick W</w:t>
      </w:r>
      <w:r w:rsidRPr="002A4572">
        <w:rPr>
          <w:noProof/>
        </w:rPr>
        <w:t xml:space="preserve"> (2008b) Intraspecfic variation in cold-temperature metabolic phenotypes of </w:t>
      </w:r>
      <w:r w:rsidRPr="002A4572">
        <w:rPr>
          <w:i/>
          <w:noProof/>
        </w:rPr>
        <w:t>Arabidopsis lyrata</w:t>
      </w:r>
      <w:r w:rsidRPr="002A4572">
        <w:rPr>
          <w:noProof/>
        </w:rPr>
        <w:t xml:space="preserve"> ssp. petraea. Metabolomics </w:t>
      </w:r>
      <w:r w:rsidRPr="002A4572">
        <w:rPr>
          <w:b/>
          <w:bCs/>
          <w:noProof/>
        </w:rPr>
        <w:t>5</w:t>
      </w:r>
      <w:r w:rsidRPr="002A4572">
        <w:rPr>
          <w:noProof/>
        </w:rPr>
        <w:t>: 138–149</w:t>
      </w:r>
    </w:p>
    <w:p w14:paraId="140FC3C9"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Davis M, Shaw R, Etterson J</w:t>
      </w:r>
      <w:r w:rsidRPr="002A4572">
        <w:rPr>
          <w:noProof/>
        </w:rPr>
        <w:t xml:space="preserve"> (2005) Evolutionary responses to changing climate. Ecology </w:t>
      </w:r>
      <w:r w:rsidRPr="002A4572">
        <w:rPr>
          <w:b/>
          <w:bCs/>
          <w:noProof/>
        </w:rPr>
        <w:t>86</w:t>
      </w:r>
      <w:r w:rsidRPr="002A4572">
        <w:rPr>
          <w:noProof/>
        </w:rPr>
        <w:t>: 1704–1714</w:t>
      </w:r>
    </w:p>
    <w:p w14:paraId="3BD6C3CC"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Davis MB, Shaw RG</w:t>
      </w:r>
      <w:r w:rsidRPr="002A4572">
        <w:rPr>
          <w:noProof/>
        </w:rPr>
        <w:t xml:space="preserve"> (2001) Range shifts and adaptive responses to Quaternary climate change. Science </w:t>
      </w:r>
      <w:r w:rsidRPr="002A4572">
        <w:rPr>
          <w:b/>
          <w:bCs/>
          <w:noProof/>
        </w:rPr>
        <w:t>292</w:t>
      </w:r>
      <w:r w:rsidRPr="002A4572">
        <w:rPr>
          <w:noProof/>
        </w:rPr>
        <w:t>: 673–9</w:t>
      </w:r>
    </w:p>
    <w:p w14:paraId="3922316A"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Dewitt TJ, Sih a, Wilson DS</w:t>
      </w:r>
      <w:r w:rsidRPr="002A4572">
        <w:rPr>
          <w:noProof/>
        </w:rPr>
        <w:t xml:space="preserve"> (1998) Costs and limits of phenotypic plasticity. Trends Ecol Evol </w:t>
      </w:r>
      <w:r w:rsidRPr="002A4572">
        <w:rPr>
          <w:b/>
          <w:bCs/>
          <w:noProof/>
        </w:rPr>
        <w:t>13</w:t>
      </w:r>
      <w:r w:rsidRPr="002A4572">
        <w:rPr>
          <w:noProof/>
        </w:rPr>
        <w:t>: 77–81</w:t>
      </w:r>
    </w:p>
    <w:p w14:paraId="6FCE9435"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Doxford SW</w:t>
      </w:r>
      <w:r w:rsidRPr="002A4572">
        <w:rPr>
          <w:noProof/>
        </w:rPr>
        <w:t xml:space="preserve"> (2012) Plant population responses to environmental change and the role of biotic interactions along environmental gradients. University of Sheffield</w:t>
      </w:r>
    </w:p>
    <w:p w14:paraId="6318BA40"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Easterling D, Meehl G, Parmesan C</w:t>
      </w:r>
      <w:r w:rsidRPr="002A4572">
        <w:rPr>
          <w:noProof/>
        </w:rPr>
        <w:t xml:space="preserve"> (2000) Climate Extremes: Observations, Modeling and Impacts. Science (80- ) </w:t>
      </w:r>
      <w:r w:rsidRPr="002A4572">
        <w:rPr>
          <w:b/>
          <w:bCs/>
          <w:noProof/>
        </w:rPr>
        <w:t>289</w:t>
      </w:r>
      <w:r w:rsidRPr="002A4572">
        <w:rPr>
          <w:noProof/>
        </w:rPr>
        <w:t>: 2068–2074</w:t>
      </w:r>
    </w:p>
    <w:p w14:paraId="46AE12F9"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Eckhart VM, Geber M a, McGuire CM</w:t>
      </w:r>
      <w:r w:rsidRPr="002A4572">
        <w:rPr>
          <w:noProof/>
        </w:rPr>
        <w:t xml:space="preserve"> (2004) Experimental studies of adaptation in Clarkia xantiana. I. Sources of trait variation across a subspecies border. Evolution </w:t>
      </w:r>
      <w:r w:rsidRPr="002A4572">
        <w:rPr>
          <w:b/>
          <w:bCs/>
          <w:noProof/>
        </w:rPr>
        <w:t>58</w:t>
      </w:r>
      <w:r w:rsidRPr="002A4572">
        <w:rPr>
          <w:noProof/>
        </w:rPr>
        <w:t>: 59–70</w:t>
      </w:r>
    </w:p>
    <w:p w14:paraId="1F1ABF9D"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Ehrlén J, Münzbergová Z</w:t>
      </w:r>
      <w:r w:rsidRPr="002A4572">
        <w:rPr>
          <w:noProof/>
        </w:rPr>
        <w:t xml:space="preserve"> (2009a) Timing of flowering: opposed selection on different fitness components and trait covariation. Am Nat </w:t>
      </w:r>
      <w:r w:rsidRPr="002A4572">
        <w:rPr>
          <w:b/>
          <w:bCs/>
          <w:noProof/>
        </w:rPr>
        <w:t>173</w:t>
      </w:r>
      <w:r w:rsidRPr="002A4572">
        <w:rPr>
          <w:noProof/>
        </w:rPr>
        <w:t>: 819–30</w:t>
      </w:r>
    </w:p>
    <w:p w14:paraId="6035A5C0"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Ehrlén J, Münzbergová Z</w:t>
      </w:r>
      <w:r w:rsidRPr="002A4572">
        <w:rPr>
          <w:noProof/>
        </w:rPr>
        <w:t xml:space="preserve"> (2009b) Timing of flowering: opposed selection on different fitness components and trait covariation. Am Nat </w:t>
      </w:r>
      <w:r w:rsidRPr="002A4572">
        <w:rPr>
          <w:b/>
          <w:bCs/>
          <w:noProof/>
        </w:rPr>
        <w:t>173</w:t>
      </w:r>
      <w:r w:rsidRPr="002A4572">
        <w:rPr>
          <w:noProof/>
        </w:rPr>
        <w:t>: 819–30</w:t>
      </w:r>
    </w:p>
    <w:p w14:paraId="0524AE0A"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Emery RJN, Chinnappa CC, Chmielewski JG</w:t>
      </w:r>
      <w:r w:rsidRPr="002A4572">
        <w:rPr>
          <w:noProof/>
        </w:rPr>
        <w:t xml:space="preserve"> (1994) Specialization, plant strategies, and phenotypic plasticity in populations of Stellaria longpipes along an elevational gradient. Int J Plant Sci </w:t>
      </w:r>
      <w:r w:rsidRPr="002A4572">
        <w:rPr>
          <w:b/>
          <w:bCs/>
          <w:noProof/>
        </w:rPr>
        <w:t>155</w:t>
      </w:r>
      <w:r w:rsidRPr="002A4572">
        <w:rPr>
          <w:noProof/>
        </w:rPr>
        <w:t>: 203–219</w:t>
      </w:r>
    </w:p>
    <w:p w14:paraId="6B356FB3"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Enot D, Lin W, Beckmann M, Parker D</w:t>
      </w:r>
      <w:r w:rsidRPr="002A4572">
        <w:rPr>
          <w:noProof/>
        </w:rPr>
        <w:t xml:space="preserve"> (2008) Preprocessing, classification modeling and feature selection using flow injection electrospray mass spectrometry metabolite fingerprint data. Nat. Protoc. </w:t>
      </w:r>
    </w:p>
    <w:p w14:paraId="7C0B1D76"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Ernst W, Malloch A</w:t>
      </w:r>
      <w:r w:rsidRPr="002A4572">
        <w:rPr>
          <w:noProof/>
        </w:rPr>
        <w:t xml:space="preserve"> (1994) </w:t>
      </w:r>
      <w:r w:rsidRPr="002A4572">
        <w:rPr>
          <w:i/>
          <w:noProof/>
        </w:rPr>
        <w:t>Phleum arenaria</w:t>
      </w:r>
      <w:r w:rsidRPr="002A4572">
        <w:rPr>
          <w:noProof/>
        </w:rPr>
        <w:t xml:space="preserve"> L. J Ecol </w:t>
      </w:r>
      <w:r w:rsidRPr="002A4572">
        <w:rPr>
          <w:b/>
          <w:bCs/>
          <w:noProof/>
        </w:rPr>
        <w:t>82</w:t>
      </w:r>
      <w:r w:rsidRPr="002A4572">
        <w:rPr>
          <w:noProof/>
        </w:rPr>
        <w:t>: 403–413</w:t>
      </w:r>
    </w:p>
    <w:p w14:paraId="51762663"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Etterson JR, Shaw RG</w:t>
      </w:r>
      <w:r w:rsidRPr="002A4572">
        <w:rPr>
          <w:noProof/>
        </w:rPr>
        <w:t xml:space="preserve"> (2001) Constraint to adaptive evolution in response to global warming. Science </w:t>
      </w:r>
      <w:r w:rsidRPr="002A4572">
        <w:rPr>
          <w:b/>
          <w:bCs/>
          <w:noProof/>
        </w:rPr>
        <w:t>294</w:t>
      </w:r>
      <w:r w:rsidRPr="002A4572">
        <w:rPr>
          <w:noProof/>
        </w:rPr>
        <w:t>: 151–4</w:t>
      </w:r>
    </w:p>
    <w:p w14:paraId="3CAB7ACF"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Fang X, Subudhi PK, Venuto BC, Harrison S a., Ryan AB</w:t>
      </w:r>
      <w:r w:rsidRPr="002A4572">
        <w:rPr>
          <w:noProof/>
        </w:rPr>
        <w:t xml:space="preserve"> (2004) Influence of flowering phenology on seed production in smooth cordgrass (</w:t>
      </w:r>
      <w:r w:rsidRPr="002A4572">
        <w:rPr>
          <w:i/>
          <w:noProof/>
        </w:rPr>
        <w:t xml:space="preserve">Spartina alterniflora </w:t>
      </w:r>
      <w:r w:rsidRPr="002A4572">
        <w:rPr>
          <w:noProof/>
        </w:rPr>
        <w:t xml:space="preserve">Loisel.). Aquat Bot </w:t>
      </w:r>
      <w:r w:rsidRPr="002A4572">
        <w:rPr>
          <w:b/>
          <w:bCs/>
          <w:noProof/>
        </w:rPr>
        <w:t>80</w:t>
      </w:r>
      <w:r w:rsidRPr="002A4572">
        <w:rPr>
          <w:noProof/>
        </w:rPr>
        <w:t>: 139–151</w:t>
      </w:r>
    </w:p>
    <w:p w14:paraId="19931EAF"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Fiehn O</w:t>
      </w:r>
      <w:r w:rsidRPr="002A4572">
        <w:rPr>
          <w:noProof/>
        </w:rPr>
        <w:t xml:space="preserve"> (2002) Metabolomics - the link between genotypes and phenotypes. Plant Mol Biol </w:t>
      </w:r>
      <w:r w:rsidRPr="002A4572">
        <w:rPr>
          <w:b/>
          <w:bCs/>
          <w:noProof/>
        </w:rPr>
        <w:t>48</w:t>
      </w:r>
      <w:r w:rsidRPr="002A4572">
        <w:rPr>
          <w:noProof/>
        </w:rPr>
        <w:t>: 155–171</w:t>
      </w:r>
    </w:p>
    <w:p w14:paraId="3C0CDDFD"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Fiehn O, Kopka J, Dormann P, Altmann T, Trethewey RN, Willmitzer L</w:t>
      </w:r>
      <w:r w:rsidRPr="002A4572">
        <w:rPr>
          <w:noProof/>
        </w:rPr>
        <w:t xml:space="preserve"> (2000) Metabolite profiling for plant functional genomics. Nat Biotechnol </w:t>
      </w:r>
      <w:r w:rsidRPr="002A4572">
        <w:rPr>
          <w:b/>
          <w:bCs/>
          <w:noProof/>
        </w:rPr>
        <w:t>18</w:t>
      </w:r>
      <w:r w:rsidRPr="002A4572">
        <w:rPr>
          <w:noProof/>
        </w:rPr>
        <w:t>: 1157–1161</w:t>
      </w:r>
    </w:p>
    <w:p w14:paraId="54AD1883"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Figueroa R, Herms D a., Cardina J, Doohan D</w:t>
      </w:r>
      <w:r w:rsidRPr="002A4572">
        <w:rPr>
          <w:noProof/>
        </w:rPr>
        <w:t xml:space="preserve"> (2010) Maternal Environment Effects on Common Groundsel </w:t>
      </w:r>
      <w:r w:rsidRPr="002A4572">
        <w:rPr>
          <w:i/>
          <w:noProof/>
        </w:rPr>
        <w:t>(Senecio vulgaris</w:t>
      </w:r>
      <w:r w:rsidRPr="002A4572">
        <w:rPr>
          <w:noProof/>
        </w:rPr>
        <w:t xml:space="preserve">) Seed Dormancy. Weed Sci </w:t>
      </w:r>
      <w:r w:rsidRPr="002A4572">
        <w:rPr>
          <w:b/>
          <w:bCs/>
          <w:noProof/>
        </w:rPr>
        <w:t>58</w:t>
      </w:r>
      <w:r w:rsidRPr="002A4572">
        <w:rPr>
          <w:noProof/>
        </w:rPr>
        <w:t>: 160–166</w:t>
      </w:r>
    </w:p>
    <w:p w14:paraId="0F923F1F"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Flagfeldt DB, Siewers V, Huang L, Nielsen J</w:t>
      </w:r>
      <w:r w:rsidRPr="002A4572">
        <w:rPr>
          <w:noProof/>
        </w:rPr>
        <w:t xml:space="preserve"> (2009) Characterization of chromosomal integration sites for heterologous gene expression in </w:t>
      </w:r>
      <w:r w:rsidRPr="002A4572">
        <w:rPr>
          <w:i/>
          <w:noProof/>
        </w:rPr>
        <w:t>Saccharomyces cerevisiae</w:t>
      </w:r>
      <w:r w:rsidRPr="002A4572">
        <w:rPr>
          <w:noProof/>
        </w:rPr>
        <w:t xml:space="preserve">. Yeast </w:t>
      </w:r>
      <w:r w:rsidRPr="002A4572">
        <w:rPr>
          <w:b/>
          <w:bCs/>
          <w:noProof/>
        </w:rPr>
        <w:t>26</w:t>
      </w:r>
      <w:r w:rsidRPr="002A4572">
        <w:rPr>
          <w:noProof/>
        </w:rPr>
        <w:t>: 545–551</w:t>
      </w:r>
    </w:p>
    <w:p w14:paraId="788C4074"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Franke DM, Ellis AG, Dharjwa M, Freshwater M, Fujikawa M, Padron A, Weis AE</w:t>
      </w:r>
      <w:r w:rsidRPr="002A4572">
        <w:rPr>
          <w:noProof/>
        </w:rPr>
        <w:t xml:space="preserve"> (2006) in Southern California: Population</w:t>
      </w:r>
      <w:r w:rsidRPr="002A4572">
        <w:rPr>
          <w:rFonts w:ascii="American Typewriter" w:hAnsi="American Typewriter" w:cs="American Typewriter"/>
          <w:noProof/>
        </w:rPr>
        <w:t>‐</w:t>
      </w:r>
      <w:r w:rsidRPr="002A4572">
        <w:rPr>
          <w:noProof/>
        </w:rPr>
        <w:t xml:space="preserve">Level Variation in the Field and the Greenhouse. Int J Plant Sci </w:t>
      </w:r>
      <w:r w:rsidRPr="002A4572">
        <w:rPr>
          <w:b/>
          <w:bCs/>
          <w:noProof/>
        </w:rPr>
        <w:t>167</w:t>
      </w:r>
      <w:r w:rsidRPr="002A4572">
        <w:rPr>
          <w:noProof/>
        </w:rPr>
        <w:t>: 83–92</w:t>
      </w:r>
    </w:p>
    <w:p w14:paraId="3791AB2F"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Franks SJ</w:t>
      </w:r>
      <w:r w:rsidRPr="002A4572">
        <w:rPr>
          <w:noProof/>
        </w:rPr>
        <w:t xml:space="preserve"> (2011) Plasticity and evolution in drought avoidance and escape in the annual plant Brassica rapa. New Phytol. doi: 10.1111/j.1469-8137.2010.03603.x</w:t>
      </w:r>
    </w:p>
    <w:p w14:paraId="6A610C74"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Franks SJ, Sim S, Weis AE</w:t>
      </w:r>
      <w:r w:rsidRPr="002A4572">
        <w:rPr>
          <w:noProof/>
        </w:rPr>
        <w:t xml:space="preserve"> (2007) Rapid evolution of flowering time by an annual plant in response to a climate fluctuation. Proc Natl Acad Sci U S A </w:t>
      </w:r>
      <w:r w:rsidRPr="002A4572">
        <w:rPr>
          <w:b/>
          <w:bCs/>
          <w:noProof/>
        </w:rPr>
        <w:t>104</w:t>
      </w:r>
      <w:r w:rsidRPr="002A4572">
        <w:rPr>
          <w:noProof/>
        </w:rPr>
        <w:t>: 1278–1282</w:t>
      </w:r>
    </w:p>
    <w:p w14:paraId="2827AAF0"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Franks SJ, Weis a E</w:t>
      </w:r>
      <w:r w:rsidRPr="002A4572">
        <w:rPr>
          <w:noProof/>
        </w:rPr>
        <w:t xml:space="preserve"> (2008) A change in climate causes rapid evolution of multiple life-history traits and their interactions in an annual plant. J Evol Biol </w:t>
      </w:r>
      <w:r w:rsidRPr="002A4572">
        <w:rPr>
          <w:b/>
          <w:bCs/>
          <w:noProof/>
        </w:rPr>
        <w:t>21</w:t>
      </w:r>
      <w:r w:rsidRPr="002A4572">
        <w:rPr>
          <w:noProof/>
        </w:rPr>
        <w:t>: 1321–34</w:t>
      </w:r>
    </w:p>
    <w:p w14:paraId="14D58924"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Freckleton RP, Watkinson a. R</w:t>
      </w:r>
      <w:r w:rsidRPr="002A4572">
        <w:rPr>
          <w:noProof/>
        </w:rPr>
        <w:t xml:space="preserve"> (2002) Large-scale spatial dynamics of plants: Metapopulations, regional ensembles and patchy populations. J Ecol </w:t>
      </w:r>
      <w:r w:rsidRPr="002A4572">
        <w:rPr>
          <w:b/>
          <w:bCs/>
          <w:noProof/>
        </w:rPr>
        <w:t>90</w:t>
      </w:r>
      <w:r w:rsidRPr="002A4572">
        <w:rPr>
          <w:noProof/>
        </w:rPr>
        <w:t>: 419–434</w:t>
      </w:r>
    </w:p>
    <w:p w14:paraId="5EFAD649"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De Frenne P, Graae BJ, Rodríguez-Sánchez F, Kolb A, Chabrerie O, Decocq G, De Kort H, De Schrijver A, Diekmann M, Eriksson O, et al</w:t>
      </w:r>
      <w:r w:rsidRPr="002A4572">
        <w:rPr>
          <w:noProof/>
        </w:rPr>
        <w:t xml:space="preserve"> (2013) Latitudinal gradients as natural laboratories to infer species’ responses to temperature. J Ecol </w:t>
      </w:r>
      <w:r w:rsidRPr="002A4572">
        <w:rPr>
          <w:b/>
          <w:bCs/>
          <w:noProof/>
        </w:rPr>
        <w:t>101</w:t>
      </w:r>
      <w:r w:rsidRPr="002A4572">
        <w:rPr>
          <w:noProof/>
        </w:rPr>
        <w:t>: 784–795</w:t>
      </w:r>
    </w:p>
    <w:p w14:paraId="57FB8ECD"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De Frenne P, Kolb a., Verheyen K, Brunet J, Chabrerie O, Decocq G, Diekmann M, Eriksson O, Heinken T, Hermy M, et al</w:t>
      </w:r>
      <w:r w:rsidRPr="002A4572">
        <w:rPr>
          <w:noProof/>
        </w:rPr>
        <w:t xml:space="preserve"> (2009) Unravelling the effects of temperature, latitude and local environment on the reproduction of forest herbs. Glob Ecol Biogeogr </w:t>
      </w:r>
      <w:r w:rsidRPr="002A4572">
        <w:rPr>
          <w:b/>
          <w:bCs/>
          <w:noProof/>
        </w:rPr>
        <w:t>18</w:t>
      </w:r>
      <w:r w:rsidRPr="002A4572">
        <w:rPr>
          <w:noProof/>
        </w:rPr>
        <w:t>: 641–651</w:t>
      </w:r>
    </w:p>
    <w:p w14:paraId="68A237F8"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Gallagher R V., Leishman MR</w:t>
      </w:r>
      <w:r w:rsidRPr="002A4572">
        <w:rPr>
          <w:noProof/>
        </w:rPr>
        <w:t xml:space="preserve"> (2012) A global analysis of trait variation and evolution in climbing plants. J Biogeogr </w:t>
      </w:r>
      <w:r w:rsidRPr="002A4572">
        <w:rPr>
          <w:b/>
          <w:bCs/>
          <w:noProof/>
        </w:rPr>
        <w:t>39</w:t>
      </w:r>
      <w:r w:rsidRPr="002A4572">
        <w:rPr>
          <w:noProof/>
        </w:rPr>
        <w:t>: 1757–1771</w:t>
      </w:r>
    </w:p>
    <w:p w14:paraId="324A1BB5"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Galloway LF, Etterson JR, McGlothlin JW</w:t>
      </w:r>
      <w:r w:rsidRPr="002A4572">
        <w:rPr>
          <w:noProof/>
        </w:rPr>
        <w:t xml:space="preserve"> (2009) Contribution of direct and maternal genetic effects to life-history evolution. New Phytol </w:t>
      </w:r>
      <w:r w:rsidRPr="002A4572">
        <w:rPr>
          <w:b/>
          <w:bCs/>
          <w:noProof/>
        </w:rPr>
        <w:t>183</w:t>
      </w:r>
      <w:r w:rsidRPr="002A4572">
        <w:rPr>
          <w:noProof/>
        </w:rPr>
        <w:t>: 826–38</w:t>
      </w:r>
    </w:p>
    <w:p w14:paraId="6015B6D5"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Galloway LF, Fenster CB</w:t>
      </w:r>
      <w:r w:rsidRPr="002A4572">
        <w:rPr>
          <w:noProof/>
        </w:rPr>
        <w:t xml:space="preserve"> (2000) Population differentiation in an annual legume: local adaptation. Evolution </w:t>
      </w:r>
      <w:r w:rsidRPr="002A4572">
        <w:rPr>
          <w:b/>
          <w:bCs/>
          <w:noProof/>
        </w:rPr>
        <w:t>54</w:t>
      </w:r>
      <w:r w:rsidRPr="002A4572">
        <w:rPr>
          <w:noProof/>
        </w:rPr>
        <w:t>: 1173–81</w:t>
      </w:r>
    </w:p>
    <w:p w14:paraId="3C13FF8B"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Germain RM, Gilbert B</w:t>
      </w:r>
      <w:r w:rsidRPr="002A4572">
        <w:rPr>
          <w:noProof/>
        </w:rPr>
        <w:t xml:space="preserve"> (2014) Hidden responses to environmental variation: maternal effects reveal species niche dimensions. Ecol Lett </w:t>
      </w:r>
      <w:r w:rsidRPr="002A4572">
        <w:rPr>
          <w:b/>
          <w:bCs/>
          <w:noProof/>
        </w:rPr>
        <w:t>17</w:t>
      </w:r>
      <w:r w:rsidRPr="002A4572">
        <w:rPr>
          <w:noProof/>
        </w:rPr>
        <w:t>: 662–9</w:t>
      </w:r>
    </w:p>
    <w:p w14:paraId="663F3C21"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Gianoli E</w:t>
      </w:r>
      <w:r w:rsidRPr="002A4572">
        <w:rPr>
          <w:noProof/>
        </w:rPr>
        <w:t xml:space="preserve"> (2004) Plasticity of Traits and Correlations in Two Populations of Convolvulus arvensis ( Convolvulaceae ) Differing in Environmental Heterogeneity. Int J Plant Sci </w:t>
      </w:r>
      <w:r w:rsidRPr="002A4572">
        <w:rPr>
          <w:b/>
          <w:bCs/>
          <w:noProof/>
        </w:rPr>
        <w:t>165</w:t>
      </w:r>
      <w:r w:rsidRPr="002A4572">
        <w:rPr>
          <w:noProof/>
        </w:rPr>
        <w:t>: 825–832</w:t>
      </w:r>
    </w:p>
    <w:p w14:paraId="22F2A684"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Gianoli E, Gonzalez-Teuber M</w:t>
      </w:r>
      <w:r w:rsidRPr="002A4572">
        <w:rPr>
          <w:noProof/>
        </w:rPr>
        <w:t xml:space="preserve"> (2005) Environmental heterogeneity and population differentiation in plasticity to drought in Convolvulus chilensis (Convolvulaceae). Evol Ecol </w:t>
      </w:r>
      <w:r w:rsidRPr="002A4572">
        <w:rPr>
          <w:b/>
          <w:bCs/>
          <w:noProof/>
        </w:rPr>
        <w:t>19</w:t>
      </w:r>
      <w:r w:rsidRPr="002A4572">
        <w:rPr>
          <w:noProof/>
        </w:rPr>
        <w:t>: 603–613</w:t>
      </w:r>
    </w:p>
    <w:p w14:paraId="51EAD857"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Giardina CP, Ryan MG</w:t>
      </w:r>
      <w:r w:rsidRPr="002A4572">
        <w:rPr>
          <w:noProof/>
        </w:rPr>
        <w:t xml:space="preserve"> (2000) Evidence that decomposition rates of organic carbon in mineral soil do not vary with temperature. Nature </w:t>
      </w:r>
      <w:r w:rsidRPr="002A4572">
        <w:rPr>
          <w:b/>
          <w:bCs/>
          <w:noProof/>
        </w:rPr>
        <w:t>404</w:t>
      </w:r>
      <w:r w:rsidRPr="002A4572">
        <w:rPr>
          <w:noProof/>
        </w:rPr>
        <w:t>: 858–61</w:t>
      </w:r>
    </w:p>
    <w:p w14:paraId="397A58E6"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Gibon Y, Usadel B, Blaesing OE, Kamlage B, Hoehne M, Trethewey R, Stitt M</w:t>
      </w:r>
      <w:r w:rsidRPr="002A4572">
        <w:rPr>
          <w:noProof/>
        </w:rPr>
        <w:t xml:space="preserve"> (2006) Integration of metabolite with transcript and enzyme activity profiling during diurnal cycles in Arabidopsis rosettes. Genome Biol. doi: 10.1186/gb-2006-7-8-r76</w:t>
      </w:r>
    </w:p>
    <w:p w14:paraId="25B13A7C"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Gibson D</w:t>
      </w:r>
      <w:r w:rsidRPr="002A4572">
        <w:rPr>
          <w:noProof/>
        </w:rPr>
        <w:t xml:space="preserve"> (1988) The Maintenance of Plant and Soil Heterogeneity in Dune Grassland. J Ecol </w:t>
      </w:r>
      <w:r w:rsidRPr="002A4572">
        <w:rPr>
          <w:b/>
          <w:bCs/>
          <w:noProof/>
        </w:rPr>
        <w:t>76</w:t>
      </w:r>
      <w:r w:rsidRPr="002A4572">
        <w:rPr>
          <w:noProof/>
        </w:rPr>
        <w:t>: 497–508</w:t>
      </w:r>
    </w:p>
    <w:p w14:paraId="1B1D731A"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Gibson SI</w:t>
      </w:r>
      <w:r w:rsidRPr="002A4572">
        <w:rPr>
          <w:noProof/>
        </w:rPr>
        <w:t xml:space="preserve"> (2005) Control of plant development and gene expression by sugar signaling. Curr Opin Plant Biol </w:t>
      </w:r>
      <w:r w:rsidRPr="002A4572">
        <w:rPr>
          <w:b/>
          <w:bCs/>
          <w:noProof/>
        </w:rPr>
        <w:t>8</w:t>
      </w:r>
      <w:r w:rsidRPr="002A4572">
        <w:rPr>
          <w:noProof/>
        </w:rPr>
        <w:t>: 93–102</w:t>
      </w:r>
    </w:p>
    <w:p w14:paraId="53D56DEF"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Gienapp P, Teplitsky C, Alho JS, Mills J a, Merilä J</w:t>
      </w:r>
      <w:r w:rsidRPr="002A4572">
        <w:rPr>
          <w:noProof/>
        </w:rPr>
        <w:t xml:space="preserve"> (2008) Climate change and evolution: disentangling environmental and genetic responses. Mol Ecol </w:t>
      </w:r>
      <w:r w:rsidRPr="002A4572">
        <w:rPr>
          <w:b/>
          <w:bCs/>
          <w:noProof/>
        </w:rPr>
        <w:t>17</w:t>
      </w:r>
      <w:r w:rsidRPr="002A4572">
        <w:rPr>
          <w:noProof/>
        </w:rPr>
        <w:t>: 167–78</w:t>
      </w:r>
    </w:p>
    <w:p w14:paraId="3DE73A39"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Gilbert B, Lechowicz MJ</w:t>
      </w:r>
      <w:r w:rsidRPr="002A4572">
        <w:rPr>
          <w:noProof/>
        </w:rPr>
        <w:t xml:space="preserve"> (2005) Invasibility and abiotic gradients: The positive correlation between native and exotic plant diversity. Ecology </w:t>
      </w:r>
      <w:r w:rsidRPr="002A4572">
        <w:rPr>
          <w:b/>
          <w:bCs/>
          <w:noProof/>
        </w:rPr>
        <w:t>86</w:t>
      </w:r>
      <w:r w:rsidRPr="002A4572">
        <w:rPr>
          <w:noProof/>
        </w:rPr>
        <w:t>: 1848–1855</w:t>
      </w:r>
    </w:p>
    <w:p w14:paraId="6AB172B9"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Goodacre R, Vaidyanathan S, Bianchi G, Kell DB</w:t>
      </w:r>
      <w:r w:rsidRPr="002A4572">
        <w:rPr>
          <w:noProof/>
        </w:rPr>
        <w:t xml:space="preserve"> (2002) Metabolic profiling using direct infusion electrospray ionisation mass spectrometry for the characterisation of olive oils. Analyst </w:t>
      </w:r>
      <w:r w:rsidRPr="002A4572">
        <w:rPr>
          <w:b/>
          <w:bCs/>
          <w:noProof/>
        </w:rPr>
        <w:t>127</w:t>
      </w:r>
      <w:r w:rsidRPr="002A4572">
        <w:rPr>
          <w:noProof/>
        </w:rPr>
        <w:t>: 1457–1462</w:t>
      </w:r>
    </w:p>
    <w:p w14:paraId="348B1121"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Gray GR, Heath D</w:t>
      </w:r>
      <w:r w:rsidRPr="002A4572">
        <w:rPr>
          <w:noProof/>
        </w:rPr>
        <w:t xml:space="preserve"> (2005) A global reorganization of the metabolome in Arabidopsis during cold acclimation is revealed by metabolic fingerprinting. Physiol Plant </w:t>
      </w:r>
      <w:r w:rsidRPr="002A4572">
        <w:rPr>
          <w:b/>
          <w:bCs/>
          <w:noProof/>
        </w:rPr>
        <w:t>124</w:t>
      </w:r>
      <w:r w:rsidRPr="002A4572">
        <w:rPr>
          <w:noProof/>
        </w:rPr>
        <w:t>: 236–248</w:t>
      </w:r>
    </w:p>
    <w:p w14:paraId="561CE45F"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Grebenstein C, Choi YH, Rong J, de Jong TJ, Tamis WLM</w:t>
      </w:r>
      <w:r w:rsidRPr="002A4572">
        <w:rPr>
          <w:noProof/>
        </w:rPr>
        <w:t xml:space="preserve"> (2011) Metabolic fingerprinting reveals differences between shoots of wild and cultivated carrot (</w:t>
      </w:r>
      <w:r w:rsidRPr="002A4572">
        <w:rPr>
          <w:i/>
          <w:noProof/>
        </w:rPr>
        <w:t>Daucus carota L.</w:t>
      </w:r>
      <w:r w:rsidRPr="002A4572">
        <w:rPr>
          <w:noProof/>
        </w:rPr>
        <w:t xml:space="preserve">) and suggests maternal inheritance or wild trait dominance in hybrids. Phytochemistry </w:t>
      </w:r>
      <w:r w:rsidRPr="002A4572">
        <w:rPr>
          <w:b/>
          <w:bCs/>
          <w:noProof/>
        </w:rPr>
        <w:t>72</w:t>
      </w:r>
      <w:r w:rsidRPr="002A4572">
        <w:rPr>
          <w:noProof/>
        </w:rPr>
        <w:t>: 1341–7</w:t>
      </w:r>
    </w:p>
    <w:p w14:paraId="2D71F1FF"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Greenway H, Munns R</w:t>
      </w:r>
      <w:r w:rsidRPr="002A4572">
        <w:rPr>
          <w:noProof/>
        </w:rPr>
        <w:t xml:space="preserve"> (1980) Mechanisms of Salt Tolerance in Non-Halophytes. Annu Rev Plant Physiol Plant Mol Biol </w:t>
      </w:r>
      <w:r w:rsidRPr="002A4572">
        <w:rPr>
          <w:b/>
          <w:bCs/>
          <w:noProof/>
        </w:rPr>
        <w:t>31</w:t>
      </w:r>
      <w:r w:rsidRPr="002A4572">
        <w:rPr>
          <w:noProof/>
        </w:rPr>
        <w:t>: 149–190</w:t>
      </w:r>
    </w:p>
    <w:p w14:paraId="075D832E"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Griffith TM, Watson M a</w:t>
      </w:r>
      <w:r w:rsidRPr="002A4572">
        <w:rPr>
          <w:noProof/>
        </w:rPr>
        <w:t xml:space="preserve"> (2005) Stress avoidance in a common annual: reproductive timing is important for local adaptation and geographic distribution. J Evol Biol </w:t>
      </w:r>
      <w:r w:rsidRPr="002A4572">
        <w:rPr>
          <w:b/>
          <w:bCs/>
          <w:noProof/>
        </w:rPr>
        <w:t>18</w:t>
      </w:r>
      <w:r w:rsidRPr="002A4572">
        <w:rPr>
          <w:noProof/>
        </w:rPr>
        <w:t>: 1601–12</w:t>
      </w:r>
    </w:p>
    <w:p w14:paraId="297E3063"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Guy C, Kaplan F, Kopka J, Selbig J, Hincha DK</w:t>
      </w:r>
      <w:r w:rsidRPr="002A4572">
        <w:rPr>
          <w:noProof/>
        </w:rPr>
        <w:t xml:space="preserve"> (2008) Metabolomics of temperature stress. Physiol Plant </w:t>
      </w:r>
      <w:r w:rsidRPr="002A4572">
        <w:rPr>
          <w:b/>
          <w:bCs/>
          <w:noProof/>
        </w:rPr>
        <w:t>132</w:t>
      </w:r>
      <w:r w:rsidRPr="002A4572">
        <w:rPr>
          <w:noProof/>
        </w:rPr>
        <w:t>: 220–235</w:t>
      </w:r>
    </w:p>
    <w:p w14:paraId="6913140A"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Haggerty BP, Galloway LF</w:t>
      </w:r>
      <w:r w:rsidRPr="002A4572">
        <w:rPr>
          <w:noProof/>
        </w:rPr>
        <w:t xml:space="preserve"> (2011) Response of individual components of reproductive phenology to growing season length in a monocarpic herb. J Ecol </w:t>
      </w:r>
      <w:r w:rsidRPr="002A4572">
        <w:rPr>
          <w:b/>
          <w:bCs/>
          <w:noProof/>
        </w:rPr>
        <w:t>99</w:t>
      </w:r>
      <w:r w:rsidRPr="002A4572">
        <w:rPr>
          <w:noProof/>
        </w:rPr>
        <w:t>: 242–253</w:t>
      </w:r>
    </w:p>
    <w:p w14:paraId="1BF4A7D1"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Halket JM, Waterman D, Przyborowska AM, Patel RKP, Fraser PD, Bramley PM</w:t>
      </w:r>
      <w:r w:rsidRPr="002A4572">
        <w:rPr>
          <w:noProof/>
        </w:rPr>
        <w:t xml:space="preserve"> (2005) Chemical derivatization and mass spectral libraries in metabolic profiling by GC/MS and LC/MS/MS. J Exp Bot </w:t>
      </w:r>
      <w:r w:rsidRPr="002A4572">
        <w:rPr>
          <w:b/>
          <w:bCs/>
          <w:noProof/>
        </w:rPr>
        <w:t>56</w:t>
      </w:r>
      <w:r w:rsidRPr="002A4572">
        <w:rPr>
          <w:noProof/>
        </w:rPr>
        <w:t>: 219–243</w:t>
      </w:r>
    </w:p>
    <w:p w14:paraId="13D6AAC9" w14:textId="756D0885" w:rsidR="0018095C" w:rsidRPr="002A4572" w:rsidRDefault="0018095C" w:rsidP="0018095C">
      <w:pPr>
        <w:pStyle w:val="NormalWeb"/>
        <w:spacing w:before="2" w:after="2" w:line="360" w:lineRule="auto"/>
        <w:ind w:left="480" w:hanging="480"/>
        <w:divId w:val="1748573569"/>
        <w:rPr>
          <w:noProof/>
        </w:rPr>
      </w:pPr>
      <w:r w:rsidRPr="002A4572">
        <w:rPr>
          <w:b/>
          <w:bCs/>
          <w:noProof/>
        </w:rPr>
        <w:t>Hartgerink AP, Bazzaz FA, Feb N</w:t>
      </w:r>
      <w:r w:rsidRPr="002A4572">
        <w:rPr>
          <w:noProof/>
        </w:rPr>
        <w:t xml:space="preserve"> (1984) Seedling-Scale Environmental Heterogeneity Influences Individual Fitness and P</w:t>
      </w:r>
      <w:r w:rsidR="002A4572" w:rsidRPr="002A4572">
        <w:rPr>
          <w:noProof/>
        </w:rPr>
        <w:t xml:space="preserve">opulation Structure. </w:t>
      </w:r>
      <w:r w:rsidRPr="002A4572">
        <w:rPr>
          <w:noProof/>
        </w:rPr>
        <w:t xml:space="preserve">English Ed </w:t>
      </w:r>
      <w:r w:rsidRPr="002A4572">
        <w:rPr>
          <w:b/>
          <w:bCs/>
          <w:noProof/>
        </w:rPr>
        <w:t>65</w:t>
      </w:r>
      <w:r w:rsidRPr="002A4572">
        <w:rPr>
          <w:noProof/>
        </w:rPr>
        <w:t>: 198–206</w:t>
      </w:r>
    </w:p>
    <w:p w14:paraId="2D629ACA"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Hartmann T, Zimmer M</w:t>
      </w:r>
      <w:r w:rsidRPr="002A4572">
        <w:rPr>
          <w:noProof/>
        </w:rPr>
        <w:t xml:space="preserve"> (1986) Organ-specific Distribution and Accumulation of Pyrrolizidine Alkaloids during the Life History of two Annual Senecio Species. J Plant Physiol </w:t>
      </w:r>
      <w:r w:rsidRPr="002A4572">
        <w:rPr>
          <w:b/>
          <w:bCs/>
          <w:noProof/>
        </w:rPr>
        <w:t>122</w:t>
      </w:r>
      <w:r w:rsidRPr="002A4572">
        <w:rPr>
          <w:noProof/>
        </w:rPr>
        <w:t>: 67–80</w:t>
      </w:r>
    </w:p>
    <w:p w14:paraId="3AD912F2"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Hauser TP, Weidema IR</w:t>
      </w:r>
      <w:r w:rsidRPr="002A4572">
        <w:rPr>
          <w:noProof/>
        </w:rPr>
        <w:t xml:space="preserve"> (2000) Extreme Variation in Flowering Time between Populations of </w:t>
      </w:r>
      <w:r w:rsidRPr="002A4572">
        <w:rPr>
          <w:i/>
          <w:noProof/>
        </w:rPr>
        <w:t>Silene Nutans</w:t>
      </w:r>
      <w:r w:rsidRPr="002A4572">
        <w:rPr>
          <w:noProof/>
        </w:rPr>
        <w:t xml:space="preserve">. Hereditas </w:t>
      </w:r>
      <w:r w:rsidRPr="002A4572">
        <w:rPr>
          <w:b/>
          <w:bCs/>
          <w:noProof/>
        </w:rPr>
        <w:t>132</w:t>
      </w:r>
      <w:r w:rsidRPr="002A4572">
        <w:rPr>
          <w:noProof/>
        </w:rPr>
        <w:t>: 95–101</w:t>
      </w:r>
    </w:p>
    <w:p w14:paraId="34B8A668"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Hayward M</w:t>
      </w:r>
      <w:r w:rsidRPr="002A4572">
        <w:rPr>
          <w:noProof/>
        </w:rPr>
        <w:t xml:space="preserve"> (1967) The genetic organisation of natural populations of Lolium perenne. II. Inflorescence production. Heredity (Edinb). </w:t>
      </w:r>
    </w:p>
    <w:p w14:paraId="2AD4AB1D"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Hereford J</w:t>
      </w:r>
      <w:r w:rsidRPr="002A4572">
        <w:rPr>
          <w:noProof/>
        </w:rPr>
        <w:t xml:space="preserve"> (2010) Does Selfing or Outcrossing Promote Local Adaptation? Am J Bot </w:t>
      </w:r>
      <w:r w:rsidRPr="002A4572">
        <w:rPr>
          <w:b/>
          <w:bCs/>
          <w:noProof/>
        </w:rPr>
        <w:t>97</w:t>
      </w:r>
      <w:r w:rsidRPr="002A4572">
        <w:rPr>
          <w:noProof/>
        </w:rPr>
        <w:t>: 298–302</w:t>
      </w:r>
    </w:p>
    <w:p w14:paraId="3BB54E61"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Hereford J</w:t>
      </w:r>
      <w:r w:rsidRPr="002A4572">
        <w:rPr>
          <w:noProof/>
        </w:rPr>
        <w:t xml:space="preserve"> (2009) A Quantitative Survey of Local Adaptation and Fitness Trade-Offs. Am Nat </w:t>
      </w:r>
      <w:r w:rsidRPr="002A4572">
        <w:rPr>
          <w:b/>
          <w:bCs/>
          <w:noProof/>
        </w:rPr>
        <w:t>173</w:t>
      </w:r>
      <w:r w:rsidRPr="002A4572">
        <w:rPr>
          <w:noProof/>
        </w:rPr>
        <w:t>: 579–588</w:t>
      </w:r>
    </w:p>
    <w:p w14:paraId="358CA6B9"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Hirai MY, Yano M, Goodenowe DB, Kanaya S, Kimura T, Awazuhara M, Arita M, Fujiwara T, Saito K</w:t>
      </w:r>
      <w:r w:rsidRPr="002A4572">
        <w:rPr>
          <w:noProof/>
        </w:rPr>
        <w:t xml:space="preserve"> (2004) Integration of transcriptomics and metabolomics for understanding of global responses to nutritional stresses in Arabidopsis thaliana. Proc Natl Acad Sci U S A </w:t>
      </w:r>
      <w:r w:rsidRPr="002A4572">
        <w:rPr>
          <w:b/>
          <w:bCs/>
          <w:noProof/>
        </w:rPr>
        <w:t>101</w:t>
      </w:r>
      <w:r w:rsidRPr="002A4572">
        <w:rPr>
          <w:noProof/>
        </w:rPr>
        <w:t>: 10205–10210</w:t>
      </w:r>
    </w:p>
    <w:p w14:paraId="6FE4C59F"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Hodge a</w:t>
      </w:r>
      <w:r w:rsidRPr="002A4572">
        <w:rPr>
          <w:noProof/>
        </w:rPr>
        <w:t xml:space="preserve"> (2006) Plastic plants and patchy soils. J Exp Bot </w:t>
      </w:r>
      <w:r w:rsidRPr="002A4572">
        <w:rPr>
          <w:b/>
          <w:bCs/>
          <w:noProof/>
        </w:rPr>
        <w:t>57</w:t>
      </w:r>
      <w:r w:rsidRPr="002A4572">
        <w:rPr>
          <w:noProof/>
        </w:rPr>
        <w:t>: 401–11</w:t>
      </w:r>
    </w:p>
    <w:p w14:paraId="367E4A5E"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Houston J</w:t>
      </w:r>
      <w:r w:rsidRPr="002A4572">
        <w:rPr>
          <w:noProof/>
        </w:rPr>
        <w:t xml:space="preserve"> (2008) Management of Natura 2000 habitats. 2130* Fixed coastal dunes with herbaceous vegetation (“grey dunes”). Eur. Comm. </w:t>
      </w:r>
    </w:p>
    <w:p w14:paraId="25F7B751"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Howe GT, Aitken SN, Neale DB, Jermstad KD, Wheeler NC, Chen TH</w:t>
      </w:r>
      <w:r w:rsidRPr="002A4572">
        <w:rPr>
          <w:noProof/>
        </w:rPr>
        <w:t xml:space="preserve"> (2003) From genotype to phenotype: unraveling the complexities of cold adaptation in forest trees. Can J Bot </w:t>
      </w:r>
      <w:r w:rsidRPr="002A4572">
        <w:rPr>
          <w:b/>
          <w:bCs/>
          <w:noProof/>
        </w:rPr>
        <w:t>81</w:t>
      </w:r>
      <w:r w:rsidRPr="002A4572">
        <w:rPr>
          <w:noProof/>
        </w:rPr>
        <w:t>: 1247–1266</w:t>
      </w:r>
    </w:p>
    <w:p w14:paraId="2B4056A0"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Hu L, Zhang P, Jiang Y, Fu J</w:t>
      </w:r>
      <w:r w:rsidRPr="002A4572">
        <w:rPr>
          <w:noProof/>
        </w:rPr>
        <w:t xml:space="preserve"> (2015) Metabolomic Analysis Revealed Differential Adaptation to Salinity and Alkalinity Stress in Kentucky Bluegrass (</w:t>
      </w:r>
      <w:r w:rsidRPr="002A4572">
        <w:rPr>
          <w:i/>
          <w:noProof/>
        </w:rPr>
        <w:t>Poa pratensis</w:t>
      </w:r>
      <w:r w:rsidRPr="002A4572">
        <w:rPr>
          <w:noProof/>
        </w:rPr>
        <w:t xml:space="preserve">). Plant Mol Biol Report </w:t>
      </w:r>
      <w:r w:rsidRPr="002A4572">
        <w:rPr>
          <w:b/>
          <w:bCs/>
          <w:noProof/>
        </w:rPr>
        <w:t>33</w:t>
      </w:r>
      <w:r w:rsidRPr="002A4572">
        <w:rPr>
          <w:noProof/>
        </w:rPr>
        <w:t>: 56–68</w:t>
      </w:r>
    </w:p>
    <w:p w14:paraId="5E47F471"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Hughes L</w:t>
      </w:r>
      <w:r w:rsidRPr="002A4572">
        <w:rPr>
          <w:noProof/>
        </w:rPr>
        <w:t xml:space="preserve"> (2000) Biological consequences of global warming: is the signal already. Trends Ecol Evol </w:t>
      </w:r>
      <w:r w:rsidRPr="002A4572">
        <w:rPr>
          <w:b/>
          <w:bCs/>
          <w:noProof/>
        </w:rPr>
        <w:t>15</w:t>
      </w:r>
      <w:r w:rsidRPr="002A4572">
        <w:rPr>
          <w:noProof/>
        </w:rPr>
        <w:t>: 56–61</w:t>
      </w:r>
    </w:p>
    <w:p w14:paraId="0979755C" w14:textId="739118F4" w:rsidR="0018095C" w:rsidRPr="002A4572" w:rsidRDefault="0018095C" w:rsidP="0018095C">
      <w:pPr>
        <w:pStyle w:val="NormalWeb"/>
        <w:spacing w:before="2" w:after="2" w:line="360" w:lineRule="auto"/>
        <w:ind w:left="480" w:hanging="480"/>
        <w:divId w:val="1748573569"/>
        <w:rPr>
          <w:noProof/>
        </w:rPr>
      </w:pPr>
      <w:r w:rsidRPr="002A4572">
        <w:rPr>
          <w:b/>
          <w:bCs/>
          <w:noProof/>
        </w:rPr>
        <w:t>IPCC</w:t>
      </w:r>
      <w:r w:rsidRPr="002A4572">
        <w:rPr>
          <w:noProof/>
        </w:rPr>
        <w:t xml:space="preserve"> (2007) Climate change 2007: The physical science basis. C</w:t>
      </w:r>
      <w:r w:rsidR="002A4572" w:rsidRPr="002A4572">
        <w:rPr>
          <w:noProof/>
        </w:rPr>
        <w:t>o</w:t>
      </w:r>
      <w:r w:rsidRPr="002A4572">
        <w:rPr>
          <w:noProof/>
        </w:rPr>
        <w:t>ntribution Work. Gr. I to Four</w:t>
      </w:r>
      <w:r w:rsidR="002A4572" w:rsidRPr="002A4572">
        <w:rPr>
          <w:noProof/>
        </w:rPr>
        <w:t xml:space="preserve">th </w:t>
      </w:r>
      <w:r w:rsidRPr="002A4572">
        <w:rPr>
          <w:noProof/>
        </w:rPr>
        <w:t xml:space="preserve">Rep. Intergov. Panel Clim. Chang. </w:t>
      </w:r>
    </w:p>
    <w:p w14:paraId="139809E4"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Jansen JJ, Smit S, Hoefsloot HCJ, Smilde AK</w:t>
      </w:r>
      <w:r w:rsidRPr="002A4572">
        <w:rPr>
          <w:noProof/>
        </w:rPr>
        <w:t xml:space="preserve"> (2010) The photographer and the greenhouse: how to analyse plant metabolomics data. Phytochem Anal </w:t>
      </w:r>
      <w:r w:rsidRPr="002A4572">
        <w:rPr>
          <w:b/>
          <w:bCs/>
          <w:noProof/>
        </w:rPr>
        <w:t>21</w:t>
      </w:r>
      <w:r w:rsidRPr="002A4572">
        <w:rPr>
          <w:noProof/>
        </w:rPr>
        <w:t>: 48–60</w:t>
      </w:r>
    </w:p>
    <w:p w14:paraId="4AC01D89"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Jongejans E, Jorritsma-Wienk LD, Becker U, Dostál P, Mildén M, de Kroon H</w:t>
      </w:r>
      <w:r w:rsidRPr="002A4572">
        <w:rPr>
          <w:noProof/>
        </w:rPr>
        <w:t xml:space="preserve"> (2010) Region versus site variation in the population dynamics of three short-lived perennials. J Ecol </w:t>
      </w:r>
      <w:r w:rsidRPr="002A4572">
        <w:rPr>
          <w:b/>
          <w:bCs/>
          <w:noProof/>
        </w:rPr>
        <w:t>98</w:t>
      </w:r>
      <w:r w:rsidRPr="002A4572">
        <w:rPr>
          <w:noProof/>
        </w:rPr>
        <w:t>: 279–289</w:t>
      </w:r>
    </w:p>
    <w:p w14:paraId="4739E2F7"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Joshi J, Schmid B, Caldeira MC, Dimitrakopoulos PG, Good J, Harris R, Hector a., Huss-Danell K, Jumpponen a., Minns a., et al</w:t>
      </w:r>
      <w:r w:rsidRPr="002A4572">
        <w:rPr>
          <w:noProof/>
        </w:rPr>
        <w:t xml:space="preserve"> (2001) Local adaptation enhances performance of common plant species. Ecol Lett </w:t>
      </w:r>
      <w:r w:rsidRPr="002A4572">
        <w:rPr>
          <w:b/>
          <w:bCs/>
          <w:noProof/>
        </w:rPr>
        <w:t>4</w:t>
      </w:r>
      <w:r w:rsidRPr="002A4572">
        <w:rPr>
          <w:noProof/>
        </w:rPr>
        <w:t>: 536–544</w:t>
      </w:r>
    </w:p>
    <w:p w14:paraId="12C5018A"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Jump AS, Penuelas J</w:t>
      </w:r>
      <w:r w:rsidRPr="002A4572">
        <w:rPr>
          <w:noProof/>
        </w:rPr>
        <w:t xml:space="preserve"> (2005) Running to stand still: adaptation and the response of plants to rapid climate change. Ecol Lett </w:t>
      </w:r>
      <w:r w:rsidRPr="002A4572">
        <w:rPr>
          <w:b/>
          <w:bCs/>
          <w:noProof/>
        </w:rPr>
        <w:t>8</w:t>
      </w:r>
      <w:r w:rsidRPr="002A4572">
        <w:rPr>
          <w:noProof/>
        </w:rPr>
        <w:t>: 1010–1020</w:t>
      </w:r>
    </w:p>
    <w:p w14:paraId="2AD8BC83"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Kawecki TJ, Ebert D</w:t>
      </w:r>
      <w:r w:rsidRPr="002A4572">
        <w:rPr>
          <w:noProof/>
        </w:rPr>
        <w:t xml:space="preserve"> (2004) Conceptual issues in local adaptation. Ecol Lett </w:t>
      </w:r>
      <w:r w:rsidRPr="002A4572">
        <w:rPr>
          <w:b/>
          <w:bCs/>
          <w:noProof/>
        </w:rPr>
        <w:t>7</w:t>
      </w:r>
      <w:r w:rsidRPr="002A4572">
        <w:rPr>
          <w:noProof/>
        </w:rPr>
        <w:t>: 1225–1241</w:t>
      </w:r>
    </w:p>
    <w:p w14:paraId="57C4BBF7"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Kim HK, Verpoorte R</w:t>
      </w:r>
      <w:r w:rsidRPr="002A4572">
        <w:rPr>
          <w:noProof/>
        </w:rPr>
        <w:t xml:space="preserve"> (2010) Sample Preparation for Plant Metabolomics. Phytochem Anal </w:t>
      </w:r>
      <w:r w:rsidRPr="002A4572">
        <w:rPr>
          <w:b/>
          <w:bCs/>
          <w:noProof/>
        </w:rPr>
        <w:t>21</w:t>
      </w:r>
      <w:r w:rsidRPr="002A4572">
        <w:rPr>
          <w:noProof/>
        </w:rPr>
        <w:t>: 4–13</w:t>
      </w:r>
    </w:p>
    <w:p w14:paraId="316BCC6C"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Kopka J, Fernie A, Weckwerth W, Gibon Y, Stitt M</w:t>
      </w:r>
      <w:r w:rsidRPr="002A4572">
        <w:rPr>
          <w:noProof/>
        </w:rPr>
        <w:t xml:space="preserve"> (2004) Metabolite profiling in plant biology: platforms and destinations. Genome Biol </w:t>
      </w:r>
      <w:r w:rsidRPr="002A4572">
        <w:rPr>
          <w:b/>
          <w:bCs/>
          <w:noProof/>
        </w:rPr>
        <w:t>5</w:t>
      </w:r>
      <w:r w:rsidRPr="002A4572">
        <w:rPr>
          <w:noProof/>
        </w:rPr>
        <w:t>: -</w:t>
      </w:r>
    </w:p>
    <w:p w14:paraId="0F8E0EF9"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Kráľová K, Jampílek J, Ostrovský I</w:t>
      </w:r>
      <w:r w:rsidRPr="002A4572">
        <w:rPr>
          <w:noProof/>
        </w:rPr>
        <w:t xml:space="preserve"> (2012) Metabolomics - Useful Tool for Study of Plant Responses to Abiotic Stresses. Ecol Chem Eng S </w:t>
      </w:r>
      <w:r w:rsidRPr="002A4572">
        <w:rPr>
          <w:b/>
          <w:bCs/>
          <w:noProof/>
        </w:rPr>
        <w:t>19</w:t>
      </w:r>
      <w:r w:rsidRPr="002A4572">
        <w:rPr>
          <w:noProof/>
        </w:rPr>
        <w:t>: 133–161</w:t>
      </w:r>
    </w:p>
    <w:p w14:paraId="57E121B9"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Kunin WE, Vergeer P, Kenta T, Davey MP, Burke T, Woodward FI, Quick P, Mannarelli M-E, Watson-Haigh NS, Butlin R</w:t>
      </w:r>
      <w:r w:rsidRPr="002A4572">
        <w:rPr>
          <w:noProof/>
        </w:rPr>
        <w:t xml:space="preserve"> (2009) Variation at range margins across multiple spatial scales: environmental temperature, population genetics and metabolomic phenotype. Proc Biol Sci </w:t>
      </w:r>
      <w:r w:rsidRPr="002A4572">
        <w:rPr>
          <w:b/>
          <w:bCs/>
          <w:noProof/>
        </w:rPr>
        <w:t>276</w:t>
      </w:r>
      <w:r w:rsidRPr="002A4572">
        <w:rPr>
          <w:noProof/>
        </w:rPr>
        <w:t>: 1495–506</w:t>
      </w:r>
    </w:p>
    <w:p w14:paraId="72D7AA0B"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Kutiel P, Lavee H</w:t>
      </w:r>
      <w:r w:rsidRPr="002A4572">
        <w:rPr>
          <w:noProof/>
        </w:rPr>
        <w:t xml:space="preserve"> (1999) Effect of slope aspect on soil and vegetation properties along an aridity transect. Isr J Plant Sci </w:t>
      </w:r>
      <w:r w:rsidRPr="002A4572">
        <w:rPr>
          <w:b/>
          <w:bCs/>
          <w:noProof/>
        </w:rPr>
        <w:t>47</w:t>
      </w:r>
      <w:r w:rsidRPr="002A4572">
        <w:rPr>
          <w:noProof/>
        </w:rPr>
        <w:t>: 169–178</w:t>
      </w:r>
    </w:p>
    <w:p w14:paraId="56A36127"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Langal D, Ober D, Pelse P</w:t>
      </w:r>
      <w:r w:rsidRPr="002A4572">
        <w:rPr>
          <w:noProof/>
        </w:rPr>
        <w:t xml:space="preserve"> (2011) The evolution of pyrrolizidine alkaloid biosynthesis and diversity in the Senecioneae. Phytochem Rev </w:t>
      </w:r>
      <w:r w:rsidRPr="002A4572">
        <w:rPr>
          <w:b/>
          <w:bCs/>
          <w:noProof/>
        </w:rPr>
        <w:t>10</w:t>
      </w:r>
      <w:r w:rsidRPr="002A4572">
        <w:rPr>
          <w:noProof/>
        </w:rPr>
        <w:t>: 3–74</w:t>
      </w:r>
    </w:p>
    <w:p w14:paraId="54D30A6E"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Lankau R a, Strauss SY</w:t>
      </w:r>
      <w:r w:rsidRPr="002A4572">
        <w:rPr>
          <w:noProof/>
        </w:rPr>
        <w:t xml:space="preserve"> (2008) Community complexity drives patterns of natural selection on a chemical defense of </w:t>
      </w:r>
      <w:r w:rsidRPr="002A4572">
        <w:rPr>
          <w:i/>
          <w:noProof/>
        </w:rPr>
        <w:t>Brassica nigra</w:t>
      </w:r>
      <w:r w:rsidRPr="002A4572">
        <w:rPr>
          <w:noProof/>
        </w:rPr>
        <w:t xml:space="preserve">. Am Nat </w:t>
      </w:r>
      <w:r w:rsidRPr="002A4572">
        <w:rPr>
          <w:b/>
          <w:bCs/>
          <w:noProof/>
        </w:rPr>
        <w:t>171</w:t>
      </w:r>
      <w:r w:rsidRPr="002A4572">
        <w:rPr>
          <w:noProof/>
        </w:rPr>
        <w:t>: 150–61</w:t>
      </w:r>
    </w:p>
    <w:p w14:paraId="3F440211"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Latimer AM, Jacobs BS</w:t>
      </w:r>
      <w:r w:rsidRPr="002A4572">
        <w:rPr>
          <w:noProof/>
        </w:rPr>
        <w:t xml:space="preserve"> (2012) Quantifying how fine-grained environmental heterogeneity and genetic variation affect demography in an annual plant population. Oecologia </w:t>
      </w:r>
      <w:r w:rsidRPr="002A4572">
        <w:rPr>
          <w:b/>
          <w:bCs/>
          <w:noProof/>
        </w:rPr>
        <w:t>170</w:t>
      </w:r>
      <w:r w:rsidRPr="002A4572">
        <w:rPr>
          <w:noProof/>
        </w:rPr>
        <w:t>: 659–67</w:t>
      </w:r>
    </w:p>
    <w:p w14:paraId="2F10136E"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Lavorel S, Garnier E</w:t>
      </w:r>
      <w:r w:rsidRPr="002A4572">
        <w:rPr>
          <w:noProof/>
        </w:rPr>
        <w:t xml:space="preserve"> (2002) Predicting changes in community composition and ecosystem functioning from plant traits</w:t>
      </w:r>
      <w:r w:rsidRPr="002A4572">
        <w:rPr>
          <w:rFonts w:ascii="Times New Roman" w:hAnsi="Times New Roman"/>
          <w:noProof/>
        </w:rPr>
        <w:t> </w:t>
      </w:r>
      <w:r w:rsidRPr="002A4572">
        <w:rPr>
          <w:noProof/>
        </w:rPr>
        <w:t>: revisiting the holy grail. Funct Ecol 545–556</w:t>
      </w:r>
    </w:p>
    <w:p w14:paraId="16C620DB"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Leimu R, Fischer M</w:t>
      </w:r>
      <w:r w:rsidRPr="002A4572">
        <w:rPr>
          <w:noProof/>
        </w:rPr>
        <w:t xml:space="preserve"> (2008) A meta-analysis of local adaptation in plants. PLoS One </w:t>
      </w:r>
      <w:r w:rsidRPr="002A4572">
        <w:rPr>
          <w:b/>
          <w:bCs/>
          <w:noProof/>
        </w:rPr>
        <w:t>3</w:t>
      </w:r>
      <w:r w:rsidRPr="002A4572">
        <w:rPr>
          <w:noProof/>
        </w:rPr>
        <w:t>: e4010</w:t>
      </w:r>
    </w:p>
    <w:p w14:paraId="49E72662"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Leinonen PH, Remington DL, Savolainen O</w:t>
      </w:r>
      <w:r w:rsidRPr="002A4572">
        <w:rPr>
          <w:noProof/>
        </w:rPr>
        <w:t xml:space="preserve"> (2011) Local adaptation, phenotypic differentiation, and hybrid fitness in diverged natural populations of </w:t>
      </w:r>
      <w:r w:rsidRPr="002A4572">
        <w:rPr>
          <w:i/>
          <w:noProof/>
        </w:rPr>
        <w:t>Arabidopsis lyrata</w:t>
      </w:r>
      <w:r w:rsidRPr="002A4572">
        <w:rPr>
          <w:noProof/>
        </w:rPr>
        <w:t xml:space="preserve">. Evolution </w:t>
      </w:r>
      <w:r w:rsidRPr="002A4572">
        <w:rPr>
          <w:b/>
          <w:bCs/>
          <w:noProof/>
        </w:rPr>
        <w:t>65</w:t>
      </w:r>
      <w:r w:rsidRPr="002A4572">
        <w:rPr>
          <w:noProof/>
        </w:rPr>
        <w:t>: 90–107</w:t>
      </w:r>
    </w:p>
    <w:p w14:paraId="43B8599D"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Lenormand T</w:t>
      </w:r>
      <w:r w:rsidRPr="002A4572">
        <w:rPr>
          <w:noProof/>
        </w:rPr>
        <w:t xml:space="preserve"> (2002) Gene flow and the limits to natural selection. Trends Ecol Evol </w:t>
      </w:r>
      <w:r w:rsidRPr="002A4572">
        <w:rPr>
          <w:b/>
          <w:bCs/>
          <w:noProof/>
        </w:rPr>
        <w:t>17</w:t>
      </w:r>
      <w:r w:rsidRPr="002A4572">
        <w:rPr>
          <w:noProof/>
        </w:rPr>
        <w:t>: 183–189</w:t>
      </w:r>
    </w:p>
    <w:p w14:paraId="1252B7FA"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Liancourt P, Tielborger K</w:t>
      </w:r>
      <w:r w:rsidRPr="002A4572">
        <w:rPr>
          <w:noProof/>
        </w:rPr>
        <w:t xml:space="preserve"> (2009) Competition and a short growing season lead to ecotypic differentiation at the two extremes of the ecological range. Funct Ecol </w:t>
      </w:r>
      <w:r w:rsidRPr="002A4572">
        <w:rPr>
          <w:b/>
          <w:bCs/>
          <w:noProof/>
        </w:rPr>
        <w:t>23</w:t>
      </w:r>
      <w:r w:rsidRPr="002A4572">
        <w:rPr>
          <w:noProof/>
        </w:rPr>
        <w:t>: 397–404</w:t>
      </w:r>
    </w:p>
    <w:p w14:paraId="0A68A06E"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Lin X, Wang Q, Yin P, Tang L, Tan Y, Li H, Yan K, Xu G</w:t>
      </w:r>
      <w:r w:rsidRPr="002A4572">
        <w:rPr>
          <w:noProof/>
        </w:rPr>
        <w:t xml:space="preserve"> (2011) A method for handling metabonomics data from liquid chromatography/mass spectrometry: combinational use of support vector machine recursive feature elimination, genetic algorithm and random forest for feature selection. Metabolomics </w:t>
      </w:r>
      <w:r w:rsidRPr="002A4572">
        <w:rPr>
          <w:b/>
          <w:bCs/>
          <w:noProof/>
        </w:rPr>
        <w:t>7</w:t>
      </w:r>
      <w:r w:rsidRPr="002A4572">
        <w:rPr>
          <w:noProof/>
        </w:rPr>
        <w:t>: 549–558</w:t>
      </w:r>
    </w:p>
    <w:p w14:paraId="6ADF4EAF"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Linhart YB, Grant MC</w:t>
      </w:r>
      <w:r w:rsidRPr="002A4572">
        <w:rPr>
          <w:noProof/>
        </w:rPr>
        <w:t xml:space="preserve"> (1996a) Evolutionary Significance of Local Genetic Differentiation in Plants. Annu Rev Ecol Syst </w:t>
      </w:r>
      <w:r w:rsidRPr="002A4572">
        <w:rPr>
          <w:b/>
          <w:bCs/>
          <w:noProof/>
        </w:rPr>
        <w:t>27</w:t>
      </w:r>
      <w:r w:rsidRPr="002A4572">
        <w:rPr>
          <w:noProof/>
        </w:rPr>
        <w:t>: 237–277</w:t>
      </w:r>
    </w:p>
    <w:p w14:paraId="13DA8EA8"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Linhart YB, Grant MC</w:t>
      </w:r>
      <w:r w:rsidRPr="002A4572">
        <w:rPr>
          <w:noProof/>
        </w:rPr>
        <w:t xml:space="preserve"> (1996b) Evolutionary Significance of Local Genetic Differentiation in Plants. Annu Rev Ecol Syst </w:t>
      </w:r>
      <w:r w:rsidRPr="002A4572">
        <w:rPr>
          <w:b/>
          <w:bCs/>
          <w:noProof/>
        </w:rPr>
        <w:t>27</w:t>
      </w:r>
      <w:r w:rsidRPr="002A4572">
        <w:rPr>
          <w:noProof/>
        </w:rPr>
        <w:t>: 237–277</w:t>
      </w:r>
    </w:p>
    <w:p w14:paraId="429F78E8"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Lortie CJ, Cushman JH</w:t>
      </w:r>
      <w:r w:rsidRPr="002A4572">
        <w:rPr>
          <w:noProof/>
        </w:rPr>
        <w:t xml:space="preserve"> (2007) Effects of a directional abiotic gradient on plant community dynamics and invasion in a coastal dune system. J Ecol </w:t>
      </w:r>
      <w:r w:rsidRPr="002A4572">
        <w:rPr>
          <w:b/>
          <w:bCs/>
          <w:noProof/>
        </w:rPr>
        <w:t>95</w:t>
      </w:r>
      <w:r w:rsidRPr="002A4572">
        <w:rPr>
          <w:noProof/>
        </w:rPr>
        <w:t>: 468–481</w:t>
      </w:r>
    </w:p>
    <w:p w14:paraId="7AEE26C2"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Ma C, Wang H, Lu X, Xu G, Liu B</w:t>
      </w:r>
      <w:r w:rsidRPr="002A4572">
        <w:rPr>
          <w:noProof/>
        </w:rPr>
        <w:t xml:space="preserve"> (2008) Metabolic fingerprinting investigation of Artemisia annua L. in different stages of development by gas chromatography and gas chromatography-mass spectrometry. J Chromatogr A </w:t>
      </w:r>
      <w:r w:rsidRPr="002A4572">
        <w:rPr>
          <w:b/>
          <w:bCs/>
          <w:noProof/>
        </w:rPr>
        <w:t>1186</w:t>
      </w:r>
      <w:r w:rsidRPr="002A4572">
        <w:rPr>
          <w:noProof/>
        </w:rPr>
        <w:t>: 412–9</w:t>
      </w:r>
    </w:p>
    <w:p w14:paraId="1D51CF73"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Mack RN, Harper JL</w:t>
      </w:r>
      <w:r w:rsidRPr="002A4572">
        <w:rPr>
          <w:noProof/>
        </w:rPr>
        <w:t xml:space="preserve"> (1977) Interference in Dune Annuals - Spatial Pattern and Neighborhood Effects. J Ecol </w:t>
      </w:r>
      <w:r w:rsidRPr="002A4572">
        <w:rPr>
          <w:b/>
          <w:bCs/>
          <w:noProof/>
        </w:rPr>
        <w:t>65</w:t>
      </w:r>
      <w:r w:rsidRPr="002A4572">
        <w:rPr>
          <w:noProof/>
        </w:rPr>
        <w:t>: 345–363</w:t>
      </w:r>
    </w:p>
    <w:p w14:paraId="669022B3"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McKay JK, Bishop JG, Lin JZ, Richards JH, Sala A, Mitchell-Olds T</w:t>
      </w:r>
      <w:r w:rsidRPr="002A4572">
        <w:rPr>
          <w:noProof/>
        </w:rPr>
        <w:t xml:space="preserve"> (2001) Local adaptation across a climatic gradient despite small effective population size in the rare sapphire rockcress. Proc R Soc B-Biological Sci </w:t>
      </w:r>
      <w:r w:rsidRPr="002A4572">
        <w:rPr>
          <w:b/>
          <w:bCs/>
          <w:noProof/>
        </w:rPr>
        <w:t>268</w:t>
      </w:r>
      <w:r w:rsidRPr="002A4572">
        <w:rPr>
          <w:noProof/>
        </w:rPr>
        <w:t>: 1715–1721</w:t>
      </w:r>
    </w:p>
    <w:p w14:paraId="42902882"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Metlen KL, Aschehoug ET, Callaway RM</w:t>
      </w:r>
      <w:r w:rsidRPr="002A4572">
        <w:rPr>
          <w:noProof/>
        </w:rPr>
        <w:t xml:space="preserve"> (2009) Plant behavioural ecology: dynamic plasticity in secondary metabolites. Plant Cell Environ </w:t>
      </w:r>
      <w:r w:rsidRPr="002A4572">
        <w:rPr>
          <w:b/>
          <w:bCs/>
          <w:noProof/>
        </w:rPr>
        <w:t>32</w:t>
      </w:r>
      <w:r w:rsidRPr="002A4572">
        <w:rPr>
          <w:noProof/>
        </w:rPr>
        <w:t>: 641–53</w:t>
      </w:r>
    </w:p>
    <w:p w14:paraId="2F6EEA41"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Meyer RC, Steinfath M, Lisec J, Becher M, Witucka-Wall H, Törjék O, Fiehn O, Eckardt A, Willmitzer L, Selbig J, et al</w:t>
      </w:r>
      <w:r w:rsidRPr="002A4572">
        <w:rPr>
          <w:noProof/>
        </w:rPr>
        <w:t xml:space="preserve"> (2007) The metabolic signature related to high plant growth rate in Arabidopsis thaliana. Proc Natl Acad Sci U S A </w:t>
      </w:r>
      <w:r w:rsidRPr="002A4572">
        <w:rPr>
          <w:b/>
          <w:bCs/>
          <w:noProof/>
        </w:rPr>
        <w:t>104</w:t>
      </w:r>
      <w:r w:rsidRPr="002A4572">
        <w:rPr>
          <w:noProof/>
        </w:rPr>
        <w:t>: 4759–64</w:t>
      </w:r>
    </w:p>
    <w:p w14:paraId="4D1D9016"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Millien V, Kathleen Lyons S, Olson L, Smith F a, Wilson AB, Yom-Tov Y</w:t>
      </w:r>
      <w:r w:rsidRPr="002A4572">
        <w:rPr>
          <w:noProof/>
        </w:rPr>
        <w:t xml:space="preserve"> (2006) Ecotypic variation in the context of global climate change: revisiting the rules. Ecol Lett </w:t>
      </w:r>
      <w:r w:rsidRPr="002A4572">
        <w:rPr>
          <w:b/>
          <w:bCs/>
          <w:noProof/>
        </w:rPr>
        <w:t>9</w:t>
      </w:r>
      <w:r w:rsidRPr="002A4572">
        <w:rPr>
          <w:noProof/>
        </w:rPr>
        <w:t>: 853–69</w:t>
      </w:r>
    </w:p>
    <w:p w14:paraId="022D78FB"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Moles AT, Bonser SP, Poore AGB, Wallis IR, Foley WJ</w:t>
      </w:r>
      <w:r w:rsidRPr="002A4572">
        <w:rPr>
          <w:noProof/>
        </w:rPr>
        <w:t xml:space="preserve"> (2011) Assessing the evidence for latitudinal gradients in plant defence and herbivory. Funct Ecol </w:t>
      </w:r>
      <w:r w:rsidRPr="002A4572">
        <w:rPr>
          <w:b/>
          <w:bCs/>
          <w:noProof/>
        </w:rPr>
        <w:t>25</w:t>
      </w:r>
      <w:r w:rsidRPr="002A4572">
        <w:rPr>
          <w:noProof/>
        </w:rPr>
        <w:t>: 380–388</w:t>
      </w:r>
    </w:p>
    <w:p w14:paraId="2586F89F"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Moles AT, Warton DI, Warman L, Swenson NG, Laffan SW, Zanne AE, Pitman A, Hemmings F a., Leishman MR</w:t>
      </w:r>
      <w:r w:rsidRPr="002A4572">
        <w:rPr>
          <w:noProof/>
        </w:rPr>
        <w:t xml:space="preserve"> (2009) Global patterns in plant height. J Ecol </w:t>
      </w:r>
      <w:r w:rsidRPr="002A4572">
        <w:rPr>
          <w:b/>
          <w:bCs/>
          <w:noProof/>
        </w:rPr>
        <w:t>97</w:t>
      </w:r>
      <w:r w:rsidRPr="002A4572">
        <w:rPr>
          <w:noProof/>
        </w:rPr>
        <w:t>: 923–932</w:t>
      </w:r>
    </w:p>
    <w:p w14:paraId="45FCB186"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Montague JL, Barrett SCH, Eckert CG</w:t>
      </w:r>
      <w:r w:rsidRPr="002A4572">
        <w:rPr>
          <w:noProof/>
        </w:rPr>
        <w:t xml:space="preserve"> (2008) Re-establishment of clinal variation in flowering time among introduced populations of purple loosestrife (Lythrum salicaria, Lythraceae). J Evol Biol </w:t>
      </w:r>
      <w:r w:rsidRPr="002A4572">
        <w:rPr>
          <w:b/>
          <w:bCs/>
          <w:noProof/>
        </w:rPr>
        <w:t>21</w:t>
      </w:r>
      <w:r w:rsidRPr="002A4572">
        <w:rPr>
          <w:noProof/>
        </w:rPr>
        <w:t>: 234–45</w:t>
      </w:r>
    </w:p>
    <w:p w14:paraId="0A333048"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Murray BR, Brown a. HD, Dickman CR, Crowther MS</w:t>
      </w:r>
      <w:r w:rsidRPr="002A4572">
        <w:rPr>
          <w:noProof/>
        </w:rPr>
        <w:t xml:space="preserve"> (2004) Geographical gradients in seed mass in relation to climate. J Biogeogr </w:t>
      </w:r>
      <w:r w:rsidRPr="002A4572">
        <w:rPr>
          <w:b/>
          <w:bCs/>
          <w:noProof/>
        </w:rPr>
        <w:t>31</w:t>
      </w:r>
      <w:r w:rsidRPr="002A4572">
        <w:rPr>
          <w:noProof/>
        </w:rPr>
        <w:t>: 379–388</w:t>
      </w:r>
    </w:p>
    <w:p w14:paraId="68D00263"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Nagy ES, Rice KJ</w:t>
      </w:r>
      <w:r w:rsidRPr="002A4572">
        <w:rPr>
          <w:noProof/>
        </w:rPr>
        <w:t xml:space="preserve"> (1997) Local Adaptation in Two Subspecies of an Annual Plant:Implications for Migration and Gene Flow. Evolution (N Y) </w:t>
      </w:r>
      <w:r w:rsidRPr="002A4572">
        <w:rPr>
          <w:b/>
          <w:bCs/>
          <w:noProof/>
        </w:rPr>
        <w:t>51</w:t>
      </w:r>
      <w:r w:rsidRPr="002A4572">
        <w:rPr>
          <w:noProof/>
        </w:rPr>
        <w:t>: 1079–1089</w:t>
      </w:r>
    </w:p>
    <w:p w14:paraId="0EF86DB4"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Nicotra a B, Atkin OK, Bonser SP, Davidson a M, Finnegan EJ, Mathesius U, Poot P, Purugganan MD, Richards CL, Valladares F, et al</w:t>
      </w:r>
      <w:r w:rsidRPr="002A4572">
        <w:rPr>
          <w:noProof/>
        </w:rPr>
        <w:t xml:space="preserve"> (2010) Plant phenotypic plasticity in a changing climate. Trends Plant Sci </w:t>
      </w:r>
      <w:r w:rsidRPr="002A4572">
        <w:rPr>
          <w:b/>
          <w:bCs/>
          <w:noProof/>
        </w:rPr>
        <w:t>15</w:t>
      </w:r>
      <w:r w:rsidRPr="002A4572">
        <w:rPr>
          <w:noProof/>
        </w:rPr>
        <w:t>: 684–92</w:t>
      </w:r>
    </w:p>
    <w:p w14:paraId="6B954EC8"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Nicotra AB, Hermes JP, Jones CS, Schlichting CD</w:t>
      </w:r>
      <w:r w:rsidRPr="002A4572">
        <w:rPr>
          <w:noProof/>
        </w:rPr>
        <w:t xml:space="preserve"> (2007) Geographic variation and plasticity to water and nutrients in Pelargonium australe. New Phytol </w:t>
      </w:r>
      <w:r w:rsidRPr="002A4572">
        <w:rPr>
          <w:b/>
          <w:bCs/>
          <w:noProof/>
        </w:rPr>
        <w:t>176</w:t>
      </w:r>
      <w:r w:rsidRPr="002A4572">
        <w:rPr>
          <w:noProof/>
        </w:rPr>
        <w:t>: 136–49</w:t>
      </w:r>
    </w:p>
    <w:p w14:paraId="59FC37EE"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Nilson SE, Assmann SM</w:t>
      </w:r>
      <w:r w:rsidRPr="002A4572">
        <w:rPr>
          <w:noProof/>
        </w:rPr>
        <w:t xml:space="preserve"> (2010) Heterotrimeric G proteins regulate reproductive trait plasticity in response to water availability. New Phytol </w:t>
      </w:r>
      <w:r w:rsidRPr="002A4572">
        <w:rPr>
          <w:b/>
          <w:bCs/>
          <w:noProof/>
        </w:rPr>
        <w:t>185</w:t>
      </w:r>
      <w:r w:rsidRPr="002A4572">
        <w:rPr>
          <w:noProof/>
        </w:rPr>
        <w:t>: 734–46</w:t>
      </w:r>
    </w:p>
    <w:p w14:paraId="3BFA873E"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Novy a, Flory SL, Hartman JM</w:t>
      </w:r>
      <w:r w:rsidRPr="002A4572">
        <w:rPr>
          <w:noProof/>
        </w:rPr>
        <w:t xml:space="preserve"> (2013) Evidence for rapid evolution of phenology in an invasive grass. J Evol Biol </w:t>
      </w:r>
      <w:r w:rsidRPr="002A4572">
        <w:rPr>
          <w:b/>
          <w:bCs/>
          <w:noProof/>
        </w:rPr>
        <w:t>26</w:t>
      </w:r>
      <w:r w:rsidRPr="002A4572">
        <w:rPr>
          <w:noProof/>
        </w:rPr>
        <w:t>: 443–50</w:t>
      </w:r>
    </w:p>
    <w:p w14:paraId="152330F0"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Olsson K, Agren J</w:t>
      </w:r>
      <w:r w:rsidRPr="002A4572">
        <w:rPr>
          <w:noProof/>
        </w:rPr>
        <w:t xml:space="preserve"> (2002) Latitudinal population differentiation in phenology, life history and flower morphology in the perennial herb Lythrum salicaria. J Evol Biol </w:t>
      </w:r>
      <w:r w:rsidRPr="002A4572">
        <w:rPr>
          <w:b/>
          <w:bCs/>
          <w:noProof/>
        </w:rPr>
        <w:t>15</w:t>
      </w:r>
      <w:r w:rsidRPr="002A4572">
        <w:rPr>
          <w:noProof/>
        </w:rPr>
        <w:t>: 983–996</w:t>
      </w:r>
    </w:p>
    <w:p w14:paraId="021931BF"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Orians C</w:t>
      </w:r>
      <w:r w:rsidRPr="002A4572">
        <w:rPr>
          <w:noProof/>
        </w:rPr>
        <w:t xml:space="preserve"> (2000) The Effects of Hybridization in Plants on Secondary Chemistry</w:t>
      </w:r>
      <w:r w:rsidRPr="002A4572">
        <w:rPr>
          <w:rFonts w:ascii="Times New Roman" w:hAnsi="Times New Roman"/>
          <w:noProof/>
        </w:rPr>
        <w:t> </w:t>
      </w:r>
      <w:r w:rsidRPr="002A4572">
        <w:rPr>
          <w:noProof/>
        </w:rPr>
        <w:t xml:space="preserve">: Implications for the Ecology and Evolution of Plant-Herbivore Interactions. Am J Bot </w:t>
      </w:r>
      <w:r w:rsidRPr="002A4572">
        <w:rPr>
          <w:b/>
          <w:bCs/>
          <w:noProof/>
        </w:rPr>
        <w:t>87</w:t>
      </w:r>
      <w:r w:rsidRPr="002A4572">
        <w:rPr>
          <w:noProof/>
        </w:rPr>
        <w:t>: 1749–1756</w:t>
      </w:r>
    </w:p>
    <w:p w14:paraId="1B96159A"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Ormeño E, Fernandez C, Mévy J-P</w:t>
      </w:r>
      <w:r w:rsidRPr="002A4572">
        <w:rPr>
          <w:noProof/>
        </w:rPr>
        <w:t xml:space="preserve"> (2007) Plant coexistence alters terpene emission and content of Mediterranean species. Phytochemistry </w:t>
      </w:r>
      <w:r w:rsidRPr="002A4572">
        <w:rPr>
          <w:b/>
          <w:bCs/>
          <w:noProof/>
        </w:rPr>
        <w:t>68</w:t>
      </w:r>
      <w:r w:rsidRPr="002A4572">
        <w:rPr>
          <w:noProof/>
        </w:rPr>
        <w:t>: 840–52</w:t>
      </w:r>
    </w:p>
    <w:p w14:paraId="67C764AD"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Osier TL, Lindroth RL</w:t>
      </w:r>
      <w:r w:rsidRPr="002A4572">
        <w:rPr>
          <w:noProof/>
        </w:rPr>
        <w:t xml:space="preserve"> (2006) Genotype and environment determine allocation to and costs of resistance in quaking aspen. Oecologia </w:t>
      </w:r>
      <w:r w:rsidRPr="002A4572">
        <w:rPr>
          <w:b/>
          <w:bCs/>
          <w:noProof/>
        </w:rPr>
        <w:t>148</w:t>
      </w:r>
      <w:r w:rsidRPr="002A4572">
        <w:rPr>
          <w:noProof/>
        </w:rPr>
        <w:t>: 293–303</w:t>
      </w:r>
    </w:p>
    <w:p w14:paraId="676E2660"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Overy S a, Walker HJ, Malone S, Howard TP, Baxter CJ, Sweetlove LJ, Hill S a, Quick WP</w:t>
      </w:r>
      <w:r w:rsidRPr="002A4572">
        <w:rPr>
          <w:noProof/>
        </w:rPr>
        <w:t xml:space="preserve"> (2005) Application of metabolite profiling to the identification of traits in a population of tomato introgression lines. J Exp Bot </w:t>
      </w:r>
      <w:r w:rsidRPr="002A4572">
        <w:rPr>
          <w:b/>
          <w:bCs/>
          <w:noProof/>
        </w:rPr>
        <w:t>56</w:t>
      </w:r>
      <w:r w:rsidRPr="002A4572">
        <w:rPr>
          <w:noProof/>
        </w:rPr>
        <w:t>: 287–96</w:t>
      </w:r>
    </w:p>
    <w:p w14:paraId="07C30F70"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Parmesan C</w:t>
      </w:r>
      <w:r w:rsidRPr="002A4572">
        <w:rPr>
          <w:noProof/>
        </w:rPr>
        <w:t xml:space="preserve"> (2006) Ecological and Evolutionary Responses to Recent Climate Change. Annu Rev Ecol Evol Syst </w:t>
      </w:r>
      <w:r w:rsidRPr="002A4572">
        <w:rPr>
          <w:b/>
          <w:bCs/>
          <w:noProof/>
        </w:rPr>
        <w:t>37</w:t>
      </w:r>
      <w:r w:rsidRPr="002A4572">
        <w:rPr>
          <w:noProof/>
        </w:rPr>
        <w:t>: 637–669</w:t>
      </w:r>
    </w:p>
    <w:p w14:paraId="6133F801"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Parmesan C, Yohe G</w:t>
      </w:r>
      <w:r w:rsidRPr="002A4572">
        <w:rPr>
          <w:noProof/>
        </w:rPr>
        <w:t xml:space="preserve"> (2003) A globally coherent fingerprint of climate change impacts across natural systems. Nature </w:t>
      </w:r>
      <w:r w:rsidRPr="002A4572">
        <w:rPr>
          <w:b/>
          <w:bCs/>
          <w:noProof/>
        </w:rPr>
        <w:t>421</w:t>
      </w:r>
      <w:r w:rsidRPr="002A4572">
        <w:rPr>
          <w:noProof/>
        </w:rPr>
        <w:t>: 37–42</w:t>
      </w:r>
    </w:p>
    <w:p w14:paraId="21BE20AC"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Parsons a. J, Rasmussen S, Liu Q, Xue H, Ball C, Shaw C</w:t>
      </w:r>
      <w:r w:rsidRPr="002A4572">
        <w:rPr>
          <w:noProof/>
        </w:rPr>
        <w:t xml:space="preserve"> (2013) Plant growth - resource or strategy limited: insights from responses to gibberellin. Grass Forage Sci </w:t>
      </w:r>
      <w:r w:rsidRPr="002A4572">
        <w:rPr>
          <w:b/>
          <w:bCs/>
          <w:noProof/>
        </w:rPr>
        <w:t>68</w:t>
      </w:r>
      <w:r w:rsidRPr="002A4572">
        <w:rPr>
          <w:noProof/>
        </w:rPr>
        <w:t>: 577–588</w:t>
      </w:r>
    </w:p>
    <w:p w14:paraId="15F825F4"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Pärtel M</w:t>
      </w:r>
      <w:r w:rsidRPr="002A4572">
        <w:rPr>
          <w:noProof/>
        </w:rPr>
        <w:t xml:space="preserve"> (2002) Local plant diversity patterns and evolutionary history at the regional scale. Ecology </w:t>
      </w:r>
      <w:r w:rsidRPr="002A4572">
        <w:rPr>
          <w:b/>
          <w:bCs/>
          <w:noProof/>
        </w:rPr>
        <w:t>83</w:t>
      </w:r>
      <w:r w:rsidRPr="002A4572">
        <w:rPr>
          <w:noProof/>
        </w:rPr>
        <w:t>: 2361–2366</w:t>
      </w:r>
    </w:p>
    <w:p w14:paraId="6BD4AF58"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Pau S, Wolkovich EM, Cook BI, Davies TJ, Kraft NJB, Bolmgren K, Betancourt JL, Cleland EE</w:t>
      </w:r>
      <w:r w:rsidRPr="002A4572">
        <w:rPr>
          <w:noProof/>
        </w:rPr>
        <w:t xml:space="preserve"> (2011) Predicting phenology by integrating ecology, evolution and climate science. Glob Chang Biol </w:t>
      </w:r>
      <w:r w:rsidRPr="002A4572">
        <w:rPr>
          <w:b/>
          <w:bCs/>
          <w:noProof/>
        </w:rPr>
        <w:t>17</w:t>
      </w:r>
      <w:r w:rsidRPr="002A4572">
        <w:rPr>
          <w:noProof/>
        </w:rPr>
        <w:t>: 3633–3643</w:t>
      </w:r>
    </w:p>
    <w:p w14:paraId="5957BB87"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Pemadasa M, Lovell P</w:t>
      </w:r>
      <w:r w:rsidRPr="002A4572">
        <w:rPr>
          <w:noProof/>
        </w:rPr>
        <w:t xml:space="preserve"> (1974a) Factors Controlling the Flowering Time of Some Dune Annuals. J Ecol </w:t>
      </w:r>
      <w:r w:rsidRPr="002A4572">
        <w:rPr>
          <w:b/>
          <w:bCs/>
          <w:noProof/>
        </w:rPr>
        <w:t>62</w:t>
      </w:r>
      <w:r w:rsidRPr="002A4572">
        <w:rPr>
          <w:noProof/>
        </w:rPr>
        <w:t>: 869–880</w:t>
      </w:r>
    </w:p>
    <w:p w14:paraId="15C20DED"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Pemadasa M, Lovell P</w:t>
      </w:r>
      <w:r w:rsidRPr="002A4572">
        <w:rPr>
          <w:noProof/>
        </w:rPr>
        <w:t xml:space="preserve"> (1974b) Factors Affecting the Distribution of Some Annuals in the Dune System At Aberffraw, Anglesey. J Ecol </w:t>
      </w:r>
      <w:r w:rsidRPr="002A4572">
        <w:rPr>
          <w:b/>
          <w:bCs/>
          <w:noProof/>
        </w:rPr>
        <w:t>62</w:t>
      </w:r>
      <w:r w:rsidRPr="002A4572">
        <w:rPr>
          <w:noProof/>
        </w:rPr>
        <w:t>: 403–416</w:t>
      </w:r>
    </w:p>
    <w:p w14:paraId="509CF571"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Pemadasa MA, Greigsmi.P, Lovell PH</w:t>
      </w:r>
      <w:r w:rsidRPr="002A4572">
        <w:rPr>
          <w:noProof/>
        </w:rPr>
        <w:t xml:space="preserve"> (1974) Quantitative Description of Distribution of Annuals in Dune System at Aberffraw, Anglesey. J Ecol </w:t>
      </w:r>
      <w:r w:rsidRPr="002A4572">
        <w:rPr>
          <w:b/>
          <w:bCs/>
          <w:noProof/>
        </w:rPr>
        <w:t>62</w:t>
      </w:r>
      <w:r w:rsidRPr="002A4572">
        <w:rPr>
          <w:noProof/>
        </w:rPr>
        <w:t>: 379–402</w:t>
      </w:r>
    </w:p>
    <w:p w14:paraId="3080E0AB"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Pemadasa MA, Lovell PH</w:t>
      </w:r>
      <w:r w:rsidRPr="002A4572">
        <w:rPr>
          <w:noProof/>
        </w:rPr>
        <w:t xml:space="preserve"> (1974c) Mineral Nutrition of Some Dune Annuals. J Ecol </w:t>
      </w:r>
      <w:r w:rsidRPr="002A4572">
        <w:rPr>
          <w:b/>
          <w:bCs/>
          <w:noProof/>
        </w:rPr>
        <w:t>62</w:t>
      </w:r>
      <w:r w:rsidRPr="002A4572">
        <w:rPr>
          <w:noProof/>
        </w:rPr>
        <w:t>: 647–657</w:t>
      </w:r>
    </w:p>
    <w:p w14:paraId="5B37DA2F"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Pichersky E, Gershenzon J</w:t>
      </w:r>
      <w:r w:rsidRPr="002A4572">
        <w:rPr>
          <w:noProof/>
        </w:rPr>
        <w:t xml:space="preserve"> (2002) The formation and function of plant volatiles: perfumes for pollinator attraction and defense. Curr Opin Plant Biol </w:t>
      </w:r>
      <w:r w:rsidRPr="002A4572">
        <w:rPr>
          <w:b/>
          <w:bCs/>
          <w:noProof/>
        </w:rPr>
        <w:t>5</w:t>
      </w:r>
      <w:r w:rsidRPr="002A4572">
        <w:rPr>
          <w:noProof/>
        </w:rPr>
        <w:t>: 237–43</w:t>
      </w:r>
    </w:p>
    <w:p w14:paraId="08BA23A8"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Production B, Patterns R, Pozo a Del, Ovalle C, Aronson J, Avendaño J, Ecology SP, Apr N</w:t>
      </w:r>
      <w:r w:rsidRPr="002A4572">
        <w:rPr>
          <w:noProof/>
        </w:rPr>
        <w:t xml:space="preserve"> (2010) Ecotypic Differentiation in Medicago polymorpha L . along an Environmental Gradient in Stable URL</w:t>
      </w:r>
      <w:r w:rsidRPr="002A4572">
        <w:rPr>
          <w:rFonts w:ascii="Times New Roman" w:hAnsi="Times New Roman"/>
          <w:noProof/>
        </w:rPr>
        <w:t> </w:t>
      </w:r>
      <w:r w:rsidRPr="002A4572">
        <w:rPr>
          <w:noProof/>
        </w:rPr>
        <w:t xml:space="preserve">: http://www.jstor.org/stable/20051217 Ecotypic in Medicago in central biomass reproductive. Production </w:t>
      </w:r>
      <w:r w:rsidRPr="002A4572">
        <w:rPr>
          <w:b/>
          <w:bCs/>
          <w:noProof/>
        </w:rPr>
        <w:t>159</w:t>
      </w:r>
      <w:r w:rsidRPr="002A4572">
        <w:rPr>
          <w:noProof/>
        </w:rPr>
        <w:t>: 119–130</w:t>
      </w:r>
    </w:p>
    <w:p w14:paraId="67F68AB1"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Provoost S, Ampe C, Bonte D, Cosyns E, Hoffmann M</w:t>
      </w:r>
      <w:r w:rsidRPr="002A4572">
        <w:rPr>
          <w:noProof/>
        </w:rPr>
        <w:t xml:space="preserve"> (2004a) Ecology, management and monitoring of grey dunes in Flanders. J Coast Conserv </w:t>
      </w:r>
      <w:r w:rsidRPr="002A4572">
        <w:rPr>
          <w:b/>
          <w:bCs/>
          <w:noProof/>
        </w:rPr>
        <w:t>10</w:t>
      </w:r>
      <w:r w:rsidRPr="002A4572">
        <w:rPr>
          <w:noProof/>
        </w:rPr>
        <w:t>: 33</w:t>
      </w:r>
    </w:p>
    <w:p w14:paraId="78339E03"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Provoost S, Ample C, Bone D, Cosyns E, Hoffmann M</w:t>
      </w:r>
      <w:r w:rsidRPr="002A4572">
        <w:rPr>
          <w:noProof/>
        </w:rPr>
        <w:t xml:space="preserve"> (2004b) Ecology, management and monotoring of grey dunes in Flanders. J Coast Conserv </w:t>
      </w:r>
      <w:r w:rsidRPr="002A4572">
        <w:rPr>
          <w:b/>
          <w:bCs/>
          <w:noProof/>
        </w:rPr>
        <w:t>10</w:t>
      </w:r>
      <w:r w:rsidRPr="002A4572">
        <w:rPr>
          <w:noProof/>
        </w:rPr>
        <w:t>: 34–42</w:t>
      </w:r>
    </w:p>
    <w:p w14:paraId="6F41C0A3"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Rai V</w:t>
      </w:r>
      <w:r w:rsidRPr="002A4572">
        <w:rPr>
          <w:noProof/>
        </w:rPr>
        <w:t xml:space="preserve"> (2002) Role of amino acids in plant responses to stresses. Biol Plant </w:t>
      </w:r>
      <w:r w:rsidRPr="002A4572">
        <w:rPr>
          <w:b/>
          <w:bCs/>
          <w:noProof/>
        </w:rPr>
        <w:t>45</w:t>
      </w:r>
      <w:r w:rsidRPr="002A4572">
        <w:rPr>
          <w:noProof/>
        </w:rPr>
        <w:t>: 481–487</w:t>
      </w:r>
    </w:p>
    <w:p w14:paraId="48882E9E"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Reed TE, Schindler DE, Waples RS</w:t>
      </w:r>
      <w:r w:rsidRPr="002A4572">
        <w:rPr>
          <w:noProof/>
        </w:rPr>
        <w:t xml:space="preserve"> (2011) Interacting effects of phenotypic plasticity and evolution on population persistence in a changing climate. Conserv Biol </w:t>
      </w:r>
      <w:r w:rsidRPr="002A4572">
        <w:rPr>
          <w:b/>
          <w:bCs/>
          <w:noProof/>
        </w:rPr>
        <w:t>25</w:t>
      </w:r>
      <w:r w:rsidRPr="002A4572">
        <w:rPr>
          <w:noProof/>
        </w:rPr>
        <w:t>: 56–63</w:t>
      </w:r>
    </w:p>
    <w:p w14:paraId="2B71318D"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Rees M</w:t>
      </w:r>
      <w:r w:rsidRPr="002A4572">
        <w:rPr>
          <w:noProof/>
        </w:rPr>
        <w:t xml:space="preserve"> (1995) Community Structure in Sand Dune Annuals</w:t>
      </w:r>
      <w:r w:rsidRPr="002A4572">
        <w:rPr>
          <w:rFonts w:ascii="Times New Roman" w:hAnsi="Times New Roman"/>
          <w:noProof/>
        </w:rPr>
        <w:t> </w:t>
      </w:r>
      <w:r w:rsidRPr="002A4572">
        <w:rPr>
          <w:noProof/>
        </w:rPr>
        <w:t>: Is Seed Weight a Key Quantity</w:t>
      </w:r>
      <w:r w:rsidRPr="002A4572">
        <w:rPr>
          <w:rFonts w:ascii="Times New Roman" w:hAnsi="Times New Roman"/>
          <w:noProof/>
        </w:rPr>
        <w:t> </w:t>
      </w:r>
      <w:r w:rsidRPr="002A4572">
        <w:rPr>
          <w:noProof/>
        </w:rPr>
        <w:t xml:space="preserve">? J Ecol </w:t>
      </w:r>
      <w:r w:rsidRPr="002A4572">
        <w:rPr>
          <w:b/>
          <w:bCs/>
          <w:noProof/>
        </w:rPr>
        <w:t>83</w:t>
      </w:r>
      <w:r w:rsidRPr="002A4572">
        <w:rPr>
          <w:noProof/>
        </w:rPr>
        <w:t>: 857–863</w:t>
      </w:r>
    </w:p>
    <w:p w14:paraId="3086B302"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Relyea R a</w:t>
      </w:r>
      <w:r w:rsidRPr="002A4572">
        <w:rPr>
          <w:noProof/>
        </w:rPr>
        <w:t xml:space="preserve"> (2002) Costs of phenotypic plasticity. Am Nat </w:t>
      </w:r>
      <w:r w:rsidRPr="002A4572">
        <w:rPr>
          <w:b/>
          <w:bCs/>
          <w:noProof/>
        </w:rPr>
        <w:t>159</w:t>
      </w:r>
      <w:r w:rsidRPr="002A4572">
        <w:rPr>
          <w:noProof/>
        </w:rPr>
        <w:t>: 272–82</w:t>
      </w:r>
    </w:p>
    <w:p w14:paraId="3A8E23D3"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Rhind P, Stevens D, Sanderson R</w:t>
      </w:r>
      <w:r w:rsidRPr="002A4572">
        <w:rPr>
          <w:noProof/>
        </w:rPr>
        <w:t xml:space="preserve"> (2006) A review and floristic analysis of lichen-rich grey dune vegetation in Britain. Biol Environ </w:t>
      </w:r>
      <w:r w:rsidRPr="002A4572">
        <w:rPr>
          <w:b/>
          <w:bCs/>
          <w:noProof/>
        </w:rPr>
        <w:t>106</w:t>
      </w:r>
      <w:r w:rsidRPr="002A4572">
        <w:rPr>
          <w:noProof/>
        </w:rPr>
        <w:t>: 301–310</w:t>
      </w:r>
    </w:p>
    <w:p w14:paraId="7A013628"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Riihimäki M, Podolsky R, Kuittinen H, Koelewijn H, Savolainen O</w:t>
      </w:r>
      <w:r w:rsidRPr="002A4572">
        <w:rPr>
          <w:noProof/>
        </w:rPr>
        <w:t xml:space="preserve"> (2005) Studying genetics of adaptive variation in model organisms: flowering time variation in Arabidopsis lyrata. Genetica </w:t>
      </w:r>
      <w:r w:rsidRPr="002A4572">
        <w:rPr>
          <w:b/>
          <w:bCs/>
          <w:noProof/>
        </w:rPr>
        <w:t>123</w:t>
      </w:r>
      <w:r w:rsidRPr="002A4572">
        <w:rPr>
          <w:noProof/>
        </w:rPr>
        <w:t>: 63–74</w:t>
      </w:r>
    </w:p>
    <w:p w14:paraId="1B879AF0"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Riihimäki M, Savolainen O</w:t>
      </w:r>
      <w:r w:rsidRPr="002A4572">
        <w:rPr>
          <w:noProof/>
        </w:rPr>
        <w:t xml:space="preserve"> (2004) Environmental and genetic effects on flowering difference between northern and southern populations of Arabidopsis lyrata (Brassicaceae). Am J Bot </w:t>
      </w:r>
      <w:r w:rsidRPr="002A4572">
        <w:rPr>
          <w:b/>
          <w:bCs/>
          <w:noProof/>
        </w:rPr>
        <w:t>91</w:t>
      </w:r>
      <w:r w:rsidRPr="002A4572">
        <w:rPr>
          <w:noProof/>
        </w:rPr>
        <w:t>: 1036–1045</w:t>
      </w:r>
    </w:p>
    <w:p w14:paraId="3C4FAD26"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Robinson AR, Ukrainetz NK, Kang K-Y, Mansfield SD</w:t>
      </w:r>
      <w:r w:rsidRPr="002A4572">
        <w:rPr>
          <w:noProof/>
        </w:rPr>
        <w:t xml:space="preserve"> (2007a) Metabolite profiling of Douglas-fir (Pseudotsuga menziesii) field trials reveals strong environmental and weak genetic variation. New Phytol </w:t>
      </w:r>
      <w:r w:rsidRPr="002A4572">
        <w:rPr>
          <w:b/>
          <w:bCs/>
          <w:noProof/>
        </w:rPr>
        <w:t>174</w:t>
      </w:r>
      <w:r w:rsidRPr="002A4572">
        <w:rPr>
          <w:noProof/>
        </w:rPr>
        <w:t>: 762–73</w:t>
      </w:r>
    </w:p>
    <w:p w14:paraId="57B25AFA"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Robinson AR, Ukrainetz NK, Kang KY, Mansfield SD</w:t>
      </w:r>
      <w:r w:rsidRPr="002A4572">
        <w:rPr>
          <w:noProof/>
        </w:rPr>
        <w:t xml:space="preserve"> (2007b) Metabolite profiling of Douglas-fir (Pseudotsuga menziesii) field trials reveals strong environmental and weak genetic variation. New Phytol </w:t>
      </w:r>
      <w:r w:rsidRPr="002A4572">
        <w:rPr>
          <w:b/>
          <w:bCs/>
          <w:noProof/>
        </w:rPr>
        <w:t>174</w:t>
      </w:r>
      <w:r w:rsidRPr="002A4572">
        <w:rPr>
          <w:noProof/>
        </w:rPr>
        <w:t>: 762–773</w:t>
      </w:r>
    </w:p>
    <w:p w14:paraId="7059104B"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Root T, Price J, Hall K, Schneider S</w:t>
      </w:r>
      <w:r w:rsidRPr="002A4572">
        <w:rPr>
          <w:noProof/>
        </w:rPr>
        <w:t xml:space="preserve"> (2003) Fingerprints of global warming on wild animals and plants. Nature </w:t>
      </w:r>
      <w:r w:rsidRPr="002A4572">
        <w:rPr>
          <w:b/>
          <w:bCs/>
          <w:noProof/>
        </w:rPr>
        <w:t>421</w:t>
      </w:r>
      <w:r w:rsidRPr="002A4572">
        <w:rPr>
          <w:noProof/>
        </w:rPr>
        <w:t>: 57–60</w:t>
      </w:r>
    </w:p>
    <w:p w14:paraId="23D30788"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Salisbury E</w:t>
      </w:r>
      <w:r w:rsidRPr="002A4572">
        <w:rPr>
          <w:noProof/>
        </w:rPr>
        <w:t xml:space="preserve"> (1952) The root systems of dune plants. Downs Dunes Their plant life its Environ. pp 196–205</w:t>
      </w:r>
    </w:p>
    <w:p w14:paraId="71D4B0AA"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Samis KE, Heath KD, Stinchcombe JR</w:t>
      </w:r>
      <w:r w:rsidRPr="002A4572">
        <w:rPr>
          <w:noProof/>
        </w:rPr>
        <w:t xml:space="preserve"> (2008) Discordant longitudinal clines in flowering time and phytochrome C in Arabidopsis thaliana. Evolution </w:t>
      </w:r>
      <w:r w:rsidRPr="002A4572">
        <w:rPr>
          <w:b/>
          <w:bCs/>
          <w:noProof/>
        </w:rPr>
        <w:t>62</w:t>
      </w:r>
      <w:r w:rsidRPr="002A4572">
        <w:rPr>
          <w:noProof/>
        </w:rPr>
        <w:t>: 2971–83</w:t>
      </w:r>
    </w:p>
    <w:p w14:paraId="078A55CF"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Sampedro L, Moreira X, Zas R</w:t>
      </w:r>
      <w:r w:rsidRPr="002A4572">
        <w:rPr>
          <w:noProof/>
        </w:rPr>
        <w:t xml:space="preserve"> (2011) Costs of constitutive and herbivore-induced chemical defences in pine trees emerge only under low nutrient availability. J Ecol </w:t>
      </w:r>
      <w:r w:rsidRPr="002A4572">
        <w:rPr>
          <w:b/>
          <w:bCs/>
          <w:noProof/>
        </w:rPr>
        <w:t>99</w:t>
      </w:r>
      <w:r w:rsidRPr="002A4572">
        <w:rPr>
          <w:noProof/>
        </w:rPr>
        <w:t>: 818–827</w:t>
      </w:r>
    </w:p>
    <w:p w14:paraId="610A96FA"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Sanchez DH, Schwabe F, Erban A, Udvardi MK, Kopka J</w:t>
      </w:r>
      <w:r w:rsidRPr="002A4572">
        <w:rPr>
          <w:noProof/>
        </w:rPr>
        <w:t xml:space="preserve"> (2012) Comparative metabolomics of drought acclimation in model and forage legumes. Plant Cell Environ </w:t>
      </w:r>
      <w:r w:rsidRPr="002A4572">
        <w:rPr>
          <w:b/>
          <w:bCs/>
          <w:noProof/>
        </w:rPr>
        <w:t>35</w:t>
      </w:r>
      <w:r w:rsidRPr="002A4572">
        <w:rPr>
          <w:noProof/>
        </w:rPr>
        <w:t>: 136–49</w:t>
      </w:r>
    </w:p>
    <w:p w14:paraId="6E4ED82C"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Sanchez G, Puigdefabregas J</w:t>
      </w:r>
      <w:r w:rsidRPr="002A4572">
        <w:rPr>
          <w:noProof/>
        </w:rPr>
        <w:t xml:space="preserve"> (1994) Interactions of plant growth and sediment movement on slopes in a semi-arid environment. Geomorphology </w:t>
      </w:r>
      <w:r w:rsidRPr="002A4572">
        <w:rPr>
          <w:b/>
          <w:bCs/>
          <w:noProof/>
        </w:rPr>
        <w:t>9</w:t>
      </w:r>
      <w:r w:rsidRPr="002A4572">
        <w:rPr>
          <w:noProof/>
        </w:rPr>
        <w:t>: 243–260</w:t>
      </w:r>
    </w:p>
    <w:p w14:paraId="61C80AA4"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Sardans J, Peñuelas J, Rivas-Ubach A</w:t>
      </w:r>
      <w:r w:rsidRPr="002A4572">
        <w:rPr>
          <w:noProof/>
        </w:rPr>
        <w:t xml:space="preserve"> (2011) Ecological metabolomics: overview of current developments and future challenges. Chemoecology </w:t>
      </w:r>
      <w:r w:rsidRPr="002A4572">
        <w:rPr>
          <w:b/>
          <w:bCs/>
          <w:noProof/>
        </w:rPr>
        <w:t>21</w:t>
      </w:r>
      <w:r w:rsidRPr="002A4572">
        <w:rPr>
          <w:noProof/>
        </w:rPr>
        <w:t>: 191–225</w:t>
      </w:r>
    </w:p>
    <w:p w14:paraId="524D1CC1"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Scherling C, Roscher C, Giavalisco P, Schulze ED, Weckwerth W</w:t>
      </w:r>
      <w:r w:rsidRPr="002A4572">
        <w:rPr>
          <w:noProof/>
        </w:rPr>
        <w:t xml:space="preserve"> (2010) Metabolomics Unravel Contrasting Effects of Biodiversity on the Performance of Individual Plant Species. PLoS One </w:t>
      </w:r>
      <w:r w:rsidRPr="002A4572">
        <w:rPr>
          <w:b/>
          <w:bCs/>
          <w:noProof/>
        </w:rPr>
        <w:t>5</w:t>
      </w:r>
      <w:r w:rsidRPr="002A4572">
        <w:rPr>
          <w:noProof/>
        </w:rPr>
        <w:t>: -</w:t>
      </w:r>
    </w:p>
    <w:p w14:paraId="7354F685"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Schlichting CD, Smith H</w:t>
      </w:r>
      <w:r w:rsidRPr="002A4572">
        <w:rPr>
          <w:noProof/>
        </w:rPr>
        <w:t xml:space="preserve"> (2002) Phenotypic plasticity: linking molecular mechanisms with\revolutionary outcomes. Evol Ecol </w:t>
      </w:r>
      <w:r w:rsidRPr="002A4572">
        <w:rPr>
          <w:b/>
          <w:bCs/>
          <w:noProof/>
        </w:rPr>
        <w:t>16</w:t>
      </w:r>
      <w:r w:rsidRPr="002A4572">
        <w:rPr>
          <w:noProof/>
        </w:rPr>
        <w:t>: 189–211</w:t>
      </w:r>
    </w:p>
    <w:p w14:paraId="1D82476D"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Schluepmann H, Pellny T, van Dijken A, Smeekens S, Paull M</w:t>
      </w:r>
      <w:r w:rsidRPr="002A4572">
        <w:rPr>
          <w:noProof/>
        </w:rPr>
        <w:t xml:space="preserve"> (2003) Trehalose for 6-phosphate is indispensable for carbohydrate utilization and growth in Arabidopsis thaliana. Proc. … </w:t>
      </w:r>
    </w:p>
    <w:p w14:paraId="29FAE4DC"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Schmid B, Dolt C</w:t>
      </w:r>
      <w:r w:rsidRPr="002A4572">
        <w:rPr>
          <w:noProof/>
        </w:rPr>
        <w:t xml:space="preserve"> (1994) Effects of maternal and paternal environment and genotype on offspring phenotype in Solidago altissima L. Evolution (N Y) </w:t>
      </w:r>
      <w:r w:rsidRPr="002A4572">
        <w:rPr>
          <w:b/>
          <w:bCs/>
          <w:noProof/>
        </w:rPr>
        <w:t>48</w:t>
      </w:r>
      <w:r w:rsidRPr="002A4572">
        <w:rPr>
          <w:noProof/>
        </w:rPr>
        <w:t>: 1525–1549</w:t>
      </w:r>
    </w:p>
    <w:p w14:paraId="192A919C"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Schripsema J</w:t>
      </w:r>
      <w:r w:rsidRPr="002A4572">
        <w:rPr>
          <w:noProof/>
        </w:rPr>
        <w:t xml:space="preserve"> (2010) Application of NMR in plant metabolomics: techniques, problems and prospects. Phytochem Anal </w:t>
      </w:r>
      <w:r w:rsidRPr="002A4572">
        <w:rPr>
          <w:b/>
          <w:bCs/>
          <w:noProof/>
        </w:rPr>
        <w:t>21</w:t>
      </w:r>
      <w:r w:rsidRPr="002A4572">
        <w:rPr>
          <w:noProof/>
        </w:rPr>
        <w:t>: 14–21</w:t>
      </w:r>
    </w:p>
    <w:p w14:paraId="1120BE4E"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Schuler MS, Orrock JL</w:t>
      </w:r>
      <w:r w:rsidRPr="002A4572">
        <w:rPr>
          <w:noProof/>
        </w:rPr>
        <w:t xml:space="preserve"> (2011) The maladaptive significance of maternal effects for plants in anthropogenically modified environments. Evol Ecol </w:t>
      </w:r>
      <w:r w:rsidRPr="002A4572">
        <w:rPr>
          <w:b/>
          <w:bCs/>
          <w:noProof/>
        </w:rPr>
        <w:t>26</w:t>
      </w:r>
      <w:r w:rsidRPr="002A4572">
        <w:rPr>
          <w:noProof/>
        </w:rPr>
        <w:t>: 475–481</w:t>
      </w:r>
    </w:p>
    <w:p w14:paraId="30316564"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Scott I, Vermeer C, Liakata M</w:t>
      </w:r>
      <w:r w:rsidRPr="002A4572">
        <w:rPr>
          <w:noProof/>
        </w:rPr>
        <w:t xml:space="preserve"> (2010) Enhancement of Plant Metabolite Fingerprinting by Machine Learning. Plant … </w:t>
      </w:r>
      <w:r w:rsidRPr="002A4572">
        <w:rPr>
          <w:b/>
          <w:bCs/>
          <w:noProof/>
        </w:rPr>
        <w:t>153</w:t>
      </w:r>
      <w:r w:rsidRPr="002A4572">
        <w:rPr>
          <w:noProof/>
        </w:rPr>
        <w:t>: 1506–1520</w:t>
      </w:r>
    </w:p>
    <w:p w14:paraId="720B89DD"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Seger C, Sturm S</w:t>
      </w:r>
      <w:r w:rsidRPr="002A4572">
        <w:rPr>
          <w:noProof/>
        </w:rPr>
        <w:t xml:space="preserve"> (2007) Analytical aspects of plant metabolite profiling platforms: current standings and future aims. J Proteome Res </w:t>
      </w:r>
      <w:r w:rsidRPr="002A4572">
        <w:rPr>
          <w:b/>
          <w:bCs/>
          <w:noProof/>
        </w:rPr>
        <w:t>6</w:t>
      </w:r>
      <w:r w:rsidRPr="002A4572">
        <w:rPr>
          <w:noProof/>
        </w:rPr>
        <w:t>: 480–97</w:t>
      </w:r>
    </w:p>
    <w:p w14:paraId="3FB4C9A3"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Sharma SS, Dietz K-J</w:t>
      </w:r>
      <w:r w:rsidRPr="002A4572">
        <w:rPr>
          <w:noProof/>
        </w:rPr>
        <w:t xml:space="preserve"> (2006) The significance of amino acids and amino acid-derived molecules in plant responses and adaptation to heavy metal stress. J Exp Bot </w:t>
      </w:r>
      <w:r w:rsidRPr="002A4572">
        <w:rPr>
          <w:b/>
          <w:bCs/>
          <w:noProof/>
        </w:rPr>
        <w:t>57</w:t>
      </w:r>
      <w:r w:rsidRPr="002A4572">
        <w:rPr>
          <w:noProof/>
        </w:rPr>
        <w:t>: 711–726</w:t>
      </w:r>
    </w:p>
    <w:p w14:paraId="15A850DA"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Shaver G, Iii FC, Billings W</w:t>
      </w:r>
      <w:r w:rsidRPr="002A4572">
        <w:rPr>
          <w:noProof/>
        </w:rPr>
        <w:t xml:space="preserve"> (1979) Ecotypic differentiation in </w:t>
      </w:r>
      <w:r w:rsidRPr="002A4572">
        <w:rPr>
          <w:i/>
          <w:noProof/>
        </w:rPr>
        <w:t>Carex aquatilis</w:t>
      </w:r>
      <w:r w:rsidRPr="002A4572">
        <w:rPr>
          <w:noProof/>
        </w:rPr>
        <w:t xml:space="preserve"> on ice-wedge polygons in the Alaskan coastal tundra. J Ecol </w:t>
      </w:r>
      <w:r w:rsidRPr="002A4572">
        <w:rPr>
          <w:b/>
          <w:bCs/>
          <w:noProof/>
        </w:rPr>
        <w:t>67</w:t>
      </w:r>
      <w:r w:rsidRPr="002A4572">
        <w:rPr>
          <w:noProof/>
        </w:rPr>
        <w:t>: 1025–1045</w:t>
      </w:r>
    </w:p>
    <w:p w14:paraId="75327E7A"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Shaw RG, Etterson JR</w:t>
      </w:r>
      <w:r w:rsidRPr="002A4572">
        <w:rPr>
          <w:noProof/>
        </w:rPr>
        <w:t xml:space="preserve"> (2012) Rapid climate change and the rate of adaptation: insight from experimental quantitative genetics. New Phytol </w:t>
      </w:r>
      <w:r w:rsidRPr="002A4572">
        <w:rPr>
          <w:b/>
          <w:bCs/>
          <w:noProof/>
        </w:rPr>
        <w:t>195</w:t>
      </w:r>
      <w:r w:rsidRPr="002A4572">
        <w:rPr>
          <w:noProof/>
        </w:rPr>
        <w:t>: 752–65</w:t>
      </w:r>
    </w:p>
    <w:p w14:paraId="2D2B12DF"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Shiryaeva L, Antti H, Schröder WP, Strimbeck R, Shiriaev AS</w:t>
      </w:r>
      <w:r w:rsidRPr="002A4572">
        <w:rPr>
          <w:noProof/>
        </w:rPr>
        <w:t xml:space="preserve"> (2012) Pair-wise multicomparison and OPLS analyses of cold-acclimation phases in Siberian spruce. Metabolomics </w:t>
      </w:r>
      <w:r w:rsidRPr="002A4572">
        <w:rPr>
          <w:b/>
          <w:bCs/>
          <w:noProof/>
        </w:rPr>
        <w:t>8</w:t>
      </w:r>
      <w:r w:rsidRPr="002A4572">
        <w:rPr>
          <w:noProof/>
        </w:rPr>
        <w:t>: 123–130</w:t>
      </w:r>
    </w:p>
    <w:p w14:paraId="687FB4EC"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Smirnoff N</w:t>
      </w:r>
      <w:r w:rsidRPr="002A4572">
        <w:rPr>
          <w:noProof/>
        </w:rPr>
        <w:t xml:space="preserve"> (1995) Metabolic flexibility in relation to the environment. Environ. Plant Metab. Flex. Acclim. BIOS Scientific Publishers LTD, pp 1–13</w:t>
      </w:r>
    </w:p>
    <w:p w14:paraId="064CBF9E"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Stanton ML, Roy B a, Thiede D a</w:t>
      </w:r>
      <w:r w:rsidRPr="002A4572">
        <w:rPr>
          <w:noProof/>
        </w:rPr>
        <w:t xml:space="preserve"> (2000) Evolution in stressful environments. I. Phenotypic variability, phenotypic selection, and response to selection in five distinct environmental stresses. Evolution </w:t>
      </w:r>
      <w:r w:rsidRPr="002A4572">
        <w:rPr>
          <w:b/>
          <w:bCs/>
          <w:noProof/>
        </w:rPr>
        <w:t>54</w:t>
      </w:r>
      <w:r w:rsidRPr="002A4572">
        <w:rPr>
          <w:noProof/>
        </w:rPr>
        <w:t>: 93–111</w:t>
      </w:r>
    </w:p>
    <w:p w14:paraId="495FC9DE"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Sternberg M, Shoshany M</w:t>
      </w:r>
      <w:r w:rsidRPr="002A4572">
        <w:rPr>
          <w:noProof/>
        </w:rPr>
        <w:t xml:space="preserve"> (2001) Influence of slope aspect on Mediterranean woody formations: Comparison of a semiarid and an arid site in Israel. Ecol Res </w:t>
      </w:r>
      <w:r w:rsidRPr="002A4572">
        <w:rPr>
          <w:b/>
          <w:bCs/>
          <w:noProof/>
        </w:rPr>
        <w:t>16</w:t>
      </w:r>
      <w:r w:rsidRPr="002A4572">
        <w:rPr>
          <w:noProof/>
        </w:rPr>
        <w:t>: 335–345</w:t>
      </w:r>
    </w:p>
    <w:p w14:paraId="7AD02FB3"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Stevens P F</w:t>
      </w:r>
      <w:r w:rsidRPr="002A4572">
        <w:rPr>
          <w:noProof/>
        </w:rPr>
        <w:t xml:space="preserve"> (2011) Angiosperm Phylogeny Website. </w:t>
      </w:r>
    </w:p>
    <w:p w14:paraId="1FC2CF01"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Stinchcombe JR, Weinig C, Ungerer M, Olsen KM, Mays C, Halldorsdottir SS, Purugganan MD, Schmitt J</w:t>
      </w:r>
      <w:r w:rsidRPr="002A4572">
        <w:rPr>
          <w:noProof/>
        </w:rPr>
        <w:t xml:space="preserve"> (2004) A latitudinal cline in flowering time in </w:t>
      </w:r>
      <w:r w:rsidRPr="002A4572">
        <w:rPr>
          <w:i/>
          <w:noProof/>
        </w:rPr>
        <w:t>Arabidopsis thaliana</w:t>
      </w:r>
      <w:r w:rsidRPr="002A4572">
        <w:rPr>
          <w:noProof/>
        </w:rPr>
        <w:t xml:space="preserve"> modulated by the flowering time gene FRIGIDA. Proc Natl Acad Sci U S A </w:t>
      </w:r>
      <w:r w:rsidRPr="002A4572">
        <w:rPr>
          <w:b/>
          <w:bCs/>
          <w:noProof/>
        </w:rPr>
        <w:t>101</w:t>
      </w:r>
      <w:r w:rsidRPr="002A4572">
        <w:rPr>
          <w:noProof/>
        </w:rPr>
        <w:t>: 4712–7</w:t>
      </w:r>
    </w:p>
    <w:p w14:paraId="0F8C1F46"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Stitt M, Mieskes G, Soling HD, Heldt HW</w:t>
      </w:r>
      <w:r w:rsidRPr="002A4572">
        <w:rPr>
          <w:noProof/>
        </w:rPr>
        <w:t xml:space="preserve"> (1982) On a Possible Role of Fructose 2,6-Bisphosphate in Regulating Photosynthetic Metabolism in Leaves. Febs Lett </w:t>
      </w:r>
      <w:r w:rsidRPr="002A4572">
        <w:rPr>
          <w:b/>
          <w:bCs/>
          <w:noProof/>
        </w:rPr>
        <w:t>145</w:t>
      </w:r>
      <w:r w:rsidRPr="002A4572">
        <w:rPr>
          <w:noProof/>
        </w:rPr>
        <w:t>: 217–222</w:t>
      </w:r>
    </w:p>
    <w:p w14:paraId="0D9885F7"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Sultan SE</w:t>
      </w:r>
      <w:r w:rsidRPr="002A4572">
        <w:rPr>
          <w:noProof/>
        </w:rPr>
        <w:t xml:space="preserve"> (2003) Phenotypic plasticity in plants: a case study in ecological development. Evol Dev </w:t>
      </w:r>
      <w:r w:rsidRPr="002A4572">
        <w:rPr>
          <w:b/>
          <w:bCs/>
          <w:noProof/>
        </w:rPr>
        <w:t>5</w:t>
      </w:r>
      <w:r w:rsidRPr="002A4572">
        <w:rPr>
          <w:noProof/>
        </w:rPr>
        <w:t>: 25–33</w:t>
      </w:r>
    </w:p>
    <w:p w14:paraId="2F581DC9"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Sultan SE, Spencer HG</w:t>
      </w:r>
      <w:r w:rsidRPr="002A4572">
        <w:rPr>
          <w:noProof/>
        </w:rPr>
        <w:t xml:space="preserve"> (2002) Metapopulation structure favors plasticity over local adaptation. Am Nat </w:t>
      </w:r>
      <w:r w:rsidRPr="002A4572">
        <w:rPr>
          <w:b/>
          <w:bCs/>
          <w:noProof/>
        </w:rPr>
        <w:t>160</w:t>
      </w:r>
      <w:r w:rsidRPr="002A4572">
        <w:rPr>
          <w:noProof/>
        </w:rPr>
        <w:t>: 271–283</w:t>
      </w:r>
    </w:p>
    <w:p w14:paraId="627B85AE"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Sumner LW, Mendes P, Dixon RA</w:t>
      </w:r>
      <w:r w:rsidRPr="002A4572">
        <w:rPr>
          <w:noProof/>
        </w:rPr>
        <w:t xml:space="preserve"> (2003) Plant metabolomics: large-scale phytochemistry in the functional genomics era. Phytochemistry </w:t>
      </w:r>
      <w:r w:rsidRPr="002A4572">
        <w:rPr>
          <w:b/>
          <w:bCs/>
          <w:noProof/>
        </w:rPr>
        <w:t>62</w:t>
      </w:r>
      <w:r w:rsidRPr="002A4572">
        <w:rPr>
          <w:noProof/>
        </w:rPr>
        <w:t>: 817–836</w:t>
      </w:r>
    </w:p>
    <w:p w14:paraId="37C44000"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Sun S, Frelich LE</w:t>
      </w:r>
      <w:r w:rsidRPr="002A4572">
        <w:rPr>
          <w:noProof/>
        </w:rPr>
        <w:t xml:space="preserve"> (2011) Flowering phenology and height growth pattern are associated with maximum plant height, relative growth rate and stem tissue mass density in herbaceous grassland species. J Ecol </w:t>
      </w:r>
      <w:r w:rsidRPr="002A4572">
        <w:rPr>
          <w:b/>
          <w:bCs/>
          <w:noProof/>
        </w:rPr>
        <w:t>99</w:t>
      </w:r>
      <w:r w:rsidRPr="002A4572">
        <w:rPr>
          <w:noProof/>
        </w:rPr>
        <w:t>: 991–1000</w:t>
      </w:r>
    </w:p>
    <w:p w14:paraId="7ED80707"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Sun X, Zhang J, Zhang H, Ni Y, Zhang Q, Chen J, Guan Y</w:t>
      </w:r>
      <w:r w:rsidRPr="002A4572">
        <w:rPr>
          <w:noProof/>
        </w:rPr>
        <w:t xml:space="preserve"> (2010) The responses of </w:t>
      </w:r>
      <w:r w:rsidRPr="002A4572">
        <w:rPr>
          <w:i/>
          <w:noProof/>
        </w:rPr>
        <w:t>Arabidopsis thaliana</w:t>
      </w:r>
      <w:r w:rsidRPr="002A4572">
        <w:rPr>
          <w:noProof/>
        </w:rPr>
        <w:t xml:space="preserve"> to cadmium exposure explored via metabolite profiling. Chemosphere </w:t>
      </w:r>
      <w:r w:rsidRPr="002A4572">
        <w:rPr>
          <w:b/>
          <w:bCs/>
          <w:noProof/>
        </w:rPr>
        <w:t>78</w:t>
      </w:r>
      <w:r w:rsidRPr="002A4572">
        <w:rPr>
          <w:noProof/>
        </w:rPr>
        <w:t>: 840–5</w:t>
      </w:r>
    </w:p>
    <w:p w14:paraId="40929F3D"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Thuiller W, Lavorel S, Araújo MB, Sykes MT, Prentice IC</w:t>
      </w:r>
      <w:r w:rsidRPr="002A4572">
        <w:rPr>
          <w:noProof/>
        </w:rPr>
        <w:t xml:space="preserve"> (2005) Climate change threats to plant diversity in Europe. Proc Natl Acad Sci U S A </w:t>
      </w:r>
      <w:r w:rsidRPr="002A4572">
        <w:rPr>
          <w:b/>
          <w:bCs/>
          <w:noProof/>
        </w:rPr>
        <w:t>102</w:t>
      </w:r>
      <w:r w:rsidRPr="002A4572">
        <w:rPr>
          <w:noProof/>
        </w:rPr>
        <w:t>: 8245–50</w:t>
      </w:r>
    </w:p>
    <w:p w14:paraId="53F3BF33"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Urbanczyk-Wochniak E, Baxter C, Kolbe A, Kopka J, Sweetlove LJ, Fernie AR</w:t>
      </w:r>
      <w:r w:rsidRPr="002A4572">
        <w:rPr>
          <w:noProof/>
        </w:rPr>
        <w:t xml:space="preserve"> (2005) Profiling of diurnal patterns of metabolite and transcript abundance in potato (</w:t>
      </w:r>
      <w:r w:rsidRPr="002A4572">
        <w:rPr>
          <w:i/>
          <w:noProof/>
        </w:rPr>
        <w:t>Solanum tuberosum</w:t>
      </w:r>
      <w:r w:rsidRPr="002A4572">
        <w:rPr>
          <w:noProof/>
        </w:rPr>
        <w:t xml:space="preserve">) leaves. Planta </w:t>
      </w:r>
      <w:r w:rsidRPr="002A4572">
        <w:rPr>
          <w:b/>
          <w:bCs/>
          <w:noProof/>
        </w:rPr>
        <w:t>221</w:t>
      </w:r>
      <w:r w:rsidRPr="002A4572">
        <w:rPr>
          <w:noProof/>
        </w:rPr>
        <w:t>: 891–903</w:t>
      </w:r>
    </w:p>
    <w:p w14:paraId="48FAF1C7"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Villas-Bôas SG, Roessner U, Hansen MAE, Smedsgaard J, Nielsen J</w:t>
      </w:r>
      <w:r w:rsidRPr="002A4572">
        <w:rPr>
          <w:noProof/>
        </w:rPr>
        <w:t xml:space="preserve"> (2007) Metabolome Analysis: An Introduction. </w:t>
      </w:r>
    </w:p>
    <w:p w14:paraId="5E1A287F"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Visser ME</w:t>
      </w:r>
      <w:r w:rsidRPr="002A4572">
        <w:rPr>
          <w:noProof/>
        </w:rPr>
        <w:t xml:space="preserve"> (2008) Keeping up with a warming world; assessing the rate of adaptation to climate change. Proc Biol Sci </w:t>
      </w:r>
      <w:r w:rsidRPr="002A4572">
        <w:rPr>
          <w:b/>
          <w:bCs/>
          <w:noProof/>
        </w:rPr>
        <w:t>275</w:t>
      </w:r>
      <w:r w:rsidRPr="002A4572">
        <w:rPr>
          <w:noProof/>
        </w:rPr>
        <w:t>: 649–59</w:t>
      </w:r>
    </w:p>
    <w:p w14:paraId="2C907BBC"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Volis S</w:t>
      </w:r>
      <w:r w:rsidRPr="002A4572">
        <w:rPr>
          <w:noProof/>
        </w:rPr>
        <w:t xml:space="preserve"> (2011) Adaptive genetic differentiation in a predominantly self-pollinating species analyzed by transplanting into natural environment, crossbreeding and Q(ST)-F(ST) test. New Phytol </w:t>
      </w:r>
      <w:r w:rsidRPr="002A4572">
        <w:rPr>
          <w:b/>
          <w:bCs/>
          <w:noProof/>
        </w:rPr>
        <w:t>192</w:t>
      </w:r>
      <w:r w:rsidRPr="002A4572">
        <w:rPr>
          <w:noProof/>
        </w:rPr>
        <w:t>: 237–48</w:t>
      </w:r>
    </w:p>
    <w:p w14:paraId="3DE7AED8"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Volis S</w:t>
      </w:r>
      <w:r w:rsidRPr="002A4572">
        <w:rPr>
          <w:noProof/>
        </w:rPr>
        <w:t xml:space="preserve"> (2007) Correlated patterns of variation in phenology and seed production in populations of two annual grasses along an aridity gradient. Evol Ecol </w:t>
      </w:r>
      <w:r w:rsidRPr="002A4572">
        <w:rPr>
          <w:b/>
          <w:bCs/>
          <w:noProof/>
        </w:rPr>
        <w:t>21</w:t>
      </w:r>
      <w:r w:rsidRPr="002A4572">
        <w:rPr>
          <w:noProof/>
        </w:rPr>
        <w:t>: 381–393</w:t>
      </w:r>
    </w:p>
    <w:p w14:paraId="7C2B5C3F" w14:textId="28EE5477" w:rsidR="0018095C" w:rsidRPr="002A4572" w:rsidRDefault="0018095C" w:rsidP="0018095C">
      <w:pPr>
        <w:pStyle w:val="NormalWeb"/>
        <w:spacing w:before="2" w:after="2" w:line="360" w:lineRule="auto"/>
        <w:ind w:left="480" w:hanging="480"/>
        <w:divId w:val="1748573569"/>
        <w:rPr>
          <w:noProof/>
        </w:rPr>
      </w:pPr>
      <w:r w:rsidRPr="002A4572">
        <w:rPr>
          <w:b/>
          <w:bCs/>
          <w:noProof/>
        </w:rPr>
        <w:t>Waller D</w:t>
      </w:r>
      <w:r w:rsidRPr="002A4572">
        <w:rPr>
          <w:noProof/>
        </w:rPr>
        <w:t xml:space="preserve"> (1982) </w:t>
      </w:r>
      <w:r w:rsidR="00340D79" w:rsidRPr="002A4572">
        <w:rPr>
          <w:noProof/>
        </w:rPr>
        <w:t>Fators Influencing seed weight in Impatiens carpensis</w:t>
      </w:r>
      <w:r w:rsidRPr="002A4572">
        <w:rPr>
          <w:noProof/>
        </w:rPr>
        <w:t xml:space="preserve"> (BALSAMINACEAE. Am J Bot </w:t>
      </w:r>
      <w:r w:rsidRPr="002A4572">
        <w:rPr>
          <w:b/>
          <w:bCs/>
          <w:noProof/>
        </w:rPr>
        <w:t>69</w:t>
      </w:r>
      <w:r w:rsidRPr="002A4572">
        <w:rPr>
          <w:noProof/>
        </w:rPr>
        <w:t>: 1470–1475</w:t>
      </w:r>
    </w:p>
    <w:p w14:paraId="267EDD8A"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Walther G-R, Post E, Convey P, Menzel A, Parmesan C, Beebee TJC, Fromentin J-M, Hoegh-Guldberg O, Bairlein F</w:t>
      </w:r>
      <w:r w:rsidRPr="002A4572">
        <w:rPr>
          <w:noProof/>
        </w:rPr>
        <w:t xml:space="preserve"> (2002) Ecological responses to recent climate change. Nature </w:t>
      </w:r>
      <w:r w:rsidRPr="002A4572">
        <w:rPr>
          <w:b/>
          <w:bCs/>
          <w:noProof/>
        </w:rPr>
        <w:t>416</w:t>
      </w:r>
      <w:r w:rsidRPr="002A4572">
        <w:rPr>
          <w:noProof/>
        </w:rPr>
        <w:t>: 389–395</w:t>
      </w:r>
    </w:p>
    <w:p w14:paraId="6C05CC53"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Warren CR, Aranda I, Cano FJ</w:t>
      </w:r>
      <w:r w:rsidRPr="002A4572">
        <w:rPr>
          <w:noProof/>
        </w:rPr>
        <w:t xml:space="preserve"> (2011) Metabolomics demonstrates divergent responses of two Eucalyptus species to water stress. Metabolomics </w:t>
      </w:r>
      <w:r w:rsidRPr="002A4572">
        <w:rPr>
          <w:b/>
          <w:bCs/>
          <w:noProof/>
        </w:rPr>
        <w:t>8</w:t>
      </w:r>
      <w:r w:rsidRPr="002A4572">
        <w:rPr>
          <w:noProof/>
        </w:rPr>
        <w:t>: 186–200</w:t>
      </w:r>
    </w:p>
    <w:p w14:paraId="357C7A26"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Waterman PG</w:t>
      </w:r>
      <w:r w:rsidRPr="002A4572">
        <w:rPr>
          <w:noProof/>
        </w:rPr>
        <w:t xml:space="preserve"> (1993) Phytochemical Dictionary. A Handbook of Bioactive Compounds from Plants, Second. Biochem Syst Ecol. doi: 10.1016/0305-1978(93)90098-C</w:t>
      </w:r>
    </w:p>
    <w:p w14:paraId="0366D029"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Watkinson A, Davy A</w:t>
      </w:r>
      <w:r w:rsidRPr="002A4572">
        <w:rPr>
          <w:noProof/>
        </w:rPr>
        <w:t xml:space="preserve"> (1985) Population biology of salt marsh and sand dune annuals. Vegetatio </w:t>
      </w:r>
      <w:r w:rsidRPr="002A4572">
        <w:rPr>
          <w:b/>
          <w:bCs/>
          <w:noProof/>
        </w:rPr>
        <w:t>62</w:t>
      </w:r>
      <w:r w:rsidRPr="002A4572">
        <w:rPr>
          <w:noProof/>
        </w:rPr>
        <w:t>: 487–497</w:t>
      </w:r>
    </w:p>
    <w:p w14:paraId="1A4C6BE5"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Webb CO, Ackerly DD, Kembel SW</w:t>
      </w:r>
      <w:r w:rsidRPr="002A4572">
        <w:rPr>
          <w:noProof/>
        </w:rPr>
        <w:t xml:space="preserve"> (2008) Phylocom: software for the analysis of phylogenetic community structure and trait evolution. Bioinformatics </w:t>
      </w:r>
      <w:r w:rsidRPr="002A4572">
        <w:rPr>
          <w:b/>
          <w:bCs/>
          <w:noProof/>
        </w:rPr>
        <w:t>24</w:t>
      </w:r>
      <w:r w:rsidRPr="002A4572">
        <w:rPr>
          <w:noProof/>
        </w:rPr>
        <w:t>: 2098–100</w:t>
      </w:r>
    </w:p>
    <w:p w14:paraId="00D3F01C"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Webb CO, Donoghue MJ</w:t>
      </w:r>
      <w:r w:rsidRPr="002A4572">
        <w:rPr>
          <w:noProof/>
        </w:rPr>
        <w:t xml:space="preserve"> (2005) Phylomatic: tree assembly for applied phylogenetics. Mol Ecol Notes </w:t>
      </w:r>
      <w:r w:rsidRPr="002A4572">
        <w:rPr>
          <w:b/>
          <w:bCs/>
          <w:noProof/>
        </w:rPr>
        <w:t>5</w:t>
      </w:r>
      <w:r w:rsidRPr="002A4572">
        <w:rPr>
          <w:noProof/>
        </w:rPr>
        <w:t>: 181–183</w:t>
      </w:r>
    </w:p>
    <w:p w14:paraId="5DAF1353"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Wheelock ÅM, Wheelock CE</w:t>
      </w:r>
      <w:r w:rsidRPr="002A4572">
        <w:rPr>
          <w:noProof/>
        </w:rPr>
        <w:t xml:space="preserve"> (2013) Trials and tribulations of ’omics data analysis: assessing quality of SIMCA-based multivariate models using examples from pulmonary medicine. Mol Biosyst </w:t>
      </w:r>
      <w:r w:rsidRPr="002A4572">
        <w:rPr>
          <w:b/>
          <w:bCs/>
          <w:noProof/>
        </w:rPr>
        <w:t>9</w:t>
      </w:r>
      <w:r w:rsidRPr="002A4572">
        <w:rPr>
          <w:noProof/>
        </w:rPr>
        <w:t>: 2589–96</w:t>
      </w:r>
    </w:p>
    <w:p w14:paraId="208536FD"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Willis A</w:t>
      </w:r>
      <w:r w:rsidRPr="002A4572">
        <w:rPr>
          <w:noProof/>
        </w:rPr>
        <w:t xml:space="preserve"> (1963) Braunton Burrows: the effects on the vegetation of the addition of mineral nutrients to the dune soils. J Ecol </w:t>
      </w:r>
      <w:r w:rsidRPr="002A4572">
        <w:rPr>
          <w:b/>
          <w:bCs/>
          <w:noProof/>
        </w:rPr>
        <w:t>51</w:t>
      </w:r>
      <w:r w:rsidRPr="002A4572">
        <w:rPr>
          <w:noProof/>
        </w:rPr>
        <w:t>: 353–374</w:t>
      </w:r>
    </w:p>
    <w:p w14:paraId="319B5310"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Wilson RN, Heckman JW, Somerville CR</w:t>
      </w:r>
      <w:r w:rsidRPr="002A4572">
        <w:rPr>
          <w:noProof/>
        </w:rPr>
        <w:t xml:space="preserve"> (1992) Gibberellin Is Required for Flowering in Arabidopsis thaliana under Short Days. Plant Physiol </w:t>
      </w:r>
      <w:r w:rsidRPr="002A4572">
        <w:rPr>
          <w:b/>
          <w:bCs/>
          <w:noProof/>
        </w:rPr>
        <w:t>100</w:t>
      </w:r>
      <w:r w:rsidRPr="002A4572">
        <w:rPr>
          <w:noProof/>
        </w:rPr>
        <w:t>: 403–8</w:t>
      </w:r>
    </w:p>
    <w:p w14:paraId="2ECE6DC5"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Xia J, Wishart D</w:t>
      </w:r>
      <w:r w:rsidRPr="002A4572">
        <w:rPr>
          <w:noProof/>
        </w:rPr>
        <w:t xml:space="preserve"> (2011) Web-based inference of biological patterns, functions and pathways from metabolomic data using MetaboAnalyst. Nat. Protoc. </w:t>
      </w:r>
    </w:p>
    <w:p w14:paraId="4055FA0E"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Yamaguchi S</w:t>
      </w:r>
      <w:r w:rsidRPr="002A4572">
        <w:rPr>
          <w:noProof/>
        </w:rPr>
        <w:t xml:space="preserve"> (2006) Gibberellin Biosynthesis in </w:t>
      </w:r>
      <w:r w:rsidRPr="002A4572">
        <w:rPr>
          <w:i/>
          <w:noProof/>
        </w:rPr>
        <w:t>Arabidopsis</w:t>
      </w:r>
      <w:r w:rsidRPr="002A4572">
        <w:rPr>
          <w:noProof/>
        </w:rPr>
        <w:t xml:space="preserve">. Phytochem Rev </w:t>
      </w:r>
      <w:r w:rsidRPr="002A4572">
        <w:rPr>
          <w:b/>
          <w:bCs/>
          <w:noProof/>
        </w:rPr>
        <w:t>5</w:t>
      </w:r>
      <w:r w:rsidRPr="002A4572">
        <w:rPr>
          <w:noProof/>
        </w:rPr>
        <w:t>: 39–47</w:t>
      </w:r>
    </w:p>
    <w:p w14:paraId="3D66BC9C"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Zhang J, Zhang Y, Du Y, Chen S, Tang H</w:t>
      </w:r>
      <w:r w:rsidRPr="002A4572">
        <w:rPr>
          <w:noProof/>
        </w:rPr>
        <w:t xml:space="preserve"> (2011) Dynamic Metabonomic Responses of Tobacco ( </w:t>
      </w:r>
      <w:r w:rsidRPr="002A4572">
        <w:rPr>
          <w:i/>
          <w:noProof/>
        </w:rPr>
        <w:t>Nicotiana tabacum</w:t>
      </w:r>
      <w:r w:rsidRPr="002A4572">
        <w:rPr>
          <w:noProof/>
        </w:rPr>
        <w:t xml:space="preserve"> ) Plants to Salt Stress. 1904–1914</w:t>
      </w:r>
    </w:p>
    <w:p w14:paraId="295E7820"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Zhang P, Dreher K, Karthikeyan a, Chi A, Pujar A, Caspi R, Karp P, Kirkup V, Latendresse M, Lee C, et al</w:t>
      </w:r>
      <w:r w:rsidRPr="002A4572">
        <w:rPr>
          <w:noProof/>
        </w:rPr>
        <w:t xml:space="preserve"> (2010) Creation of a genome-wide metabolic pathway database for </w:t>
      </w:r>
      <w:r w:rsidRPr="002A4572">
        <w:rPr>
          <w:i/>
          <w:noProof/>
        </w:rPr>
        <w:t>Populus trichocarpa</w:t>
      </w:r>
      <w:r w:rsidRPr="002A4572">
        <w:rPr>
          <w:noProof/>
        </w:rPr>
        <w:t xml:space="preserve"> using a new approach for reconstruction and curation of metabolic pathways for plants. Plant Physiol </w:t>
      </w:r>
      <w:r w:rsidRPr="002A4572">
        <w:rPr>
          <w:b/>
          <w:bCs/>
          <w:noProof/>
        </w:rPr>
        <w:t>153</w:t>
      </w:r>
      <w:r w:rsidRPr="002A4572">
        <w:rPr>
          <w:noProof/>
        </w:rPr>
        <w:t>: 1479–91</w:t>
      </w:r>
    </w:p>
    <w:p w14:paraId="28333A18" w14:textId="77777777" w:rsidR="0018095C" w:rsidRPr="002A4572" w:rsidRDefault="0018095C" w:rsidP="0018095C">
      <w:pPr>
        <w:pStyle w:val="NormalWeb"/>
        <w:spacing w:before="2" w:after="2" w:line="360" w:lineRule="auto"/>
        <w:ind w:left="480" w:hanging="480"/>
        <w:divId w:val="1748573569"/>
        <w:rPr>
          <w:noProof/>
        </w:rPr>
      </w:pPr>
      <w:r w:rsidRPr="002A4572">
        <w:rPr>
          <w:b/>
          <w:bCs/>
          <w:noProof/>
        </w:rPr>
        <w:t>Zhang R, Gallagher RS, Shea K</w:t>
      </w:r>
      <w:r w:rsidRPr="002A4572">
        <w:rPr>
          <w:noProof/>
        </w:rPr>
        <w:t xml:space="preserve"> (2012) Maternal warming affects early life stages of an invasive thistle. Plant Biol (Stuttg) </w:t>
      </w:r>
      <w:r w:rsidRPr="002A4572">
        <w:rPr>
          <w:b/>
          <w:bCs/>
          <w:noProof/>
        </w:rPr>
        <w:t>14</w:t>
      </w:r>
      <w:r w:rsidRPr="002A4572">
        <w:rPr>
          <w:noProof/>
        </w:rPr>
        <w:t>: 783–788</w:t>
      </w:r>
    </w:p>
    <w:p w14:paraId="402032AD" w14:textId="14BCD8ED" w:rsidR="00B66E45" w:rsidRPr="00354778" w:rsidRDefault="0018095C" w:rsidP="0018095C">
      <w:pPr>
        <w:pStyle w:val="NormalWeb"/>
        <w:spacing w:before="2" w:after="2" w:line="360" w:lineRule="auto"/>
        <w:ind w:left="480" w:hanging="480"/>
        <w:divId w:val="37630555"/>
      </w:pPr>
      <w:r w:rsidRPr="002A4572">
        <w:fldChar w:fldCharType="end"/>
      </w:r>
    </w:p>
    <w:sectPr w:rsidR="00B66E45" w:rsidRPr="00354778" w:rsidSect="00B8446B">
      <w:footerReference w:type="default" r:id="rId79"/>
      <w:pgSz w:w="11901" w:h="16840"/>
      <w:pgMar w:top="1361" w:right="1134" w:bottom="1361" w:left="2268" w:header="709" w:footer="851"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3ECCD7" w14:textId="77777777" w:rsidR="00CE5C43" w:rsidRDefault="00CE5C43">
      <w:r>
        <w:separator/>
      </w:r>
    </w:p>
  </w:endnote>
  <w:endnote w:type="continuationSeparator" w:id="0">
    <w:p w14:paraId="6BE88627" w14:textId="77777777" w:rsidR="00CE5C43" w:rsidRDefault="00CE5C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Palatino">
    <w:panose1 w:val="00000000000000000000"/>
    <w:charset w:val="00"/>
    <w:family w:val="auto"/>
    <w:pitch w:val="variable"/>
    <w:sig w:usb0="A00002FF" w:usb1="7800205A" w:usb2="14600000" w:usb3="00000000" w:csb0="00000193"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Monaco">
    <w:panose1 w:val="020005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American Typewriter">
    <w:panose1 w:val="02090604020004020304"/>
    <w:charset w:val="00"/>
    <w:family w:val="auto"/>
    <w:pitch w:val="variable"/>
    <w:sig w:usb0="A000006F" w:usb1="00000019" w:usb2="00000000" w:usb3="00000000" w:csb0="00000111"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6579E6" w14:textId="77777777" w:rsidR="00CE5C43" w:rsidRDefault="00CE5C43" w:rsidP="00A91AC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CB2D36B" w14:textId="77777777" w:rsidR="00CE5C43" w:rsidRDefault="00CE5C43" w:rsidP="00EF78DA">
    <w:pPr>
      <w:pStyle w:val="Footer"/>
      <w:ind w:right="360"/>
    </w:pP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B7074A" w14:textId="77777777" w:rsidR="00CE5C43" w:rsidRDefault="00CE5C43" w:rsidP="007F0529">
    <w:pPr>
      <w:pStyle w:val="Footer"/>
      <w:framePr w:w="243" w:h="358" w:hRule="exact" w:wrap="around" w:vAnchor="text" w:hAnchor="page" w:x="1135" w:y="-87"/>
      <w:textDirection w:val="tbRl"/>
      <w:rPr>
        <w:rStyle w:val="PageNumber"/>
      </w:rPr>
    </w:pPr>
    <w:r>
      <w:rPr>
        <w:rStyle w:val="PageNumber"/>
      </w:rPr>
      <w:fldChar w:fldCharType="begin"/>
    </w:r>
    <w:r>
      <w:rPr>
        <w:rStyle w:val="PageNumber"/>
      </w:rPr>
      <w:instrText xml:space="preserve">PAGE  </w:instrText>
    </w:r>
    <w:r>
      <w:rPr>
        <w:rStyle w:val="PageNumber"/>
      </w:rPr>
      <w:fldChar w:fldCharType="separate"/>
    </w:r>
    <w:r w:rsidR="0041679E">
      <w:rPr>
        <w:rStyle w:val="PageNumber"/>
        <w:noProof/>
      </w:rPr>
      <w:t>68</w:t>
    </w:r>
    <w:r>
      <w:rPr>
        <w:rStyle w:val="PageNumber"/>
      </w:rPr>
      <w:fldChar w:fldCharType="end"/>
    </w:r>
  </w:p>
  <w:p w14:paraId="7EA1AFAD" w14:textId="77777777" w:rsidR="00CE5C43" w:rsidRDefault="00CE5C43" w:rsidP="0052730F">
    <w:pPr>
      <w:pStyle w:val="Footer"/>
      <w:ind w:right="360"/>
    </w:pP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0ECD43" w14:textId="77777777" w:rsidR="00CE5C43" w:rsidRDefault="00CE5C43" w:rsidP="00B7275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1679E">
      <w:rPr>
        <w:rStyle w:val="PageNumber"/>
        <w:noProof/>
      </w:rPr>
      <w:t>69</w:t>
    </w:r>
    <w:r>
      <w:rPr>
        <w:rStyle w:val="PageNumber"/>
      </w:rPr>
      <w:fldChar w:fldCharType="end"/>
    </w:r>
  </w:p>
  <w:p w14:paraId="08E561D4" w14:textId="77777777" w:rsidR="00CE5C43" w:rsidRDefault="00CE5C43" w:rsidP="0052730F">
    <w:pPr>
      <w:pStyle w:val="Footer"/>
      <w:ind w:right="360"/>
    </w:pP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CD8C9F" w14:textId="77777777" w:rsidR="00CE5C43" w:rsidRDefault="00CE5C43" w:rsidP="00B7275E">
    <w:pPr>
      <w:pStyle w:val="Footer"/>
      <w:framePr w:wrap="around" w:vAnchor="text" w:hAnchor="margin" w:y="1"/>
      <w:textDirection w:val="tbRl"/>
      <w:rPr>
        <w:rStyle w:val="PageNumber"/>
      </w:rPr>
    </w:pPr>
    <w:r>
      <w:rPr>
        <w:rStyle w:val="PageNumber"/>
      </w:rPr>
      <w:fldChar w:fldCharType="begin"/>
    </w:r>
    <w:r>
      <w:rPr>
        <w:rStyle w:val="PageNumber"/>
      </w:rPr>
      <w:instrText xml:space="preserve">PAGE  </w:instrText>
    </w:r>
    <w:r>
      <w:rPr>
        <w:rStyle w:val="PageNumber"/>
      </w:rPr>
      <w:fldChar w:fldCharType="separate"/>
    </w:r>
    <w:r w:rsidR="0041679E">
      <w:rPr>
        <w:rStyle w:val="PageNumber"/>
        <w:noProof/>
      </w:rPr>
      <w:t>70</w:t>
    </w:r>
    <w:r>
      <w:rPr>
        <w:rStyle w:val="PageNumber"/>
      </w:rPr>
      <w:fldChar w:fldCharType="end"/>
    </w:r>
  </w:p>
  <w:p w14:paraId="3BEDE097" w14:textId="77777777" w:rsidR="00CE5C43" w:rsidRDefault="00CE5C43" w:rsidP="0052730F">
    <w:pPr>
      <w:pStyle w:val="Footer"/>
      <w:ind w:right="360"/>
    </w:pPr>
  </w:p>
</w:ftr>
</file>

<file path=word/footer1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A05F4F" w14:textId="77777777" w:rsidR="00CE5C43" w:rsidRDefault="00CE5C43" w:rsidP="000612B7">
    <w:pPr>
      <w:pStyle w:val="Footer"/>
      <w:framePr w:wrap="around" w:vAnchor="text" w:hAnchor="page" w:x="10549" w:y="90"/>
      <w:rPr>
        <w:rStyle w:val="PageNumber"/>
      </w:rPr>
    </w:pPr>
    <w:r>
      <w:rPr>
        <w:rStyle w:val="PageNumber"/>
      </w:rPr>
      <w:fldChar w:fldCharType="begin"/>
    </w:r>
    <w:r>
      <w:rPr>
        <w:rStyle w:val="PageNumber"/>
      </w:rPr>
      <w:instrText xml:space="preserve">PAGE  </w:instrText>
    </w:r>
    <w:r>
      <w:rPr>
        <w:rStyle w:val="PageNumber"/>
      </w:rPr>
      <w:fldChar w:fldCharType="separate"/>
    </w:r>
    <w:r w:rsidR="0041679E">
      <w:rPr>
        <w:rStyle w:val="PageNumber"/>
        <w:noProof/>
      </w:rPr>
      <w:t>83</w:t>
    </w:r>
    <w:r>
      <w:rPr>
        <w:rStyle w:val="PageNumber"/>
      </w:rPr>
      <w:fldChar w:fldCharType="end"/>
    </w:r>
  </w:p>
  <w:p w14:paraId="01755808" w14:textId="77777777" w:rsidR="00CE5C43" w:rsidRDefault="00CE5C43" w:rsidP="0052730F">
    <w:pPr>
      <w:pStyle w:val="Footer"/>
      <w:ind w:right="360"/>
    </w:pPr>
  </w:p>
</w:ftr>
</file>

<file path=word/footer1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6F4A00" w14:textId="77777777" w:rsidR="00CE5C43" w:rsidRDefault="00CE5C43" w:rsidP="00A24963">
    <w:pPr>
      <w:pStyle w:val="Footer"/>
      <w:framePr w:wrap="around" w:vAnchor="text" w:hAnchor="page" w:x="829" w:y="38"/>
      <w:textDirection w:val="tbRl"/>
      <w:rPr>
        <w:rStyle w:val="PageNumber"/>
      </w:rPr>
    </w:pPr>
    <w:r>
      <w:rPr>
        <w:rStyle w:val="PageNumber"/>
      </w:rPr>
      <w:fldChar w:fldCharType="begin"/>
    </w:r>
    <w:r>
      <w:rPr>
        <w:rStyle w:val="PageNumber"/>
      </w:rPr>
      <w:instrText xml:space="preserve">PAGE  </w:instrText>
    </w:r>
    <w:r>
      <w:rPr>
        <w:rStyle w:val="PageNumber"/>
      </w:rPr>
      <w:fldChar w:fldCharType="separate"/>
    </w:r>
    <w:r w:rsidR="0041679E">
      <w:rPr>
        <w:rStyle w:val="PageNumber"/>
        <w:noProof/>
      </w:rPr>
      <w:t>84</w:t>
    </w:r>
    <w:r>
      <w:rPr>
        <w:rStyle w:val="PageNumber"/>
      </w:rPr>
      <w:fldChar w:fldCharType="end"/>
    </w:r>
  </w:p>
  <w:p w14:paraId="2521D531" w14:textId="77777777" w:rsidR="00CE5C43" w:rsidRDefault="00CE5C43" w:rsidP="0052730F">
    <w:pPr>
      <w:pStyle w:val="Footer"/>
      <w:ind w:right="360"/>
    </w:pPr>
  </w:p>
</w:ftr>
</file>

<file path=word/footer1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7A2736" w14:textId="77777777" w:rsidR="00CE5C43" w:rsidRDefault="00CE5C43" w:rsidP="00764FD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1679E">
      <w:rPr>
        <w:rStyle w:val="PageNumber"/>
        <w:noProof/>
      </w:rPr>
      <w:t>85</w:t>
    </w:r>
    <w:r>
      <w:rPr>
        <w:rStyle w:val="PageNumber"/>
      </w:rPr>
      <w:fldChar w:fldCharType="end"/>
    </w:r>
  </w:p>
  <w:p w14:paraId="513EFD49" w14:textId="77777777" w:rsidR="00CE5C43" w:rsidRDefault="00CE5C43" w:rsidP="0052730F">
    <w:pPr>
      <w:pStyle w:val="Footer"/>
      <w:ind w:right="360"/>
    </w:pPr>
  </w:p>
</w:ftr>
</file>

<file path=word/footer1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20930B" w14:textId="77777777" w:rsidR="00CE5C43" w:rsidRDefault="00CE5C43" w:rsidP="00A24963">
    <w:pPr>
      <w:pStyle w:val="Footer"/>
      <w:framePr w:wrap="around" w:vAnchor="text" w:hAnchor="page" w:x="415" w:y="134"/>
      <w:textDirection w:val="tbRl"/>
      <w:rPr>
        <w:rStyle w:val="PageNumber"/>
      </w:rPr>
    </w:pPr>
    <w:r>
      <w:rPr>
        <w:rStyle w:val="PageNumber"/>
      </w:rPr>
      <w:fldChar w:fldCharType="begin"/>
    </w:r>
    <w:r>
      <w:rPr>
        <w:rStyle w:val="PageNumber"/>
      </w:rPr>
      <w:instrText xml:space="preserve">PAGE  </w:instrText>
    </w:r>
    <w:r>
      <w:rPr>
        <w:rStyle w:val="PageNumber"/>
      </w:rPr>
      <w:fldChar w:fldCharType="separate"/>
    </w:r>
    <w:r w:rsidR="0041679E">
      <w:rPr>
        <w:rStyle w:val="PageNumber"/>
        <w:noProof/>
      </w:rPr>
      <w:t>89</w:t>
    </w:r>
    <w:r>
      <w:rPr>
        <w:rStyle w:val="PageNumber"/>
      </w:rPr>
      <w:fldChar w:fldCharType="end"/>
    </w:r>
  </w:p>
  <w:p w14:paraId="4EB8867C" w14:textId="77777777" w:rsidR="00CE5C43" w:rsidRDefault="00CE5C43" w:rsidP="0052730F">
    <w:pPr>
      <w:pStyle w:val="Footer"/>
      <w:ind w:right="360"/>
    </w:pPr>
  </w:p>
</w:ftr>
</file>

<file path=word/footer1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4C4318" w14:textId="77777777" w:rsidR="00CE5C43" w:rsidRDefault="00CE5C43" w:rsidP="00222AB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1679E">
      <w:rPr>
        <w:rStyle w:val="PageNumber"/>
        <w:noProof/>
      </w:rPr>
      <w:t>92</w:t>
    </w:r>
    <w:r>
      <w:rPr>
        <w:rStyle w:val="PageNumber"/>
      </w:rPr>
      <w:fldChar w:fldCharType="end"/>
    </w:r>
  </w:p>
  <w:p w14:paraId="70B69ABA" w14:textId="77777777" w:rsidR="00CE5C43" w:rsidRDefault="00CE5C43" w:rsidP="0052730F">
    <w:pPr>
      <w:pStyle w:val="Footer"/>
      <w:ind w:right="360"/>
    </w:pPr>
  </w:p>
</w:ftr>
</file>

<file path=word/footer1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3AB139" w14:textId="77777777" w:rsidR="00CE5C43" w:rsidRDefault="00CE5C43" w:rsidP="0032548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74184">
      <w:rPr>
        <w:rStyle w:val="PageNumber"/>
        <w:noProof/>
      </w:rPr>
      <w:t>98</w:t>
    </w:r>
    <w:r>
      <w:rPr>
        <w:rStyle w:val="PageNumber"/>
      </w:rPr>
      <w:fldChar w:fldCharType="end"/>
    </w:r>
  </w:p>
  <w:p w14:paraId="1C43AB4D" w14:textId="77777777" w:rsidR="00CE5C43" w:rsidRDefault="00CE5C43" w:rsidP="0052730F">
    <w:pPr>
      <w:pStyle w:val="Footer"/>
      <w:ind w:right="360" w:firstLine="360"/>
    </w:pPr>
  </w:p>
</w:ftr>
</file>

<file path=word/footer1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06C280" w14:textId="77777777" w:rsidR="00CE5C43" w:rsidRDefault="00CE5C43" w:rsidP="00C277C0">
    <w:pPr>
      <w:pStyle w:val="Footer"/>
      <w:framePr w:wrap="around" w:vAnchor="text" w:hAnchor="page" w:x="775" w:y="121"/>
      <w:textDirection w:val="tbRl"/>
      <w:rPr>
        <w:rStyle w:val="PageNumber"/>
      </w:rPr>
    </w:pPr>
    <w:r>
      <w:rPr>
        <w:rStyle w:val="PageNumber"/>
      </w:rPr>
      <w:fldChar w:fldCharType="begin"/>
    </w:r>
    <w:r>
      <w:rPr>
        <w:rStyle w:val="PageNumber"/>
      </w:rPr>
      <w:instrText xml:space="preserve">PAGE  </w:instrText>
    </w:r>
    <w:r>
      <w:rPr>
        <w:rStyle w:val="PageNumber"/>
      </w:rPr>
      <w:fldChar w:fldCharType="separate"/>
    </w:r>
    <w:r w:rsidR="0041679E">
      <w:rPr>
        <w:rStyle w:val="PageNumber"/>
        <w:noProof/>
      </w:rPr>
      <w:t>106</w:t>
    </w:r>
    <w:r>
      <w:rPr>
        <w:rStyle w:val="PageNumber"/>
      </w:rPr>
      <w:fldChar w:fldCharType="end"/>
    </w:r>
  </w:p>
  <w:p w14:paraId="06C0350F" w14:textId="77777777" w:rsidR="00CE5C43" w:rsidRDefault="00CE5C43" w:rsidP="0052730F">
    <w:pPr>
      <w:pStyle w:val="Footer"/>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614AAD" w14:textId="77777777" w:rsidR="00CE5C43" w:rsidRDefault="00CE5C43" w:rsidP="00CE5C4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47468">
      <w:rPr>
        <w:rStyle w:val="PageNumber"/>
        <w:noProof/>
      </w:rPr>
      <w:t>24</w:t>
    </w:r>
    <w:r>
      <w:rPr>
        <w:rStyle w:val="PageNumber"/>
      </w:rPr>
      <w:fldChar w:fldCharType="end"/>
    </w:r>
  </w:p>
  <w:p w14:paraId="41B30007" w14:textId="1CA30771" w:rsidR="00CE5C43" w:rsidRPr="00A91AC0" w:rsidRDefault="00CE5C43" w:rsidP="00A91AC0">
    <w:pPr>
      <w:pStyle w:val="Footer"/>
      <w:ind w:right="360"/>
    </w:pPr>
  </w:p>
</w:ftr>
</file>

<file path=word/footer2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2D16D2" w14:textId="77777777" w:rsidR="00CE5C43" w:rsidRDefault="00CE5C43" w:rsidP="00222AB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1679E">
      <w:rPr>
        <w:rStyle w:val="PageNumber"/>
        <w:noProof/>
      </w:rPr>
      <w:t>136</w:t>
    </w:r>
    <w:r>
      <w:rPr>
        <w:rStyle w:val="PageNumber"/>
      </w:rPr>
      <w:fldChar w:fldCharType="end"/>
    </w:r>
  </w:p>
  <w:p w14:paraId="32D14F88" w14:textId="77777777" w:rsidR="00CE5C43" w:rsidRDefault="00CE5C43" w:rsidP="0052730F">
    <w:pPr>
      <w:pStyle w:val="Footer"/>
      <w:ind w:right="360" w:firstLine="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7DDDAD" w14:textId="77777777" w:rsidR="00CE5C43" w:rsidRDefault="00CE5C43" w:rsidP="003551FF">
    <w:pPr>
      <w:pStyle w:val="Footer"/>
      <w:framePr w:wrap="around" w:vAnchor="text" w:hAnchor="margin" w:y="1"/>
      <w:textDirection w:val="tbRl"/>
      <w:rPr>
        <w:rStyle w:val="PageNumber"/>
      </w:rPr>
    </w:pPr>
    <w:r>
      <w:rPr>
        <w:rStyle w:val="PageNumber"/>
      </w:rPr>
      <w:fldChar w:fldCharType="begin"/>
    </w:r>
    <w:r>
      <w:rPr>
        <w:rStyle w:val="PageNumber"/>
      </w:rPr>
      <w:instrText xml:space="preserve">PAGE  </w:instrText>
    </w:r>
    <w:r>
      <w:rPr>
        <w:rStyle w:val="PageNumber"/>
      </w:rPr>
      <w:fldChar w:fldCharType="separate"/>
    </w:r>
    <w:r w:rsidR="00B47468">
      <w:rPr>
        <w:rStyle w:val="PageNumber"/>
        <w:noProof/>
      </w:rPr>
      <w:t>25</w:t>
    </w:r>
    <w:r>
      <w:rPr>
        <w:rStyle w:val="PageNumber"/>
      </w:rPr>
      <w:fldChar w:fldCharType="end"/>
    </w:r>
  </w:p>
  <w:p w14:paraId="11C8B4CF" w14:textId="77777777" w:rsidR="00CE5C43" w:rsidRDefault="00CE5C43" w:rsidP="00EF78DA">
    <w:pPr>
      <w:pStyle w:val="Footer"/>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334FFA" w14:textId="77777777" w:rsidR="00CE5C43" w:rsidRDefault="00CE5C43" w:rsidP="003551F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47468">
      <w:rPr>
        <w:rStyle w:val="PageNumber"/>
        <w:noProof/>
      </w:rPr>
      <w:t>28</w:t>
    </w:r>
    <w:r>
      <w:rPr>
        <w:rStyle w:val="PageNumber"/>
      </w:rPr>
      <w:fldChar w:fldCharType="end"/>
    </w:r>
  </w:p>
  <w:p w14:paraId="688FF44C" w14:textId="77777777" w:rsidR="00CE5C43" w:rsidRDefault="00CE5C43" w:rsidP="00EF78DA">
    <w:pPr>
      <w:pStyle w:val="Footer"/>
      <w:ind w:right="360"/>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5A1A6F" w14:textId="77777777" w:rsidR="00CE5C43" w:rsidRDefault="00CE5C43" w:rsidP="000612B7">
    <w:pPr>
      <w:pStyle w:val="Footer"/>
      <w:framePr w:h="302" w:hRule="exact" w:wrap="around" w:vAnchor="text" w:hAnchor="margin" w:y="8"/>
      <w:textDirection w:val="tbRl"/>
      <w:rPr>
        <w:rStyle w:val="PageNumber"/>
      </w:rPr>
    </w:pPr>
    <w:r>
      <w:rPr>
        <w:rStyle w:val="PageNumber"/>
      </w:rPr>
      <w:fldChar w:fldCharType="begin"/>
    </w:r>
    <w:r>
      <w:rPr>
        <w:rStyle w:val="PageNumber"/>
      </w:rPr>
      <w:instrText xml:space="preserve">PAGE  </w:instrText>
    </w:r>
    <w:r>
      <w:rPr>
        <w:rStyle w:val="PageNumber"/>
      </w:rPr>
      <w:fldChar w:fldCharType="separate"/>
    </w:r>
    <w:r w:rsidR="0041679E">
      <w:rPr>
        <w:rStyle w:val="PageNumber"/>
        <w:noProof/>
      </w:rPr>
      <w:t>46</w:t>
    </w:r>
    <w:r>
      <w:rPr>
        <w:rStyle w:val="PageNumber"/>
      </w:rPr>
      <w:fldChar w:fldCharType="end"/>
    </w:r>
  </w:p>
  <w:p w14:paraId="22B39739" w14:textId="77777777" w:rsidR="00CE5C43" w:rsidRDefault="00CE5C43" w:rsidP="00EF78DA">
    <w:pPr>
      <w:pStyle w:val="Footer"/>
      <w:ind w:right="360"/>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DF1AE1" w14:textId="77777777" w:rsidR="00CE5C43" w:rsidRDefault="00CE5C43" w:rsidP="003551FF">
    <w:pPr>
      <w:pStyle w:val="Footer"/>
      <w:framePr w:wrap="around" w:vAnchor="text" w:hAnchor="page" w:xAlign="right" w:y="165"/>
      <w:rPr>
        <w:rStyle w:val="PageNumber"/>
      </w:rPr>
    </w:pPr>
    <w:r>
      <w:rPr>
        <w:rStyle w:val="PageNumber"/>
      </w:rPr>
      <w:fldChar w:fldCharType="begin"/>
    </w:r>
    <w:r>
      <w:rPr>
        <w:rStyle w:val="PageNumber"/>
      </w:rPr>
      <w:instrText xml:space="preserve">PAGE  </w:instrText>
    </w:r>
    <w:r>
      <w:rPr>
        <w:rStyle w:val="PageNumber"/>
      </w:rPr>
      <w:fldChar w:fldCharType="separate"/>
    </w:r>
    <w:r w:rsidR="00774184">
      <w:rPr>
        <w:rStyle w:val="PageNumber"/>
        <w:noProof/>
      </w:rPr>
      <w:t>50</w:t>
    </w:r>
    <w:r>
      <w:rPr>
        <w:rStyle w:val="PageNumber"/>
      </w:rPr>
      <w:fldChar w:fldCharType="end"/>
    </w:r>
  </w:p>
  <w:p w14:paraId="691711F6" w14:textId="77777777" w:rsidR="00CE5C43" w:rsidRDefault="00CE5C43" w:rsidP="00EF78DA">
    <w:pPr>
      <w:pStyle w:val="Footer"/>
      <w:ind w:right="360"/>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04F12F" w14:textId="77777777" w:rsidR="00CE5C43" w:rsidRDefault="00CE5C43" w:rsidP="0092709F">
    <w:pPr>
      <w:pStyle w:val="Footer"/>
      <w:framePr w:wrap="around" w:vAnchor="text" w:hAnchor="page" w:x="469" w:y="-42"/>
      <w:textDirection w:val="tbRl"/>
      <w:rPr>
        <w:rStyle w:val="PageNumber"/>
      </w:rPr>
    </w:pPr>
    <w:r>
      <w:rPr>
        <w:rStyle w:val="PageNumber"/>
      </w:rPr>
      <w:fldChar w:fldCharType="begin"/>
    </w:r>
    <w:r>
      <w:rPr>
        <w:rStyle w:val="PageNumber"/>
      </w:rPr>
      <w:instrText xml:space="preserve">PAGE  </w:instrText>
    </w:r>
    <w:r>
      <w:rPr>
        <w:rStyle w:val="PageNumber"/>
      </w:rPr>
      <w:fldChar w:fldCharType="separate"/>
    </w:r>
    <w:r w:rsidR="0041679E">
      <w:rPr>
        <w:rStyle w:val="PageNumber"/>
        <w:noProof/>
      </w:rPr>
      <w:t>51</w:t>
    </w:r>
    <w:r>
      <w:rPr>
        <w:rStyle w:val="PageNumber"/>
      </w:rPr>
      <w:fldChar w:fldCharType="end"/>
    </w:r>
  </w:p>
  <w:p w14:paraId="472FCC51" w14:textId="77777777" w:rsidR="00CE5C43" w:rsidRDefault="00CE5C43" w:rsidP="00EF78DA">
    <w:pPr>
      <w:pStyle w:val="Footer"/>
      <w:ind w:right="360"/>
    </w:pP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E0AB79" w14:textId="77777777" w:rsidR="00CE5C43" w:rsidRDefault="00CE5C43" w:rsidP="00222AB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B1EFBA1" w14:textId="77777777" w:rsidR="00CE5C43" w:rsidRDefault="00CE5C43" w:rsidP="0052730F">
    <w:pPr>
      <w:pStyle w:val="Footer"/>
      <w:ind w:right="360" w:firstLine="360"/>
    </w:pP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DD4806" w14:textId="77777777" w:rsidR="00CE5C43" w:rsidRDefault="00CE5C43" w:rsidP="000612B7">
    <w:pPr>
      <w:pStyle w:val="Footer"/>
      <w:framePr w:wrap="around" w:vAnchor="text" w:hAnchor="page" w:x="10909" w:y="-50"/>
      <w:rPr>
        <w:rStyle w:val="PageNumber"/>
      </w:rPr>
    </w:pPr>
    <w:r>
      <w:rPr>
        <w:rStyle w:val="PageNumber"/>
      </w:rPr>
      <w:fldChar w:fldCharType="begin"/>
    </w:r>
    <w:r>
      <w:rPr>
        <w:rStyle w:val="PageNumber"/>
      </w:rPr>
      <w:instrText xml:space="preserve">PAGE  </w:instrText>
    </w:r>
    <w:r>
      <w:rPr>
        <w:rStyle w:val="PageNumber"/>
      </w:rPr>
      <w:fldChar w:fldCharType="separate"/>
    </w:r>
    <w:r w:rsidR="00774184">
      <w:rPr>
        <w:rStyle w:val="PageNumber"/>
        <w:noProof/>
      </w:rPr>
      <w:t>54</w:t>
    </w:r>
    <w:r>
      <w:rPr>
        <w:rStyle w:val="PageNumber"/>
      </w:rPr>
      <w:fldChar w:fldCharType="end"/>
    </w:r>
  </w:p>
  <w:p w14:paraId="6FD12087" w14:textId="77777777" w:rsidR="00CE5C43" w:rsidRDefault="00CE5C43" w:rsidP="0052730F">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044995" w14:textId="77777777" w:rsidR="00CE5C43" w:rsidRDefault="00CE5C43">
      <w:r>
        <w:separator/>
      </w:r>
    </w:p>
  </w:footnote>
  <w:footnote w:type="continuationSeparator" w:id="0">
    <w:p w14:paraId="17E65AC2" w14:textId="77777777" w:rsidR="00CE5C43" w:rsidRDefault="00CE5C4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A61A7"/>
    <w:multiLevelType w:val="hybridMultilevel"/>
    <w:tmpl w:val="A28AF046"/>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nsid w:val="082B7D3A"/>
    <w:multiLevelType w:val="hybridMultilevel"/>
    <w:tmpl w:val="00F87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F10F57"/>
    <w:multiLevelType w:val="hybridMultilevel"/>
    <w:tmpl w:val="823E108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48E41CA"/>
    <w:multiLevelType w:val="hybridMultilevel"/>
    <w:tmpl w:val="68FCE7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112579"/>
    <w:multiLevelType w:val="hybridMultilevel"/>
    <w:tmpl w:val="7DC6BA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8256AA4"/>
    <w:multiLevelType w:val="hybridMultilevel"/>
    <w:tmpl w:val="B1188CB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A9325B1"/>
    <w:multiLevelType w:val="hybridMultilevel"/>
    <w:tmpl w:val="79FE9B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B220C06"/>
    <w:multiLevelType w:val="hybridMultilevel"/>
    <w:tmpl w:val="038EB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364C1D"/>
    <w:multiLevelType w:val="hybridMultilevel"/>
    <w:tmpl w:val="E46A3D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D7E2BB0"/>
    <w:multiLevelType w:val="hybridMultilevel"/>
    <w:tmpl w:val="7CDED1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FB813D2"/>
    <w:multiLevelType w:val="hybridMultilevel"/>
    <w:tmpl w:val="09D47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FBF09CA"/>
    <w:multiLevelType w:val="hybridMultilevel"/>
    <w:tmpl w:val="5E28B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40A5062"/>
    <w:multiLevelType w:val="hybridMultilevel"/>
    <w:tmpl w:val="B85AE8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78D108D"/>
    <w:multiLevelType w:val="hybridMultilevel"/>
    <w:tmpl w:val="25F8EB88"/>
    <w:lvl w:ilvl="0" w:tplc="04090003">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B620E30"/>
    <w:multiLevelType w:val="hybridMultilevel"/>
    <w:tmpl w:val="D0362A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F046B06"/>
    <w:multiLevelType w:val="hybridMultilevel"/>
    <w:tmpl w:val="2E3046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0097B9E"/>
    <w:multiLevelType w:val="hybridMultilevel"/>
    <w:tmpl w:val="45A2A3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43932EE"/>
    <w:multiLevelType w:val="hybridMultilevel"/>
    <w:tmpl w:val="099E72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8CB7BCE"/>
    <w:multiLevelType w:val="multilevel"/>
    <w:tmpl w:val="AA5E6E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3B10203B"/>
    <w:multiLevelType w:val="hybridMultilevel"/>
    <w:tmpl w:val="76A4FB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CE31EDB"/>
    <w:multiLevelType w:val="hybridMultilevel"/>
    <w:tmpl w:val="DF845138"/>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3D63446E"/>
    <w:multiLevelType w:val="hybridMultilevel"/>
    <w:tmpl w:val="F3861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2E04E21"/>
    <w:multiLevelType w:val="hybridMultilevel"/>
    <w:tmpl w:val="0ADAC0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30975CD"/>
    <w:multiLevelType w:val="hybridMultilevel"/>
    <w:tmpl w:val="30B4C4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4AF3306"/>
    <w:multiLevelType w:val="hybridMultilevel"/>
    <w:tmpl w:val="85CA04C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5DE0B0F"/>
    <w:multiLevelType w:val="hybridMultilevel"/>
    <w:tmpl w:val="ADC013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B7F0B82"/>
    <w:multiLevelType w:val="hybridMultilevel"/>
    <w:tmpl w:val="B6705B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E77681C"/>
    <w:multiLevelType w:val="hybridMultilevel"/>
    <w:tmpl w:val="87788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0FA47BA"/>
    <w:multiLevelType w:val="hybridMultilevel"/>
    <w:tmpl w:val="EB5231D0"/>
    <w:lvl w:ilvl="0" w:tplc="04090003">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18E6B34"/>
    <w:multiLevelType w:val="hybridMultilevel"/>
    <w:tmpl w:val="1B363E4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543D7DE4"/>
    <w:multiLevelType w:val="hybridMultilevel"/>
    <w:tmpl w:val="BF2C92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5E440EE"/>
    <w:multiLevelType w:val="hybridMultilevel"/>
    <w:tmpl w:val="40FA4B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571B6241"/>
    <w:multiLevelType w:val="hybridMultilevel"/>
    <w:tmpl w:val="A2DED1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A8D17B0"/>
    <w:multiLevelType w:val="hybridMultilevel"/>
    <w:tmpl w:val="C6C643B0"/>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C9A4C91"/>
    <w:multiLevelType w:val="hybridMultilevel"/>
    <w:tmpl w:val="19DEC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D3D3565"/>
    <w:multiLevelType w:val="hybridMultilevel"/>
    <w:tmpl w:val="39169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F185389"/>
    <w:multiLevelType w:val="hybridMultilevel"/>
    <w:tmpl w:val="F4EEE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2AA6BBE"/>
    <w:multiLevelType w:val="hybridMultilevel"/>
    <w:tmpl w:val="635C2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3A61053"/>
    <w:multiLevelType w:val="hybridMultilevel"/>
    <w:tmpl w:val="C040F17C"/>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CB82BD2"/>
    <w:multiLevelType w:val="hybridMultilevel"/>
    <w:tmpl w:val="8FB6D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E3F3DB1"/>
    <w:multiLevelType w:val="hybridMultilevel"/>
    <w:tmpl w:val="D1728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F351213"/>
    <w:multiLevelType w:val="hybridMultilevel"/>
    <w:tmpl w:val="1EC03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0011CE9"/>
    <w:multiLevelType w:val="hybridMultilevel"/>
    <w:tmpl w:val="A9A81F54"/>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3">
    <w:nsid w:val="75422C95"/>
    <w:multiLevelType w:val="multilevel"/>
    <w:tmpl w:val="24AAF5A4"/>
    <w:lvl w:ilvl="0">
      <w:start w:val="1"/>
      <w:numFmt w:val="decimal"/>
      <w:lvlText w:val="%1."/>
      <w:lvlJc w:val="left"/>
      <w:pPr>
        <w:ind w:left="440" w:hanging="4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4">
    <w:nsid w:val="76834622"/>
    <w:multiLevelType w:val="hybridMultilevel"/>
    <w:tmpl w:val="823E108A"/>
    <w:lvl w:ilvl="0" w:tplc="04090003">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E1E17FF"/>
    <w:multiLevelType w:val="hybridMultilevel"/>
    <w:tmpl w:val="80EC66B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3"/>
  </w:num>
  <w:num w:numId="2">
    <w:abstractNumId w:val="22"/>
  </w:num>
  <w:num w:numId="3">
    <w:abstractNumId w:val="16"/>
  </w:num>
  <w:num w:numId="4">
    <w:abstractNumId w:val="24"/>
  </w:num>
  <w:num w:numId="5">
    <w:abstractNumId w:val="31"/>
  </w:num>
  <w:num w:numId="6">
    <w:abstractNumId w:val="10"/>
  </w:num>
  <w:num w:numId="7">
    <w:abstractNumId w:val="35"/>
  </w:num>
  <w:num w:numId="8">
    <w:abstractNumId w:val="3"/>
  </w:num>
  <w:num w:numId="9">
    <w:abstractNumId w:val="0"/>
  </w:num>
  <w:num w:numId="10">
    <w:abstractNumId w:val="42"/>
  </w:num>
  <w:num w:numId="11">
    <w:abstractNumId w:val="29"/>
  </w:num>
  <w:num w:numId="12">
    <w:abstractNumId w:val="23"/>
  </w:num>
  <w:num w:numId="13">
    <w:abstractNumId w:val="30"/>
  </w:num>
  <w:num w:numId="14">
    <w:abstractNumId w:val="19"/>
  </w:num>
  <w:num w:numId="15">
    <w:abstractNumId w:val="26"/>
  </w:num>
  <w:num w:numId="16">
    <w:abstractNumId w:val="5"/>
  </w:num>
  <w:num w:numId="17">
    <w:abstractNumId w:val="14"/>
  </w:num>
  <w:num w:numId="18">
    <w:abstractNumId w:val="25"/>
  </w:num>
  <w:num w:numId="19">
    <w:abstractNumId w:val="7"/>
  </w:num>
  <w:num w:numId="20">
    <w:abstractNumId w:val="39"/>
  </w:num>
  <w:num w:numId="21">
    <w:abstractNumId w:val="37"/>
  </w:num>
  <w:num w:numId="22">
    <w:abstractNumId w:val="1"/>
  </w:num>
  <w:num w:numId="23">
    <w:abstractNumId w:val="9"/>
  </w:num>
  <w:num w:numId="24">
    <w:abstractNumId w:val="32"/>
  </w:num>
  <w:num w:numId="25">
    <w:abstractNumId w:val="4"/>
  </w:num>
  <w:num w:numId="26">
    <w:abstractNumId w:val="15"/>
  </w:num>
  <w:num w:numId="27">
    <w:abstractNumId w:val="12"/>
  </w:num>
  <w:num w:numId="28">
    <w:abstractNumId w:val="20"/>
  </w:num>
  <w:num w:numId="29">
    <w:abstractNumId w:val="45"/>
  </w:num>
  <w:num w:numId="30">
    <w:abstractNumId w:val="2"/>
  </w:num>
  <w:num w:numId="31">
    <w:abstractNumId w:val="44"/>
  </w:num>
  <w:num w:numId="32">
    <w:abstractNumId w:val="13"/>
  </w:num>
  <w:num w:numId="33">
    <w:abstractNumId w:val="38"/>
  </w:num>
  <w:num w:numId="34">
    <w:abstractNumId w:val="28"/>
  </w:num>
  <w:num w:numId="35">
    <w:abstractNumId w:val="33"/>
  </w:num>
  <w:num w:numId="36">
    <w:abstractNumId w:val="8"/>
  </w:num>
  <w:num w:numId="37">
    <w:abstractNumId w:val="6"/>
  </w:num>
  <w:num w:numId="38">
    <w:abstractNumId w:val="18"/>
  </w:num>
  <w:num w:numId="39">
    <w:abstractNumId w:val="17"/>
  </w:num>
  <w:num w:numId="40">
    <w:abstractNumId w:val="41"/>
  </w:num>
  <w:num w:numId="41">
    <w:abstractNumId w:val="21"/>
  </w:num>
  <w:num w:numId="42">
    <w:abstractNumId w:val="40"/>
  </w:num>
  <w:num w:numId="43">
    <w:abstractNumId w:val="11"/>
  </w:num>
  <w:num w:numId="44">
    <w:abstractNumId w:val="34"/>
  </w:num>
  <w:num w:numId="45">
    <w:abstractNumId w:val="27"/>
  </w:num>
  <w:num w:numId="46">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A61C0"/>
    <w:rsid w:val="00024A22"/>
    <w:rsid w:val="00025E52"/>
    <w:rsid w:val="00043989"/>
    <w:rsid w:val="0005455A"/>
    <w:rsid w:val="00057304"/>
    <w:rsid w:val="000612B7"/>
    <w:rsid w:val="00065F92"/>
    <w:rsid w:val="00072878"/>
    <w:rsid w:val="00074967"/>
    <w:rsid w:val="00075586"/>
    <w:rsid w:val="000823C2"/>
    <w:rsid w:val="00082431"/>
    <w:rsid w:val="00095BDC"/>
    <w:rsid w:val="000C558F"/>
    <w:rsid w:val="000D2B59"/>
    <w:rsid w:val="000D6233"/>
    <w:rsid w:val="000F7BF9"/>
    <w:rsid w:val="0011040D"/>
    <w:rsid w:val="001119C8"/>
    <w:rsid w:val="00134C22"/>
    <w:rsid w:val="00146A2D"/>
    <w:rsid w:val="001737B9"/>
    <w:rsid w:val="0018095C"/>
    <w:rsid w:val="001846FA"/>
    <w:rsid w:val="00185BC5"/>
    <w:rsid w:val="001B10CB"/>
    <w:rsid w:val="001D1F87"/>
    <w:rsid w:val="001E3ED1"/>
    <w:rsid w:val="001E7AA1"/>
    <w:rsid w:val="001F1CFB"/>
    <w:rsid w:val="00201F07"/>
    <w:rsid w:val="0020361A"/>
    <w:rsid w:val="0020366C"/>
    <w:rsid w:val="00222ABF"/>
    <w:rsid w:val="00230A19"/>
    <w:rsid w:val="00243476"/>
    <w:rsid w:val="0025058C"/>
    <w:rsid w:val="002546DD"/>
    <w:rsid w:val="002A4572"/>
    <w:rsid w:val="002D26F2"/>
    <w:rsid w:val="002D2CF0"/>
    <w:rsid w:val="002E1A88"/>
    <w:rsid w:val="002E3AE1"/>
    <w:rsid w:val="003033F3"/>
    <w:rsid w:val="00325489"/>
    <w:rsid w:val="003358FB"/>
    <w:rsid w:val="00340D79"/>
    <w:rsid w:val="00352C4C"/>
    <w:rsid w:val="00353510"/>
    <w:rsid w:val="00354778"/>
    <w:rsid w:val="003551FF"/>
    <w:rsid w:val="0036017D"/>
    <w:rsid w:val="003A4A66"/>
    <w:rsid w:val="003B522D"/>
    <w:rsid w:val="003B7DA5"/>
    <w:rsid w:val="003E06C6"/>
    <w:rsid w:val="003F32BA"/>
    <w:rsid w:val="00411ECF"/>
    <w:rsid w:val="00413F98"/>
    <w:rsid w:val="0041679E"/>
    <w:rsid w:val="00450E64"/>
    <w:rsid w:val="004723CF"/>
    <w:rsid w:val="00481837"/>
    <w:rsid w:val="0049058F"/>
    <w:rsid w:val="0049211A"/>
    <w:rsid w:val="00494486"/>
    <w:rsid w:val="004A3E4E"/>
    <w:rsid w:val="004A61C0"/>
    <w:rsid w:val="004C507C"/>
    <w:rsid w:val="004D4218"/>
    <w:rsid w:val="004F2EFE"/>
    <w:rsid w:val="0052046B"/>
    <w:rsid w:val="0052730F"/>
    <w:rsid w:val="00547CF5"/>
    <w:rsid w:val="00550DA9"/>
    <w:rsid w:val="00567C96"/>
    <w:rsid w:val="005A234F"/>
    <w:rsid w:val="005B0368"/>
    <w:rsid w:val="005B362F"/>
    <w:rsid w:val="005C1930"/>
    <w:rsid w:val="005D52F8"/>
    <w:rsid w:val="005D60E0"/>
    <w:rsid w:val="005E78A5"/>
    <w:rsid w:val="005F079F"/>
    <w:rsid w:val="005F427C"/>
    <w:rsid w:val="005F7D42"/>
    <w:rsid w:val="0062579E"/>
    <w:rsid w:val="00630EF5"/>
    <w:rsid w:val="00647070"/>
    <w:rsid w:val="00652EC7"/>
    <w:rsid w:val="00670E7B"/>
    <w:rsid w:val="0067709E"/>
    <w:rsid w:val="00677C4A"/>
    <w:rsid w:val="006D156A"/>
    <w:rsid w:val="006E6E03"/>
    <w:rsid w:val="007034F1"/>
    <w:rsid w:val="00717E5C"/>
    <w:rsid w:val="00725FF1"/>
    <w:rsid w:val="007369BF"/>
    <w:rsid w:val="00764B75"/>
    <w:rsid w:val="00764FDA"/>
    <w:rsid w:val="00771F9F"/>
    <w:rsid w:val="00774184"/>
    <w:rsid w:val="00787D6A"/>
    <w:rsid w:val="007C0B25"/>
    <w:rsid w:val="007C1C5F"/>
    <w:rsid w:val="007C1EB8"/>
    <w:rsid w:val="007C2CF6"/>
    <w:rsid w:val="007C2FF9"/>
    <w:rsid w:val="007C44CD"/>
    <w:rsid w:val="007E2512"/>
    <w:rsid w:val="007E75B7"/>
    <w:rsid w:val="007F0529"/>
    <w:rsid w:val="00821A6F"/>
    <w:rsid w:val="00822810"/>
    <w:rsid w:val="00851627"/>
    <w:rsid w:val="00851ED9"/>
    <w:rsid w:val="00860EC9"/>
    <w:rsid w:val="0086291B"/>
    <w:rsid w:val="00880916"/>
    <w:rsid w:val="00885C4D"/>
    <w:rsid w:val="008B0265"/>
    <w:rsid w:val="008B144D"/>
    <w:rsid w:val="008C6943"/>
    <w:rsid w:val="008D5691"/>
    <w:rsid w:val="008D659D"/>
    <w:rsid w:val="0091178E"/>
    <w:rsid w:val="0092426A"/>
    <w:rsid w:val="0092709F"/>
    <w:rsid w:val="009310A3"/>
    <w:rsid w:val="009355DB"/>
    <w:rsid w:val="00946591"/>
    <w:rsid w:val="00965C7D"/>
    <w:rsid w:val="0097387E"/>
    <w:rsid w:val="00980C52"/>
    <w:rsid w:val="009953BF"/>
    <w:rsid w:val="009A270D"/>
    <w:rsid w:val="009A3C5C"/>
    <w:rsid w:val="009B368D"/>
    <w:rsid w:val="009C1505"/>
    <w:rsid w:val="009C1E96"/>
    <w:rsid w:val="009D171B"/>
    <w:rsid w:val="009E7A4E"/>
    <w:rsid w:val="00A0386E"/>
    <w:rsid w:val="00A10B56"/>
    <w:rsid w:val="00A116AE"/>
    <w:rsid w:val="00A11DEA"/>
    <w:rsid w:val="00A13ED1"/>
    <w:rsid w:val="00A1636F"/>
    <w:rsid w:val="00A23813"/>
    <w:rsid w:val="00A24963"/>
    <w:rsid w:val="00A4141F"/>
    <w:rsid w:val="00A619FF"/>
    <w:rsid w:val="00A91AC0"/>
    <w:rsid w:val="00AA4CA3"/>
    <w:rsid w:val="00AA7837"/>
    <w:rsid w:val="00AB0F46"/>
    <w:rsid w:val="00AB2E6A"/>
    <w:rsid w:val="00AD3B74"/>
    <w:rsid w:val="00AE6DC7"/>
    <w:rsid w:val="00B127FA"/>
    <w:rsid w:val="00B1691A"/>
    <w:rsid w:val="00B20F1F"/>
    <w:rsid w:val="00B47468"/>
    <w:rsid w:val="00B5005F"/>
    <w:rsid w:val="00B60E9A"/>
    <w:rsid w:val="00B64224"/>
    <w:rsid w:val="00B66E45"/>
    <w:rsid w:val="00B7275E"/>
    <w:rsid w:val="00B8446B"/>
    <w:rsid w:val="00B925E3"/>
    <w:rsid w:val="00BA147D"/>
    <w:rsid w:val="00BA3BDB"/>
    <w:rsid w:val="00BA5AB9"/>
    <w:rsid w:val="00BB6D6B"/>
    <w:rsid w:val="00BD1603"/>
    <w:rsid w:val="00BE4255"/>
    <w:rsid w:val="00BF1B48"/>
    <w:rsid w:val="00C277C0"/>
    <w:rsid w:val="00C40960"/>
    <w:rsid w:val="00C46B2B"/>
    <w:rsid w:val="00C52211"/>
    <w:rsid w:val="00C83B6D"/>
    <w:rsid w:val="00C91F6E"/>
    <w:rsid w:val="00C956D8"/>
    <w:rsid w:val="00CB03FD"/>
    <w:rsid w:val="00CB098B"/>
    <w:rsid w:val="00CB6F29"/>
    <w:rsid w:val="00CE5C43"/>
    <w:rsid w:val="00D14996"/>
    <w:rsid w:val="00D149E6"/>
    <w:rsid w:val="00D2247F"/>
    <w:rsid w:val="00D242EA"/>
    <w:rsid w:val="00D53C66"/>
    <w:rsid w:val="00D5411A"/>
    <w:rsid w:val="00D72F79"/>
    <w:rsid w:val="00D957AC"/>
    <w:rsid w:val="00D97119"/>
    <w:rsid w:val="00DA4C15"/>
    <w:rsid w:val="00DC1658"/>
    <w:rsid w:val="00DC7B26"/>
    <w:rsid w:val="00DE3C81"/>
    <w:rsid w:val="00DF0EE2"/>
    <w:rsid w:val="00E01672"/>
    <w:rsid w:val="00E153B9"/>
    <w:rsid w:val="00E26B24"/>
    <w:rsid w:val="00E26ED7"/>
    <w:rsid w:val="00E30954"/>
    <w:rsid w:val="00E5631E"/>
    <w:rsid w:val="00E66281"/>
    <w:rsid w:val="00E730C6"/>
    <w:rsid w:val="00E8133F"/>
    <w:rsid w:val="00E8156F"/>
    <w:rsid w:val="00EB706F"/>
    <w:rsid w:val="00EC321F"/>
    <w:rsid w:val="00EC6145"/>
    <w:rsid w:val="00EE4641"/>
    <w:rsid w:val="00EE4BB8"/>
    <w:rsid w:val="00EF6193"/>
    <w:rsid w:val="00EF78DA"/>
    <w:rsid w:val="00F120EE"/>
    <w:rsid w:val="00F2087B"/>
    <w:rsid w:val="00F264F3"/>
    <w:rsid w:val="00F35EBE"/>
    <w:rsid w:val="00F52A1B"/>
    <w:rsid w:val="00F530CF"/>
    <w:rsid w:val="00F7782F"/>
    <w:rsid w:val="00F812C7"/>
    <w:rsid w:val="00F83B1B"/>
    <w:rsid w:val="00FA5E0C"/>
    <w:rsid w:val="00FB67DB"/>
    <w:rsid w:val="00FC0035"/>
    <w:rsid w:val="00FD79D6"/>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5AD3F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ja-JP" w:bidi="ar-SA"/>
      </w:rPr>
    </w:rPrDefault>
    <w:pPrDefault/>
  </w:docDefaults>
  <w:latentStyles w:defLockedState="0" w:defUIPriority="99" w:defSemiHidden="1" w:defUnhideWhenUsed="1" w:defQFormat="0" w:count="276">
    <w:lsdException w:name="Normal" w:semiHidden="0" w:uiPriority="0" w:unhideWhenUsed="0"/>
    <w:lsdException w:name="heading 1" w:semiHidden="0" w:uiPriority="9" w:unhideWhenUsed="0"/>
    <w:lsdException w:name="heading 2" w:uiPriority="9"/>
    <w:lsdException w:name="heading 3" w:uiPriority="9"/>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line number" w:uiPriority="0"/>
    <w:lsdException w:name="page number" w:uiPriority="0"/>
    <w:lsdException w:name="Title" w:semiHidden="0" w:uiPriority="10" w:unhideWhenUsed="0"/>
    <w:lsdException w:name="Default Paragraph Font" w:uiPriority="1"/>
    <w:lsdException w:name="Subtitle" w:semiHidden="0" w:uiPriority="11" w:unhideWhenUsed="0"/>
    <w:lsdException w:name="Hyperlink" w:uiPriority="0"/>
    <w:lsdException w:name="Strong" w:semiHidden="0" w:uiPriority="22" w:unhideWhenUsed="0"/>
    <w:lsdException w:name="Emphasis" w:semiHidden="0" w:uiPriority="20" w:unhideWhenUsed="0"/>
    <w:lsdException w:name="annotation subject" w:uiPriority="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link w:val="Heading1Char"/>
    <w:uiPriority w:val="9"/>
    <w:rsid w:val="0052730F"/>
    <w:pPr>
      <w:keepNext/>
      <w:keepLines/>
      <w:spacing w:before="480"/>
      <w:outlineLvl w:val="0"/>
    </w:pPr>
    <w:rPr>
      <w:rFonts w:ascii="Times" w:eastAsia="Times New Roman" w:hAnsi="Times" w:cs="Times New Roman"/>
      <w:b/>
      <w:bCs/>
      <w:sz w:val="36"/>
      <w:szCs w:val="32"/>
      <w:lang w:val="en-US" w:eastAsia="en-US"/>
    </w:rPr>
  </w:style>
  <w:style w:type="paragraph" w:styleId="Heading2">
    <w:name w:val="heading 2"/>
    <w:basedOn w:val="Normal"/>
    <w:next w:val="Normal"/>
    <w:link w:val="Heading2Char"/>
    <w:uiPriority w:val="9"/>
    <w:unhideWhenUsed/>
    <w:rsid w:val="0052730F"/>
    <w:pPr>
      <w:keepNext/>
      <w:keepLines/>
      <w:spacing w:before="200" w:line="360" w:lineRule="auto"/>
      <w:outlineLvl w:val="1"/>
    </w:pPr>
    <w:rPr>
      <w:rFonts w:ascii="Times" w:eastAsiaTheme="majorEastAsia" w:hAnsi="Times" w:cstheme="majorBidi"/>
      <w:b/>
      <w:bCs/>
      <w:sz w:val="28"/>
      <w:szCs w:val="26"/>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rsid w:val="00A619FF"/>
    <w:pPr>
      <w:ind w:left="720"/>
      <w:contextualSpacing/>
    </w:pPr>
  </w:style>
  <w:style w:type="paragraph" w:styleId="NormalWeb">
    <w:name w:val="Normal (Web)"/>
    <w:basedOn w:val="Normal"/>
    <w:uiPriority w:val="99"/>
    <w:rsid w:val="00946591"/>
    <w:pPr>
      <w:spacing w:beforeLines="1" w:afterLines="1"/>
    </w:pPr>
    <w:rPr>
      <w:rFonts w:ascii="Times" w:hAnsi="Times" w:cs="Times New Roman"/>
      <w:sz w:val="20"/>
      <w:szCs w:val="20"/>
    </w:rPr>
  </w:style>
  <w:style w:type="paragraph" w:customStyle="1" w:styleId="HeadingJB">
    <w:name w:val="Heading JB"/>
    <w:basedOn w:val="BodyJB"/>
    <w:qFormat/>
    <w:rsid w:val="0052046B"/>
    <w:rPr>
      <w:b/>
      <w:sz w:val="36"/>
    </w:rPr>
  </w:style>
  <w:style w:type="paragraph" w:customStyle="1" w:styleId="SubheadingJB">
    <w:name w:val="Subheading JB"/>
    <w:basedOn w:val="Normal"/>
    <w:qFormat/>
    <w:rsid w:val="00B64224"/>
    <w:pPr>
      <w:spacing w:line="360" w:lineRule="auto"/>
    </w:pPr>
    <w:rPr>
      <w:rFonts w:ascii="Times" w:hAnsi="Times"/>
      <w:b/>
      <w:sz w:val="28"/>
    </w:rPr>
  </w:style>
  <w:style w:type="paragraph" w:customStyle="1" w:styleId="BodyJB">
    <w:name w:val="Body JB"/>
    <w:basedOn w:val="Normal"/>
    <w:qFormat/>
    <w:rsid w:val="0052046B"/>
    <w:pPr>
      <w:spacing w:line="360" w:lineRule="auto"/>
    </w:pPr>
    <w:rPr>
      <w:rFonts w:ascii="Times" w:hAnsi="Times"/>
    </w:rPr>
  </w:style>
  <w:style w:type="paragraph" w:styleId="BalloonText">
    <w:name w:val="Balloon Text"/>
    <w:basedOn w:val="Normal"/>
    <w:link w:val="BalloonTextChar"/>
    <w:uiPriority w:val="99"/>
    <w:unhideWhenUsed/>
    <w:rsid w:val="0052730F"/>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52730F"/>
    <w:rPr>
      <w:rFonts w:ascii="Lucida Grande" w:hAnsi="Lucida Grande" w:cs="Lucida Grande"/>
      <w:sz w:val="18"/>
      <w:szCs w:val="18"/>
    </w:rPr>
  </w:style>
  <w:style w:type="character" w:customStyle="1" w:styleId="Heading2Char">
    <w:name w:val="Heading 2 Char"/>
    <w:basedOn w:val="DefaultParagraphFont"/>
    <w:link w:val="Heading2"/>
    <w:uiPriority w:val="9"/>
    <w:rsid w:val="0052730F"/>
    <w:rPr>
      <w:rFonts w:ascii="Times" w:eastAsiaTheme="majorEastAsia" w:hAnsi="Times" w:cstheme="majorBidi"/>
      <w:b/>
      <w:bCs/>
      <w:sz w:val="28"/>
      <w:szCs w:val="26"/>
      <w:lang w:val="en-US" w:eastAsia="en-US"/>
    </w:rPr>
  </w:style>
  <w:style w:type="character" w:styleId="LineNumber">
    <w:name w:val="line number"/>
    <w:basedOn w:val="DefaultParagraphFont"/>
    <w:rsid w:val="0052730F"/>
  </w:style>
  <w:style w:type="character" w:styleId="CommentReference">
    <w:name w:val="annotation reference"/>
    <w:basedOn w:val="DefaultParagraphFont"/>
    <w:uiPriority w:val="99"/>
    <w:rsid w:val="0052730F"/>
    <w:rPr>
      <w:sz w:val="16"/>
      <w:szCs w:val="16"/>
    </w:rPr>
  </w:style>
  <w:style w:type="paragraph" w:styleId="CommentText">
    <w:name w:val="annotation text"/>
    <w:basedOn w:val="Normal"/>
    <w:link w:val="CommentTextChar"/>
    <w:uiPriority w:val="99"/>
    <w:rsid w:val="0052730F"/>
    <w:pPr>
      <w:spacing w:after="200"/>
    </w:pPr>
    <w:rPr>
      <w:rFonts w:eastAsiaTheme="minorHAnsi"/>
      <w:sz w:val="20"/>
      <w:szCs w:val="20"/>
      <w:lang w:eastAsia="en-US"/>
    </w:rPr>
  </w:style>
  <w:style w:type="character" w:customStyle="1" w:styleId="CommentTextChar">
    <w:name w:val="Comment Text Char"/>
    <w:basedOn w:val="DefaultParagraphFont"/>
    <w:link w:val="CommentText"/>
    <w:uiPriority w:val="99"/>
    <w:rsid w:val="0052730F"/>
    <w:rPr>
      <w:rFonts w:eastAsiaTheme="minorHAnsi"/>
      <w:sz w:val="20"/>
      <w:szCs w:val="20"/>
      <w:lang w:eastAsia="en-US"/>
    </w:rPr>
  </w:style>
  <w:style w:type="paragraph" w:styleId="CommentSubject">
    <w:name w:val="annotation subject"/>
    <w:basedOn w:val="CommentText"/>
    <w:next w:val="CommentText"/>
    <w:link w:val="CommentSubjectChar"/>
    <w:rsid w:val="0052730F"/>
    <w:rPr>
      <w:b/>
      <w:bCs/>
    </w:rPr>
  </w:style>
  <w:style w:type="character" w:customStyle="1" w:styleId="CommentSubjectChar">
    <w:name w:val="Comment Subject Char"/>
    <w:basedOn w:val="CommentTextChar"/>
    <w:link w:val="CommentSubject"/>
    <w:rsid w:val="0052730F"/>
    <w:rPr>
      <w:rFonts w:eastAsiaTheme="minorHAnsi"/>
      <w:b/>
      <w:bCs/>
      <w:sz w:val="20"/>
      <w:szCs w:val="20"/>
      <w:lang w:eastAsia="en-US"/>
    </w:rPr>
  </w:style>
  <w:style w:type="paragraph" w:styleId="Header">
    <w:name w:val="header"/>
    <w:basedOn w:val="Normal"/>
    <w:link w:val="HeaderChar"/>
    <w:rsid w:val="0052730F"/>
    <w:pPr>
      <w:tabs>
        <w:tab w:val="center" w:pos="4320"/>
        <w:tab w:val="right" w:pos="8640"/>
      </w:tabs>
    </w:pPr>
    <w:rPr>
      <w:rFonts w:eastAsiaTheme="minorHAnsi"/>
      <w:sz w:val="22"/>
      <w:szCs w:val="22"/>
      <w:lang w:eastAsia="en-US"/>
    </w:rPr>
  </w:style>
  <w:style w:type="character" w:customStyle="1" w:styleId="HeaderChar">
    <w:name w:val="Header Char"/>
    <w:basedOn w:val="DefaultParagraphFont"/>
    <w:link w:val="Header"/>
    <w:rsid w:val="0052730F"/>
    <w:rPr>
      <w:rFonts w:eastAsiaTheme="minorHAnsi"/>
      <w:sz w:val="22"/>
      <w:szCs w:val="22"/>
      <w:lang w:eastAsia="en-US"/>
    </w:rPr>
  </w:style>
  <w:style w:type="paragraph" w:styleId="Footer">
    <w:name w:val="footer"/>
    <w:basedOn w:val="Normal"/>
    <w:link w:val="FooterChar"/>
    <w:rsid w:val="0052730F"/>
    <w:pPr>
      <w:tabs>
        <w:tab w:val="center" w:pos="4320"/>
        <w:tab w:val="right" w:pos="8640"/>
      </w:tabs>
    </w:pPr>
    <w:rPr>
      <w:rFonts w:eastAsiaTheme="minorHAnsi"/>
      <w:sz w:val="22"/>
      <w:szCs w:val="22"/>
      <w:lang w:eastAsia="en-US"/>
    </w:rPr>
  </w:style>
  <w:style w:type="character" w:customStyle="1" w:styleId="FooterChar">
    <w:name w:val="Footer Char"/>
    <w:basedOn w:val="DefaultParagraphFont"/>
    <w:link w:val="Footer"/>
    <w:rsid w:val="0052730F"/>
    <w:rPr>
      <w:rFonts w:eastAsiaTheme="minorHAnsi"/>
      <w:sz w:val="22"/>
      <w:szCs w:val="22"/>
      <w:lang w:eastAsia="en-US"/>
    </w:rPr>
  </w:style>
  <w:style w:type="character" w:customStyle="1" w:styleId="PlainTextChar">
    <w:name w:val="Plain Text Char"/>
    <w:basedOn w:val="DefaultParagraphFont"/>
    <w:link w:val="PlainText"/>
    <w:uiPriority w:val="99"/>
    <w:rsid w:val="0052730F"/>
    <w:rPr>
      <w:rFonts w:ascii="Courier" w:hAnsi="Courier"/>
      <w:sz w:val="21"/>
      <w:szCs w:val="21"/>
    </w:rPr>
  </w:style>
  <w:style w:type="paragraph" w:styleId="PlainText">
    <w:name w:val="Plain Text"/>
    <w:basedOn w:val="Normal"/>
    <w:link w:val="PlainTextChar"/>
    <w:uiPriority w:val="99"/>
    <w:unhideWhenUsed/>
    <w:rsid w:val="0052730F"/>
    <w:rPr>
      <w:rFonts w:ascii="Courier" w:hAnsi="Courier"/>
      <w:sz w:val="21"/>
      <w:szCs w:val="21"/>
    </w:rPr>
  </w:style>
  <w:style w:type="character" w:customStyle="1" w:styleId="PlainTextChar1">
    <w:name w:val="Plain Text Char1"/>
    <w:basedOn w:val="DefaultParagraphFont"/>
    <w:uiPriority w:val="99"/>
    <w:rsid w:val="0052730F"/>
    <w:rPr>
      <w:rFonts w:ascii="Courier" w:hAnsi="Courier"/>
      <w:sz w:val="21"/>
      <w:szCs w:val="21"/>
    </w:rPr>
  </w:style>
  <w:style w:type="character" w:styleId="Hyperlink">
    <w:name w:val="Hyperlink"/>
    <w:basedOn w:val="DefaultParagraphFont"/>
    <w:rsid w:val="0052730F"/>
    <w:rPr>
      <w:color w:val="0000FF" w:themeColor="hyperlink"/>
      <w:u w:val="single"/>
    </w:rPr>
  </w:style>
  <w:style w:type="character" w:styleId="PageNumber">
    <w:name w:val="page number"/>
    <w:basedOn w:val="DefaultParagraphFont"/>
    <w:rsid w:val="0052730F"/>
  </w:style>
  <w:style w:type="character" w:customStyle="1" w:styleId="Heading1Char">
    <w:name w:val="Heading 1 Char"/>
    <w:basedOn w:val="DefaultParagraphFont"/>
    <w:link w:val="Heading1"/>
    <w:uiPriority w:val="9"/>
    <w:rsid w:val="0052730F"/>
    <w:rPr>
      <w:rFonts w:ascii="Times" w:eastAsia="Times New Roman" w:hAnsi="Times" w:cs="Times New Roman"/>
      <w:b/>
      <w:bCs/>
      <w:sz w:val="36"/>
      <w:szCs w:val="32"/>
      <w:lang w:val="en-US" w:eastAsia="en-US"/>
    </w:rPr>
  </w:style>
  <w:style w:type="paragraph" w:customStyle="1" w:styleId="subheadingMINOR">
    <w:name w:val="subheading MINOR"/>
    <w:basedOn w:val="SubheadingJB"/>
    <w:qFormat/>
    <w:rsid w:val="003B7DA5"/>
    <w:rPr>
      <w:sz w:val="24"/>
    </w:rPr>
  </w:style>
  <w:style w:type="paragraph" w:styleId="TOC1">
    <w:name w:val="toc 1"/>
    <w:basedOn w:val="Normal"/>
    <w:next w:val="Normal"/>
    <w:autoRedefine/>
    <w:uiPriority w:val="39"/>
    <w:unhideWhenUsed/>
    <w:rsid w:val="00DF0EE2"/>
    <w:pPr>
      <w:spacing w:before="120"/>
    </w:pPr>
    <w:rPr>
      <w:b/>
      <w:caps/>
      <w:sz w:val="22"/>
      <w:szCs w:val="22"/>
    </w:rPr>
  </w:style>
  <w:style w:type="paragraph" w:styleId="TOC2">
    <w:name w:val="toc 2"/>
    <w:basedOn w:val="Normal"/>
    <w:next w:val="Normal"/>
    <w:autoRedefine/>
    <w:uiPriority w:val="39"/>
    <w:unhideWhenUsed/>
    <w:rsid w:val="00DF0EE2"/>
    <w:pPr>
      <w:ind w:left="240"/>
    </w:pPr>
    <w:rPr>
      <w:smallCaps/>
      <w:sz w:val="22"/>
      <w:szCs w:val="22"/>
    </w:rPr>
  </w:style>
  <w:style w:type="paragraph" w:styleId="TOC3">
    <w:name w:val="toc 3"/>
    <w:basedOn w:val="Normal"/>
    <w:next w:val="Normal"/>
    <w:autoRedefine/>
    <w:uiPriority w:val="39"/>
    <w:unhideWhenUsed/>
    <w:rsid w:val="00DF0EE2"/>
    <w:pPr>
      <w:ind w:left="480"/>
    </w:pPr>
    <w:rPr>
      <w:i/>
      <w:sz w:val="22"/>
      <w:szCs w:val="22"/>
    </w:rPr>
  </w:style>
  <w:style w:type="paragraph" w:styleId="TOC4">
    <w:name w:val="toc 4"/>
    <w:basedOn w:val="Normal"/>
    <w:next w:val="Normal"/>
    <w:autoRedefine/>
    <w:uiPriority w:val="39"/>
    <w:unhideWhenUsed/>
    <w:rsid w:val="00DF0EE2"/>
    <w:pPr>
      <w:ind w:left="720"/>
    </w:pPr>
    <w:rPr>
      <w:sz w:val="18"/>
      <w:szCs w:val="18"/>
    </w:rPr>
  </w:style>
  <w:style w:type="paragraph" w:styleId="TOC5">
    <w:name w:val="toc 5"/>
    <w:basedOn w:val="Normal"/>
    <w:next w:val="Normal"/>
    <w:autoRedefine/>
    <w:uiPriority w:val="39"/>
    <w:unhideWhenUsed/>
    <w:rsid w:val="00DF0EE2"/>
    <w:pPr>
      <w:ind w:left="960"/>
    </w:pPr>
    <w:rPr>
      <w:sz w:val="18"/>
      <w:szCs w:val="18"/>
    </w:rPr>
  </w:style>
  <w:style w:type="paragraph" w:styleId="TOC6">
    <w:name w:val="toc 6"/>
    <w:basedOn w:val="Normal"/>
    <w:next w:val="Normal"/>
    <w:autoRedefine/>
    <w:uiPriority w:val="39"/>
    <w:unhideWhenUsed/>
    <w:rsid w:val="00DF0EE2"/>
    <w:pPr>
      <w:ind w:left="1200"/>
    </w:pPr>
    <w:rPr>
      <w:sz w:val="18"/>
      <w:szCs w:val="18"/>
    </w:rPr>
  </w:style>
  <w:style w:type="paragraph" w:styleId="TOC7">
    <w:name w:val="toc 7"/>
    <w:basedOn w:val="Normal"/>
    <w:next w:val="Normal"/>
    <w:autoRedefine/>
    <w:uiPriority w:val="39"/>
    <w:unhideWhenUsed/>
    <w:rsid w:val="00DF0EE2"/>
    <w:pPr>
      <w:ind w:left="1440"/>
    </w:pPr>
    <w:rPr>
      <w:sz w:val="18"/>
      <w:szCs w:val="18"/>
    </w:rPr>
  </w:style>
  <w:style w:type="paragraph" w:styleId="TOC8">
    <w:name w:val="toc 8"/>
    <w:basedOn w:val="Normal"/>
    <w:next w:val="Normal"/>
    <w:autoRedefine/>
    <w:uiPriority w:val="39"/>
    <w:unhideWhenUsed/>
    <w:rsid w:val="00DF0EE2"/>
    <w:pPr>
      <w:ind w:left="1680"/>
    </w:pPr>
    <w:rPr>
      <w:sz w:val="18"/>
      <w:szCs w:val="18"/>
    </w:rPr>
  </w:style>
  <w:style w:type="paragraph" w:styleId="TOC9">
    <w:name w:val="toc 9"/>
    <w:basedOn w:val="Normal"/>
    <w:next w:val="Normal"/>
    <w:autoRedefine/>
    <w:uiPriority w:val="39"/>
    <w:unhideWhenUsed/>
    <w:rsid w:val="00DF0EE2"/>
    <w:pPr>
      <w:ind w:left="1920"/>
    </w:pPr>
    <w:rPr>
      <w:sz w:val="18"/>
      <w:szCs w:val="18"/>
    </w:rPr>
  </w:style>
  <w:style w:type="table" w:styleId="TableGrid">
    <w:name w:val="Table Grid"/>
    <w:basedOn w:val="TableNormal"/>
    <w:uiPriority w:val="59"/>
    <w:rsid w:val="005A234F"/>
    <w:rPr>
      <w:rFonts w:eastAsiaTheme="minorHAnsi"/>
      <w:sz w:val="22"/>
      <w:szCs w:val="22"/>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ja-JP" w:bidi="ar-SA"/>
      </w:rPr>
    </w:rPrDefault>
    <w:pPrDefault/>
  </w:docDefaults>
  <w:latentStyles w:defLockedState="0" w:defUIPriority="99" w:defSemiHidden="1" w:defUnhideWhenUsed="1" w:defQFormat="0" w:count="276">
    <w:lsdException w:name="Normal" w:semiHidden="0" w:uiPriority="0" w:unhideWhenUsed="0"/>
    <w:lsdException w:name="heading 1" w:semiHidden="0" w:uiPriority="9" w:unhideWhenUsed="0"/>
    <w:lsdException w:name="heading 2" w:uiPriority="9"/>
    <w:lsdException w:name="heading 3" w:uiPriority="9"/>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line number" w:uiPriority="0"/>
    <w:lsdException w:name="page number" w:uiPriority="0"/>
    <w:lsdException w:name="Title" w:semiHidden="0" w:uiPriority="10" w:unhideWhenUsed="0"/>
    <w:lsdException w:name="Default Paragraph Font" w:uiPriority="1"/>
    <w:lsdException w:name="Subtitle" w:semiHidden="0" w:uiPriority="11" w:unhideWhenUsed="0"/>
    <w:lsdException w:name="Hyperlink" w:uiPriority="0"/>
    <w:lsdException w:name="Strong" w:semiHidden="0" w:uiPriority="22" w:unhideWhenUsed="0"/>
    <w:lsdException w:name="Emphasis" w:semiHidden="0" w:uiPriority="20" w:unhideWhenUsed="0"/>
    <w:lsdException w:name="annotation subject" w:uiPriority="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link w:val="Heading1Char"/>
    <w:uiPriority w:val="9"/>
    <w:rsid w:val="0052730F"/>
    <w:pPr>
      <w:keepNext/>
      <w:keepLines/>
      <w:spacing w:before="480"/>
      <w:outlineLvl w:val="0"/>
    </w:pPr>
    <w:rPr>
      <w:rFonts w:ascii="Times" w:eastAsia="Times New Roman" w:hAnsi="Times" w:cs="Times New Roman"/>
      <w:b/>
      <w:bCs/>
      <w:sz w:val="36"/>
      <w:szCs w:val="32"/>
      <w:lang w:val="en-US" w:eastAsia="en-US"/>
    </w:rPr>
  </w:style>
  <w:style w:type="paragraph" w:styleId="Heading2">
    <w:name w:val="heading 2"/>
    <w:basedOn w:val="Normal"/>
    <w:next w:val="Normal"/>
    <w:link w:val="Heading2Char"/>
    <w:uiPriority w:val="9"/>
    <w:unhideWhenUsed/>
    <w:rsid w:val="0052730F"/>
    <w:pPr>
      <w:keepNext/>
      <w:keepLines/>
      <w:spacing w:before="200" w:line="360" w:lineRule="auto"/>
      <w:outlineLvl w:val="1"/>
    </w:pPr>
    <w:rPr>
      <w:rFonts w:ascii="Times" w:eastAsiaTheme="majorEastAsia" w:hAnsi="Times" w:cstheme="majorBidi"/>
      <w:b/>
      <w:bCs/>
      <w:sz w:val="28"/>
      <w:szCs w:val="26"/>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rsid w:val="00A619FF"/>
    <w:pPr>
      <w:ind w:left="720"/>
      <w:contextualSpacing/>
    </w:pPr>
  </w:style>
  <w:style w:type="paragraph" w:styleId="NormalWeb">
    <w:name w:val="Normal (Web)"/>
    <w:basedOn w:val="Normal"/>
    <w:uiPriority w:val="99"/>
    <w:rsid w:val="00946591"/>
    <w:pPr>
      <w:spacing w:beforeLines="1" w:afterLines="1"/>
    </w:pPr>
    <w:rPr>
      <w:rFonts w:ascii="Times" w:hAnsi="Times" w:cs="Times New Roman"/>
      <w:sz w:val="20"/>
      <w:szCs w:val="20"/>
    </w:rPr>
  </w:style>
  <w:style w:type="paragraph" w:customStyle="1" w:styleId="HeadingJB">
    <w:name w:val="Heading JB"/>
    <w:basedOn w:val="BodyJB"/>
    <w:qFormat/>
    <w:rsid w:val="0052046B"/>
    <w:rPr>
      <w:b/>
      <w:sz w:val="36"/>
    </w:rPr>
  </w:style>
  <w:style w:type="paragraph" w:customStyle="1" w:styleId="SubheadingJB">
    <w:name w:val="Subheading JB"/>
    <w:basedOn w:val="Normal"/>
    <w:qFormat/>
    <w:rsid w:val="00B64224"/>
    <w:pPr>
      <w:spacing w:line="360" w:lineRule="auto"/>
    </w:pPr>
    <w:rPr>
      <w:rFonts w:ascii="Times" w:hAnsi="Times"/>
      <w:b/>
      <w:sz w:val="28"/>
    </w:rPr>
  </w:style>
  <w:style w:type="paragraph" w:customStyle="1" w:styleId="BodyJB">
    <w:name w:val="Body JB"/>
    <w:basedOn w:val="Normal"/>
    <w:qFormat/>
    <w:rsid w:val="0052046B"/>
    <w:pPr>
      <w:spacing w:line="360" w:lineRule="auto"/>
    </w:pPr>
    <w:rPr>
      <w:rFonts w:ascii="Times" w:hAnsi="Times"/>
    </w:rPr>
  </w:style>
  <w:style w:type="paragraph" w:styleId="BalloonText">
    <w:name w:val="Balloon Text"/>
    <w:basedOn w:val="Normal"/>
    <w:link w:val="BalloonTextChar"/>
    <w:uiPriority w:val="99"/>
    <w:unhideWhenUsed/>
    <w:rsid w:val="0052730F"/>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52730F"/>
    <w:rPr>
      <w:rFonts w:ascii="Lucida Grande" w:hAnsi="Lucida Grande" w:cs="Lucida Grande"/>
      <w:sz w:val="18"/>
      <w:szCs w:val="18"/>
    </w:rPr>
  </w:style>
  <w:style w:type="character" w:customStyle="1" w:styleId="Heading2Char">
    <w:name w:val="Heading 2 Char"/>
    <w:basedOn w:val="DefaultParagraphFont"/>
    <w:link w:val="Heading2"/>
    <w:uiPriority w:val="9"/>
    <w:rsid w:val="0052730F"/>
    <w:rPr>
      <w:rFonts w:ascii="Times" w:eastAsiaTheme="majorEastAsia" w:hAnsi="Times" w:cstheme="majorBidi"/>
      <w:b/>
      <w:bCs/>
      <w:sz w:val="28"/>
      <w:szCs w:val="26"/>
      <w:lang w:val="en-US" w:eastAsia="en-US"/>
    </w:rPr>
  </w:style>
  <w:style w:type="character" w:styleId="LineNumber">
    <w:name w:val="line number"/>
    <w:basedOn w:val="DefaultParagraphFont"/>
    <w:rsid w:val="0052730F"/>
  </w:style>
  <w:style w:type="character" w:styleId="CommentReference">
    <w:name w:val="annotation reference"/>
    <w:basedOn w:val="DefaultParagraphFont"/>
    <w:uiPriority w:val="99"/>
    <w:rsid w:val="0052730F"/>
    <w:rPr>
      <w:sz w:val="16"/>
      <w:szCs w:val="16"/>
    </w:rPr>
  </w:style>
  <w:style w:type="paragraph" w:styleId="CommentText">
    <w:name w:val="annotation text"/>
    <w:basedOn w:val="Normal"/>
    <w:link w:val="CommentTextChar"/>
    <w:uiPriority w:val="99"/>
    <w:rsid w:val="0052730F"/>
    <w:pPr>
      <w:spacing w:after="200"/>
    </w:pPr>
    <w:rPr>
      <w:rFonts w:eastAsiaTheme="minorHAnsi"/>
      <w:sz w:val="20"/>
      <w:szCs w:val="20"/>
      <w:lang w:eastAsia="en-US"/>
    </w:rPr>
  </w:style>
  <w:style w:type="character" w:customStyle="1" w:styleId="CommentTextChar">
    <w:name w:val="Comment Text Char"/>
    <w:basedOn w:val="DefaultParagraphFont"/>
    <w:link w:val="CommentText"/>
    <w:uiPriority w:val="99"/>
    <w:rsid w:val="0052730F"/>
    <w:rPr>
      <w:rFonts w:eastAsiaTheme="minorHAnsi"/>
      <w:sz w:val="20"/>
      <w:szCs w:val="20"/>
      <w:lang w:eastAsia="en-US"/>
    </w:rPr>
  </w:style>
  <w:style w:type="paragraph" w:styleId="CommentSubject">
    <w:name w:val="annotation subject"/>
    <w:basedOn w:val="CommentText"/>
    <w:next w:val="CommentText"/>
    <w:link w:val="CommentSubjectChar"/>
    <w:rsid w:val="0052730F"/>
    <w:rPr>
      <w:b/>
      <w:bCs/>
    </w:rPr>
  </w:style>
  <w:style w:type="character" w:customStyle="1" w:styleId="CommentSubjectChar">
    <w:name w:val="Comment Subject Char"/>
    <w:basedOn w:val="CommentTextChar"/>
    <w:link w:val="CommentSubject"/>
    <w:rsid w:val="0052730F"/>
    <w:rPr>
      <w:rFonts w:eastAsiaTheme="minorHAnsi"/>
      <w:b/>
      <w:bCs/>
      <w:sz w:val="20"/>
      <w:szCs w:val="20"/>
      <w:lang w:eastAsia="en-US"/>
    </w:rPr>
  </w:style>
  <w:style w:type="paragraph" w:styleId="Header">
    <w:name w:val="header"/>
    <w:basedOn w:val="Normal"/>
    <w:link w:val="HeaderChar"/>
    <w:rsid w:val="0052730F"/>
    <w:pPr>
      <w:tabs>
        <w:tab w:val="center" w:pos="4320"/>
        <w:tab w:val="right" w:pos="8640"/>
      </w:tabs>
    </w:pPr>
    <w:rPr>
      <w:rFonts w:eastAsiaTheme="minorHAnsi"/>
      <w:sz w:val="22"/>
      <w:szCs w:val="22"/>
      <w:lang w:eastAsia="en-US"/>
    </w:rPr>
  </w:style>
  <w:style w:type="character" w:customStyle="1" w:styleId="HeaderChar">
    <w:name w:val="Header Char"/>
    <w:basedOn w:val="DefaultParagraphFont"/>
    <w:link w:val="Header"/>
    <w:rsid w:val="0052730F"/>
    <w:rPr>
      <w:rFonts w:eastAsiaTheme="minorHAnsi"/>
      <w:sz w:val="22"/>
      <w:szCs w:val="22"/>
      <w:lang w:eastAsia="en-US"/>
    </w:rPr>
  </w:style>
  <w:style w:type="paragraph" w:styleId="Footer">
    <w:name w:val="footer"/>
    <w:basedOn w:val="Normal"/>
    <w:link w:val="FooterChar"/>
    <w:rsid w:val="0052730F"/>
    <w:pPr>
      <w:tabs>
        <w:tab w:val="center" w:pos="4320"/>
        <w:tab w:val="right" w:pos="8640"/>
      </w:tabs>
    </w:pPr>
    <w:rPr>
      <w:rFonts w:eastAsiaTheme="minorHAnsi"/>
      <w:sz w:val="22"/>
      <w:szCs w:val="22"/>
      <w:lang w:eastAsia="en-US"/>
    </w:rPr>
  </w:style>
  <w:style w:type="character" w:customStyle="1" w:styleId="FooterChar">
    <w:name w:val="Footer Char"/>
    <w:basedOn w:val="DefaultParagraphFont"/>
    <w:link w:val="Footer"/>
    <w:rsid w:val="0052730F"/>
    <w:rPr>
      <w:rFonts w:eastAsiaTheme="minorHAnsi"/>
      <w:sz w:val="22"/>
      <w:szCs w:val="22"/>
      <w:lang w:eastAsia="en-US"/>
    </w:rPr>
  </w:style>
  <w:style w:type="character" w:customStyle="1" w:styleId="PlainTextChar">
    <w:name w:val="Plain Text Char"/>
    <w:basedOn w:val="DefaultParagraphFont"/>
    <w:link w:val="PlainText"/>
    <w:uiPriority w:val="99"/>
    <w:rsid w:val="0052730F"/>
    <w:rPr>
      <w:rFonts w:ascii="Courier" w:hAnsi="Courier"/>
      <w:sz w:val="21"/>
      <w:szCs w:val="21"/>
    </w:rPr>
  </w:style>
  <w:style w:type="paragraph" w:styleId="PlainText">
    <w:name w:val="Plain Text"/>
    <w:basedOn w:val="Normal"/>
    <w:link w:val="PlainTextChar"/>
    <w:uiPriority w:val="99"/>
    <w:unhideWhenUsed/>
    <w:rsid w:val="0052730F"/>
    <w:rPr>
      <w:rFonts w:ascii="Courier" w:hAnsi="Courier"/>
      <w:sz w:val="21"/>
      <w:szCs w:val="21"/>
    </w:rPr>
  </w:style>
  <w:style w:type="character" w:customStyle="1" w:styleId="PlainTextChar1">
    <w:name w:val="Plain Text Char1"/>
    <w:basedOn w:val="DefaultParagraphFont"/>
    <w:uiPriority w:val="99"/>
    <w:rsid w:val="0052730F"/>
    <w:rPr>
      <w:rFonts w:ascii="Courier" w:hAnsi="Courier"/>
      <w:sz w:val="21"/>
      <w:szCs w:val="21"/>
    </w:rPr>
  </w:style>
  <w:style w:type="character" w:styleId="Hyperlink">
    <w:name w:val="Hyperlink"/>
    <w:basedOn w:val="DefaultParagraphFont"/>
    <w:rsid w:val="0052730F"/>
    <w:rPr>
      <w:color w:val="0000FF" w:themeColor="hyperlink"/>
      <w:u w:val="single"/>
    </w:rPr>
  </w:style>
  <w:style w:type="character" w:styleId="PageNumber">
    <w:name w:val="page number"/>
    <w:basedOn w:val="DefaultParagraphFont"/>
    <w:rsid w:val="0052730F"/>
  </w:style>
  <w:style w:type="character" w:customStyle="1" w:styleId="Heading1Char">
    <w:name w:val="Heading 1 Char"/>
    <w:basedOn w:val="DefaultParagraphFont"/>
    <w:link w:val="Heading1"/>
    <w:uiPriority w:val="9"/>
    <w:rsid w:val="0052730F"/>
    <w:rPr>
      <w:rFonts w:ascii="Times" w:eastAsia="Times New Roman" w:hAnsi="Times" w:cs="Times New Roman"/>
      <w:b/>
      <w:bCs/>
      <w:sz w:val="36"/>
      <w:szCs w:val="32"/>
      <w:lang w:val="en-US" w:eastAsia="en-US"/>
    </w:rPr>
  </w:style>
  <w:style w:type="paragraph" w:customStyle="1" w:styleId="subheadingMINOR">
    <w:name w:val="subheading MINOR"/>
    <w:basedOn w:val="SubheadingJB"/>
    <w:qFormat/>
    <w:rsid w:val="003B7DA5"/>
    <w:rPr>
      <w:sz w:val="24"/>
    </w:rPr>
  </w:style>
  <w:style w:type="paragraph" w:styleId="TOC1">
    <w:name w:val="toc 1"/>
    <w:basedOn w:val="Normal"/>
    <w:next w:val="Normal"/>
    <w:autoRedefine/>
    <w:uiPriority w:val="39"/>
    <w:unhideWhenUsed/>
    <w:rsid w:val="00DF0EE2"/>
    <w:pPr>
      <w:spacing w:before="120"/>
    </w:pPr>
    <w:rPr>
      <w:b/>
      <w:caps/>
      <w:sz w:val="22"/>
      <w:szCs w:val="22"/>
    </w:rPr>
  </w:style>
  <w:style w:type="paragraph" w:styleId="TOC2">
    <w:name w:val="toc 2"/>
    <w:basedOn w:val="Normal"/>
    <w:next w:val="Normal"/>
    <w:autoRedefine/>
    <w:uiPriority w:val="39"/>
    <w:unhideWhenUsed/>
    <w:rsid w:val="00DF0EE2"/>
    <w:pPr>
      <w:ind w:left="240"/>
    </w:pPr>
    <w:rPr>
      <w:smallCaps/>
      <w:sz w:val="22"/>
      <w:szCs w:val="22"/>
    </w:rPr>
  </w:style>
  <w:style w:type="paragraph" w:styleId="TOC3">
    <w:name w:val="toc 3"/>
    <w:basedOn w:val="Normal"/>
    <w:next w:val="Normal"/>
    <w:autoRedefine/>
    <w:uiPriority w:val="39"/>
    <w:unhideWhenUsed/>
    <w:rsid w:val="00DF0EE2"/>
    <w:pPr>
      <w:ind w:left="480"/>
    </w:pPr>
    <w:rPr>
      <w:i/>
      <w:sz w:val="22"/>
      <w:szCs w:val="22"/>
    </w:rPr>
  </w:style>
  <w:style w:type="paragraph" w:styleId="TOC4">
    <w:name w:val="toc 4"/>
    <w:basedOn w:val="Normal"/>
    <w:next w:val="Normal"/>
    <w:autoRedefine/>
    <w:uiPriority w:val="39"/>
    <w:unhideWhenUsed/>
    <w:rsid w:val="00DF0EE2"/>
    <w:pPr>
      <w:ind w:left="720"/>
    </w:pPr>
    <w:rPr>
      <w:sz w:val="18"/>
      <w:szCs w:val="18"/>
    </w:rPr>
  </w:style>
  <w:style w:type="paragraph" w:styleId="TOC5">
    <w:name w:val="toc 5"/>
    <w:basedOn w:val="Normal"/>
    <w:next w:val="Normal"/>
    <w:autoRedefine/>
    <w:uiPriority w:val="39"/>
    <w:unhideWhenUsed/>
    <w:rsid w:val="00DF0EE2"/>
    <w:pPr>
      <w:ind w:left="960"/>
    </w:pPr>
    <w:rPr>
      <w:sz w:val="18"/>
      <w:szCs w:val="18"/>
    </w:rPr>
  </w:style>
  <w:style w:type="paragraph" w:styleId="TOC6">
    <w:name w:val="toc 6"/>
    <w:basedOn w:val="Normal"/>
    <w:next w:val="Normal"/>
    <w:autoRedefine/>
    <w:uiPriority w:val="39"/>
    <w:unhideWhenUsed/>
    <w:rsid w:val="00DF0EE2"/>
    <w:pPr>
      <w:ind w:left="1200"/>
    </w:pPr>
    <w:rPr>
      <w:sz w:val="18"/>
      <w:szCs w:val="18"/>
    </w:rPr>
  </w:style>
  <w:style w:type="paragraph" w:styleId="TOC7">
    <w:name w:val="toc 7"/>
    <w:basedOn w:val="Normal"/>
    <w:next w:val="Normal"/>
    <w:autoRedefine/>
    <w:uiPriority w:val="39"/>
    <w:unhideWhenUsed/>
    <w:rsid w:val="00DF0EE2"/>
    <w:pPr>
      <w:ind w:left="1440"/>
    </w:pPr>
    <w:rPr>
      <w:sz w:val="18"/>
      <w:szCs w:val="18"/>
    </w:rPr>
  </w:style>
  <w:style w:type="paragraph" w:styleId="TOC8">
    <w:name w:val="toc 8"/>
    <w:basedOn w:val="Normal"/>
    <w:next w:val="Normal"/>
    <w:autoRedefine/>
    <w:uiPriority w:val="39"/>
    <w:unhideWhenUsed/>
    <w:rsid w:val="00DF0EE2"/>
    <w:pPr>
      <w:ind w:left="1680"/>
    </w:pPr>
    <w:rPr>
      <w:sz w:val="18"/>
      <w:szCs w:val="18"/>
    </w:rPr>
  </w:style>
  <w:style w:type="paragraph" w:styleId="TOC9">
    <w:name w:val="toc 9"/>
    <w:basedOn w:val="Normal"/>
    <w:next w:val="Normal"/>
    <w:autoRedefine/>
    <w:uiPriority w:val="39"/>
    <w:unhideWhenUsed/>
    <w:rsid w:val="00DF0EE2"/>
    <w:pPr>
      <w:ind w:left="1920"/>
    </w:pPr>
    <w:rPr>
      <w:sz w:val="18"/>
      <w:szCs w:val="18"/>
    </w:rPr>
  </w:style>
  <w:style w:type="table" w:styleId="TableGrid">
    <w:name w:val="Table Grid"/>
    <w:basedOn w:val="TableNormal"/>
    <w:uiPriority w:val="59"/>
    <w:rsid w:val="005A234F"/>
    <w:rPr>
      <w:rFonts w:eastAsiaTheme="minorHAnsi"/>
      <w:sz w:val="22"/>
      <w:szCs w:val="22"/>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209360">
      <w:bodyDiv w:val="1"/>
      <w:marLeft w:val="0"/>
      <w:marRight w:val="0"/>
      <w:marTop w:val="0"/>
      <w:marBottom w:val="0"/>
      <w:divBdr>
        <w:top w:val="none" w:sz="0" w:space="0" w:color="auto"/>
        <w:left w:val="none" w:sz="0" w:space="0" w:color="auto"/>
        <w:bottom w:val="none" w:sz="0" w:space="0" w:color="auto"/>
        <w:right w:val="none" w:sz="0" w:space="0" w:color="auto"/>
      </w:divBdr>
    </w:div>
    <w:div w:id="494884934">
      <w:bodyDiv w:val="1"/>
      <w:marLeft w:val="0"/>
      <w:marRight w:val="0"/>
      <w:marTop w:val="0"/>
      <w:marBottom w:val="0"/>
      <w:divBdr>
        <w:top w:val="none" w:sz="0" w:space="0" w:color="auto"/>
        <w:left w:val="none" w:sz="0" w:space="0" w:color="auto"/>
        <w:bottom w:val="none" w:sz="0" w:space="0" w:color="auto"/>
        <w:right w:val="none" w:sz="0" w:space="0" w:color="auto"/>
      </w:divBdr>
    </w:div>
    <w:div w:id="854265239">
      <w:bodyDiv w:val="1"/>
      <w:marLeft w:val="0"/>
      <w:marRight w:val="0"/>
      <w:marTop w:val="0"/>
      <w:marBottom w:val="0"/>
      <w:divBdr>
        <w:top w:val="none" w:sz="0" w:space="0" w:color="auto"/>
        <w:left w:val="none" w:sz="0" w:space="0" w:color="auto"/>
        <w:bottom w:val="none" w:sz="0" w:space="0" w:color="auto"/>
        <w:right w:val="none" w:sz="0" w:space="0" w:color="auto"/>
      </w:divBdr>
    </w:div>
    <w:div w:id="895237564">
      <w:bodyDiv w:val="1"/>
      <w:marLeft w:val="0"/>
      <w:marRight w:val="0"/>
      <w:marTop w:val="0"/>
      <w:marBottom w:val="0"/>
      <w:divBdr>
        <w:top w:val="none" w:sz="0" w:space="0" w:color="auto"/>
        <w:left w:val="none" w:sz="0" w:space="0" w:color="auto"/>
        <w:bottom w:val="none" w:sz="0" w:space="0" w:color="auto"/>
        <w:right w:val="none" w:sz="0" w:space="0" w:color="auto"/>
      </w:divBdr>
    </w:div>
    <w:div w:id="1192721789">
      <w:bodyDiv w:val="1"/>
      <w:marLeft w:val="0"/>
      <w:marRight w:val="0"/>
      <w:marTop w:val="0"/>
      <w:marBottom w:val="0"/>
      <w:divBdr>
        <w:top w:val="none" w:sz="0" w:space="0" w:color="auto"/>
        <w:left w:val="none" w:sz="0" w:space="0" w:color="auto"/>
        <w:bottom w:val="none" w:sz="0" w:space="0" w:color="auto"/>
        <w:right w:val="none" w:sz="0" w:space="0" w:color="auto"/>
      </w:divBdr>
    </w:div>
    <w:div w:id="1352683769">
      <w:bodyDiv w:val="1"/>
      <w:marLeft w:val="0"/>
      <w:marRight w:val="0"/>
      <w:marTop w:val="0"/>
      <w:marBottom w:val="0"/>
      <w:divBdr>
        <w:top w:val="none" w:sz="0" w:space="0" w:color="auto"/>
        <w:left w:val="none" w:sz="0" w:space="0" w:color="auto"/>
        <w:bottom w:val="none" w:sz="0" w:space="0" w:color="auto"/>
        <w:right w:val="none" w:sz="0" w:space="0" w:color="auto"/>
      </w:divBdr>
    </w:div>
    <w:div w:id="1641571178">
      <w:bodyDiv w:val="1"/>
      <w:marLeft w:val="0"/>
      <w:marRight w:val="0"/>
      <w:marTop w:val="0"/>
      <w:marBottom w:val="0"/>
      <w:divBdr>
        <w:top w:val="none" w:sz="0" w:space="0" w:color="auto"/>
        <w:left w:val="none" w:sz="0" w:space="0" w:color="auto"/>
        <w:bottom w:val="none" w:sz="0" w:space="0" w:color="auto"/>
        <w:right w:val="none" w:sz="0" w:space="0" w:color="auto"/>
      </w:divBdr>
    </w:div>
    <w:div w:id="2145735759">
      <w:bodyDiv w:val="1"/>
      <w:marLeft w:val="0"/>
      <w:marRight w:val="0"/>
      <w:marTop w:val="0"/>
      <w:marBottom w:val="0"/>
      <w:divBdr>
        <w:top w:val="none" w:sz="0" w:space="0" w:color="auto"/>
        <w:left w:val="none" w:sz="0" w:space="0" w:color="auto"/>
        <w:bottom w:val="none" w:sz="0" w:space="0" w:color="auto"/>
        <w:right w:val="none" w:sz="0" w:space="0" w:color="auto"/>
      </w:divBdr>
      <w:divsChild>
        <w:div w:id="1180506461">
          <w:marLeft w:val="0"/>
          <w:marRight w:val="0"/>
          <w:marTop w:val="0"/>
          <w:marBottom w:val="0"/>
          <w:divBdr>
            <w:top w:val="none" w:sz="0" w:space="0" w:color="auto"/>
            <w:left w:val="none" w:sz="0" w:space="0" w:color="auto"/>
            <w:bottom w:val="none" w:sz="0" w:space="0" w:color="auto"/>
            <w:right w:val="none" w:sz="0" w:space="0" w:color="auto"/>
          </w:divBdr>
          <w:divsChild>
            <w:div w:id="447087087">
              <w:marLeft w:val="0"/>
              <w:marRight w:val="0"/>
              <w:marTop w:val="0"/>
              <w:marBottom w:val="0"/>
              <w:divBdr>
                <w:top w:val="none" w:sz="0" w:space="0" w:color="auto"/>
                <w:left w:val="none" w:sz="0" w:space="0" w:color="auto"/>
                <w:bottom w:val="none" w:sz="0" w:space="0" w:color="auto"/>
                <w:right w:val="none" w:sz="0" w:space="0" w:color="auto"/>
              </w:divBdr>
              <w:divsChild>
                <w:div w:id="2023626846">
                  <w:marLeft w:val="0"/>
                  <w:marRight w:val="0"/>
                  <w:marTop w:val="0"/>
                  <w:marBottom w:val="0"/>
                  <w:divBdr>
                    <w:top w:val="none" w:sz="0" w:space="0" w:color="auto"/>
                    <w:left w:val="none" w:sz="0" w:space="0" w:color="auto"/>
                    <w:bottom w:val="none" w:sz="0" w:space="0" w:color="auto"/>
                    <w:right w:val="none" w:sz="0" w:space="0" w:color="auto"/>
                  </w:divBdr>
                  <w:divsChild>
                    <w:div w:id="572354876">
                      <w:marLeft w:val="0"/>
                      <w:marRight w:val="0"/>
                      <w:marTop w:val="0"/>
                      <w:marBottom w:val="0"/>
                      <w:divBdr>
                        <w:top w:val="none" w:sz="0" w:space="0" w:color="auto"/>
                        <w:left w:val="none" w:sz="0" w:space="0" w:color="auto"/>
                        <w:bottom w:val="none" w:sz="0" w:space="0" w:color="auto"/>
                        <w:right w:val="none" w:sz="0" w:space="0" w:color="auto"/>
                      </w:divBdr>
                      <w:divsChild>
                        <w:div w:id="806554862">
                          <w:marLeft w:val="0"/>
                          <w:marRight w:val="0"/>
                          <w:marTop w:val="0"/>
                          <w:marBottom w:val="0"/>
                          <w:divBdr>
                            <w:top w:val="none" w:sz="0" w:space="0" w:color="auto"/>
                            <w:left w:val="none" w:sz="0" w:space="0" w:color="auto"/>
                            <w:bottom w:val="none" w:sz="0" w:space="0" w:color="auto"/>
                            <w:right w:val="none" w:sz="0" w:space="0" w:color="auto"/>
                          </w:divBdr>
                          <w:divsChild>
                            <w:div w:id="1053653808">
                              <w:marLeft w:val="0"/>
                              <w:marRight w:val="0"/>
                              <w:marTop w:val="0"/>
                              <w:marBottom w:val="0"/>
                              <w:divBdr>
                                <w:top w:val="none" w:sz="0" w:space="0" w:color="auto"/>
                                <w:left w:val="none" w:sz="0" w:space="0" w:color="auto"/>
                                <w:bottom w:val="none" w:sz="0" w:space="0" w:color="auto"/>
                                <w:right w:val="none" w:sz="0" w:space="0" w:color="auto"/>
                              </w:divBdr>
                              <w:divsChild>
                                <w:div w:id="1790126080">
                                  <w:marLeft w:val="0"/>
                                  <w:marRight w:val="0"/>
                                  <w:marTop w:val="0"/>
                                  <w:marBottom w:val="0"/>
                                  <w:divBdr>
                                    <w:top w:val="none" w:sz="0" w:space="0" w:color="auto"/>
                                    <w:left w:val="none" w:sz="0" w:space="0" w:color="auto"/>
                                    <w:bottom w:val="none" w:sz="0" w:space="0" w:color="auto"/>
                                    <w:right w:val="none" w:sz="0" w:space="0" w:color="auto"/>
                                  </w:divBdr>
                                  <w:divsChild>
                                    <w:div w:id="1655990147">
                                      <w:marLeft w:val="0"/>
                                      <w:marRight w:val="0"/>
                                      <w:marTop w:val="0"/>
                                      <w:marBottom w:val="0"/>
                                      <w:divBdr>
                                        <w:top w:val="none" w:sz="0" w:space="0" w:color="auto"/>
                                        <w:left w:val="none" w:sz="0" w:space="0" w:color="auto"/>
                                        <w:bottom w:val="none" w:sz="0" w:space="0" w:color="auto"/>
                                        <w:right w:val="none" w:sz="0" w:space="0" w:color="auto"/>
                                      </w:divBdr>
                                      <w:divsChild>
                                        <w:div w:id="1435705551">
                                          <w:marLeft w:val="0"/>
                                          <w:marRight w:val="0"/>
                                          <w:marTop w:val="0"/>
                                          <w:marBottom w:val="0"/>
                                          <w:divBdr>
                                            <w:top w:val="none" w:sz="0" w:space="0" w:color="auto"/>
                                            <w:left w:val="none" w:sz="0" w:space="0" w:color="auto"/>
                                            <w:bottom w:val="none" w:sz="0" w:space="0" w:color="auto"/>
                                            <w:right w:val="none" w:sz="0" w:space="0" w:color="auto"/>
                                          </w:divBdr>
                                          <w:divsChild>
                                            <w:div w:id="74133697">
                                              <w:marLeft w:val="0"/>
                                              <w:marRight w:val="0"/>
                                              <w:marTop w:val="0"/>
                                              <w:marBottom w:val="0"/>
                                              <w:divBdr>
                                                <w:top w:val="none" w:sz="0" w:space="0" w:color="auto"/>
                                                <w:left w:val="none" w:sz="0" w:space="0" w:color="auto"/>
                                                <w:bottom w:val="none" w:sz="0" w:space="0" w:color="auto"/>
                                                <w:right w:val="none" w:sz="0" w:space="0" w:color="auto"/>
                                              </w:divBdr>
                                              <w:divsChild>
                                                <w:div w:id="850414462">
                                                  <w:marLeft w:val="0"/>
                                                  <w:marRight w:val="0"/>
                                                  <w:marTop w:val="0"/>
                                                  <w:marBottom w:val="0"/>
                                                  <w:divBdr>
                                                    <w:top w:val="none" w:sz="0" w:space="0" w:color="auto"/>
                                                    <w:left w:val="none" w:sz="0" w:space="0" w:color="auto"/>
                                                    <w:bottom w:val="none" w:sz="0" w:space="0" w:color="auto"/>
                                                    <w:right w:val="none" w:sz="0" w:space="0" w:color="auto"/>
                                                  </w:divBdr>
                                                  <w:divsChild>
                                                    <w:div w:id="330110982">
                                                      <w:marLeft w:val="0"/>
                                                      <w:marRight w:val="0"/>
                                                      <w:marTop w:val="0"/>
                                                      <w:marBottom w:val="0"/>
                                                      <w:divBdr>
                                                        <w:top w:val="none" w:sz="0" w:space="0" w:color="auto"/>
                                                        <w:left w:val="none" w:sz="0" w:space="0" w:color="auto"/>
                                                        <w:bottom w:val="none" w:sz="0" w:space="0" w:color="auto"/>
                                                        <w:right w:val="none" w:sz="0" w:space="0" w:color="auto"/>
                                                      </w:divBdr>
                                                      <w:divsChild>
                                                        <w:div w:id="685907952">
                                                          <w:marLeft w:val="0"/>
                                                          <w:marRight w:val="0"/>
                                                          <w:marTop w:val="0"/>
                                                          <w:marBottom w:val="0"/>
                                                          <w:divBdr>
                                                            <w:top w:val="none" w:sz="0" w:space="0" w:color="auto"/>
                                                            <w:left w:val="none" w:sz="0" w:space="0" w:color="auto"/>
                                                            <w:bottom w:val="none" w:sz="0" w:space="0" w:color="auto"/>
                                                            <w:right w:val="none" w:sz="0" w:space="0" w:color="auto"/>
                                                          </w:divBdr>
                                                          <w:divsChild>
                                                            <w:div w:id="1268924669">
                                                              <w:marLeft w:val="0"/>
                                                              <w:marRight w:val="0"/>
                                                              <w:marTop w:val="0"/>
                                                              <w:marBottom w:val="0"/>
                                                              <w:divBdr>
                                                                <w:top w:val="none" w:sz="0" w:space="0" w:color="auto"/>
                                                                <w:left w:val="none" w:sz="0" w:space="0" w:color="auto"/>
                                                                <w:bottom w:val="none" w:sz="0" w:space="0" w:color="auto"/>
                                                                <w:right w:val="none" w:sz="0" w:space="0" w:color="auto"/>
                                                              </w:divBdr>
                                                            </w:div>
                                                            <w:div w:id="1396390487">
                                                              <w:marLeft w:val="0"/>
                                                              <w:marRight w:val="0"/>
                                                              <w:marTop w:val="0"/>
                                                              <w:marBottom w:val="0"/>
                                                              <w:divBdr>
                                                                <w:top w:val="none" w:sz="0" w:space="0" w:color="auto"/>
                                                                <w:left w:val="none" w:sz="0" w:space="0" w:color="auto"/>
                                                                <w:bottom w:val="none" w:sz="0" w:space="0" w:color="auto"/>
                                                                <w:right w:val="none" w:sz="0" w:space="0" w:color="auto"/>
                                                              </w:divBdr>
                                                              <w:divsChild>
                                                                <w:div w:id="866598514">
                                                                  <w:marLeft w:val="0"/>
                                                                  <w:marRight w:val="0"/>
                                                                  <w:marTop w:val="0"/>
                                                                  <w:marBottom w:val="0"/>
                                                                  <w:divBdr>
                                                                    <w:top w:val="none" w:sz="0" w:space="0" w:color="auto"/>
                                                                    <w:left w:val="none" w:sz="0" w:space="0" w:color="auto"/>
                                                                    <w:bottom w:val="none" w:sz="0" w:space="0" w:color="auto"/>
                                                                    <w:right w:val="none" w:sz="0" w:space="0" w:color="auto"/>
                                                                  </w:divBdr>
                                                                  <w:divsChild>
                                                                    <w:div w:id="1944222666">
                                                                      <w:marLeft w:val="0"/>
                                                                      <w:marRight w:val="0"/>
                                                                      <w:marTop w:val="0"/>
                                                                      <w:marBottom w:val="0"/>
                                                                      <w:divBdr>
                                                                        <w:top w:val="none" w:sz="0" w:space="0" w:color="auto"/>
                                                                        <w:left w:val="none" w:sz="0" w:space="0" w:color="auto"/>
                                                                        <w:bottom w:val="none" w:sz="0" w:space="0" w:color="auto"/>
                                                                        <w:right w:val="none" w:sz="0" w:space="0" w:color="auto"/>
                                                                      </w:divBdr>
                                                                      <w:divsChild>
                                                                        <w:div w:id="1115639306">
                                                                          <w:marLeft w:val="0"/>
                                                                          <w:marRight w:val="0"/>
                                                                          <w:marTop w:val="0"/>
                                                                          <w:marBottom w:val="0"/>
                                                                          <w:divBdr>
                                                                            <w:top w:val="none" w:sz="0" w:space="0" w:color="auto"/>
                                                                            <w:left w:val="none" w:sz="0" w:space="0" w:color="auto"/>
                                                                            <w:bottom w:val="none" w:sz="0" w:space="0" w:color="auto"/>
                                                                            <w:right w:val="none" w:sz="0" w:space="0" w:color="auto"/>
                                                                          </w:divBdr>
                                                                          <w:divsChild>
                                                                            <w:div w:id="2099986682">
                                                                              <w:marLeft w:val="0"/>
                                                                              <w:marRight w:val="0"/>
                                                                              <w:marTop w:val="0"/>
                                                                              <w:marBottom w:val="0"/>
                                                                              <w:divBdr>
                                                                                <w:top w:val="none" w:sz="0" w:space="0" w:color="auto"/>
                                                                                <w:left w:val="none" w:sz="0" w:space="0" w:color="auto"/>
                                                                                <w:bottom w:val="none" w:sz="0" w:space="0" w:color="auto"/>
                                                                                <w:right w:val="none" w:sz="0" w:space="0" w:color="auto"/>
                                                                              </w:divBdr>
                                                                              <w:divsChild>
                                                                                <w:div w:id="82184355">
                                                                                  <w:marLeft w:val="0"/>
                                                                                  <w:marRight w:val="0"/>
                                                                                  <w:marTop w:val="0"/>
                                                                                  <w:marBottom w:val="0"/>
                                                                                  <w:divBdr>
                                                                                    <w:top w:val="none" w:sz="0" w:space="0" w:color="auto"/>
                                                                                    <w:left w:val="none" w:sz="0" w:space="0" w:color="auto"/>
                                                                                    <w:bottom w:val="none" w:sz="0" w:space="0" w:color="auto"/>
                                                                                    <w:right w:val="none" w:sz="0" w:space="0" w:color="auto"/>
                                                                                  </w:divBdr>
                                                                                  <w:divsChild>
                                                                                    <w:div w:id="432013896">
                                                                                      <w:marLeft w:val="0"/>
                                                                                      <w:marRight w:val="0"/>
                                                                                      <w:marTop w:val="0"/>
                                                                                      <w:marBottom w:val="0"/>
                                                                                      <w:divBdr>
                                                                                        <w:top w:val="none" w:sz="0" w:space="0" w:color="auto"/>
                                                                                        <w:left w:val="none" w:sz="0" w:space="0" w:color="auto"/>
                                                                                        <w:bottom w:val="none" w:sz="0" w:space="0" w:color="auto"/>
                                                                                        <w:right w:val="none" w:sz="0" w:space="0" w:color="auto"/>
                                                                                      </w:divBdr>
                                                                                      <w:divsChild>
                                                                                        <w:div w:id="1182940013">
                                                                                          <w:marLeft w:val="0"/>
                                                                                          <w:marRight w:val="0"/>
                                                                                          <w:marTop w:val="0"/>
                                                                                          <w:marBottom w:val="0"/>
                                                                                          <w:divBdr>
                                                                                            <w:top w:val="none" w:sz="0" w:space="0" w:color="auto"/>
                                                                                            <w:left w:val="none" w:sz="0" w:space="0" w:color="auto"/>
                                                                                            <w:bottom w:val="none" w:sz="0" w:space="0" w:color="auto"/>
                                                                                            <w:right w:val="none" w:sz="0" w:space="0" w:color="auto"/>
                                                                                          </w:divBdr>
                                                                                          <w:divsChild>
                                                                                            <w:div w:id="79641560">
                                                                                              <w:marLeft w:val="0"/>
                                                                                              <w:marRight w:val="0"/>
                                                                                              <w:marTop w:val="0"/>
                                                                                              <w:marBottom w:val="0"/>
                                                                                              <w:divBdr>
                                                                                                <w:top w:val="none" w:sz="0" w:space="0" w:color="auto"/>
                                                                                                <w:left w:val="none" w:sz="0" w:space="0" w:color="auto"/>
                                                                                                <w:bottom w:val="none" w:sz="0" w:space="0" w:color="auto"/>
                                                                                                <w:right w:val="none" w:sz="0" w:space="0" w:color="auto"/>
                                                                                              </w:divBdr>
                                                                                              <w:divsChild>
                                                                                                <w:div w:id="792480124">
                                                                                                  <w:marLeft w:val="0"/>
                                                                                                  <w:marRight w:val="0"/>
                                                                                                  <w:marTop w:val="0"/>
                                                                                                  <w:marBottom w:val="0"/>
                                                                                                  <w:divBdr>
                                                                                                    <w:top w:val="none" w:sz="0" w:space="0" w:color="auto"/>
                                                                                                    <w:left w:val="none" w:sz="0" w:space="0" w:color="auto"/>
                                                                                                    <w:bottom w:val="none" w:sz="0" w:space="0" w:color="auto"/>
                                                                                                    <w:right w:val="none" w:sz="0" w:space="0" w:color="auto"/>
                                                                                                  </w:divBdr>
                                                                                                  <w:divsChild>
                                                                                                    <w:div w:id="990333951">
                                                                                                      <w:marLeft w:val="0"/>
                                                                                                      <w:marRight w:val="0"/>
                                                                                                      <w:marTop w:val="0"/>
                                                                                                      <w:marBottom w:val="0"/>
                                                                                                      <w:divBdr>
                                                                                                        <w:top w:val="none" w:sz="0" w:space="0" w:color="auto"/>
                                                                                                        <w:left w:val="none" w:sz="0" w:space="0" w:color="auto"/>
                                                                                                        <w:bottom w:val="none" w:sz="0" w:space="0" w:color="auto"/>
                                                                                                        <w:right w:val="none" w:sz="0" w:space="0" w:color="auto"/>
                                                                                                      </w:divBdr>
                                                                                                      <w:divsChild>
                                                                                                        <w:div w:id="1953054992">
                                                                                                          <w:marLeft w:val="0"/>
                                                                                                          <w:marRight w:val="0"/>
                                                                                                          <w:marTop w:val="0"/>
                                                                                                          <w:marBottom w:val="0"/>
                                                                                                          <w:divBdr>
                                                                                                            <w:top w:val="none" w:sz="0" w:space="0" w:color="auto"/>
                                                                                                            <w:left w:val="none" w:sz="0" w:space="0" w:color="auto"/>
                                                                                                            <w:bottom w:val="none" w:sz="0" w:space="0" w:color="auto"/>
                                                                                                            <w:right w:val="none" w:sz="0" w:space="0" w:color="auto"/>
                                                                                                          </w:divBdr>
                                                                                                          <w:divsChild>
                                                                                                            <w:div w:id="1287349303">
                                                                                                              <w:marLeft w:val="0"/>
                                                                                                              <w:marRight w:val="0"/>
                                                                                                              <w:marTop w:val="0"/>
                                                                                                              <w:marBottom w:val="0"/>
                                                                                                              <w:divBdr>
                                                                                                                <w:top w:val="none" w:sz="0" w:space="0" w:color="auto"/>
                                                                                                                <w:left w:val="none" w:sz="0" w:space="0" w:color="auto"/>
                                                                                                                <w:bottom w:val="none" w:sz="0" w:space="0" w:color="auto"/>
                                                                                                                <w:right w:val="none" w:sz="0" w:space="0" w:color="auto"/>
                                                                                                              </w:divBdr>
                                                                                                              <w:divsChild>
                                                                                                                <w:div w:id="499010455">
                                                                                                                  <w:marLeft w:val="0"/>
                                                                                                                  <w:marRight w:val="0"/>
                                                                                                                  <w:marTop w:val="0"/>
                                                                                                                  <w:marBottom w:val="0"/>
                                                                                                                  <w:divBdr>
                                                                                                                    <w:top w:val="none" w:sz="0" w:space="0" w:color="auto"/>
                                                                                                                    <w:left w:val="none" w:sz="0" w:space="0" w:color="auto"/>
                                                                                                                    <w:bottom w:val="none" w:sz="0" w:space="0" w:color="auto"/>
                                                                                                                    <w:right w:val="none" w:sz="0" w:space="0" w:color="auto"/>
                                                                                                                  </w:divBdr>
                                                                                                                  <w:divsChild>
                                                                                                                    <w:div w:id="37630555">
                                                                                                                      <w:marLeft w:val="0"/>
                                                                                                                      <w:marRight w:val="0"/>
                                                                                                                      <w:marTop w:val="0"/>
                                                                                                                      <w:marBottom w:val="0"/>
                                                                                                                      <w:divBdr>
                                                                                                                        <w:top w:val="none" w:sz="0" w:space="0" w:color="auto"/>
                                                                                                                        <w:left w:val="none" w:sz="0" w:space="0" w:color="auto"/>
                                                                                                                        <w:bottom w:val="none" w:sz="0" w:space="0" w:color="auto"/>
                                                                                                                        <w:right w:val="none" w:sz="0" w:space="0" w:color="auto"/>
                                                                                                                      </w:divBdr>
                                                                                                                      <w:divsChild>
                                                                                                                        <w:div w:id="16201724">
                                                                                                                          <w:marLeft w:val="0"/>
                                                                                                                          <w:marRight w:val="0"/>
                                                                                                                          <w:marTop w:val="0"/>
                                                                                                                          <w:marBottom w:val="0"/>
                                                                                                                          <w:divBdr>
                                                                                                                            <w:top w:val="none" w:sz="0" w:space="0" w:color="auto"/>
                                                                                                                            <w:left w:val="none" w:sz="0" w:space="0" w:color="auto"/>
                                                                                                                            <w:bottom w:val="none" w:sz="0" w:space="0" w:color="auto"/>
                                                                                                                            <w:right w:val="none" w:sz="0" w:space="0" w:color="auto"/>
                                                                                                                          </w:divBdr>
                                                                                                                        </w:div>
                                                                                                                        <w:div w:id="1748573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4" Type="http://schemas.openxmlformats.org/officeDocument/2006/relationships/image" Target="media/image3.jp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63" Type="http://schemas.openxmlformats.org/officeDocument/2006/relationships/footer" Target="footer19.xml"/><Relationship Id="rId64" Type="http://schemas.openxmlformats.org/officeDocument/2006/relationships/image" Target="media/image37.png"/><Relationship Id="rId65" Type="http://schemas.openxmlformats.org/officeDocument/2006/relationships/image" Target="media/image38.emf"/><Relationship Id="rId66" Type="http://schemas.openxmlformats.org/officeDocument/2006/relationships/image" Target="media/image39.emf"/><Relationship Id="rId67" Type="http://schemas.openxmlformats.org/officeDocument/2006/relationships/image" Target="media/image40.emf"/><Relationship Id="rId68" Type="http://schemas.openxmlformats.org/officeDocument/2006/relationships/image" Target="media/image41.emf"/><Relationship Id="rId69" Type="http://schemas.openxmlformats.org/officeDocument/2006/relationships/image" Target="media/image42.emf"/><Relationship Id="rId50" Type="http://schemas.openxmlformats.org/officeDocument/2006/relationships/image" Target="media/image27.emf"/><Relationship Id="rId51" Type="http://schemas.openxmlformats.org/officeDocument/2006/relationships/image" Target="media/image28.emf"/><Relationship Id="rId52" Type="http://schemas.openxmlformats.org/officeDocument/2006/relationships/image" Target="media/image29.jpg"/><Relationship Id="rId53" Type="http://schemas.openxmlformats.org/officeDocument/2006/relationships/image" Target="media/image30.emf"/><Relationship Id="rId54" Type="http://schemas.openxmlformats.org/officeDocument/2006/relationships/footer" Target="footer16.xml"/><Relationship Id="rId55" Type="http://schemas.openxmlformats.org/officeDocument/2006/relationships/footer" Target="footer17.xml"/><Relationship Id="rId56" Type="http://schemas.openxmlformats.org/officeDocument/2006/relationships/image" Target="media/image31.png"/><Relationship Id="rId57" Type="http://schemas.openxmlformats.org/officeDocument/2006/relationships/image" Target="media/image32.jpg"/><Relationship Id="rId58" Type="http://schemas.openxmlformats.org/officeDocument/2006/relationships/image" Target="media/image33.jpg"/><Relationship Id="rId59" Type="http://schemas.openxmlformats.org/officeDocument/2006/relationships/footer" Target="footer18.xml"/><Relationship Id="rId40" Type="http://schemas.openxmlformats.org/officeDocument/2006/relationships/image" Target="media/image21.emf"/><Relationship Id="rId41" Type="http://schemas.openxmlformats.org/officeDocument/2006/relationships/footer" Target="footer12.xml"/><Relationship Id="rId42" Type="http://schemas.openxmlformats.org/officeDocument/2006/relationships/image" Target="media/image22.png"/><Relationship Id="rId43" Type="http://schemas.openxmlformats.org/officeDocument/2006/relationships/image" Target="media/image23.jpg"/><Relationship Id="rId44" Type="http://schemas.openxmlformats.org/officeDocument/2006/relationships/image" Target="media/image24.jpg"/><Relationship Id="rId45" Type="http://schemas.openxmlformats.org/officeDocument/2006/relationships/image" Target="media/image25.jpg"/><Relationship Id="rId46" Type="http://schemas.openxmlformats.org/officeDocument/2006/relationships/footer" Target="footer13.xml"/><Relationship Id="rId47" Type="http://schemas.openxmlformats.org/officeDocument/2006/relationships/image" Target="media/image26.emf"/><Relationship Id="rId48" Type="http://schemas.openxmlformats.org/officeDocument/2006/relationships/footer" Target="footer14.xml"/><Relationship Id="rId49" Type="http://schemas.openxmlformats.org/officeDocument/2006/relationships/footer" Target="footer15.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15.emf"/><Relationship Id="rId31" Type="http://schemas.openxmlformats.org/officeDocument/2006/relationships/image" Target="media/image16.emf"/><Relationship Id="rId32" Type="http://schemas.openxmlformats.org/officeDocument/2006/relationships/image" Target="media/image17.emf"/><Relationship Id="rId33" Type="http://schemas.openxmlformats.org/officeDocument/2006/relationships/image" Target="media/image18.emf"/><Relationship Id="rId34" Type="http://schemas.openxmlformats.org/officeDocument/2006/relationships/footer" Target="footer8.xml"/><Relationship Id="rId35" Type="http://schemas.openxmlformats.org/officeDocument/2006/relationships/footer" Target="footer9.xml"/><Relationship Id="rId36" Type="http://schemas.openxmlformats.org/officeDocument/2006/relationships/image" Target="media/image19.emf"/><Relationship Id="rId37" Type="http://schemas.openxmlformats.org/officeDocument/2006/relationships/image" Target="media/image20.emf"/><Relationship Id="rId38" Type="http://schemas.openxmlformats.org/officeDocument/2006/relationships/footer" Target="footer10.xml"/><Relationship Id="rId39" Type="http://schemas.openxmlformats.org/officeDocument/2006/relationships/footer" Target="footer11.xml"/><Relationship Id="rId80" Type="http://schemas.openxmlformats.org/officeDocument/2006/relationships/fontTable" Target="fontTable.xml"/><Relationship Id="rId81" Type="http://schemas.openxmlformats.org/officeDocument/2006/relationships/theme" Target="theme/theme1.xml"/><Relationship Id="rId70" Type="http://schemas.openxmlformats.org/officeDocument/2006/relationships/image" Target="media/image43.emf"/><Relationship Id="rId71" Type="http://schemas.openxmlformats.org/officeDocument/2006/relationships/image" Target="media/image44.emf"/><Relationship Id="rId72" Type="http://schemas.openxmlformats.org/officeDocument/2006/relationships/image" Target="media/image45.emf"/><Relationship Id="rId20" Type="http://schemas.openxmlformats.org/officeDocument/2006/relationships/image" Target="media/image9.png"/><Relationship Id="rId21" Type="http://schemas.openxmlformats.org/officeDocument/2006/relationships/footer" Target="footer4.xml"/><Relationship Id="rId22" Type="http://schemas.openxmlformats.org/officeDocument/2006/relationships/image" Target="media/image10.jpg"/><Relationship Id="rId23" Type="http://schemas.openxmlformats.org/officeDocument/2006/relationships/footer" Target="footer5.xml"/><Relationship Id="rId24" Type="http://schemas.openxmlformats.org/officeDocument/2006/relationships/image" Target="media/image11.emf"/><Relationship Id="rId25" Type="http://schemas.openxmlformats.org/officeDocument/2006/relationships/image" Target="media/image12.emf"/><Relationship Id="rId26" Type="http://schemas.openxmlformats.org/officeDocument/2006/relationships/footer" Target="footer6.xml"/><Relationship Id="rId27" Type="http://schemas.openxmlformats.org/officeDocument/2006/relationships/image" Target="media/image13.emf"/><Relationship Id="rId28" Type="http://schemas.openxmlformats.org/officeDocument/2006/relationships/footer" Target="footer7.xml"/><Relationship Id="rId29" Type="http://schemas.openxmlformats.org/officeDocument/2006/relationships/image" Target="media/image14.png"/><Relationship Id="rId73" Type="http://schemas.openxmlformats.org/officeDocument/2006/relationships/image" Target="media/image46.emf"/><Relationship Id="rId74" Type="http://schemas.openxmlformats.org/officeDocument/2006/relationships/image" Target="media/image47.emf"/><Relationship Id="rId75" Type="http://schemas.openxmlformats.org/officeDocument/2006/relationships/image" Target="media/image48.emf"/><Relationship Id="rId76" Type="http://schemas.openxmlformats.org/officeDocument/2006/relationships/image" Target="media/image49.emf"/><Relationship Id="rId77" Type="http://schemas.openxmlformats.org/officeDocument/2006/relationships/image" Target="media/image50.emf"/><Relationship Id="rId78" Type="http://schemas.openxmlformats.org/officeDocument/2006/relationships/image" Target="media/image51.emf"/><Relationship Id="rId79" Type="http://schemas.openxmlformats.org/officeDocument/2006/relationships/footer" Target="footer20.xml"/><Relationship Id="rId60" Type="http://schemas.openxmlformats.org/officeDocument/2006/relationships/image" Target="media/image34.emf"/><Relationship Id="rId61" Type="http://schemas.openxmlformats.org/officeDocument/2006/relationships/image" Target="media/image35.emf"/><Relationship Id="rId62" Type="http://schemas.openxmlformats.org/officeDocument/2006/relationships/image" Target="media/image36.emf"/><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901327-B70E-1D43-92EA-FF92A3FB52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39</Pages>
  <Words>153449</Words>
  <Characters>874663</Characters>
  <Application>Microsoft Macintosh Word</Application>
  <DocSecurity>0</DocSecurity>
  <Lines>7288</Lines>
  <Paragraphs>2052</Paragraphs>
  <ScaleCrop>false</ScaleCrop>
  <Company/>
  <LinksUpToDate>false</LinksUpToDate>
  <CharactersWithSpaces>1026060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George</dc:creator>
  <cp:keywords/>
  <cp:lastModifiedBy>Rachel George</cp:lastModifiedBy>
  <cp:revision>2</cp:revision>
  <cp:lastPrinted>2015-04-23T08:45:00Z</cp:lastPrinted>
  <dcterms:created xsi:type="dcterms:W3CDTF">2015-11-12T00:22:00Z</dcterms:created>
  <dcterms:modified xsi:type="dcterms:W3CDTF">2015-11-12T00:22:00Z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rachgeorge@me.com@www.mendeley.com</vt:lpwstr>
  </property>
  <property fmtid="{D5CDD505-2E9C-101B-9397-08002B2CF9AE}" pid="4" name="Mendeley Recent Style Id 0_1">
    <vt:lpwstr>http://www.zotero.org/styles/american-political-science-association</vt:lpwstr>
  </property>
  <property fmtid="{D5CDD505-2E9C-101B-9397-08002B2CF9AE}" pid="5" name="Mendeley Recent Style Name 0_1">
    <vt:lpwstr>American Political Science Association</vt:lpwstr>
  </property>
  <property fmtid="{D5CDD505-2E9C-101B-9397-08002B2CF9AE}" pid="6" name="Mendeley Recent Style Id 1_1">
    <vt:lpwstr>http://www.zotero.org/styles/apa</vt:lpwstr>
  </property>
  <property fmtid="{D5CDD505-2E9C-101B-9397-08002B2CF9AE}" pid="7" name="Mendeley Recent Style Name 1_1">
    <vt:lpwstr>American Psychological Association 6th edition</vt:lpwstr>
  </property>
  <property fmtid="{D5CDD505-2E9C-101B-9397-08002B2CF9AE}" pid="8" name="Mendeley Recent Style Id 2_1">
    <vt:lpwstr>http://www.zotero.org/styles/american-sociological-association</vt:lpwstr>
  </property>
  <property fmtid="{D5CDD505-2E9C-101B-9397-08002B2CF9AE}" pid="9" name="Mendeley Recent Style Name 2_1">
    <vt:lpwstr>American Sociological Association</vt:lpwstr>
  </property>
  <property fmtid="{D5CDD505-2E9C-101B-9397-08002B2CF9AE}" pid="10" name="Mendeley Recent Style Id 3_1">
    <vt:lpwstr>http://www.zotero.org/styles/chicago-author-date</vt:lpwstr>
  </property>
  <property fmtid="{D5CDD505-2E9C-101B-9397-08002B2CF9AE}" pid="11" name="Mendeley Recent Style Name 3_1">
    <vt:lpwstr>Chicago Manual of Style 16th edition (author-date)</vt:lpwstr>
  </property>
  <property fmtid="{D5CDD505-2E9C-101B-9397-08002B2CF9AE}" pid="12" name="Mendeley Recent Style Id 4_1">
    <vt:lpwstr>http://www.zotero.org/styles/harvard1</vt:lpwstr>
  </property>
  <property fmtid="{D5CDD505-2E9C-101B-9397-08002B2CF9AE}" pid="13" name="Mendeley Recent Style Name 4_1">
    <vt:lpwstr>Harvard Reference format 1 (author-date)</vt:lpwstr>
  </property>
  <property fmtid="{D5CDD505-2E9C-101B-9397-08002B2CF9AE}" pid="14" name="Mendeley Recent Style Id 5_1">
    <vt:lpwstr>http://www.zotero.org/styles/ieee</vt:lpwstr>
  </property>
  <property fmtid="{D5CDD505-2E9C-101B-9397-08002B2CF9AE}" pid="15" name="Mendeley Recent Style Name 5_1">
    <vt:lpwstr>IEEE</vt:lpwstr>
  </property>
  <property fmtid="{D5CDD505-2E9C-101B-9397-08002B2CF9AE}" pid="16" name="Mendeley Recent Style Id 6_1">
    <vt:lpwstr>http://www.zotero.org/styles/journal-of-ecology</vt:lpwstr>
  </property>
  <property fmtid="{D5CDD505-2E9C-101B-9397-08002B2CF9AE}" pid="17" name="Mendeley Recent Style Name 6_1">
    <vt:lpwstr>Journal of Ecology</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http://www.zotero.org/styles/plant-biology</vt:lpwstr>
  </property>
  <property fmtid="{D5CDD505-2E9C-101B-9397-08002B2CF9AE}" pid="21" name="Mendeley Recent Style Name 8_1">
    <vt:lpwstr>Plant Biology</vt:lpwstr>
  </property>
  <property fmtid="{D5CDD505-2E9C-101B-9397-08002B2CF9AE}" pid="22" name="Mendeley Recent Style Id 9_1">
    <vt:lpwstr>http://www.zotero.org/styles/plant-physiology</vt:lpwstr>
  </property>
  <property fmtid="{D5CDD505-2E9C-101B-9397-08002B2CF9AE}" pid="23" name="Mendeley Recent Style Name 9_1">
    <vt:lpwstr>Plant Physiology</vt:lpwstr>
  </property>
  <property fmtid="{D5CDD505-2E9C-101B-9397-08002B2CF9AE}" pid="24" name="Mendeley Citation Style_1">
    <vt:lpwstr>http://www.zotero.org/styles/plant-physiology</vt:lpwstr>
  </property>
</Properties>
</file>